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charts/chart136.xml" ContentType="application/vnd.openxmlformats-officedocument.drawingml.chart+xml"/>
  <Override PartName="/word/theme/themeOverride136.xml" ContentType="application/vnd.openxmlformats-officedocument.themeOverride+xml"/>
  <Override PartName="/word/charts/chart137.xml" ContentType="application/vnd.openxmlformats-officedocument.drawingml.chart+xml"/>
  <Override PartName="/word/theme/themeOverride137.xml" ContentType="application/vnd.openxmlformats-officedocument.themeOverride+xml"/>
  <Override PartName="/word/charts/chart138.xml" ContentType="application/vnd.openxmlformats-officedocument.drawingml.chart+xml"/>
  <Override PartName="/word/theme/themeOverride138.xml" ContentType="application/vnd.openxmlformats-officedocument.themeOverride+xml"/>
  <Override PartName="/word/charts/chart139.xml" ContentType="application/vnd.openxmlformats-officedocument.drawingml.chart+xml"/>
  <Override PartName="/word/theme/themeOverride139.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140.xml" ContentType="application/vnd.openxmlformats-officedocument.drawingml.chart+xml"/>
  <Override PartName="/word/theme/themeOverride140.xml" ContentType="application/vnd.openxmlformats-officedocument.themeOverride+xml"/>
  <Override PartName="/word/charts/chart141.xml" ContentType="application/vnd.openxmlformats-officedocument.drawingml.chart+xml"/>
  <Override PartName="/word/theme/themeOverride141.xml" ContentType="application/vnd.openxmlformats-officedocument.themeOverride+xml"/>
  <Override PartName="/word/charts/chart142.xml" ContentType="application/vnd.openxmlformats-officedocument.drawingml.chart+xml"/>
  <Override PartName="/word/theme/themeOverride142.xml" ContentType="application/vnd.openxmlformats-officedocument.themeOverride+xml"/>
  <Override PartName="/word/charts/chart143.xml" ContentType="application/vnd.openxmlformats-officedocument.drawingml.chart+xml"/>
  <Override PartName="/word/theme/themeOverride143.xml" ContentType="application/vnd.openxmlformats-officedocument.themeOverride+xml"/>
  <Override PartName="/word/charts/chart144.xml" ContentType="application/vnd.openxmlformats-officedocument.drawingml.chart+xml"/>
  <Override PartName="/word/theme/themeOverride144.xml" ContentType="application/vnd.openxmlformats-officedocument.themeOverride+xml"/>
  <Override PartName="/word/charts/chart145.xml" ContentType="application/vnd.openxmlformats-officedocument.drawingml.chart+xml"/>
  <Override PartName="/word/theme/themeOverride145.xml" ContentType="application/vnd.openxmlformats-officedocument.themeOverride+xml"/>
  <Override PartName="/word/charts/chart146.xml" ContentType="application/vnd.openxmlformats-officedocument.drawingml.chart+xml"/>
  <Override PartName="/word/theme/themeOverride146.xml" ContentType="application/vnd.openxmlformats-officedocument.themeOverride+xml"/>
  <Override PartName="/word/charts/chart147.xml" ContentType="application/vnd.openxmlformats-officedocument.drawingml.chart+xml"/>
  <Override PartName="/word/theme/themeOverride147.xml" ContentType="application/vnd.openxmlformats-officedocument.themeOverride+xml"/>
  <Override PartName="/word/charts/chart148.xml" ContentType="application/vnd.openxmlformats-officedocument.drawingml.chart+xml"/>
  <Override PartName="/word/theme/themeOverride148.xml" ContentType="application/vnd.openxmlformats-officedocument.themeOverride+xml"/>
  <Override PartName="/word/charts/chart149.xml" ContentType="application/vnd.openxmlformats-officedocument.drawingml.chart+xml"/>
  <Override PartName="/word/theme/themeOverride149.xml" ContentType="application/vnd.openxmlformats-officedocument.themeOverride+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150.xml" ContentType="application/vnd.openxmlformats-officedocument.drawingml.chart+xml"/>
  <Override PartName="/word/theme/themeOverride150.xml" ContentType="application/vnd.openxmlformats-officedocument.themeOverride+xml"/>
  <Override PartName="/word/charts/chart151.xml" ContentType="application/vnd.openxmlformats-officedocument.drawingml.chart+xml"/>
  <Override PartName="/word/theme/themeOverride151.xml" ContentType="application/vnd.openxmlformats-officedocument.themeOverride+xml"/>
  <Override PartName="/word/charts/chart152.xml" ContentType="application/vnd.openxmlformats-officedocument.drawingml.chart+xml"/>
  <Override PartName="/word/theme/themeOverride152.xml" ContentType="application/vnd.openxmlformats-officedocument.themeOverride+xml"/>
  <Override PartName="/word/charts/chart153.xml" ContentType="application/vnd.openxmlformats-officedocument.drawingml.chart+xml"/>
  <Override PartName="/word/theme/themeOverride153.xml" ContentType="application/vnd.openxmlformats-officedocument.themeOverride+xml"/>
  <Override PartName="/word/charts/chart154.xml" ContentType="application/vnd.openxmlformats-officedocument.drawingml.chart+xml"/>
  <Override PartName="/word/theme/themeOverride154.xml" ContentType="application/vnd.openxmlformats-officedocument.themeOverride+xml"/>
  <Override PartName="/word/charts/chart155.xml" ContentType="application/vnd.openxmlformats-officedocument.drawingml.chart+xml"/>
  <Override PartName="/word/theme/themeOverride155.xml" ContentType="application/vnd.openxmlformats-officedocument.themeOverride+xml"/>
  <Override PartName="/word/charts/chart156.xml" ContentType="application/vnd.openxmlformats-officedocument.drawingml.chart+xml"/>
  <Override PartName="/word/theme/themeOverride156.xml" ContentType="application/vnd.openxmlformats-officedocument.themeOverride+xml"/>
  <Override PartName="/word/charts/chart157.xml" ContentType="application/vnd.openxmlformats-officedocument.drawingml.chart+xml"/>
  <Override PartName="/word/theme/themeOverride157.xml" ContentType="application/vnd.openxmlformats-officedocument.themeOverride+xml"/>
  <Override PartName="/word/charts/chart158.xml" ContentType="application/vnd.openxmlformats-officedocument.drawingml.chart+xml"/>
  <Override PartName="/word/theme/themeOverride158.xml" ContentType="application/vnd.openxmlformats-officedocument.themeOverride+xml"/>
  <Override PartName="/word/charts/chart159.xml" ContentType="application/vnd.openxmlformats-officedocument.drawingml.chart+xml"/>
  <Override PartName="/word/theme/themeOverride159.xml" ContentType="application/vnd.openxmlformats-officedocument.themeOverride+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160.xml" ContentType="application/vnd.openxmlformats-officedocument.drawingml.chart+xml"/>
  <Override PartName="/word/theme/themeOverride160.xml" ContentType="application/vnd.openxmlformats-officedocument.themeOverride+xml"/>
  <Override PartName="/word/charts/chart161.xml" ContentType="application/vnd.openxmlformats-officedocument.drawingml.chart+xml"/>
  <Override PartName="/word/theme/themeOverride161.xml" ContentType="application/vnd.openxmlformats-officedocument.themeOverride+xml"/>
  <Override PartName="/word/charts/chart162.xml" ContentType="application/vnd.openxmlformats-officedocument.drawingml.chart+xml"/>
  <Override PartName="/word/theme/themeOverride162.xml" ContentType="application/vnd.openxmlformats-officedocument.themeOverride+xml"/>
  <Override PartName="/word/charts/chart163.xml" ContentType="application/vnd.openxmlformats-officedocument.drawingml.chart+xml"/>
  <Override PartName="/word/theme/themeOverride163.xml" ContentType="application/vnd.openxmlformats-officedocument.themeOverride+xml"/>
  <Override PartName="/word/charts/chart164.xml" ContentType="application/vnd.openxmlformats-officedocument.drawingml.chart+xml"/>
  <Override PartName="/word/theme/themeOverride164.xml" ContentType="application/vnd.openxmlformats-officedocument.themeOverride+xml"/>
  <Override PartName="/word/charts/chart165.xml" ContentType="application/vnd.openxmlformats-officedocument.drawingml.chart+xml"/>
  <Override PartName="/word/theme/themeOverride165.xml" ContentType="application/vnd.openxmlformats-officedocument.themeOverride+xml"/>
  <Override PartName="/word/charts/chart166.xml" ContentType="application/vnd.openxmlformats-officedocument.drawingml.chart+xml"/>
  <Override PartName="/word/theme/themeOverride166.xml" ContentType="application/vnd.openxmlformats-officedocument.themeOverride+xml"/>
  <Override PartName="/word/charts/chart167.xml" ContentType="application/vnd.openxmlformats-officedocument.drawingml.chart+xml"/>
  <Override PartName="/word/theme/themeOverride167.xml" ContentType="application/vnd.openxmlformats-officedocument.themeOverride+xml"/>
  <Override PartName="/word/charts/chart168.xml" ContentType="application/vnd.openxmlformats-officedocument.drawingml.chart+xml"/>
  <Override PartName="/word/theme/themeOverride168.xml" ContentType="application/vnd.openxmlformats-officedocument.themeOverride+xml"/>
  <Override PartName="/word/charts/chart169.xml" ContentType="application/vnd.openxmlformats-officedocument.drawingml.chart+xml"/>
  <Override PartName="/word/theme/themeOverride169.xml" ContentType="application/vnd.openxmlformats-officedocument.themeOverride+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13140770"/>
      <w:bookmarkStart w:id="1" w:name="_Toc415656190"/>
      <w:bookmarkStart w:id="2" w:name="_Toc406073936"/>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255B89D6-4AB9-4EB2-B4FF-8B3171FBF69C" style="width:450.75pt;height:429pt">
            <v:imagedata r:id="rId12" o:title=""/>
          </v:shape>
        </w:pict>
      </w:r>
    </w:p>
    <w:bookmarkEnd w:id="3"/>
    <w:p>
      <w:pPr>
        <w:rP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134" w:right="1417" w:bottom="1134" w:left="1417" w:header="709" w:footer="709" w:gutter="0"/>
          <w:pgNumType w:start="0"/>
          <w:cols w:space="720"/>
          <w:docGrid w:linePitch="360"/>
        </w:sectPr>
      </w:pPr>
    </w:p>
    <w:bookmarkStart w:id="4" w:name="_Toc444769585"/>
    <w:bookmarkStart w:id="5" w:name="_Toc444772041"/>
    <w:bookmarkStart w:id="6" w:name="_Toc444773360"/>
    <w:bookmarkStart w:id="7" w:name="_Toc444776732"/>
    <w:bookmarkStart w:id="8" w:name="_Toc475974639"/>
    <w:bookmarkStart w:id="9" w:name="_Toc475980135"/>
    <w:bookmarkStart w:id="10" w:name="_Toc475981384"/>
    <w:bookmarkStart w:id="11" w:name="_GoBack"/>
    <w:bookmarkEnd w:id="0"/>
    <w:bookmarkEnd w:id="1"/>
    <w:bookmarkEnd w:id="2"/>
    <w:bookmarkEnd w:id="11"/>
    <w:p>
      <w:pPr>
        <w:pStyle w:val="TOC1"/>
        <w:rPr>
          <w:rFonts w:asciiTheme="minorHAnsi" w:eastAsiaTheme="minorEastAsia" w:hAnsiTheme="minorHAnsi" w:cstheme="minorBidi"/>
          <w:color w:val="4F81BD"/>
          <w:sz w:val="22"/>
          <w:lang w:val="en-IE" w:eastAsia="en-IE"/>
        </w:rPr>
      </w:pPr>
      <w:r>
        <w:rPr>
          <w:bCs/>
          <w:color w:val="4F81BD"/>
        </w:rPr>
        <w:lastRenderedPageBreak/>
        <w:fldChar w:fldCharType="begin"/>
      </w:r>
      <w:r>
        <w:rPr>
          <w:bCs/>
          <w:color w:val="4F81BD"/>
        </w:rPr>
        <w:instrText xml:space="preserve"> TOC \o "1-1" \h \z \u </w:instrText>
      </w:r>
      <w:r>
        <w:rPr>
          <w:bCs/>
          <w:color w:val="4F81BD"/>
        </w:rPr>
        <w:fldChar w:fldCharType="separate"/>
      </w:r>
      <w:hyperlink w:anchor="_Toc5788355" w:history="1">
        <w:r>
          <w:rPr>
            <w:rStyle w:val="Hyperlink"/>
            <w:color w:val="4F81BD"/>
          </w:rPr>
          <w:t>Belgium</w:t>
        </w:r>
        <w:r>
          <w:rPr>
            <w:webHidden/>
            <w:color w:val="4F81BD"/>
          </w:rPr>
          <w:tab/>
        </w:r>
        <w:r>
          <w:rPr>
            <w:webHidden/>
            <w:color w:val="4F81BD"/>
          </w:rPr>
          <w:fldChar w:fldCharType="begin"/>
        </w:r>
        <w:r>
          <w:rPr>
            <w:webHidden/>
            <w:color w:val="4F81BD"/>
          </w:rPr>
          <w:instrText xml:space="preserve"> PAGEREF _Toc5788355 \h </w:instrText>
        </w:r>
        <w:r>
          <w:rPr>
            <w:webHidden/>
            <w:color w:val="4F81BD"/>
          </w:rPr>
        </w:r>
        <w:r>
          <w:rPr>
            <w:webHidden/>
            <w:color w:val="4F81BD"/>
          </w:rPr>
          <w:fldChar w:fldCharType="separate"/>
        </w:r>
        <w:r>
          <w:rPr>
            <w:webHidden/>
            <w:color w:val="4F81BD"/>
          </w:rPr>
          <w:t>2</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56" w:history="1">
        <w:r>
          <w:rPr>
            <w:rStyle w:val="Hyperlink"/>
            <w:color w:val="4F81BD"/>
          </w:rPr>
          <w:t>Bulgaria</w:t>
        </w:r>
        <w:r>
          <w:rPr>
            <w:webHidden/>
            <w:color w:val="4F81BD"/>
          </w:rPr>
          <w:tab/>
        </w:r>
        <w:r>
          <w:rPr>
            <w:webHidden/>
            <w:color w:val="4F81BD"/>
          </w:rPr>
          <w:fldChar w:fldCharType="begin"/>
        </w:r>
        <w:r>
          <w:rPr>
            <w:webHidden/>
            <w:color w:val="4F81BD"/>
          </w:rPr>
          <w:instrText xml:space="preserve"> PAGEREF _Toc5788356 \h </w:instrText>
        </w:r>
        <w:r>
          <w:rPr>
            <w:webHidden/>
            <w:color w:val="4F81BD"/>
          </w:rPr>
        </w:r>
        <w:r>
          <w:rPr>
            <w:webHidden/>
            <w:color w:val="4F81BD"/>
          </w:rPr>
          <w:fldChar w:fldCharType="separate"/>
        </w:r>
        <w:r>
          <w:rPr>
            <w:webHidden/>
            <w:color w:val="4F81BD"/>
          </w:rPr>
          <w:t>10</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57" w:history="1">
        <w:r>
          <w:rPr>
            <w:rStyle w:val="Hyperlink"/>
            <w:color w:val="4F81BD"/>
          </w:rPr>
          <w:t>Czechia</w:t>
        </w:r>
        <w:r>
          <w:rPr>
            <w:webHidden/>
            <w:color w:val="4F81BD"/>
          </w:rPr>
          <w:tab/>
        </w:r>
        <w:r>
          <w:rPr>
            <w:webHidden/>
            <w:color w:val="4F81BD"/>
          </w:rPr>
          <w:fldChar w:fldCharType="begin"/>
        </w:r>
        <w:r>
          <w:rPr>
            <w:webHidden/>
            <w:color w:val="4F81BD"/>
          </w:rPr>
          <w:instrText xml:space="preserve"> PAGEREF _Toc5788357 \h </w:instrText>
        </w:r>
        <w:r>
          <w:rPr>
            <w:webHidden/>
            <w:color w:val="4F81BD"/>
          </w:rPr>
        </w:r>
        <w:r>
          <w:rPr>
            <w:webHidden/>
            <w:color w:val="4F81BD"/>
          </w:rPr>
          <w:fldChar w:fldCharType="separate"/>
        </w:r>
        <w:r>
          <w:rPr>
            <w:webHidden/>
            <w:color w:val="4F81BD"/>
          </w:rPr>
          <w:t>17</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58" w:history="1">
        <w:r>
          <w:rPr>
            <w:rStyle w:val="Hyperlink"/>
            <w:color w:val="4F81BD"/>
          </w:rPr>
          <w:t>Denmark</w:t>
        </w:r>
        <w:r>
          <w:rPr>
            <w:webHidden/>
            <w:color w:val="4F81BD"/>
          </w:rPr>
          <w:tab/>
        </w:r>
        <w:r>
          <w:rPr>
            <w:webHidden/>
            <w:color w:val="4F81BD"/>
          </w:rPr>
          <w:fldChar w:fldCharType="begin"/>
        </w:r>
        <w:r>
          <w:rPr>
            <w:webHidden/>
            <w:color w:val="4F81BD"/>
          </w:rPr>
          <w:instrText xml:space="preserve"> PAGEREF _Toc5788358 \h </w:instrText>
        </w:r>
        <w:r>
          <w:rPr>
            <w:webHidden/>
            <w:color w:val="4F81BD"/>
          </w:rPr>
        </w:r>
        <w:r>
          <w:rPr>
            <w:webHidden/>
            <w:color w:val="4F81BD"/>
          </w:rPr>
          <w:fldChar w:fldCharType="separate"/>
        </w:r>
        <w:r>
          <w:rPr>
            <w:webHidden/>
            <w:color w:val="4F81BD"/>
          </w:rPr>
          <w:t>23</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59" w:history="1">
        <w:r>
          <w:rPr>
            <w:rStyle w:val="Hyperlink"/>
            <w:color w:val="4F81BD"/>
          </w:rPr>
          <w:t>Germany</w:t>
        </w:r>
        <w:r>
          <w:rPr>
            <w:webHidden/>
            <w:color w:val="4F81BD"/>
          </w:rPr>
          <w:tab/>
        </w:r>
        <w:r>
          <w:rPr>
            <w:webHidden/>
            <w:color w:val="4F81BD"/>
          </w:rPr>
          <w:fldChar w:fldCharType="begin"/>
        </w:r>
        <w:r>
          <w:rPr>
            <w:webHidden/>
            <w:color w:val="4F81BD"/>
          </w:rPr>
          <w:instrText xml:space="preserve"> PAGEREF _Toc5788359 \h </w:instrText>
        </w:r>
        <w:r>
          <w:rPr>
            <w:webHidden/>
            <w:color w:val="4F81BD"/>
          </w:rPr>
        </w:r>
        <w:r>
          <w:rPr>
            <w:webHidden/>
            <w:color w:val="4F81BD"/>
          </w:rPr>
          <w:fldChar w:fldCharType="separate"/>
        </w:r>
        <w:r>
          <w:rPr>
            <w:webHidden/>
            <w:color w:val="4F81BD"/>
          </w:rPr>
          <w:t>29</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0" w:history="1">
        <w:r>
          <w:rPr>
            <w:rStyle w:val="Hyperlink"/>
            <w:color w:val="4F81BD"/>
          </w:rPr>
          <w:t>Estonia</w:t>
        </w:r>
        <w:r>
          <w:rPr>
            <w:webHidden/>
            <w:color w:val="4F81BD"/>
          </w:rPr>
          <w:tab/>
        </w:r>
        <w:r>
          <w:rPr>
            <w:webHidden/>
            <w:color w:val="4F81BD"/>
          </w:rPr>
          <w:fldChar w:fldCharType="begin"/>
        </w:r>
        <w:r>
          <w:rPr>
            <w:webHidden/>
            <w:color w:val="4F81BD"/>
          </w:rPr>
          <w:instrText xml:space="preserve"> PAGEREF _Toc5788360 \h </w:instrText>
        </w:r>
        <w:r>
          <w:rPr>
            <w:webHidden/>
            <w:color w:val="4F81BD"/>
          </w:rPr>
        </w:r>
        <w:r>
          <w:rPr>
            <w:webHidden/>
            <w:color w:val="4F81BD"/>
          </w:rPr>
          <w:fldChar w:fldCharType="separate"/>
        </w:r>
        <w:r>
          <w:rPr>
            <w:webHidden/>
            <w:color w:val="4F81BD"/>
          </w:rPr>
          <w:t>38</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1" w:history="1">
        <w:r>
          <w:rPr>
            <w:rStyle w:val="Hyperlink"/>
            <w:color w:val="4F81BD"/>
          </w:rPr>
          <w:t>Ireland</w:t>
        </w:r>
        <w:r>
          <w:rPr>
            <w:webHidden/>
            <w:color w:val="4F81BD"/>
          </w:rPr>
          <w:tab/>
        </w:r>
        <w:r>
          <w:rPr>
            <w:webHidden/>
            <w:color w:val="4F81BD"/>
          </w:rPr>
          <w:fldChar w:fldCharType="begin"/>
        </w:r>
        <w:r>
          <w:rPr>
            <w:webHidden/>
            <w:color w:val="4F81BD"/>
          </w:rPr>
          <w:instrText xml:space="preserve"> PAGEREF _Toc5788361 \h </w:instrText>
        </w:r>
        <w:r>
          <w:rPr>
            <w:webHidden/>
            <w:color w:val="4F81BD"/>
          </w:rPr>
        </w:r>
        <w:r>
          <w:rPr>
            <w:webHidden/>
            <w:color w:val="4F81BD"/>
          </w:rPr>
          <w:fldChar w:fldCharType="separate"/>
        </w:r>
        <w:r>
          <w:rPr>
            <w:webHidden/>
            <w:color w:val="4F81BD"/>
          </w:rPr>
          <w:t>44</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2" w:history="1">
        <w:r>
          <w:rPr>
            <w:rStyle w:val="Hyperlink"/>
            <w:color w:val="4F81BD"/>
          </w:rPr>
          <w:t>Greece</w:t>
        </w:r>
        <w:r>
          <w:rPr>
            <w:webHidden/>
            <w:color w:val="4F81BD"/>
          </w:rPr>
          <w:tab/>
        </w:r>
        <w:r>
          <w:rPr>
            <w:webHidden/>
            <w:color w:val="4F81BD"/>
          </w:rPr>
          <w:fldChar w:fldCharType="begin"/>
        </w:r>
        <w:r>
          <w:rPr>
            <w:webHidden/>
            <w:color w:val="4F81BD"/>
          </w:rPr>
          <w:instrText xml:space="preserve"> PAGEREF _Toc5788362 \h </w:instrText>
        </w:r>
        <w:r>
          <w:rPr>
            <w:webHidden/>
            <w:color w:val="4F81BD"/>
          </w:rPr>
        </w:r>
        <w:r>
          <w:rPr>
            <w:webHidden/>
            <w:color w:val="4F81BD"/>
          </w:rPr>
          <w:fldChar w:fldCharType="separate"/>
        </w:r>
        <w:r>
          <w:rPr>
            <w:webHidden/>
            <w:color w:val="4F81BD"/>
          </w:rPr>
          <w:t>52</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3" w:history="1">
        <w:r>
          <w:rPr>
            <w:rStyle w:val="Hyperlink"/>
            <w:color w:val="4F81BD"/>
          </w:rPr>
          <w:t>Spain</w:t>
        </w:r>
        <w:r>
          <w:rPr>
            <w:webHidden/>
            <w:color w:val="4F81BD"/>
          </w:rPr>
          <w:tab/>
        </w:r>
        <w:r>
          <w:rPr>
            <w:webHidden/>
            <w:color w:val="4F81BD"/>
          </w:rPr>
          <w:fldChar w:fldCharType="begin"/>
        </w:r>
        <w:r>
          <w:rPr>
            <w:webHidden/>
            <w:color w:val="4F81BD"/>
          </w:rPr>
          <w:instrText xml:space="preserve"> PAGEREF _Toc5788363 \h </w:instrText>
        </w:r>
        <w:r>
          <w:rPr>
            <w:webHidden/>
            <w:color w:val="4F81BD"/>
          </w:rPr>
        </w:r>
        <w:r>
          <w:rPr>
            <w:webHidden/>
            <w:color w:val="4F81BD"/>
          </w:rPr>
          <w:fldChar w:fldCharType="separate"/>
        </w:r>
        <w:r>
          <w:rPr>
            <w:webHidden/>
            <w:color w:val="4F81BD"/>
          </w:rPr>
          <w:t>59</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4" w:history="1">
        <w:r>
          <w:rPr>
            <w:rStyle w:val="Hyperlink"/>
            <w:color w:val="4F81BD"/>
          </w:rPr>
          <w:t>France</w:t>
        </w:r>
        <w:r>
          <w:rPr>
            <w:webHidden/>
            <w:color w:val="4F81BD"/>
          </w:rPr>
          <w:tab/>
        </w:r>
        <w:r>
          <w:rPr>
            <w:webHidden/>
            <w:color w:val="4F81BD"/>
          </w:rPr>
          <w:fldChar w:fldCharType="begin"/>
        </w:r>
        <w:r>
          <w:rPr>
            <w:webHidden/>
            <w:color w:val="4F81BD"/>
          </w:rPr>
          <w:instrText xml:space="preserve"> PAGEREF _Toc5788364 \h </w:instrText>
        </w:r>
        <w:r>
          <w:rPr>
            <w:webHidden/>
            <w:color w:val="4F81BD"/>
          </w:rPr>
        </w:r>
        <w:r>
          <w:rPr>
            <w:webHidden/>
            <w:color w:val="4F81BD"/>
          </w:rPr>
          <w:fldChar w:fldCharType="separate"/>
        </w:r>
        <w:r>
          <w:rPr>
            <w:webHidden/>
            <w:color w:val="4F81BD"/>
          </w:rPr>
          <w:t>67</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5" w:history="1">
        <w:r>
          <w:rPr>
            <w:rStyle w:val="Hyperlink"/>
            <w:color w:val="4F81BD"/>
          </w:rPr>
          <w:t>Croatia</w:t>
        </w:r>
        <w:r>
          <w:rPr>
            <w:webHidden/>
            <w:color w:val="4F81BD"/>
          </w:rPr>
          <w:tab/>
        </w:r>
        <w:r>
          <w:rPr>
            <w:webHidden/>
            <w:color w:val="4F81BD"/>
          </w:rPr>
          <w:fldChar w:fldCharType="begin"/>
        </w:r>
        <w:r>
          <w:rPr>
            <w:webHidden/>
            <w:color w:val="4F81BD"/>
          </w:rPr>
          <w:instrText xml:space="preserve"> PAGEREF _Toc5788365 \h </w:instrText>
        </w:r>
        <w:r>
          <w:rPr>
            <w:webHidden/>
            <w:color w:val="4F81BD"/>
          </w:rPr>
        </w:r>
        <w:r>
          <w:rPr>
            <w:webHidden/>
            <w:color w:val="4F81BD"/>
          </w:rPr>
          <w:fldChar w:fldCharType="separate"/>
        </w:r>
        <w:r>
          <w:rPr>
            <w:webHidden/>
            <w:color w:val="4F81BD"/>
          </w:rPr>
          <w:t>74</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6" w:history="1">
        <w:r>
          <w:rPr>
            <w:rStyle w:val="Hyperlink"/>
            <w:color w:val="4F81BD"/>
          </w:rPr>
          <w:t>Italy</w:t>
        </w:r>
        <w:r>
          <w:rPr>
            <w:webHidden/>
            <w:color w:val="4F81BD"/>
          </w:rPr>
          <w:tab/>
        </w:r>
        <w:r>
          <w:rPr>
            <w:webHidden/>
            <w:color w:val="4F81BD"/>
          </w:rPr>
          <w:fldChar w:fldCharType="begin"/>
        </w:r>
        <w:r>
          <w:rPr>
            <w:webHidden/>
            <w:color w:val="4F81BD"/>
          </w:rPr>
          <w:instrText xml:space="preserve"> PAGEREF _Toc5788366 \h </w:instrText>
        </w:r>
        <w:r>
          <w:rPr>
            <w:webHidden/>
            <w:color w:val="4F81BD"/>
          </w:rPr>
        </w:r>
        <w:r>
          <w:rPr>
            <w:webHidden/>
            <w:color w:val="4F81BD"/>
          </w:rPr>
          <w:fldChar w:fldCharType="separate"/>
        </w:r>
        <w:r>
          <w:rPr>
            <w:webHidden/>
            <w:color w:val="4F81BD"/>
          </w:rPr>
          <w:t>80</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7" w:history="1">
        <w:r>
          <w:rPr>
            <w:rStyle w:val="Hyperlink"/>
            <w:color w:val="4F81BD"/>
          </w:rPr>
          <w:t>Cyprus</w:t>
        </w:r>
        <w:r>
          <w:rPr>
            <w:webHidden/>
            <w:color w:val="4F81BD"/>
          </w:rPr>
          <w:tab/>
        </w:r>
        <w:r>
          <w:rPr>
            <w:webHidden/>
            <w:color w:val="4F81BD"/>
          </w:rPr>
          <w:fldChar w:fldCharType="begin"/>
        </w:r>
        <w:r>
          <w:rPr>
            <w:webHidden/>
            <w:color w:val="4F81BD"/>
          </w:rPr>
          <w:instrText xml:space="preserve"> PAGEREF _Toc5788367 \h </w:instrText>
        </w:r>
        <w:r>
          <w:rPr>
            <w:webHidden/>
            <w:color w:val="4F81BD"/>
          </w:rPr>
        </w:r>
        <w:r>
          <w:rPr>
            <w:webHidden/>
            <w:color w:val="4F81BD"/>
          </w:rPr>
          <w:fldChar w:fldCharType="separate"/>
        </w:r>
        <w:r>
          <w:rPr>
            <w:webHidden/>
            <w:color w:val="4F81BD"/>
          </w:rPr>
          <w:t>88</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8" w:history="1">
        <w:r>
          <w:rPr>
            <w:rStyle w:val="Hyperlink"/>
            <w:color w:val="4F81BD"/>
          </w:rPr>
          <w:t>Latvia</w:t>
        </w:r>
        <w:r>
          <w:rPr>
            <w:webHidden/>
            <w:color w:val="4F81BD"/>
          </w:rPr>
          <w:tab/>
        </w:r>
        <w:r>
          <w:rPr>
            <w:webHidden/>
            <w:color w:val="4F81BD"/>
          </w:rPr>
          <w:fldChar w:fldCharType="begin"/>
        </w:r>
        <w:r>
          <w:rPr>
            <w:webHidden/>
            <w:color w:val="4F81BD"/>
          </w:rPr>
          <w:instrText xml:space="preserve"> PAGEREF _Toc5788368 \h </w:instrText>
        </w:r>
        <w:r>
          <w:rPr>
            <w:webHidden/>
            <w:color w:val="4F81BD"/>
          </w:rPr>
        </w:r>
        <w:r>
          <w:rPr>
            <w:webHidden/>
            <w:color w:val="4F81BD"/>
          </w:rPr>
          <w:fldChar w:fldCharType="separate"/>
        </w:r>
        <w:r>
          <w:rPr>
            <w:webHidden/>
            <w:color w:val="4F81BD"/>
          </w:rPr>
          <w:t>94</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69" w:history="1">
        <w:r>
          <w:rPr>
            <w:rStyle w:val="Hyperlink"/>
            <w:color w:val="4F81BD"/>
          </w:rPr>
          <w:t>Lithuania</w:t>
        </w:r>
        <w:r>
          <w:rPr>
            <w:webHidden/>
            <w:color w:val="4F81BD"/>
          </w:rPr>
          <w:tab/>
        </w:r>
        <w:r>
          <w:rPr>
            <w:webHidden/>
            <w:color w:val="4F81BD"/>
          </w:rPr>
          <w:fldChar w:fldCharType="begin"/>
        </w:r>
        <w:r>
          <w:rPr>
            <w:webHidden/>
            <w:color w:val="4F81BD"/>
          </w:rPr>
          <w:instrText xml:space="preserve"> PAGEREF _Toc5788369 \h </w:instrText>
        </w:r>
        <w:r>
          <w:rPr>
            <w:webHidden/>
            <w:color w:val="4F81BD"/>
          </w:rPr>
        </w:r>
        <w:r>
          <w:rPr>
            <w:webHidden/>
            <w:color w:val="4F81BD"/>
          </w:rPr>
          <w:fldChar w:fldCharType="separate"/>
        </w:r>
        <w:r>
          <w:rPr>
            <w:webHidden/>
            <w:color w:val="4F81BD"/>
          </w:rPr>
          <w:t>99</w:t>
        </w:r>
        <w:r>
          <w:rPr>
            <w:webHidden/>
            <w:color w:val="4F81BD"/>
          </w:rPr>
          <w:fldChar w:fldCharType="end"/>
        </w:r>
      </w:hyperlink>
    </w:p>
    <w:p>
      <w:pPr>
        <w:pStyle w:val="TOC1"/>
        <w:rPr>
          <w:rFonts w:asciiTheme="minorHAnsi" w:eastAsiaTheme="minorEastAsia" w:hAnsiTheme="minorHAnsi" w:cstheme="minorBidi"/>
          <w:color w:val="4F81BD"/>
          <w:sz w:val="22"/>
          <w:lang w:val="en-IE" w:eastAsia="en-IE"/>
        </w:rPr>
      </w:pPr>
      <w:hyperlink w:anchor="_Toc5788370" w:history="1">
        <w:r>
          <w:rPr>
            <w:rStyle w:val="Hyperlink"/>
            <w:rFonts w:eastAsia="SimSun"/>
            <w:bCs/>
            <w:color w:val="4F81BD"/>
          </w:rPr>
          <w:t>Luxembourg</w:t>
        </w:r>
        <w:r>
          <w:rPr>
            <w:webHidden/>
            <w:color w:val="4F81BD"/>
          </w:rPr>
          <w:tab/>
        </w:r>
        <w:r>
          <w:rPr>
            <w:webHidden/>
            <w:color w:val="4F81BD"/>
          </w:rPr>
          <w:fldChar w:fldCharType="begin"/>
        </w:r>
        <w:r>
          <w:rPr>
            <w:webHidden/>
            <w:color w:val="4F81BD"/>
          </w:rPr>
          <w:instrText xml:space="preserve"> PAGEREF _Toc5788370 \h </w:instrText>
        </w:r>
        <w:r>
          <w:rPr>
            <w:webHidden/>
            <w:color w:val="4F81BD"/>
          </w:rPr>
        </w:r>
        <w:r>
          <w:rPr>
            <w:webHidden/>
            <w:color w:val="4F81BD"/>
          </w:rPr>
          <w:fldChar w:fldCharType="separate"/>
        </w:r>
        <w:r>
          <w:rPr>
            <w:webHidden/>
            <w:color w:val="4F81BD"/>
          </w:rPr>
          <w:t>105</w:t>
        </w:r>
        <w:r>
          <w:rPr>
            <w:webHidden/>
            <w:color w:val="4F81BD"/>
          </w:rPr>
          <w:fldChar w:fldCharType="end"/>
        </w:r>
      </w:hyperlink>
    </w:p>
    <w:p>
      <w:pPr>
        <w:pStyle w:val="Heading1"/>
        <w:rPr>
          <w:noProof/>
        </w:rPr>
        <w:sectPr>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pgMar w:top="1701" w:right="1418" w:bottom="1134" w:left="1418" w:header="567" w:footer="352" w:gutter="0"/>
          <w:pgNumType w:start="1"/>
          <w:cols w:space="708"/>
          <w:titlePg/>
          <w:docGrid w:linePitch="360"/>
        </w:sectPr>
      </w:pPr>
      <w:r>
        <w:rPr>
          <w:rFonts w:eastAsia="Times New Roman" w:cs="Arial"/>
          <w:bCs w:val="0"/>
          <w:noProof/>
          <w:color w:val="4F81BD"/>
          <w:sz w:val="20"/>
          <w:szCs w:val="20"/>
        </w:rPr>
        <w:fldChar w:fldCharType="end"/>
      </w:r>
    </w:p>
    <w:p>
      <w:pPr>
        <w:pStyle w:val="Heading1"/>
        <w:rPr>
          <w:noProof/>
          <w:szCs w:val="24"/>
        </w:rPr>
      </w:pPr>
      <w:bookmarkStart w:id="12" w:name="_Toc484622317"/>
      <w:bookmarkStart w:id="13" w:name="_Toc5788355"/>
      <w:r>
        <w:rPr>
          <w:noProof/>
          <w:szCs w:val="24"/>
        </w:rPr>
        <w:t>Belgium</w:t>
      </w:r>
      <w:bookmarkEnd w:id="4"/>
      <w:bookmarkEnd w:id="5"/>
      <w:bookmarkEnd w:id="6"/>
      <w:bookmarkEnd w:id="7"/>
      <w:bookmarkEnd w:id="8"/>
      <w:bookmarkEnd w:id="9"/>
      <w:bookmarkEnd w:id="10"/>
      <w:bookmarkEnd w:id="12"/>
      <w:bookmarkEnd w:id="13"/>
    </w:p>
    <w:p>
      <w:pPr>
        <w:pStyle w:val="kop2"/>
        <w:numPr>
          <w:ilvl w:val="0"/>
          <w:numId w:val="3"/>
        </w:numPr>
        <w:spacing w:before="360"/>
        <w:ind w:left="709" w:hanging="425"/>
        <w:rPr>
          <w:noProof/>
        </w:rPr>
      </w:pPr>
      <w:r>
        <w:rPr>
          <w:noProof/>
        </w:rPr>
        <w:t>COMPLAINTS</w:t>
      </w:r>
    </w:p>
    <w:p>
      <w:pPr>
        <w:pStyle w:val="AnnualReport2"/>
        <w:numPr>
          <w:ilvl w:val="0"/>
          <w:numId w:val="57"/>
        </w:numPr>
        <w:ind w:left="709" w:hanging="425"/>
        <w:rPr>
          <w:noProof/>
        </w:rPr>
      </w:pPr>
      <w:r>
        <w:rPr>
          <w:noProof/>
        </w:rPr>
        <w:t>New complaints made against Belgium by members of the public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34565"/>
            <wp:effectExtent l="0" t="0" r="17145" b="13335"/>
            <wp:docPr id="107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AnnualReport2"/>
        <w:numPr>
          <w:ilvl w:val="0"/>
          <w:numId w:val="57"/>
        </w:numPr>
        <w:ind w:left="709" w:hanging="425"/>
        <w:rPr>
          <w:noProof/>
        </w:rPr>
      </w:pPr>
      <w:r>
        <w:rPr>
          <w:noProof/>
        </w:rPr>
        <w:t>Public complaints against Belgium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105</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126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106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125</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57"/>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385695"/>
            <wp:effectExtent l="0" t="0" r="1270" b="14605"/>
            <wp:docPr id="1069"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58"/>
        </w:numPr>
        <w:ind w:left="709" w:hanging="425"/>
        <w:rPr>
          <w:noProof/>
        </w:rPr>
      </w:pPr>
      <w:r>
        <w:rPr>
          <w:noProof/>
        </w:rPr>
        <w:t>New EU Pilot files opened against Belgium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6350" b="16510"/>
            <wp:docPr id="106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AnnualReport2"/>
        <w:numPr>
          <w:ilvl w:val="0"/>
          <w:numId w:val="58"/>
        </w:numPr>
        <w:ind w:left="709" w:hanging="425"/>
        <w:rPr>
          <w:noProof/>
        </w:rPr>
      </w:pPr>
      <w:r>
        <w:rPr>
          <w:noProof/>
        </w:rPr>
        <w:t>Files relating to Belgium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170430"/>
            <wp:effectExtent l="0" t="0" r="13970" b="1270"/>
            <wp:docPr id="10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AnnualReport2"/>
        <w:numPr>
          <w:ilvl w:val="0"/>
          <w:numId w:val="58"/>
        </w:numPr>
        <w:ind w:left="709" w:hanging="425"/>
        <w:rPr>
          <w:noProof/>
        </w:rPr>
      </w:pPr>
      <w:r>
        <w:rPr>
          <w:noProof/>
        </w:rPr>
        <w:t>New EU Pilot files opened in 2018: policy areas</w:t>
      </w:r>
    </w:p>
    <w:p>
      <w:pPr>
        <w:pStyle w:val="Basis"/>
        <w:rPr>
          <w:noProof/>
        </w:rPr>
      </w:pPr>
      <w:r>
        <w:rPr>
          <w:rFonts w:cs="Arial"/>
          <w:noProof/>
          <w:lang w:val="en-GB"/>
        </w:rPr>
        <w:drawing>
          <wp:inline distT="0" distB="0" distL="0" distR="0">
            <wp:extent cx="4632960" cy="2270760"/>
            <wp:effectExtent l="0" t="0" r="15240" b="15240"/>
            <wp:docPr id="1074"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after="0"/>
        <w:rPr>
          <w:rFonts w:ascii="Arial" w:hAnsi="Arial"/>
          <w:noProof/>
          <w:color w:val="002060"/>
        </w:rPr>
      </w:pPr>
      <w:r>
        <w:rPr>
          <w:noProof/>
        </w:rPr>
        <w:br w:type="page"/>
      </w:r>
    </w:p>
    <w:p>
      <w:pPr>
        <w:pStyle w:val="AnnualReport2"/>
        <w:numPr>
          <w:ilvl w:val="0"/>
          <w:numId w:val="58"/>
        </w:numPr>
        <w:ind w:left="709" w:hanging="425"/>
        <w:rPr>
          <w:noProof/>
        </w:rPr>
      </w:pPr>
      <w:r>
        <w:rPr>
          <w:noProof/>
        </w:rPr>
        <w:t>EU Pilot files: Belgium’s resolution rate in 2014-2018</w:t>
      </w:r>
    </w:p>
    <w:p>
      <w:pPr>
        <w:ind w:firstLine="709"/>
        <w:rPr>
          <w:rFonts w:ascii="Arial" w:hAnsi="Arial" w:cs="Arial"/>
          <w:noProof/>
          <w:sz w:val="20"/>
        </w:rPr>
      </w:pPr>
      <w:r>
        <w:rPr>
          <w:rFonts w:ascii="Arial" w:hAnsi="Arial" w:cs="Arial"/>
          <w:noProof/>
          <w:sz w:val="20"/>
          <w:lang w:eastAsia="en-GB"/>
        </w:rPr>
        <w:drawing>
          <wp:inline distT="0" distB="0" distL="0" distR="0">
            <wp:extent cx="4596130" cy="2313940"/>
            <wp:effectExtent l="0" t="0" r="13970" b="10160"/>
            <wp:docPr id="106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59"/>
        </w:numPr>
        <w:ind w:left="709" w:hanging="425"/>
        <w:rPr>
          <w:noProof/>
        </w:rPr>
      </w:pPr>
      <w:r>
        <w:rPr>
          <w:noProof/>
        </w:rPr>
        <w:t>Infringement cases against Belgium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7720" cy="2110740"/>
            <wp:effectExtent l="0" t="0" r="11430" b="22860"/>
            <wp:docPr id="106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AnnualReport2"/>
        <w:numPr>
          <w:ilvl w:val="0"/>
          <w:numId w:val="59"/>
        </w:numPr>
        <w:ind w:left="709" w:hanging="425"/>
        <w:rPr>
          <w:noProof/>
        </w:rPr>
      </w:pPr>
      <w:r>
        <w:rPr>
          <w:noProof/>
        </w:rPr>
        <w:t>New infringement cases opened in 2018: main policy areas</w:t>
      </w:r>
    </w:p>
    <w:p>
      <w:pPr>
        <w:ind w:firstLine="709"/>
        <w:rPr>
          <w:rFonts w:ascii="Arial" w:hAnsi="Arial" w:cs="Arial"/>
          <w:noProof/>
          <w:sz w:val="20"/>
        </w:rPr>
      </w:pPr>
      <w:r>
        <w:rPr>
          <w:rFonts w:ascii="Arial" w:hAnsi="Arial" w:cs="Arial"/>
          <w:noProof/>
          <w:sz w:val="20"/>
          <w:lang w:eastAsia="en-GB"/>
        </w:rPr>
        <w:drawing>
          <wp:inline distT="0" distB="0" distL="0" distR="0">
            <wp:extent cx="4587240" cy="2446655"/>
            <wp:effectExtent l="0" t="0" r="3810" b="10795"/>
            <wp:docPr id="1063"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0"/>
        <w:rPr>
          <w:rFonts w:ascii="Arial" w:hAnsi="Arial"/>
          <w:noProof/>
          <w:color w:val="002060"/>
        </w:rPr>
      </w:pPr>
      <w:r>
        <w:rPr>
          <w:noProof/>
        </w:rPr>
        <w:br w:type="page"/>
      </w:r>
    </w:p>
    <w:p>
      <w:pPr>
        <w:pStyle w:val="AnnualReport2"/>
        <w:numPr>
          <w:ilvl w:val="0"/>
          <w:numId w:val="59"/>
        </w:numPr>
        <w:ind w:left="709" w:hanging="425"/>
        <w:rPr>
          <w:noProof/>
        </w:rPr>
      </w:pPr>
      <w:r>
        <w:rPr>
          <w:noProof/>
        </w:rPr>
        <w:t>Key infringement cases and referrals to the Court</w:t>
      </w:r>
    </w:p>
    <w:p>
      <w:pPr>
        <w:numPr>
          <w:ilvl w:val="0"/>
          <w:numId w:val="13"/>
        </w:numPr>
        <w:ind w:left="1276" w:hanging="425"/>
        <w:jc w:val="both"/>
        <w:rPr>
          <w:rFonts w:ascii="Arial" w:hAnsi="Arial" w:cs="Arial"/>
          <w:noProof/>
          <w:sz w:val="20"/>
          <w:szCs w:val="20"/>
        </w:rPr>
      </w:pPr>
      <w:r>
        <w:rPr>
          <w:rFonts w:ascii="Arial" w:hAnsi="Arial" w:cs="Arial"/>
          <w:noProof/>
          <w:sz w:val="20"/>
          <w:szCs w:val="20"/>
        </w:rPr>
        <w:t>The Commission opened 31 new infringement cases against Belgium in 2018. These, and other major ongoing infringement cases, include:</w:t>
      </w:r>
    </w:p>
    <w:p>
      <w:pPr>
        <w:pStyle w:val="ListParagraph"/>
        <w:numPr>
          <w:ilvl w:val="0"/>
          <w:numId w:val="102"/>
        </w:numPr>
        <w:ind w:left="1701"/>
        <w:jc w:val="both"/>
        <w:rPr>
          <w:rFonts w:ascii="Arial" w:hAnsi="Arial" w:cs="Arial"/>
          <w:noProof/>
          <w:sz w:val="20"/>
          <w:szCs w:val="20"/>
        </w:rPr>
      </w:pPr>
      <w:r>
        <w:rPr>
          <w:rFonts w:ascii="Arial" w:hAnsi="Arial" w:cs="Arial"/>
          <w:noProof/>
          <w:sz w:val="20"/>
          <w:lang w:bidi="en-US"/>
        </w:rPr>
        <w:t>non-</w:t>
      </w:r>
      <w:r>
        <w:rPr>
          <w:rFonts w:ascii="Arial" w:hAnsi="Arial" w:cs="Arial"/>
          <w:noProof/>
          <w:sz w:val="20"/>
          <w:szCs w:val="20"/>
          <w:lang w:bidi="en-US"/>
        </w:rPr>
        <w:t>compliance</w:t>
      </w:r>
      <w:r>
        <w:rPr>
          <w:rFonts w:ascii="Arial" w:hAnsi="Arial" w:cs="Arial"/>
          <w:noProof/>
          <w:sz w:val="20"/>
          <w:lang w:bidi="en-US"/>
        </w:rPr>
        <w:t xml:space="preserve"> with the Decision on the use of the 470-790 MHz frequency band in the Union</w:t>
      </w:r>
      <w:r>
        <w:rPr>
          <w:rStyle w:val="FootnoteReference"/>
          <w:rFonts w:ascii="Arial" w:hAnsi="Arial" w:cs="Arial"/>
          <w:noProof/>
          <w:sz w:val="20"/>
          <w:lang w:bidi="en-US"/>
        </w:rPr>
        <w:footnoteReference w:id="2"/>
      </w:r>
      <w:r>
        <w:rPr>
          <w:rFonts w:ascii="Arial" w:hAnsi="Arial" w:cs="Arial"/>
          <w:noProof/>
          <w:sz w:val="20"/>
          <w:szCs w:val="20"/>
          <w:lang w:bidi="en-US"/>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3"/>
      </w:r>
      <w:r>
        <w:rPr>
          <w:rFonts w:ascii="Arial" w:hAnsi="Arial" w:cs="Arial"/>
          <w:noProof/>
          <w:sz w:val="20"/>
          <w:szCs w:val="20"/>
        </w:rPr>
        <w:t>;</w:t>
      </w:r>
    </w:p>
    <w:p>
      <w:pPr>
        <w:pStyle w:val="ListParagraph"/>
        <w:numPr>
          <w:ilvl w:val="0"/>
          <w:numId w:val="102"/>
        </w:numPr>
        <w:ind w:left="1701"/>
        <w:jc w:val="both"/>
        <w:rPr>
          <w:noProof/>
        </w:rPr>
      </w:pPr>
      <w:r>
        <w:rPr>
          <w:rFonts w:ascii="Arial" w:hAnsi="Arial" w:cs="Arial"/>
          <w:noProof/>
          <w:sz w:val="20"/>
          <w:szCs w:val="20"/>
          <w:shd w:val="clear" w:color="auto" w:fill="FFFFFF" w:themeFill="background1"/>
        </w:rPr>
        <w:t>incorrect implementation of EU rules on chartering and pricing in inland waterways transport</w:t>
      </w:r>
      <w:r>
        <w:rPr>
          <w:rStyle w:val="FootnoteReference"/>
          <w:rFonts w:ascii="Arial" w:hAnsi="Arial" w:cs="Arial"/>
          <w:noProof/>
          <w:sz w:val="20"/>
          <w:szCs w:val="20"/>
          <w:shd w:val="clear" w:color="auto" w:fill="FFFFFF" w:themeFill="background1"/>
        </w:rPr>
        <w:footnoteReference w:id="4"/>
      </w:r>
      <w:r>
        <w:rPr>
          <w:rFonts w:ascii="Arial" w:hAnsi="Arial" w:cs="Arial"/>
          <w:noProof/>
          <w:sz w:val="20"/>
          <w:szCs w:val="20"/>
          <w:shd w:val="clear" w:color="auto" w:fill="FFFFFF" w:themeFill="background1"/>
        </w:rPr>
        <w:t>;</w:t>
      </w:r>
    </w:p>
    <w:p>
      <w:pPr>
        <w:pStyle w:val="ListParagraph"/>
        <w:numPr>
          <w:ilvl w:val="0"/>
          <w:numId w:val="102"/>
        </w:numPr>
        <w:ind w:left="1701"/>
        <w:jc w:val="both"/>
        <w:rPr>
          <w:noProof/>
        </w:rPr>
      </w:pPr>
      <w:r>
        <w:rPr>
          <w:rFonts w:ascii="Arial" w:hAnsi="Arial" w:cs="Arial"/>
          <w:noProof/>
          <w:color w:val="000000"/>
          <w:sz w:val="20"/>
          <w:szCs w:val="20"/>
        </w:rPr>
        <w:t>failure to comply with the Court of Justice judgment on the evaluation of rental income from immovable property</w:t>
      </w:r>
      <w:r>
        <w:rPr>
          <w:rStyle w:val="FootnoteReference"/>
          <w:rFonts w:ascii="Arial" w:hAnsi="Arial" w:cs="Arial"/>
          <w:noProof/>
          <w:sz w:val="20"/>
          <w:szCs w:val="20"/>
        </w:rPr>
        <w:footnoteReference w:id="5"/>
      </w:r>
      <w:r>
        <w:rPr>
          <w:rFonts w:ascii="Arial" w:hAnsi="Arial" w:cs="Arial"/>
          <w:noProof/>
          <w:sz w:val="20"/>
          <w:szCs w:val="20"/>
        </w:rPr>
        <w:t>;</w:t>
      </w:r>
    </w:p>
    <w:p>
      <w:pPr>
        <w:pStyle w:val="ListParagraph"/>
        <w:numPr>
          <w:ilvl w:val="0"/>
          <w:numId w:val="102"/>
        </w:numPr>
        <w:spacing w:after="200" w:line="240" w:lineRule="auto"/>
        <w:ind w:left="1701"/>
        <w:jc w:val="both"/>
        <w:rPr>
          <w:rFonts w:ascii="Arial" w:hAnsi="Arial" w:cs="Arial"/>
          <w:noProof/>
        </w:rPr>
      </w:pPr>
      <w:r>
        <w:rPr>
          <w:rFonts w:ascii="Arial" w:hAnsi="Arial" w:cs="Arial"/>
          <w:noProof/>
          <w:sz w:val="20"/>
          <w:szCs w:val="20"/>
        </w:rPr>
        <w:t>failure to</w:t>
      </w:r>
      <w:r>
        <w:rPr>
          <w:rFonts w:ascii="Arial" w:hAnsi="Arial" w:cs="Arial"/>
          <w:noProof/>
          <w:color w:val="000000"/>
          <w:sz w:val="20"/>
          <w:szCs w:val="20"/>
        </w:rPr>
        <w:t xml:space="preserve">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6"/>
      </w:r>
      <w:r>
        <w:rPr>
          <w:rFonts w:ascii="Arial" w:hAnsi="Arial" w:cs="Arial"/>
          <w:noProof/>
          <w:sz w:val="20"/>
          <w:szCs w:val="20"/>
        </w:rPr>
        <w:t>;</w:t>
      </w:r>
    </w:p>
    <w:p>
      <w:pPr>
        <w:pStyle w:val="ListParagraph"/>
        <w:numPr>
          <w:ilvl w:val="0"/>
          <w:numId w:val="102"/>
        </w:numPr>
        <w:spacing w:after="200" w:line="240" w:lineRule="auto"/>
        <w:ind w:left="1701"/>
        <w:jc w:val="both"/>
        <w:rPr>
          <w:rFonts w:ascii="Arial" w:hAnsi="Arial" w:cs="Arial"/>
          <w:noProof/>
        </w:rPr>
      </w:pPr>
      <w:r>
        <w:rPr>
          <w:rFonts w:ascii="Arial" w:hAnsi="Arial" w:cs="Arial"/>
          <w:noProof/>
          <w:sz w:val="20"/>
          <w:szCs w:val="20"/>
        </w:rPr>
        <w:t>failure to comply with the nitrogen dioxide (NO</w:t>
      </w:r>
      <w:r>
        <w:rPr>
          <w:rFonts w:ascii="Arial" w:hAnsi="Arial" w:cs="Arial"/>
          <w:noProof/>
          <w:sz w:val="20"/>
          <w:szCs w:val="20"/>
          <w:vertAlign w:val="subscript"/>
        </w:rPr>
        <w:t>2</w:t>
      </w:r>
      <w:r>
        <w:rPr>
          <w:rFonts w:ascii="Arial" w:hAnsi="Arial" w:cs="Arial"/>
          <w:noProof/>
          <w:sz w:val="20"/>
          <w:szCs w:val="20"/>
        </w:rPr>
        <w:t>) limit values set by the Air Quality Directive</w:t>
      </w:r>
      <w:r>
        <w:rPr>
          <w:rStyle w:val="FootnoteReference"/>
          <w:rFonts w:ascii="Arial" w:hAnsi="Arial" w:cs="Arial"/>
          <w:noProof/>
          <w:sz w:val="20"/>
          <w:szCs w:val="20"/>
        </w:rPr>
        <w:footnoteReference w:id="7"/>
      </w:r>
      <w:r>
        <w:rPr>
          <w:rFonts w:ascii="Arial" w:hAnsi="Arial" w:cs="Arial"/>
          <w:noProof/>
          <w:sz w:val="20"/>
          <w:szCs w:val="20"/>
        </w:rPr>
        <w:t>;</w:t>
      </w:r>
    </w:p>
    <w:p>
      <w:pPr>
        <w:pStyle w:val="ListParagraph"/>
        <w:numPr>
          <w:ilvl w:val="0"/>
          <w:numId w:val="102"/>
        </w:numPr>
        <w:ind w:left="1701"/>
        <w:jc w:val="both"/>
        <w:rPr>
          <w:rFonts w:ascii="Arial" w:hAnsi="Arial" w:cs="Arial"/>
          <w:noProof/>
          <w:sz w:val="20"/>
          <w:shd w:val="clear" w:color="auto" w:fill="FFFFFF" w:themeFill="background1"/>
        </w:rPr>
      </w:pPr>
      <w:r>
        <w:rPr>
          <w:rFonts w:ascii="Arial" w:hAnsi="Arial" w:cs="Arial"/>
          <w:noProof/>
          <w:sz w:val="20"/>
          <w:shd w:val="clear" w:color="auto" w:fill="FFFFFF" w:themeFill="background1"/>
        </w:rPr>
        <w:t xml:space="preserve">failure to </w:t>
      </w:r>
      <w:r>
        <w:rPr>
          <w:rFonts w:ascii="Arial" w:hAnsi="Arial" w:cs="Arial"/>
          <w:bCs/>
          <w:noProof/>
          <w:sz w:val="20"/>
          <w:shd w:val="clear" w:color="auto" w:fill="FFFFFF" w:themeFill="background1"/>
        </w:rPr>
        <w:t>adopt noise maps and action plans on environmental noise</w:t>
      </w:r>
      <w:r>
        <w:rPr>
          <w:rStyle w:val="FootnoteReference"/>
          <w:rFonts w:ascii="Arial" w:hAnsi="Arial" w:cs="Arial"/>
          <w:bCs/>
          <w:noProof/>
          <w:sz w:val="20"/>
          <w:shd w:val="clear" w:color="auto" w:fill="FFFFFF" w:themeFill="background1"/>
        </w:rPr>
        <w:footnoteReference w:id="8"/>
      </w:r>
      <w:r>
        <w:rPr>
          <w:rFonts w:ascii="Arial" w:hAnsi="Arial" w:cs="Arial"/>
          <w:bCs/>
          <w:noProof/>
          <w:sz w:val="20"/>
          <w:shd w:val="clear" w:color="auto" w:fill="FFFFFF" w:themeFill="background1"/>
        </w:rPr>
        <w:t>;</w:t>
      </w:r>
    </w:p>
    <w:p>
      <w:pPr>
        <w:pStyle w:val="ListParagraph"/>
        <w:numPr>
          <w:ilvl w:val="0"/>
          <w:numId w:val="102"/>
        </w:numPr>
        <w:ind w:left="1701"/>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129"/>
        </w:numPr>
        <w:jc w:val="both"/>
        <w:rPr>
          <w:noProof/>
          <w:sz w:val="20"/>
          <w:szCs w:val="20"/>
        </w:rPr>
      </w:pPr>
      <w:r>
        <w:rPr>
          <w:rFonts w:ascii="Arial" w:hAnsi="Arial" w:cs="Arial"/>
          <w:noProof/>
          <w:sz w:val="20"/>
          <w:szCs w:val="20"/>
        </w:rPr>
        <w:t>Payment Services Directive</w:t>
      </w:r>
      <w:r>
        <w:rPr>
          <w:rStyle w:val="FootnoteReference"/>
          <w:rFonts w:ascii="Arial" w:hAnsi="Arial" w:cs="Arial"/>
          <w:noProof/>
          <w:sz w:val="20"/>
          <w:szCs w:val="20"/>
        </w:rPr>
        <w:footnoteReference w:id="9"/>
      </w:r>
      <w:r>
        <w:rPr>
          <w:rFonts w:ascii="Arial" w:hAnsi="Arial" w:cs="Arial"/>
          <w:noProof/>
          <w:sz w:val="20"/>
          <w:szCs w:val="20"/>
        </w:rPr>
        <w:t>;</w:t>
      </w:r>
    </w:p>
    <w:p>
      <w:pPr>
        <w:pStyle w:val="ListParagraph"/>
        <w:numPr>
          <w:ilvl w:val="0"/>
          <w:numId w:val="129"/>
        </w:numPr>
        <w:jc w:val="both"/>
        <w:rPr>
          <w:noProof/>
          <w:sz w:val="20"/>
          <w:szCs w:val="20"/>
        </w:rPr>
      </w:pPr>
      <w:r>
        <w:rPr>
          <w:rFonts w:ascii="Arial" w:hAnsi="Arial" w:cs="Arial"/>
          <w:noProof/>
          <w:sz w:val="20"/>
          <w:szCs w:val="20"/>
        </w:rPr>
        <w:t>Insurance Distribution Directive</w:t>
      </w:r>
      <w:r>
        <w:rPr>
          <w:rStyle w:val="FootnoteReference"/>
          <w:rFonts w:ascii="Arial" w:hAnsi="Arial" w:cs="Arial"/>
          <w:noProof/>
          <w:sz w:val="20"/>
          <w:szCs w:val="20"/>
        </w:rPr>
        <w:footnoteReference w:id="10"/>
      </w:r>
      <w:r>
        <w:rPr>
          <w:rFonts w:ascii="Arial" w:hAnsi="Arial" w:cs="Arial"/>
          <w:noProof/>
          <w:sz w:val="20"/>
          <w:szCs w:val="20"/>
        </w:rPr>
        <w:t>;</w:t>
      </w:r>
    </w:p>
    <w:p>
      <w:pPr>
        <w:pStyle w:val="ListParagraph"/>
        <w:numPr>
          <w:ilvl w:val="0"/>
          <w:numId w:val="129"/>
        </w:numPr>
        <w:jc w:val="both"/>
        <w:rPr>
          <w:rFonts w:ascii="Arial" w:hAnsi="Arial" w:cs="Arial"/>
          <w:noProof/>
          <w:sz w:val="20"/>
          <w:szCs w:val="20"/>
        </w:rPr>
      </w:pPr>
      <w:r>
        <w:rPr>
          <w:rFonts w:ascii="Arial" w:hAnsi="Arial" w:cs="Arial"/>
          <w:noProof/>
          <w:sz w:val="20"/>
          <w:szCs w:val="20"/>
        </w:rPr>
        <w:t>Nuclear Safety Directive</w:t>
      </w:r>
      <w:r>
        <w:rPr>
          <w:rStyle w:val="FootnoteReference"/>
          <w:rFonts w:ascii="Arial" w:hAnsi="Arial" w:cs="Arial"/>
          <w:noProof/>
          <w:sz w:val="20"/>
          <w:szCs w:val="20"/>
        </w:rPr>
        <w:footnoteReference w:id="11"/>
      </w:r>
      <w:r>
        <w:rPr>
          <w:rFonts w:ascii="Arial" w:hAnsi="Arial" w:cs="Arial"/>
          <w:noProof/>
          <w:sz w:val="20"/>
          <w:szCs w:val="20"/>
        </w:rPr>
        <w:t>;</w:t>
      </w:r>
    </w:p>
    <w:p>
      <w:pPr>
        <w:pStyle w:val="ListParagraph"/>
        <w:numPr>
          <w:ilvl w:val="0"/>
          <w:numId w:val="129"/>
        </w:numPr>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12"/>
      </w:r>
      <w:r>
        <w:rPr>
          <w:rFonts w:ascii="Arial" w:hAnsi="Arial" w:cs="Arial"/>
          <w:noProof/>
          <w:sz w:val="20"/>
          <w:szCs w:val="20"/>
        </w:rPr>
        <w:t>;</w:t>
      </w:r>
    </w:p>
    <w:p>
      <w:pPr>
        <w:pStyle w:val="ListParagraph"/>
        <w:numPr>
          <w:ilvl w:val="0"/>
          <w:numId w:val="129"/>
        </w:numPr>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13"/>
      </w:r>
      <w:r>
        <w:rPr>
          <w:rFonts w:ascii="Arial" w:hAnsi="Arial" w:cs="Arial"/>
          <w:noProof/>
          <w:sz w:val="20"/>
          <w:szCs w:val="20"/>
        </w:rPr>
        <w:t>;</w:t>
      </w:r>
    </w:p>
    <w:p>
      <w:pPr>
        <w:pStyle w:val="ListParagraph"/>
        <w:numPr>
          <w:ilvl w:val="0"/>
          <w:numId w:val="129"/>
        </w:numPr>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14"/>
      </w:r>
      <w:r>
        <w:rPr>
          <w:rFonts w:ascii="Arial" w:hAnsi="Arial" w:cs="Arial"/>
          <w:noProof/>
          <w:sz w:val="20"/>
          <w:szCs w:val="20"/>
        </w:rPr>
        <w:t>;</w:t>
      </w:r>
    </w:p>
    <w:p>
      <w:pPr>
        <w:pStyle w:val="ListParagraph"/>
        <w:numPr>
          <w:ilvl w:val="0"/>
          <w:numId w:val="129"/>
        </w:numPr>
        <w:jc w:val="both"/>
        <w:rPr>
          <w:rFonts w:ascii="Arial" w:hAnsi="Arial" w:cs="Arial"/>
          <w:noProof/>
          <w:sz w:val="20"/>
          <w:szCs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15"/>
      </w:r>
      <w:r>
        <w:rPr>
          <w:rFonts w:ascii="Arial" w:hAnsi="Arial" w:cs="Arial"/>
          <w:noProof/>
          <w:sz w:val="20"/>
          <w:szCs w:val="20"/>
        </w:rPr>
        <w:t xml:space="preserve">; </w:t>
      </w:r>
    </w:p>
    <w:p>
      <w:pPr>
        <w:pStyle w:val="ListParagraph"/>
        <w:numPr>
          <w:ilvl w:val="0"/>
          <w:numId w:val="129"/>
        </w:numPr>
        <w:jc w:val="both"/>
        <w:rPr>
          <w:rFonts w:ascii="Arial" w:hAnsi="Arial" w:cs="Arial"/>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16"/>
      </w:r>
      <w:r>
        <w:rPr>
          <w:rFonts w:ascii="Arial" w:hAnsi="Arial" w:cs="Arial"/>
          <w:noProof/>
          <w:sz w:val="20"/>
          <w:szCs w:val="20"/>
        </w:rPr>
        <w:t>;</w:t>
      </w:r>
    </w:p>
    <w:p>
      <w:pPr>
        <w:pStyle w:val="ListParagraph"/>
        <w:numPr>
          <w:ilvl w:val="0"/>
          <w:numId w:val="129"/>
        </w:numPr>
        <w:jc w:val="both"/>
        <w:rPr>
          <w:rFonts w:ascii="Arial" w:hAnsi="Arial" w:cs="Arial"/>
          <w:noProof/>
          <w:sz w:val="20"/>
          <w:szCs w:val="20"/>
        </w:rPr>
      </w:pPr>
      <w:r>
        <w:rPr>
          <w:rFonts w:ascii="Arial" w:hAnsi="Arial" w:cs="Arial"/>
          <w:noProof/>
          <w:sz w:val="20"/>
          <w:szCs w:val="20"/>
        </w:rPr>
        <w:t>Directive on the reduction of national emissions of certain atmospheric pollutants</w:t>
      </w:r>
      <w:r>
        <w:rPr>
          <w:rStyle w:val="FootnoteReference"/>
          <w:rFonts w:ascii="Arial" w:hAnsi="Arial" w:cs="Arial"/>
          <w:noProof/>
          <w:sz w:val="20"/>
          <w:szCs w:val="20"/>
        </w:rPr>
        <w:footnoteReference w:id="17"/>
      </w:r>
      <w:r>
        <w:rPr>
          <w:rFonts w:ascii="Arial" w:hAnsi="Arial" w:cs="Arial"/>
          <w:noProof/>
          <w:sz w:val="20"/>
          <w:szCs w:val="20"/>
        </w:rPr>
        <w:t>.</w:t>
      </w:r>
    </w:p>
    <w:p>
      <w:pPr>
        <w:numPr>
          <w:ilvl w:val="0"/>
          <w:numId w:val="13"/>
        </w:numPr>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numPr>
          <w:ilvl w:val="0"/>
          <w:numId w:val="15"/>
        </w:numPr>
        <w:ind w:left="1843" w:hanging="425"/>
        <w:jc w:val="both"/>
        <w:rPr>
          <w:rFonts w:ascii="Arial" w:hAnsi="Arial" w:cs="Arial"/>
          <w:noProof/>
          <w:sz w:val="20"/>
          <w:szCs w:val="20"/>
        </w:rPr>
      </w:pPr>
      <w:r>
        <w:rPr>
          <w:rFonts w:ascii="Arial" w:hAnsi="Arial" w:cs="Arial"/>
          <w:noProof/>
          <w:sz w:val="20"/>
          <w:szCs w:val="20"/>
        </w:rPr>
        <w:t>a provision in the code for accountants prohibiting accounts from carrying out any other economic activity as an insurance broker/real estate agent and all banking and financial services activities, in breach of the Services Directive</w:t>
      </w:r>
      <w:r>
        <w:rPr>
          <w:rStyle w:val="FootnoteReference"/>
          <w:rFonts w:ascii="Arial" w:hAnsi="Arial" w:cs="Arial"/>
          <w:noProof/>
          <w:sz w:val="20"/>
          <w:szCs w:val="20"/>
        </w:rPr>
        <w:footnoteReference w:id="18"/>
      </w:r>
      <w:r>
        <w:rPr>
          <w:rFonts w:ascii="Arial" w:hAnsi="Arial" w:cs="Arial"/>
          <w:noProof/>
          <w:sz w:val="20"/>
          <w:szCs w:val="20"/>
        </w:rPr>
        <w:t>.</w:t>
      </w:r>
    </w:p>
    <w:p>
      <w:pPr>
        <w:numPr>
          <w:ilvl w:val="0"/>
          <w:numId w:val="13"/>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60"/>
        </w:numPr>
        <w:ind w:left="709" w:hanging="425"/>
        <w:rPr>
          <w:noProof/>
        </w:rPr>
      </w:pPr>
      <w:r>
        <w:rPr>
          <w:noProof/>
        </w:rPr>
        <w:t>Late transposition infringement cases against Belgium open on 31 December (2014-2018)</w:t>
      </w:r>
    </w:p>
    <w:p>
      <w:pPr>
        <w:ind w:left="426" w:firstLine="283"/>
        <w:rPr>
          <w:noProof/>
        </w:rPr>
      </w:pPr>
      <w:r>
        <w:rPr>
          <w:noProof/>
          <w:lang w:eastAsia="en-GB"/>
        </w:rPr>
        <w:drawing>
          <wp:inline distT="0" distB="0" distL="0" distR="0">
            <wp:extent cx="4612005" cy="2202815"/>
            <wp:effectExtent l="0" t="0" r="17145" b="26035"/>
            <wp:docPr id="106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AnnualReport2"/>
        <w:numPr>
          <w:ilvl w:val="0"/>
          <w:numId w:val="60"/>
        </w:numPr>
        <w:ind w:left="709" w:hanging="425"/>
        <w:rPr>
          <w:noProof/>
        </w:rPr>
      </w:pPr>
      <w:r>
        <w:rPr>
          <w:noProof/>
        </w:rPr>
        <w:t>New late transposition infringement cases against Belgium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186305"/>
            <wp:effectExtent l="0" t="0" r="13970" b="23495"/>
            <wp:docPr id="106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after="0" w:line="240" w:lineRule="auto"/>
        <w:rPr>
          <w:rFonts w:ascii="Arial" w:hAnsi="Arial"/>
          <w:noProof/>
          <w:color w:val="002060"/>
        </w:rPr>
      </w:pPr>
      <w:r>
        <w:rPr>
          <w:noProof/>
        </w:rPr>
        <w:br w:type="page"/>
      </w:r>
    </w:p>
    <w:p>
      <w:pPr>
        <w:pStyle w:val="AnnualReport2"/>
        <w:numPr>
          <w:ilvl w:val="0"/>
          <w:numId w:val="60"/>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8328" cy="2590800"/>
            <wp:effectExtent l="0" t="0" r="3175" b="0"/>
            <wp:docPr id="11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AnnualReport2"/>
        <w:numPr>
          <w:ilvl w:val="0"/>
          <w:numId w:val="60"/>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one case to the Court under Articles 258 and 260(3) TFEU. It concerns</w:t>
      </w:r>
    </w:p>
    <w:p>
      <w:pPr>
        <w:pStyle w:val="ListParagraph"/>
        <w:numPr>
          <w:ilvl w:val="0"/>
          <w:numId w:val="136"/>
        </w:numPr>
        <w:jc w:val="both"/>
        <w:rPr>
          <w:rFonts w:ascii="Arial" w:hAnsi="Arial" w:cs="Arial"/>
          <w:noProof/>
          <w:sz w:val="20"/>
          <w:szCs w:val="20"/>
        </w:rPr>
      </w:pPr>
      <w:r>
        <w:rPr>
          <w:rFonts w:ascii="Arial" w:hAnsi="Arial" w:cs="Arial"/>
          <w:noProof/>
          <w:sz w:val="20"/>
          <w:szCs w:val="20"/>
        </w:rPr>
        <w:t>failure to transpose the Directive on the conditions of entry and stay of third country nationals for the purpose of employment as seasonal workers</w:t>
      </w:r>
      <w:r>
        <w:rPr>
          <w:rStyle w:val="FootnoteReference"/>
          <w:rFonts w:ascii="Arial" w:hAnsi="Arial" w:cs="Arial"/>
          <w:noProof/>
          <w:sz w:val="20"/>
          <w:szCs w:val="20"/>
        </w:rPr>
        <w:footnoteReference w:id="19"/>
      </w:r>
      <w:r>
        <w:rPr>
          <w:rFonts w:ascii="Arial" w:hAnsi="Arial" w:cs="Arial"/>
          <w:noProof/>
          <w:sz w:val="20"/>
          <w:szCs w:val="20"/>
        </w:rPr>
        <w:t xml:space="preserve">. </w:t>
      </w:r>
    </w:p>
    <w:p>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pStyle w:val="ListParagraph"/>
        <w:spacing w:after="120"/>
        <w:ind w:left="709"/>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14"/>
        </w:numPr>
        <w:spacing w:after="120"/>
        <w:jc w:val="both"/>
        <w:rPr>
          <w:rFonts w:ascii="Arial" w:hAnsi="Arial" w:cs="Arial"/>
          <w:noProof/>
          <w:sz w:val="20"/>
        </w:rPr>
      </w:pPr>
      <w:r>
        <w:rPr>
          <w:rFonts w:ascii="Arial" w:hAnsi="Arial" w:cs="Arial"/>
          <w:noProof/>
          <w:sz w:val="20"/>
          <w:szCs w:val="20"/>
        </w:rPr>
        <w:t>imposition of higher yearly tax rate on foreign professional investment funds, in breach of EU law;</w:t>
      </w:r>
    </w:p>
    <w:p>
      <w:pPr>
        <w:pStyle w:val="ListParagraph"/>
        <w:numPr>
          <w:ilvl w:val="0"/>
          <w:numId w:val="14"/>
        </w:numPr>
        <w:spacing w:after="120"/>
        <w:jc w:val="both"/>
        <w:rPr>
          <w:rFonts w:ascii="Arial" w:hAnsi="Arial" w:cs="Arial"/>
          <w:noProof/>
          <w:sz w:val="20"/>
        </w:rPr>
      </w:pPr>
      <w:r>
        <w:rPr>
          <w:rFonts w:ascii="Arial" w:hAnsi="Arial" w:cs="Arial"/>
          <w:noProof/>
          <w:sz w:val="20"/>
          <w:szCs w:val="20"/>
        </w:rPr>
        <w:t>exceedance of the PM</w:t>
      </w:r>
      <w:r>
        <w:rPr>
          <w:rFonts w:ascii="Arial" w:hAnsi="Arial" w:cs="Arial"/>
          <w:noProof/>
          <w:sz w:val="20"/>
          <w:szCs w:val="20"/>
          <w:vertAlign w:val="subscript"/>
        </w:rPr>
        <w:t>10</w:t>
      </w:r>
      <w:r>
        <w:rPr>
          <w:rStyle w:val="FootnoteReference"/>
          <w:rFonts w:ascii="Arial" w:hAnsi="Arial" w:cs="Arial"/>
          <w:noProof/>
          <w:sz w:val="20"/>
          <w:szCs w:val="20"/>
        </w:rPr>
        <w:footnoteReference w:id="20"/>
      </w:r>
      <w:r>
        <w:rPr>
          <w:rFonts w:ascii="Arial" w:hAnsi="Arial" w:cs="Arial"/>
          <w:noProof/>
          <w:sz w:val="20"/>
          <w:szCs w:val="20"/>
        </w:rPr>
        <w:t xml:space="preserve"> limit values set by the Air Quality Directive</w:t>
      </w:r>
      <w:r>
        <w:rPr>
          <w:rStyle w:val="FootnoteReference"/>
          <w:rFonts w:ascii="Arial" w:hAnsi="Arial" w:cs="Arial"/>
          <w:noProof/>
          <w:sz w:val="20"/>
          <w:szCs w:val="20"/>
        </w:rPr>
        <w:footnoteReference w:id="21"/>
      </w:r>
      <w:r>
        <w:rPr>
          <w:rFonts w:ascii="Arial" w:hAnsi="Arial" w:cs="Arial"/>
          <w:noProof/>
          <w:sz w:val="20"/>
          <w:szCs w:val="20"/>
        </w:rPr>
        <w:t>;</w:t>
      </w:r>
    </w:p>
    <w:p>
      <w:pPr>
        <w:pStyle w:val="ListParagraph"/>
        <w:numPr>
          <w:ilvl w:val="0"/>
          <w:numId w:val="14"/>
        </w:numPr>
        <w:spacing w:after="120"/>
        <w:jc w:val="both"/>
        <w:rPr>
          <w:rFonts w:ascii="Arial" w:hAnsi="Arial" w:cs="Arial"/>
          <w:noProof/>
          <w:sz w:val="20"/>
        </w:rPr>
      </w:pPr>
      <w:r>
        <w:rPr>
          <w:rFonts w:ascii="Arial" w:hAnsi="Arial" w:cs="Arial"/>
          <w:noProof/>
          <w:sz w:val="20"/>
          <w:szCs w:val="20"/>
        </w:rPr>
        <w:t>non-communication of national measures transposing the</w:t>
      </w:r>
      <w:r>
        <w:rPr>
          <w:noProof/>
        </w:rPr>
        <w:t xml:space="preserve"> </w:t>
      </w:r>
    </w:p>
    <w:p>
      <w:pPr>
        <w:pStyle w:val="ListParagraph"/>
        <w:numPr>
          <w:ilvl w:val="1"/>
          <w:numId w:val="14"/>
        </w:numPr>
        <w:spacing w:after="120"/>
        <w:jc w:val="both"/>
        <w:rPr>
          <w:rFonts w:ascii="Arial" w:hAnsi="Arial" w:cs="Arial"/>
          <w:noProof/>
          <w:sz w:val="20"/>
        </w:rPr>
      </w:pPr>
      <w:r>
        <w:rPr>
          <w:rFonts w:ascii="Arial" w:eastAsia="Times New Roman" w:hAnsi="Arial" w:cs="Arial"/>
          <w:noProof/>
          <w:sz w:val="20"/>
          <w:szCs w:val="20"/>
          <w:lang w:eastAsia="en-GB"/>
        </w:rPr>
        <w:t>Directive concerning undertakings for collective investment in transferable securities</w:t>
      </w:r>
      <w:r>
        <w:rPr>
          <w:rStyle w:val="FootnoteReference"/>
          <w:rFonts w:ascii="Arial" w:eastAsia="Times New Roman" w:hAnsi="Arial" w:cs="Arial"/>
          <w:noProof/>
          <w:sz w:val="20"/>
          <w:szCs w:val="20"/>
          <w:lang w:eastAsia="en-GB"/>
        </w:rPr>
        <w:footnoteReference w:id="22"/>
      </w:r>
      <w:r>
        <w:rPr>
          <w:rFonts w:ascii="Arial" w:eastAsia="Times New Roman" w:hAnsi="Arial" w:cs="Arial"/>
          <w:noProof/>
          <w:sz w:val="20"/>
          <w:szCs w:val="20"/>
          <w:lang w:eastAsia="en-GB"/>
        </w:rPr>
        <w:t>;</w:t>
      </w:r>
    </w:p>
    <w:p>
      <w:pPr>
        <w:pStyle w:val="ListParagraph"/>
        <w:numPr>
          <w:ilvl w:val="1"/>
          <w:numId w:val="14"/>
        </w:numPr>
        <w:spacing w:after="120"/>
        <w:jc w:val="both"/>
        <w:rPr>
          <w:rFonts w:ascii="Arial" w:hAnsi="Arial" w:cs="Arial"/>
          <w:noProof/>
          <w:sz w:val="20"/>
        </w:rPr>
      </w:pPr>
      <w:r>
        <w:rPr>
          <w:rFonts w:ascii="Arial" w:hAnsi="Arial" w:cs="Arial"/>
          <w:noProof/>
          <w:sz w:val="20"/>
          <w:szCs w:val="20"/>
        </w:rPr>
        <w:t>Directive on radioactive substances in water intended for human consumption</w:t>
      </w:r>
      <w:r>
        <w:rPr>
          <w:rStyle w:val="FootnoteReference"/>
          <w:rFonts w:ascii="Arial" w:hAnsi="Arial" w:cs="Arial"/>
          <w:noProof/>
          <w:sz w:val="20"/>
          <w:szCs w:val="20"/>
        </w:rPr>
        <w:footnoteReference w:id="23"/>
      </w:r>
      <w:r>
        <w:rPr>
          <w:rFonts w:ascii="Arial" w:hAnsi="Arial" w:cs="Arial"/>
          <w:noProof/>
          <w:sz w:val="20"/>
          <w:szCs w:val="20"/>
        </w:rPr>
        <w:t>;</w:t>
      </w:r>
    </w:p>
    <w:p>
      <w:pPr>
        <w:pStyle w:val="ListParagraph"/>
        <w:numPr>
          <w:ilvl w:val="1"/>
          <w:numId w:val="14"/>
        </w:numPr>
        <w:spacing w:after="120"/>
        <w:jc w:val="both"/>
        <w:rPr>
          <w:rFonts w:ascii="Arial" w:hAnsi="Arial" w:cs="Arial"/>
          <w:noProof/>
          <w:sz w:val="20"/>
        </w:rPr>
      </w:pPr>
      <w:r>
        <w:rPr>
          <w:rFonts w:ascii="Arial" w:hAnsi="Arial" w:cs="Arial"/>
          <w:noProof/>
          <w:sz w:val="20"/>
        </w:rPr>
        <w:t>Antitrust Damages Directive</w:t>
      </w:r>
      <w:r>
        <w:rPr>
          <w:rStyle w:val="FootnoteReference"/>
          <w:rFonts w:ascii="Arial" w:hAnsi="Arial" w:cs="Arial"/>
          <w:noProof/>
          <w:sz w:val="20"/>
        </w:rPr>
        <w:footnoteReference w:id="24"/>
      </w:r>
      <w:r>
        <w:rPr>
          <w:rFonts w:ascii="Arial" w:hAnsi="Arial" w:cs="Arial"/>
          <w:noProof/>
          <w:sz w:val="20"/>
        </w:rPr>
        <w:t>;</w:t>
      </w:r>
    </w:p>
    <w:p>
      <w:pPr>
        <w:pStyle w:val="ListParagraph"/>
        <w:numPr>
          <w:ilvl w:val="1"/>
          <w:numId w:val="14"/>
        </w:numPr>
        <w:spacing w:after="120"/>
        <w:jc w:val="both"/>
        <w:rPr>
          <w:rFonts w:ascii="Arial" w:hAnsi="Arial" w:cs="Arial"/>
          <w:noProof/>
          <w:sz w:val="20"/>
        </w:rPr>
      </w:pPr>
      <w:r>
        <w:rPr>
          <w:rFonts w:ascii="Arial" w:hAnsi="Arial" w:cs="Arial"/>
          <w:noProof/>
          <w:sz w:val="20"/>
          <w:szCs w:val="20"/>
        </w:rPr>
        <w:t>Directive on the freezing and confiscation of instrumentalities and proceeds of crime in the EU</w:t>
      </w:r>
      <w:r>
        <w:rPr>
          <w:rStyle w:val="FootnoteReference"/>
          <w:rFonts w:ascii="Arial" w:hAnsi="Arial" w:cs="Arial"/>
          <w:noProof/>
          <w:sz w:val="20"/>
          <w:szCs w:val="20"/>
        </w:rPr>
        <w:footnoteReference w:id="25"/>
      </w:r>
      <w:r>
        <w:rPr>
          <w:rFonts w:ascii="Arial" w:hAnsi="Arial" w:cs="Arial"/>
          <w:noProof/>
          <w:sz w:val="20"/>
          <w:szCs w:val="20"/>
        </w:rPr>
        <w:t>.</w:t>
      </w:r>
    </w:p>
    <w:p>
      <w:pPr>
        <w:spacing w:after="0" w:line="240"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70"/>
        </w:numPr>
        <w:ind w:left="709" w:hanging="425"/>
        <w:rPr>
          <w:rFonts w:cs="Arial"/>
          <w:noProof/>
          <w:sz w:val="20"/>
          <w:szCs w:val="20"/>
        </w:rPr>
      </w:pPr>
      <w:r>
        <w:rPr>
          <w:rFonts w:cs="Arial"/>
          <w:noProof/>
          <w:sz w:val="20"/>
          <w:szCs w:val="20"/>
        </w:rPr>
        <w:t>Court rulings</w:t>
      </w:r>
      <w:r>
        <w:rPr>
          <w:rFonts w:cs="Arial"/>
          <w:noProof/>
          <w:sz w:val="20"/>
          <w:szCs w:val="20"/>
          <w:vertAlign w:val="superscript"/>
        </w:rPr>
        <w:footnoteReference w:id="26"/>
      </w:r>
    </w:p>
    <w:p>
      <w:pPr>
        <w:spacing w:after="120"/>
        <w:ind w:firstLine="709"/>
        <w:jc w:val="both"/>
        <w:rPr>
          <w:rFonts w:ascii="Arial" w:hAnsi="Arial" w:cs="Arial"/>
          <w:noProof/>
          <w:sz w:val="20"/>
          <w:szCs w:val="20"/>
        </w:rPr>
      </w:pPr>
      <w:r>
        <w:rPr>
          <w:rFonts w:ascii="Arial" w:hAnsi="Arial" w:cs="Arial"/>
          <w:noProof/>
          <w:sz w:val="20"/>
          <w:szCs w:val="20"/>
        </w:rPr>
        <w:t>The Court gave the following rulings.</w:t>
      </w:r>
    </w:p>
    <w:p>
      <w:pPr>
        <w:pStyle w:val="ListParagraph"/>
        <w:numPr>
          <w:ilvl w:val="0"/>
          <w:numId w:val="14"/>
        </w:numPr>
        <w:spacing w:after="120"/>
        <w:ind w:left="1276"/>
        <w:jc w:val="both"/>
        <w:rPr>
          <w:rFonts w:ascii="Arial" w:hAnsi="Arial" w:cs="Arial"/>
          <w:noProof/>
          <w:sz w:val="20"/>
          <w:szCs w:val="20"/>
        </w:rPr>
      </w:pPr>
      <w:r>
        <w:rPr>
          <w:rFonts w:ascii="Arial" w:hAnsi="Arial" w:cs="Arial"/>
          <w:noProof/>
          <w:sz w:val="20"/>
          <w:szCs w:val="20"/>
        </w:rPr>
        <w:t>Belgium has failed to comply with EU rules on the coordination of social security systems</w:t>
      </w:r>
      <w:r>
        <w:rPr>
          <w:rStyle w:val="FootnoteReference"/>
          <w:rFonts w:ascii="Arial" w:hAnsi="Arial" w:cs="Arial"/>
          <w:noProof/>
          <w:sz w:val="20"/>
          <w:szCs w:val="20"/>
        </w:rPr>
        <w:footnoteReference w:id="27"/>
      </w:r>
      <w:r>
        <w:rPr>
          <w:rFonts w:ascii="Arial" w:hAnsi="Arial" w:cs="Arial"/>
          <w:noProof/>
          <w:sz w:val="20"/>
          <w:szCs w:val="20"/>
        </w:rPr>
        <w:t>. The Court invalidated Belgian provisions granting national authorities the power to decide unilaterally on the existence of fraud or abuse in the case of posted workers without contacting the authorities of the Member State which had issued the portable document</w:t>
      </w:r>
      <w:r>
        <w:rPr>
          <w:rStyle w:val="FootnoteReference"/>
          <w:rFonts w:ascii="Arial" w:hAnsi="Arial" w:cs="Arial"/>
          <w:noProof/>
          <w:sz w:val="20"/>
        </w:rPr>
        <w:footnoteReference w:id="28"/>
      </w:r>
      <w:r>
        <w:rPr>
          <w:rFonts w:ascii="Arial" w:hAnsi="Arial" w:cs="Arial"/>
          <w:noProof/>
          <w:sz w:val="20"/>
          <w:szCs w:val="20"/>
        </w:rPr>
        <w:t>.</w:t>
      </w:r>
    </w:p>
    <w:p>
      <w:pPr>
        <w:pStyle w:val="Lijstje2"/>
        <w:numPr>
          <w:ilvl w:val="0"/>
          <w:numId w:val="14"/>
        </w:numPr>
        <w:spacing w:line="240" w:lineRule="auto"/>
        <w:ind w:left="1276"/>
        <w:contextualSpacing w:val="0"/>
        <w:jc w:val="both"/>
        <w:rPr>
          <w:rFonts w:ascii="Arial" w:hAnsi="Arial" w:cs="Arial"/>
          <w:noProof/>
          <w:szCs w:val="20"/>
          <w:lang w:val="en-US"/>
        </w:rPr>
      </w:pPr>
      <w:r>
        <w:rPr>
          <w:rFonts w:ascii="Arial" w:hAnsi="Arial" w:cs="Arial"/>
          <w:noProof/>
          <w:szCs w:val="20"/>
          <w:lang w:val="en-US"/>
        </w:rPr>
        <w:t>Belgium has failed to fulfil its obligations under EU law in the way it calculates rental income. It calculates the rental income of Belgian taxpayers from immovable property located abroad on the basis of the actual value, while rental income on property located in Belgium is based on the cadastral value, i.e. calculated by reference to the property description and valuation.</w:t>
      </w:r>
    </w:p>
    <w:p>
      <w:pPr>
        <w:pStyle w:val="AnnualReport2"/>
        <w:numPr>
          <w:ilvl w:val="0"/>
          <w:numId w:val="70"/>
        </w:numPr>
        <w:ind w:left="709" w:hanging="425"/>
        <w:rPr>
          <w:rFonts w:cs="Arial"/>
          <w:noProof/>
          <w:sz w:val="20"/>
          <w:szCs w:val="20"/>
        </w:rPr>
      </w:pPr>
      <w:r>
        <w:rPr>
          <w:rFonts w:cs="Arial"/>
          <w:noProof/>
          <w:sz w:val="20"/>
          <w:szCs w:val="20"/>
        </w:rPr>
        <w:t>Preliminary rulings</w:t>
      </w:r>
    </w:p>
    <w:p>
      <w:pPr>
        <w:spacing w:after="120"/>
        <w:ind w:left="426" w:firstLine="294"/>
        <w:jc w:val="both"/>
        <w:rPr>
          <w:rFonts w:ascii="Arial" w:hAnsi="Arial" w:cs="Arial"/>
          <w:noProof/>
          <w:sz w:val="20"/>
          <w:szCs w:val="20"/>
        </w:rPr>
      </w:pPr>
      <w:r>
        <w:rPr>
          <w:rFonts w:ascii="Arial" w:hAnsi="Arial" w:cs="Arial"/>
          <w:noProof/>
          <w:sz w:val="20"/>
          <w:szCs w:val="20"/>
        </w:rPr>
        <w:t>The Court addressed the following preliminary rulings to the Belgian judiciary.</w:t>
      </w:r>
    </w:p>
    <w:p>
      <w:pPr>
        <w:pStyle w:val="ListParagraph"/>
        <w:numPr>
          <w:ilvl w:val="0"/>
          <w:numId w:val="14"/>
        </w:numPr>
        <w:ind w:left="1276"/>
        <w:jc w:val="both"/>
        <w:rPr>
          <w:rFonts w:ascii="Arial" w:hAnsi="Arial" w:cs="Arial"/>
          <w:noProof/>
          <w:sz w:val="20"/>
          <w:szCs w:val="20"/>
        </w:rPr>
      </w:pPr>
      <w:r>
        <w:rPr>
          <w:rFonts w:ascii="Arial" w:hAnsi="Arial" w:cs="Arial"/>
          <w:noProof/>
          <w:color w:val="222222"/>
          <w:sz w:val="20"/>
          <w:szCs w:val="20"/>
          <w:lang w:val="en"/>
        </w:rPr>
        <w:t>On posting of workers, the Court of Justice confirmed the binding nature of the portable document delivered by the Member State of the sending company</w:t>
      </w:r>
      <w:r>
        <w:rPr>
          <w:rStyle w:val="FootnoteReference"/>
          <w:rFonts w:ascii="Arial" w:hAnsi="Arial" w:cs="Arial"/>
          <w:noProof/>
          <w:color w:val="222222"/>
          <w:sz w:val="20"/>
          <w:szCs w:val="20"/>
          <w:lang w:val="en"/>
        </w:rPr>
        <w:footnoteReference w:id="29"/>
      </w:r>
      <w:r>
        <w:rPr>
          <w:rFonts w:ascii="Arial" w:hAnsi="Arial" w:cs="Arial"/>
          <w:noProof/>
          <w:color w:val="222222"/>
          <w:sz w:val="20"/>
          <w:szCs w:val="20"/>
          <w:lang w:val="en"/>
        </w:rPr>
        <w:t xml:space="preserve">. Nevertheless, the receiving Member State can check the validity of that document and contact the issuing Member State in cases of doubt about its validity or the accuracy of the facts on which it is based. The latter is obliged to carry out a proper assessment of the facts and ensure that the information is correct, in accordance with the principle of cooperation </w:t>
      </w:r>
      <w:r>
        <w:rPr>
          <w:rFonts w:ascii="Arial" w:hAnsi="Arial" w:cs="Arial"/>
          <w:noProof/>
          <w:sz w:val="20"/>
          <w:szCs w:val="20"/>
        </w:rPr>
        <w:t xml:space="preserve">laid down in Article 4(3) TEU. </w:t>
      </w:r>
    </w:p>
    <w:p>
      <w:pPr>
        <w:pStyle w:val="Lijstje2"/>
        <w:numPr>
          <w:ilvl w:val="0"/>
          <w:numId w:val="14"/>
        </w:numPr>
        <w:spacing w:line="240" w:lineRule="auto"/>
        <w:ind w:left="1276"/>
        <w:contextualSpacing w:val="0"/>
        <w:jc w:val="both"/>
        <w:rPr>
          <w:rFonts w:ascii="Arial" w:hAnsi="Arial" w:cs="Arial"/>
          <w:noProof/>
          <w:szCs w:val="20"/>
          <w:lang w:val="en-US"/>
        </w:rPr>
      </w:pPr>
      <w:r>
        <w:rPr>
          <w:rFonts w:ascii="Arial" w:hAnsi="Arial" w:cs="Arial"/>
          <w:noProof/>
          <w:szCs w:val="20"/>
          <w:lang w:val="en-US"/>
        </w:rPr>
        <w:t>Ritual slaughter without stunning may take place only in an approved slaughterhouse. The obligation to carry out ritual slaughter in an approved slaughterhouse simply aims, from a technical point of view, to organise and manage the freedom to carry out slaughter without prior stunning for religious purposes. Such a technical framework is not in itself of such a nature as to restrict the right to freedom of religion of practising Muslims</w:t>
      </w:r>
      <w:r>
        <w:rPr>
          <w:rFonts w:ascii="Arial" w:hAnsi="Arial" w:cs="Arial"/>
          <w:noProof/>
          <w:szCs w:val="20"/>
          <w:vertAlign w:val="superscript"/>
        </w:rPr>
        <w:footnoteReference w:id="30"/>
      </w:r>
      <w:r>
        <w:rPr>
          <w:rFonts w:ascii="Arial" w:hAnsi="Arial" w:cs="Arial"/>
          <w:noProof/>
          <w:szCs w:val="20"/>
          <w:lang w:val="en-US"/>
        </w:rPr>
        <w:t>.</w:t>
      </w:r>
    </w:p>
    <w:p>
      <w:pPr>
        <w:pStyle w:val="Lijstje2"/>
        <w:numPr>
          <w:ilvl w:val="0"/>
          <w:numId w:val="14"/>
        </w:numPr>
        <w:spacing w:line="240" w:lineRule="auto"/>
        <w:ind w:left="1276"/>
        <w:contextualSpacing w:val="0"/>
        <w:jc w:val="both"/>
        <w:rPr>
          <w:rFonts w:ascii="Arial" w:hAnsi="Arial" w:cs="Arial"/>
          <w:noProof/>
          <w:lang w:val="en-GB"/>
        </w:rPr>
      </w:pPr>
      <w:r>
        <w:rPr>
          <w:rFonts w:ascii="Arial" w:hAnsi="Arial" w:cs="Arial"/>
          <w:noProof/>
          <w:lang w:val="en-GB"/>
        </w:rPr>
        <w:t>The display of the energy label for vacuum cleaners without specifying the testing conditions that led to the energy classification indicated on the respective label does not constitute an unfair commercial practice. Supplementary labels reproducing or clarifying the information displayed on the energy label can be misleading in certain cases</w:t>
      </w:r>
      <w:r>
        <w:rPr>
          <w:rStyle w:val="FootnoteReference"/>
          <w:rFonts w:ascii="Arial" w:hAnsi="Arial" w:cs="Arial"/>
          <w:noProof/>
          <w:lang w:val="en-GB"/>
        </w:rPr>
        <w:footnoteReference w:id="31"/>
      </w:r>
      <w:r>
        <w:rPr>
          <w:rFonts w:ascii="Arial" w:hAnsi="Arial" w:cs="Arial"/>
          <w:noProof/>
          <w:lang w:val="en-GB"/>
        </w:rPr>
        <w:t>.</w:t>
      </w:r>
    </w:p>
    <w:p>
      <w:pPr>
        <w:pStyle w:val="Lijstje2"/>
        <w:numPr>
          <w:ilvl w:val="0"/>
          <w:numId w:val="14"/>
        </w:numPr>
        <w:spacing w:line="240" w:lineRule="auto"/>
        <w:ind w:left="1276"/>
        <w:contextualSpacing w:val="0"/>
        <w:jc w:val="both"/>
        <w:rPr>
          <w:rFonts w:ascii="Arial" w:hAnsi="Arial" w:cs="Arial"/>
          <w:noProof/>
          <w:lang w:val="en-GB"/>
        </w:rPr>
      </w:pPr>
      <w:r>
        <w:rPr>
          <w:rFonts w:ascii="Arial" w:hAnsi="Arial" w:cs="Arial"/>
          <w:noProof/>
          <w:lang w:val="en-GB"/>
        </w:rPr>
        <w:t>Member States have to deliver and notify residence cards to non-EU family members of EU citizens within the deadline of 6 months stipulated in Article 10 of the Free Movement Directive</w:t>
      </w:r>
      <w:r>
        <w:rPr>
          <w:rStyle w:val="FootnoteReference"/>
          <w:rFonts w:ascii="Arial" w:hAnsi="Arial" w:cs="Arial"/>
          <w:noProof/>
          <w:lang w:val="en-GB"/>
        </w:rPr>
        <w:footnoteReference w:id="32"/>
      </w:r>
      <w:r>
        <w:rPr>
          <w:rFonts w:ascii="Arial" w:hAnsi="Arial" w:cs="Arial"/>
          <w:noProof/>
          <w:lang w:val="en-GB"/>
        </w:rPr>
        <w:t>. The judicial annulment of the decision does not reopen a new period of 6 months as referred to in that Article</w:t>
      </w:r>
      <w:r>
        <w:rPr>
          <w:rStyle w:val="FootnoteReference"/>
          <w:rFonts w:ascii="Arial" w:hAnsi="Arial" w:cs="Arial"/>
          <w:noProof/>
          <w:lang w:val="en-GB"/>
        </w:rPr>
        <w:t xml:space="preserve"> </w:t>
      </w:r>
      <w:r>
        <w:rPr>
          <w:rStyle w:val="FootnoteReference"/>
          <w:rFonts w:ascii="Arial" w:hAnsi="Arial" w:cs="Arial"/>
          <w:noProof/>
          <w:lang w:val="en-GB"/>
        </w:rPr>
        <w:footnoteReference w:id="33"/>
      </w:r>
      <w:r>
        <w:rPr>
          <w:rFonts w:ascii="Arial" w:hAnsi="Arial" w:cs="Arial"/>
          <w:noProof/>
          <w:lang w:val="en-GB"/>
        </w:rPr>
        <w:t>.</w:t>
      </w:r>
    </w:p>
    <w:p>
      <w:pPr>
        <w:pStyle w:val="Lijstje2"/>
        <w:numPr>
          <w:ilvl w:val="0"/>
          <w:numId w:val="14"/>
        </w:numPr>
        <w:spacing w:line="240" w:lineRule="auto"/>
        <w:ind w:left="1276"/>
        <w:contextualSpacing w:val="0"/>
        <w:jc w:val="both"/>
        <w:rPr>
          <w:rFonts w:ascii="Arial" w:hAnsi="Arial" w:cs="Arial"/>
          <w:noProof/>
          <w:lang w:val="en-GB"/>
        </w:rPr>
      </w:pPr>
      <w:r>
        <w:rPr>
          <w:rFonts w:ascii="Arial" w:hAnsi="Arial" w:cs="Arial"/>
          <w:noProof/>
          <w:lang w:val="en-GB"/>
        </w:rPr>
        <w:t>Restrictions on the freedom of movement and residence of an EU citizen, or a family member of an EU citizen, who is suspected of having, in the past, participated in war crimes must also be assessed on a case-by-case basis, as required by the Free Movement Directive</w:t>
      </w:r>
      <w:r>
        <w:rPr>
          <w:rStyle w:val="FootnoteReference"/>
          <w:rFonts w:ascii="Arial" w:hAnsi="Arial" w:cs="Arial"/>
          <w:noProof/>
          <w:lang w:val="en-GB"/>
        </w:rPr>
        <w:footnoteReference w:id="34"/>
      </w:r>
      <w:r>
        <w:rPr>
          <w:rFonts w:ascii="Arial" w:hAnsi="Arial" w:cs="Arial"/>
          <w:noProof/>
          <w:lang w:val="en-GB"/>
        </w:rPr>
        <w:t>. That assessment requires the threat that the individual concerned represents to the fundamental interests of the host society to be weighed against the protection of the rights of EU citizens and their family members</w:t>
      </w:r>
      <w:r>
        <w:rPr>
          <w:rStyle w:val="FootnoteReference"/>
          <w:rFonts w:ascii="Arial" w:hAnsi="Arial" w:cs="Arial"/>
          <w:noProof/>
          <w:lang w:val="en-GB"/>
        </w:rPr>
        <w:footnoteReference w:id="35"/>
      </w:r>
      <w:r>
        <w:rPr>
          <w:rFonts w:ascii="Arial" w:hAnsi="Arial" w:cs="Arial"/>
          <w:noProof/>
          <w:lang w:val="en-US"/>
        </w:rPr>
        <w:t>.</w:t>
      </w:r>
    </w:p>
    <w:p>
      <w:pPr>
        <w:pStyle w:val="Lijstje2"/>
        <w:numPr>
          <w:ilvl w:val="0"/>
          <w:numId w:val="14"/>
        </w:numPr>
        <w:spacing w:line="240" w:lineRule="auto"/>
        <w:ind w:left="1276"/>
        <w:contextualSpacing w:val="0"/>
        <w:jc w:val="both"/>
        <w:rPr>
          <w:rFonts w:ascii="Arial" w:hAnsi="Arial" w:cs="Arial"/>
          <w:noProof/>
          <w:lang w:val="en-GB"/>
        </w:rPr>
      </w:pPr>
      <w:r>
        <w:rPr>
          <w:rFonts w:ascii="Arial" w:hAnsi="Arial" w:cs="Arial"/>
          <w:noProof/>
          <w:lang w:val="en-GB"/>
        </w:rPr>
        <w:t>Regional town planning regulations laying down certain requirements for the completion of building projects fall under the definition of ‘plans and programmes’ which are likely to have significant environmental effects, within the meaning of the Strategic Environmental Assessment Directive. Consequently, they must be subjected to an environmental impact assessment</w:t>
      </w:r>
      <w:r>
        <w:rPr>
          <w:rStyle w:val="FootnoteReference"/>
          <w:rFonts w:ascii="Arial" w:hAnsi="Arial" w:cs="Arial"/>
          <w:noProof/>
          <w:lang w:val="en-GB"/>
        </w:rPr>
        <w:footnoteReference w:id="36"/>
      </w:r>
      <w:r>
        <w:rPr>
          <w:rFonts w:ascii="Arial" w:hAnsi="Arial" w:cs="Arial"/>
          <w:noProof/>
          <w:lang w:val="en-GB"/>
        </w:rPr>
        <w:t>.</w:t>
      </w:r>
    </w:p>
    <w:p>
      <w:pPr>
        <w:pStyle w:val="Lijstje2"/>
        <w:numPr>
          <w:ilvl w:val="0"/>
          <w:numId w:val="14"/>
        </w:numPr>
        <w:spacing w:line="240" w:lineRule="auto"/>
        <w:ind w:left="1276"/>
        <w:contextualSpacing w:val="0"/>
        <w:jc w:val="both"/>
        <w:rPr>
          <w:rFonts w:ascii="Arial" w:hAnsi="Arial" w:cs="Arial"/>
          <w:noProof/>
          <w:szCs w:val="20"/>
          <w:lang w:val="en-US"/>
        </w:rPr>
      </w:pPr>
      <w:r>
        <w:rPr>
          <w:rFonts w:ascii="Arial" w:hAnsi="Arial" w:cs="Arial"/>
          <w:noProof/>
          <w:szCs w:val="20"/>
          <w:lang w:val="en-US"/>
        </w:rPr>
        <w:t xml:space="preserve">On the Working Time Directive, the Court of Justice clarified that voluntary firefighters can be regarded as workers if they pursue real, genuine activities for and under direction of another person in return for which they receive remuneration. The stand-by time of a worker at </w:t>
      </w:r>
      <w:r>
        <w:rPr>
          <w:rFonts w:ascii="Arial" w:hAnsi="Arial" w:cs="Arial"/>
          <w:noProof/>
          <w:lang w:val="en-GB"/>
        </w:rPr>
        <w:t>home</w:t>
      </w:r>
      <w:r>
        <w:rPr>
          <w:rFonts w:ascii="Arial" w:hAnsi="Arial" w:cs="Arial"/>
          <w:noProof/>
          <w:szCs w:val="20"/>
          <w:lang w:val="en-US"/>
        </w:rPr>
        <w:t xml:space="preserve"> who is obliged to respond to calls from the employer within a short period must be regarded as ‘working time’. The obligation to remain physically present at the place determined by the employer and the requirement to reach the place of work within a short period very significantly restrict a worker’s opportunities for other activities</w:t>
      </w:r>
      <w:r>
        <w:rPr>
          <w:rStyle w:val="FootnoteReference"/>
          <w:rFonts w:ascii="Arial" w:hAnsi="Arial" w:cs="Arial"/>
          <w:noProof/>
          <w:szCs w:val="20"/>
        </w:rPr>
        <w:footnoteReference w:id="37"/>
      </w:r>
      <w:r>
        <w:rPr>
          <w:rFonts w:ascii="Arial" w:hAnsi="Arial" w:cs="Arial"/>
          <w:noProof/>
          <w:szCs w:val="20"/>
          <w:lang w:val="en-US"/>
        </w:rPr>
        <w:t>.</w:t>
      </w:r>
    </w:p>
    <w:p>
      <w:pPr>
        <w:pStyle w:val="Lijstje2"/>
        <w:numPr>
          <w:ilvl w:val="0"/>
          <w:numId w:val="14"/>
        </w:numPr>
        <w:spacing w:line="240" w:lineRule="auto"/>
        <w:ind w:left="1276"/>
        <w:contextualSpacing w:val="0"/>
        <w:jc w:val="both"/>
        <w:rPr>
          <w:rFonts w:ascii="Arial" w:hAnsi="Arial" w:cs="Arial"/>
          <w:noProof/>
          <w:szCs w:val="20"/>
          <w:lang w:val="en-US"/>
        </w:rPr>
      </w:pPr>
      <w:r>
        <w:rPr>
          <w:rFonts w:ascii="Arial" w:hAnsi="Arial" w:cs="Arial"/>
          <w:noProof/>
          <w:szCs w:val="20"/>
          <w:lang w:val="en-US"/>
        </w:rPr>
        <w:t>Member States are entitled to adopt a return decision as soon as an application for international protection is rejected, provided that the return procedure is suspended pending the outcome of an appeal against that rejection</w:t>
      </w:r>
      <w:r>
        <w:rPr>
          <w:rStyle w:val="FootnoteReference"/>
          <w:rFonts w:ascii="Arial" w:hAnsi="Arial" w:cs="Arial"/>
          <w:noProof/>
          <w:szCs w:val="20"/>
        </w:rPr>
        <w:footnoteReference w:id="38"/>
      </w:r>
      <w:r>
        <w:rPr>
          <w:rFonts w:ascii="Arial" w:hAnsi="Arial" w:cs="Arial"/>
          <w:noProof/>
          <w:szCs w:val="20"/>
          <w:lang w:val="en-US"/>
        </w:rPr>
        <w:t>.</w:t>
      </w:r>
    </w:p>
    <w:p>
      <w:pPr>
        <w:pStyle w:val="ListParagraph"/>
        <w:numPr>
          <w:ilvl w:val="0"/>
          <w:numId w:val="14"/>
        </w:numPr>
        <w:ind w:left="1276"/>
        <w:jc w:val="both"/>
        <w:rPr>
          <w:rFonts w:ascii="Arial" w:hAnsi="Arial" w:cs="Arial"/>
          <w:noProof/>
          <w:sz w:val="20"/>
          <w:szCs w:val="20"/>
        </w:rPr>
      </w:pPr>
      <w:r>
        <w:rPr>
          <w:rFonts w:ascii="Arial" w:hAnsi="Arial" w:cs="Arial"/>
          <w:noProof/>
          <w:sz w:val="20"/>
          <w:szCs w:val="20"/>
        </w:rPr>
        <w:t>Requests for family reunification must be examined even if the national of a non-EU country, who is a family member of an EU citizen who has never exercised his right of freedom of movement, is subject to an entry ban. Whether there is a relationship of dependency between the national of a non-EU country and the EU citizen and whether public policy grounds justify the entry ban must be assessed on a case-by-case basis</w:t>
      </w:r>
      <w:r>
        <w:rPr>
          <w:rStyle w:val="FootnoteReference"/>
          <w:rFonts w:ascii="Arial" w:hAnsi="Arial" w:cs="Arial"/>
          <w:noProof/>
          <w:sz w:val="20"/>
          <w:szCs w:val="20"/>
        </w:rPr>
        <w:footnoteReference w:id="39"/>
      </w:r>
      <w:r>
        <w:rPr>
          <w:rFonts w:ascii="Arial" w:hAnsi="Arial" w:cs="Arial"/>
          <w:noProof/>
          <w:sz w:val="20"/>
          <w:szCs w:val="20"/>
        </w:rPr>
        <w:t>.</w:t>
      </w:r>
    </w:p>
    <w:p>
      <w:pPr>
        <w:pStyle w:val="ListParagraph"/>
        <w:ind w:left="1276"/>
        <w:jc w:val="both"/>
        <w:rPr>
          <w:rFonts w:ascii="Arial" w:hAnsi="Arial" w:cs="Arial"/>
          <w:noProof/>
          <w:sz w:val="20"/>
          <w:szCs w:val="20"/>
        </w:rPr>
      </w:pPr>
    </w:p>
    <w:p>
      <w:pPr>
        <w:rPr>
          <w:rFonts w:ascii="Arial" w:hAnsi="Arial" w:cs="Arial"/>
          <w:noProof/>
        </w:rPr>
        <w:sectPr>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6" w:h="16838"/>
          <w:pgMar w:top="1843" w:right="1417" w:bottom="1134" w:left="1417" w:header="567" w:footer="351" w:gutter="0"/>
          <w:cols w:space="708"/>
          <w:titlePg/>
          <w:docGrid w:linePitch="360"/>
        </w:sectPr>
      </w:pPr>
      <w:bookmarkStart w:id="14" w:name="_Toc444769586"/>
      <w:bookmarkStart w:id="15" w:name="_Toc444772042"/>
      <w:bookmarkStart w:id="16" w:name="_Toc444773361"/>
      <w:bookmarkStart w:id="17" w:name="_Toc444776733"/>
    </w:p>
    <w:p>
      <w:pPr>
        <w:pStyle w:val="Heading1"/>
        <w:rPr>
          <w:noProof/>
          <w:szCs w:val="24"/>
        </w:rPr>
      </w:pPr>
      <w:bookmarkStart w:id="18" w:name="_Toc475974640"/>
      <w:bookmarkStart w:id="19" w:name="_Toc475980136"/>
      <w:bookmarkStart w:id="20" w:name="_Toc475981385"/>
      <w:bookmarkStart w:id="21" w:name="_Toc484622318"/>
      <w:bookmarkStart w:id="22" w:name="_Toc5788356"/>
      <w:r>
        <w:rPr>
          <w:noProof/>
          <w:szCs w:val="24"/>
        </w:rPr>
        <w:t>Bulgaria</w:t>
      </w:r>
      <w:bookmarkEnd w:id="14"/>
      <w:bookmarkEnd w:id="15"/>
      <w:bookmarkEnd w:id="16"/>
      <w:bookmarkEnd w:id="17"/>
      <w:bookmarkEnd w:id="18"/>
      <w:bookmarkEnd w:id="19"/>
      <w:bookmarkEnd w:id="20"/>
      <w:bookmarkEnd w:id="21"/>
      <w:bookmarkEnd w:id="22"/>
    </w:p>
    <w:p>
      <w:pPr>
        <w:pStyle w:val="kop2"/>
        <w:numPr>
          <w:ilvl w:val="0"/>
          <w:numId w:val="8"/>
        </w:numPr>
        <w:spacing w:before="240" w:after="240"/>
        <w:ind w:left="709" w:hanging="425"/>
        <w:rPr>
          <w:noProof/>
        </w:rPr>
      </w:pPr>
      <w:r>
        <w:rPr>
          <w:noProof/>
        </w:rPr>
        <w:t>COMPLAINTS</w:t>
      </w:r>
    </w:p>
    <w:p>
      <w:pPr>
        <w:pStyle w:val="AnnualReport2"/>
        <w:numPr>
          <w:ilvl w:val="0"/>
          <w:numId w:val="62"/>
        </w:numPr>
        <w:ind w:left="709" w:hanging="425"/>
        <w:rPr>
          <w:noProof/>
        </w:rPr>
      </w:pPr>
      <w:r>
        <w:rPr>
          <w:noProof/>
        </w:rPr>
        <w:t>New complaints made against Bulgaria by members of the public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34565"/>
            <wp:effectExtent l="0" t="0" r="17145" b="13335"/>
            <wp:docPr id="105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AnnualReport2"/>
        <w:numPr>
          <w:ilvl w:val="0"/>
          <w:numId w:val="62"/>
        </w:numPr>
        <w:ind w:left="709" w:hanging="425"/>
        <w:rPr>
          <w:noProof/>
        </w:rPr>
      </w:pPr>
      <w:r>
        <w:rPr>
          <w:noProof/>
        </w:rPr>
        <w:t>Public complaints against Bulgaria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108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142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134</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116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62"/>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73935"/>
            <wp:effectExtent l="0" t="0" r="1270" b="12065"/>
            <wp:docPr id="105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after="200" w:line="276" w:lineRule="auto"/>
        <w:rPr>
          <w:rFonts w:ascii="Arial" w:hAnsi="Arial" w:cs="Arial"/>
          <w:noProof/>
          <w:sz w:val="20"/>
        </w:rPr>
      </w:pPr>
      <w:r>
        <w:rPr>
          <w:noProof/>
        </w:rPr>
        <w:br w:type="page"/>
      </w:r>
    </w:p>
    <w:p>
      <w:pPr>
        <w:pStyle w:val="kop2"/>
        <w:numPr>
          <w:ilvl w:val="0"/>
          <w:numId w:val="8"/>
        </w:numPr>
        <w:spacing w:before="360" w:after="240"/>
        <w:ind w:left="709" w:hanging="425"/>
        <w:rPr>
          <w:caps w:val="0"/>
          <w:noProof/>
        </w:rPr>
      </w:pPr>
      <w:r>
        <w:rPr>
          <w:noProof/>
        </w:rPr>
        <w:t>EU PILOT</w:t>
      </w:r>
    </w:p>
    <w:p>
      <w:pPr>
        <w:pStyle w:val="AnnualReport2"/>
        <w:numPr>
          <w:ilvl w:val="0"/>
          <w:numId w:val="63"/>
        </w:numPr>
        <w:ind w:left="709" w:hanging="425"/>
        <w:rPr>
          <w:noProof/>
        </w:rPr>
      </w:pPr>
      <w:r>
        <w:rPr>
          <w:noProof/>
        </w:rPr>
        <w:t>New EU Pilot files opened against Bulgaria (2014-2018)</w:t>
      </w:r>
    </w:p>
    <w:p>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extent cx="4596130" cy="2210435"/>
            <wp:effectExtent l="0" t="0" r="13970" b="18415"/>
            <wp:docPr id="10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AnnualReport2"/>
        <w:numPr>
          <w:ilvl w:val="0"/>
          <w:numId w:val="63"/>
        </w:numPr>
        <w:ind w:left="709" w:hanging="425"/>
        <w:rPr>
          <w:noProof/>
        </w:rPr>
      </w:pPr>
      <w:r>
        <w:rPr>
          <w:noProof/>
        </w:rPr>
        <w:t>Files relating to Bulgaria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186305"/>
            <wp:effectExtent l="0" t="0" r="13970" b="23495"/>
            <wp:docPr id="10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AnnualReport2"/>
        <w:numPr>
          <w:ilvl w:val="0"/>
          <w:numId w:val="63"/>
        </w:numPr>
        <w:ind w:left="709" w:hanging="425"/>
        <w:rPr>
          <w:noProof/>
        </w:rPr>
      </w:pPr>
      <w:r>
        <w:rPr>
          <w:noProof/>
        </w:rPr>
        <w:t>New EU Pilot files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190750"/>
            <wp:effectExtent l="0" t="0" r="4445" b="0"/>
            <wp:docPr id="104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br w:type="page"/>
      </w:r>
    </w:p>
    <w:p>
      <w:pPr>
        <w:pStyle w:val="AnnualReport2"/>
        <w:numPr>
          <w:ilvl w:val="0"/>
          <w:numId w:val="63"/>
        </w:numPr>
        <w:spacing w:before="0"/>
        <w:ind w:left="709" w:hanging="425"/>
        <w:rPr>
          <w:noProof/>
        </w:rPr>
      </w:pPr>
      <w:r>
        <w:rPr>
          <w:noProof/>
        </w:rPr>
        <w:t>EU Pilot files: Bulgaria’s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313940"/>
            <wp:effectExtent l="0" t="0" r="13970" b="10160"/>
            <wp:docPr id="104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kop2"/>
        <w:numPr>
          <w:ilvl w:val="0"/>
          <w:numId w:val="8"/>
        </w:numPr>
        <w:spacing w:before="360" w:after="240"/>
        <w:ind w:left="709" w:hanging="425"/>
        <w:rPr>
          <w:caps w:val="0"/>
          <w:noProof/>
        </w:rPr>
      </w:pPr>
      <w:r>
        <w:rPr>
          <w:noProof/>
        </w:rPr>
        <w:t>INFRINGEMENT CASES</w:t>
      </w:r>
    </w:p>
    <w:p>
      <w:pPr>
        <w:pStyle w:val="AnnualReport2"/>
        <w:numPr>
          <w:ilvl w:val="0"/>
          <w:numId w:val="64"/>
        </w:numPr>
        <w:ind w:left="709" w:hanging="425"/>
        <w:jc w:val="both"/>
        <w:rPr>
          <w:noProof/>
        </w:rPr>
      </w:pPr>
      <w:r>
        <w:rPr>
          <w:noProof/>
        </w:rPr>
        <w:t>Infringement cases against Bulgaria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154555"/>
            <wp:effectExtent l="0" t="0" r="17145" b="17145"/>
            <wp:docPr id="104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AnnualReport2"/>
        <w:numPr>
          <w:ilvl w:val="0"/>
          <w:numId w:val="64"/>
        </w:numPr>
        <w:ind w:left="709" w:hanging="425"/>
        <w:rPr>
          <w:noProof/>
        </w:rPr>
      </w:pPr>
      <w:r>
        <w:rPr>
          <w:noProof/>
        </w:rPr>
        <w:t>New infringement cases opened in 2018: main policy areas</w:t>
      </w:r>
    </w:p>
    <w:p>
      <w:pPr>
        <w:spacing w:after="120"/>
        <w:ind w:left="284" w:firstLine="709"/>
        <w:rPr>
          <w:rFonts w:ascii="Arial" w:hAnsi="Arial" w:cs="Arial"/>
          <w:noProof/>
          <w:sz w:val="20"/>
        </w:rPr>
      </w:pPr>
      <w:r>
        <w:rPr>
          <w:rFonts w:ascii="Arial" w:hAnsi="Arial" w:cs="Arial"/>
          <w:noProof/>
          <w:sz w:val="20"/>
          <w:lang w:eastAsia="en-GB"/>
        </w:rPr>
        <w:drawing>
          <wp:inline distT="0" distB="0" distL="0" distR="0">
            <wp:extent cx="4413250" cy="2393315"/>
            <wp:effectExtent l="0" t="0" r="6350" b="6985"/>
            <wp:docPr id="1044" name="Objec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after="0"/>
        <w:rPr>
          <w:rFonts w:ascii="Arial" w:hAnsi="Arial"/>
          <w:noProof/>
          <w:color w:val="002060"/>
        </w:rPr>
      </w:pPr>
      <w:r>
        <w:rPr>
          <w:noProof/>
        </w:rPr>
        <w:br w:type="page"/>
      </w:r>
    </w:p>
    <w:p>
      <w:pPr>
        <w:pStyle w:val="AnnualReport2"/>
        <w:numPr>
          <w:ilvl w:val="0"/>
          <w:numId w:val="64"/>
        </w:numPr>
        <w:ind w:left="709" w:hanging="425"/>
        <w:rPr>
          <w:noProof/>
        </w:rPr>
      </w:pPr>
      <w:r>
        <w:rPr>
          <w:noProof/>
        </w:rPr>
        <w:t>Key infringement cases and referrals to the Court</w:t>
      </w:r>
    </w:p>
    <w:p>
      <w:pPr>
        <w:numPr>
          <w:ilvl w:val="0"/>
          <w:numId w:val="79"/>
        </w:numPr>
        <w:ind w:left="1276" w:hanging="425"/>
        <w:jc w:val="both"/>
        <w:rPr>
          <w:rFonts w:ascii="Arial" w:hAnsi="Arial" w:cs="Arial"/>
          <w:noProof/>
          <w:sz w:val="20"/>
          <w:szCs w:val="20"/>
        </w:rPr>
      </w:pPr>
      <w:r>
        <w:rPr>
          <w:rFonts w:ascii="Arial" w:hAnsi="Arial" w:cs="Arial"/>
          <w:noProof/>
          <w:sz w:val="20"/>
          <w:szCs w:val="20"/>
        </w:rPr>
        <w:t>The Commission opened 27 new infringement cases against Bulgaria in 2018. These, and other major ongoing infringement cases, include:</w:t>
      </w:r>
    </w:p>
    <w:p>
      <w:pPr>
        <w:pStyle w:val="ListParagraph"/>
        <w:numPr>
          <w:ilvl w:val="0"/>
          <w:numId w:val="102"/>
        </w:numPr>
        <w:jc w:val="both"/>
        <w:rPr>
          <w:rFonts w:ascii="Arial" w:hAnsi="Arial" w:cs="Arial"/>
          <w:noProof/>
          <w:sz w:val="20"/>
          <w:szCs w:val="20"/>
        </w:rPr>
      </w:pPr>
      <w:r>
        <w:rPr>
          <w:rFonts w:ascii="Arial" w:hAnsi="Arial" w:cs="Arial"/>
          <w:noProof/>
          <w:sz w:val="20"/>
          <w:szCs w:val="20"/>
        </w:rPr>
        <w:t>failure to comply with EU law on railway safety as regards the independence of the investigating body</w:t>
      </w:r>
      <w:r>
        <w:rPr>
          <w:rStyle w:val="FootnoteReference"/>
          <w:rFonts w:ascii="Arial" w:hAnsi="Arial" w:cs="Arial"/>
          <w:noProof/>
          <w:sz w:val="20"/>
          <w:szCs w:val="20"/>
        </w:rPr>
        <w:footnoteReference w:id="40"/>
      </w:r>
      <w:r>
        <w:rPr>
          <w:rFonts w:ascii="Arial" w:hAnsi="Arial" w:cs="Arial"/>
          <w:noProof/>
          <w:sz w:val="20"/>
          <w:szCs w:val="20"/>
        </w:rPr>
        <w:t>;</w:t>
      </w:r>
    </w:p>
    <w:p>
      <w:pPr>
        <w:pStyle w:val="ListParagraph"/>
        <w:numPr>
          <w:ilvl w:val="0"/>
          <w:numId w:val="102"/>
        </w:numPr>
        <w:jc w:val="both"/>
        <w:rPr>
          <w:rFonts w:ascii="Arial" w:hAnsi="Arial" w:cs="Arial"/>
          <w:noProof/>
          <w:sz w:val="20"/>
          <w:szCs w:val="20"/>
        </w:rPr>
      </w:pPr>
      <w:r>
        <w:rPr>
          <w:rFonts w:ascii="Arial" w:eastAsia="Calibri" w:hAnsi="Arial" w:cs="Arial"/>
          <w:noProof/>
          <w:color w:val="00000A"/>
          <w:kern w:val="2"/>
          <w:sz w:val="20"/>
          <w:szCs w:val="20"/>
          <w:lang w:eastAsia="zh-CN"/>
        </w:rPr>
        <w:t>incorrect implementation of the transparency, consultation and non-discrimination requirements of EU rules on airport charges</w:t>
      </w:r>
      <w:r>
        <w:rPr>
          <w:rStyle w:val="FootnoteReference"/>
          <w:rFonts w:ascii="Arial" w:eastAsia="Calibri" w:hAnsi="Arial" w:cs="Arial"/>
          <w:noProof/>
          <w:color w:val="00000A"/>
          <w:kern w:val="2"/>
          <w:sz w:val="20"/>
          <w:szCs w:val="20"/>
          <w:lang w:eastAsia="zh-CN"/>
        </w:rPr>
        <w:footnoteReference w:id="41"/>
      </w:r>
      <w:r>
        <w:rPr>
          <w:rFonts w:ascii="Arial" w:eastAsia="Calibri" w:hAnsi="Arial" w:cs="Arial"/>
          <w:noProof/>
          <w:color w:val="00000A"/>
          <w:kern w:val="2"/>
          <w:sz w:val="20"/>
          <w:szCs w:val="20"/>
          <w:lang w:eastAsia="zh-CN"/>
        </w:rPr>
        <w:t>;</w:t>
      </w:r>
    </w:p>
    <w:p>
      <w:pPr>
        <w:pStyle w:val="ListParagraph"/>
        <w:numPr>
          <w:ilvl w:val="0"/>
          <w:numId w:val="102"/>
        </w:numPr>
        <w:spacing w:after="200" w:line="240" w:lineRule="auto"/>
        <w:jc w:val="both"/>
        <w:rPr>
          <w:rFonts w:ascii="Arial" w:hAnsi="Arial" w:cs="Arial"/>
          <w:noProof/>
          <w:sz w:val="20"/>
          <w:szCs w:val="20"/>
        </w:rPr>
      </w:pPr>
      <w:r>
        <w:rPr>
          <w:rFonts w:ascii="Arial" w:hAnsi="Arial" w:cs="Arial"/>
          <w:noProof/>
          <w:sz w:val="20"/>
          <w:szCs w:val="20"/>
        </w:rPr>
        <w:t>maintaining a national framework on geographical indications, which is not compatible with the EU rules on quality schemes for agricultural products and foodstuffs</w:t>
      </w:r>
      <w:r>
        <w:rPr>
          <w:rStyle w:val="FootnoteReference"/>
          <w:rFonts w:ascii="Arial" w:hAnsi="Arial" w:cs="Arial"/>
          <w:noProof/>
          <w:sz w:val="20"/>
          <w:szCs w:val="20"/>
        </w:rPr>
        <w:footnoteReference w:id="42"/>
      </w:r>
      <w:r>
        <w:rPr>
          <w:rFonts w:ascii="Arial" w:hAnsi="Arial" w:cs="Arial"/>
          <w:noProof/>
          <w:sz w:val="20"/>
          <w:szCs w:val="20"/>
        </w:rPr>
        <w:t>;</w:t>
      </w:r>
    </w:p>
    <w:p>
      <w:pPr>
        <w:pStyle w:val="ListParagraph"/>
        <w:numPr>
          <w:ilvl w:val="0"/>
          <w:numId w:val="102"/>
        </w:numPr>
        <w:spacing w:after="200" w:line="240" w:lineRule="auto"/>
        <w:jc w:val="both"/>
        <w:rPr>
          <w:rFonts w:ascii="Arial" w:hAnsi="Arial" w:cs="Arial"/>
          <w:noProof/>
          <w:sz w:val="20"/>
          <w:szCs w:val="20"/>
        </w:rPr>
      </w:pPr>
      <w:r>
        <w:rPr>
          <w:rFonts w:ascii="Arial" w:hAnsi="Arial" w:cs="Arial"/>
          <w:noProof/>
          <w:sz w:val="20"/>
          <w:szCs w:val="20"/>
        </w:rPr>
        <w:t>non-compliance with the requirements of the Third Energy Package Directives (Electricity and Gas Directives)</w:t>
      </w:r>
      <w:r>
        <w:rPr>
          <w:rStyle w:val="FootnoteReference"/>
          <w:rFonts w:ascii="Arial" w:hAnsi="Arial" w:cs="Arial"/>
          <w:noProof/>
          <w:sz w:val="20"/>
          <w:szCs w:val="20"/>
        </w:rPr>
        <w:footnoteReference w:id="43"/>
      </w:r>
      <w:r>
        <w:rPr>
          <w:rFonts w:ascii="Arial" w:hAnsi="Arial" w:cs="Arial"/>
          <w:noProof/>
          <w:sz w:val="20"/>
          <w:szCs w:val="20"/>
        </w:rPr>
        <w:t>;</w:t>
      </w:r>
    </w:p>
    <w:p>
      <w:pPr>
        <w:pStyle w:val="ListParagraph"/>
        <w:numPr>
          <w:ilvl w:val="0"/>
          <w:numId w:val="102"/>
        </w:numPr>
        <w:spacing w:after="200" w:line="240" w:lineRule="auto"/>
        <w:jc w:val="both"/>
        <w:rPr>
          <w:rFonts w:ascii="Arial" w:hAnsi="Arial" w:cs="Arial"/>
          <w:noProof/>
          <w:sz w:val="20"/>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44"/>
      </w:r>
      <w:r>
        <w:rPr>
          <w:rFonts w:ascii="Arial" w:hAnsi="Arial" w:cs="Arial"/>
          <w:noProof/>
          <w:sz w:val="20"/>
          <w:szCs w:val="20"/>
        </w:rPr>
        <w:t>;</w:t>
      </w:r>
    </w:p>
    <w:p>
      <w:pPr>
        <w:pStyle w:val="ListParagraph"/>
        <w:numPr>
          <w:ilvl w:val="0"/>
          <w:numId w:val="102"/>
        </w:numPr>
        <w:spacing w:after="200" w:line="240" w:lineRule="auto"/>
        <w:jc w:val="both"/>
        <w:rPr>
          <w:rFonts w:ascii="Arial" w:hAnsi="Arial" w:cs="Arial"/>
          <w:noProof/>
          <w:sz w:val="20"/>
          <w:szCs w:val="20"/>
        </w:rPr>
      </w:pPr>
      <w:r>
        <w:rPr>
          <w:rFonts w:ascii="Arial" w:hAnsi="Arial" w:cs="Arial"/>
          <w:noProof/>
          <w:sz w:val="20"/>
          <w:szCs w:val="20"/>
        </w:rPr>
        <w:t>non-compliant transposition of the Air Quality Directive</w:t>
      </w:r>
      <w:r>
        <w:rPr>
          <w:rStyle w:val="FootnoteReference"/>
          <w:rFonts w:ascii="Arial" w:hAnsi="Arial" w:cs="Arial"/>
          <w:noProof/>
          <w:sz w:val="20"/>
          <w:szCs w:val="20"/>
        </w:rPr>
        <w:footnoteReference w:id="45"/>
      </w:r>
      <w:r>
        <w:rPr>
          <w:rFonts w:ascii="Arial" w:hAnsi="Arial" w:cs="Arial"/>
          <w:noProof/>
          <w:sz w:val="20"/>
          <w:szCs w:val="20"/>
        </w:rPr>
        <w:t>;</w:t>
      </w:r>
    </w:p>
    <w:p>
      <w:pPr>
        <w:pStyle w:val="ListParagraph"/>
        <w:numPr>
          <w:ilvl w:val="0"/>
          <w:numId w:val="102"/>
        </w:numPr>
        <w:spacing w:after="200" w:line="240" w:lineRule="auto"/>
        <w:jc w:val="both"/>
        <w:rPr>
          <w:rFonts w:ascii="Arial" w:hAnsi="Arial" w:cs="Arial"/>
          <w:noProof/>
        </w:rPr>
      </w:pPr>
      <w:r>
        <w:rPr>
          <w:rFonts w:ascii="Arial" w:hAnsi="Arial" w:cs="Arial"/>
          <w:noProof/>
          <w:sz w:val="20"/>
          <w:szCs w:val="20"/>
        </w:rPr>
        <w:t>failure to comply with a</w:t>
      </w:r>
      <w:r>
        <w:rPr>
          <w:rFonts w:ascii="Arial" w:hAnsi="Arial" w:cs="Arial"/>
          <w:noProof/>
          <w:color w:val="000000"/>
          <w:sz w:val="20"/>
          <w:szCs w:val="20"/>
        </w:rPr>
        <w:t xml:space="preserve"> Court judgment </w:t>
      </w:r>
      <w:r>
        <w:rPr>
          <w:rFonts w:ascii="Arial" w:hAnsi="Arial" w:cs="Arial"/>
          <w:noProof/>
          <w:sz w:val="20"/>
          <w:szCs w:val="20"/>
        </w:rPr>
        <w:t>finding that the PM</w:t>
      </w:r>
      <w:r>
        <w:rPr>
          <w:rFonts w:ascii="Arial" w:hAnsi="Arial" w:cs="Arial"/>
          <w:noProof/>
          <w:sz w:val="20"/>
          <w:szCs w:val="20"/>
          <w:vertAlign w:val="subscript"/>
        </w:rPr>
        <w:t>10</w:t>
      </w:r>
      <w:r>
        <w:rPr>
          <w:rStyle w:val="FootnoteReference"/>
          <w:rFonts w:ascii="Arial" w:hAnsi="Arial" w:cs="Arial"/>
          <w:noProof/>
          <w:sz w:val="20"/>
          <w:szCs w:val="20"/>
        </w:rPr>
        <w:footnoteReference w:id="46"/>
      </w:r>
      <w:r>
        <w:rPr>
          <w:rFonts w:ascii="Arial" w:hAnsi="Arial" w:cs="Arial"/>
          <w:noProof/>
          <w:sz w:val="20"/>
          <w:szCs w:val="20"/>
        </w:rPr>
        <w:t xml:space="preserve"> limit values set by the Air Quality Directive have been exceeded</w:t>
      </w:r>
      <w:r>
        <w:rPr>
          <w:rStyle w:val="FootnoteReference"/>
          <w:rFonts w:ascii="Arial" w:hAnsi="Arial" w:cs="Arial"/>
          <w:noProof/>
          <w:sz w:val="20"/>
          <w:szCs w:val="20"/>
        </w:rPr>
        <w:footnoteReference w:id="47"/>
      </w:r>
      <w:r>
        <w:rPr>
          <w:rFonts w:ascii="Arial" w:hAnsi="Arial" w:cs="Arial"/>
          <w:noProof/>
          <w:sz w:val="20"/>
          <w:szCs w:val="20"/>
        </w:rPr>
        <w:t>;</w:t>
      </w:r>
    </w:p>
    <w:p>
      <w:pPr>
        <w:pStyle w:val="ListParagraph"/>
        <w:numPr>
          <w:ilvl w:val="0"/>
          <w:numId w:val="102"/>
        </w:numPr>
        <w:spacing w:after="200" w:line="240" w:lineRule="auto"/>
        <w:jc w:val="both"/>
        <w:rPr>
          <w:rFonts w:ascii="Arial" w:hAnsi="Arial" w:cs="Arial"/>
          <w:noProof/>
          <w:sz w:val="20"/>
          <w:szCs w:val="20"/>
        </w:rPr>
      </w:pPr>
      <w:r>
        <w:rPr>
          <w:rFonts w:ascii="Arial" w:hAnsi="Arial" w:cs="Arial"/>
          <w:noProof/>
          <w:sz w:val="20"/>
          <w:szCs w:val="20"/>
        </w:rPr>
        <w:t>systemic failures in the implementation of EU nature legislation in relation to the authorisation of plans and projects in special protected areas</w:t>
      </w:r>
      <w:r>
        <w:rPr>
          <w:rStyle w:val="FootnoteReference"/>
          <w:rFonts w:ascii="Arial" w:hAnsi="Arial" w:cs="Arial"/>
          <w:noProof/>
          <w:sz w:val="20"/>
          <w:szCs w:val="20"/>
        </w:rPr>
        <w:footnoteReference w:id="48"/>
      </w:r>
      <w:r>
        <w:rPr>
          <w:rFonts w:ascii="Arial" w:hAnsi="Arial" w:cs="Arial"/>
          <w:noProof/>
          <w:sz w:val="20"/>
          <w:szCs w:val="20"/>
        </w:rPr>
        <w:t>;</w:t>
      </w:r>
    </w:p>
    <w:p>
      <w:pPr>
        <w:pStyle w:val="ListParagraph"/>
        <w:numPr>
          <w:ilvl w:val="0"/>
          <w:numId w:val="102"/>
        </w:numPr>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49"/>
      </w:r>
      <w:r>
        <w:rPr>
          <w:rFonts w:ascii="Arial" w:hAnsi="Arial" w:cs="Arial"/>
          <w:noProof/>
          <w:sz w:val="20"/>
          <w:szCs w:val="20"/>
        </w:rPr>
        <w:t>;</w:t>
      </w:r>
    </w:p>
    <w:p>
      <w:pPr>
        <w:pStyle w:val="ListParagraph"/>
        <w:numPr>
          <w:ilvl w:val="0"/>
          <w:numId w:val="102"/>
        </w:numPr>
        <w:jc w:val="both"/>
        <w:rPr>
          <w:rFonts w:ascii="Arial" w:hAnsi="Arial" w:cs="Arial"/>
          <w:noProof/>
          <w:sz w:val="20"/>
          <w:szCs w:val="20"/>
        </w:rPr>
      </w:pPr>
      <w:r>
        <w:rPr>
          <w:rFonts w:ascii="Arial" w:hAnsi="Arial" w:cs="Arial"/>
          <w:noProof/>
          <w:sz w:val="20"/>
          <w:szCs w:val="20"/>
        </w:rPr>
        <w:t>incorrect implementation of EU asylum legislation</w:t>
      </w:r>
      <w:r>
        <w:rPr>
          <w:rStyle w:val="FootnoteReference"/>
          <w:rFonts w:ascii="Arial" w:hAnsi="Arial" w:cs="Arial"/>
          <w:noProof/>
          <w:sz w:val="20"/>
          <w:szCs w:val="20"/>
        </w:rPr>
        <w:footnoteReference w:id="50"/>
      </w:r>
      <w:r>
        <w:rPr>
          <w:rFonts w:ascii="Arial" w:hAnsi="Arial" w:cs="Arial"/>
          <w:noProof/>
          <w:sz w:val="20"/>
          <w:szCs w:val="20"/>
        </w:rPr>
        <w:t>;</w:t>
      </w:r>
    </w:p>
    <w:p>
      <w:pPr>
        <w:pStyle w:val="ListParagraph"/>
        <w:numPr>
          <w:ilvl w:val="0"/>
          <w:numId w:val="102"/>
        </w:numPr>
        <w:rPr>
          <w:rFonts w:ascii="Arial" w:hAnsi="Arial" w:cs="Arial"/>
          <w:noProof/>
          <w:sz w:val="20"/>
          <w:szCs w:val="20"/>
        </w:rPr>
      </w:pPr>
      <w:r>
        <w:rPr>
          <w:rFonts w:ascii="Arial" w:hAnsi="Arial" w:cs="Arial"/>
          <w:noProof/>
          <w:sz w:val="20"/>
          <w:szCs w:val="20"/>
        </w:rPr>
        <w:t xml:space="preserve">non-communication of national measures transposing the </w:t>
      </w:r>
    </w:p>
    <w:p>
      <w:pPr>
        <w:pStyle w:val="ListParagraph"/>
        <w:numPr>
          <w:ilvl w:val="0"/>
          <w:numId w:val="129"/>
        </w:numPr>
        <w:rPr>
          <w:noProof/>
          <w:sz w:val="20"/>
          <w:szCs w:val="20"/>
        </w:rPr>
      </w:pPr>
      <w:r>
        <w:rPr>
          <w:rFonts w:ascii="Arial" w:hAnsi="Arial" w:cs="Arial"/>
          <w:noProof/>
          <w:sz w:val="20"/>
          <w:szCs w:val="20"/>
        </w:rPr>
        <w:t>Payment Services Directive</w:t>
      </w:r>
      <w:r>
        <w:rPr>
          <w:rStyle w:val="FootnoteReference"/>
          <w:rFonts w:ascii="Arial" w:hAnsi="Arial" w:cs="Arial"/>
          <w:noProof/>
          <w:sz w:val="20"/>
          <w:szCs w:val="20"/>
        </w:rPr>
        <w:footnoteReference w:id="51"/>
      </w:r>
      <w:r>
        <w:rPr>
          <w:rFonts w:ascii="Arial" w:hAnsi="Arial" w:cs="Arial"/>
          <w:noProof/>
          <w:sz w:val="20"/>
          <w:szCs w:val="20"/>
        </w:rPr>
        <w:t>;</w:t>
      </w:r>
    </w:p>
    <w:p>
      <w:pPr>
        <w:pStyle w:val="ListParagraph"/>
        <w:numPr>
          <w:ilvl w:val="0"/>
          <w:numId w:val="129"/>
        </w:numPr>
        <w:rPr>
          <w:noProof/>
        </w:rPr>
      </w:pPr>
      <w:r>
        <w:rPr>
          <w:rFonts w:ascii="Arial" w:hAnsi="Arial" w:cs="Arial"/>
          <w:noProof/>
          <w:sz w:val="20"/>
          <w:szCs w:val="20"/>
        </w:rPr>
        <w:t>Insurance Distribution Directive</w:t>
      </w:r>
      <w:r>
        <w:rPr>
          <w:rStyle w:val="FootnoteReference"/>
          <w:rFonts w:ascii="Arial" w:hAnsi="Arial" w:cs="Arial"/>
          <w:noProof/>
          <w:sz w:val="20"/>
          <w:szCs w:val="20"/>
        </w:rPr>
        <w:footnoteReference w:id="52"/>
      </w:r>
      <w:r>
        <w:rPr>
          <w:rFonts w:ascii="Arial" w:hAnsi="Arial" w:cs="Arial"/>
          <w:noProof/>
          <w:sz w:val="20"/>
          <w:szCs w:val="20"/>
        </w:rPr>
        <w:t>;</w:t>
      </w:r>
    </w:p>
    <w:p>
      <w:pPr>
        <w:pStyle w:val="ListParagraph"/>
        <w:numPr>
          <w:ilvl w:val="0"/>
          <w:numId w:val="129"/>
        </w:numPr>
        <w:rPr>
          <w:noProof/>
        </w:rPr>
      </w:pPr>
      <w:r>
        <w:rPr>
          <w:rFonts w:ascii="Arial" w:hAnsi="Arial" w:cs="Arial"/>
          <w:noProof/>
          <w:sz w:val="20"/>
          <w:szCs w:val="20"/>
        </w:rPr>
        <w:t>revised Markets in Financial Instruments Directive</w:t>
      </w:r>
      <w:r>
        <w:rPr>
          <w:rStyle w:val="FootnoteReference"/>
          <w:rFonts w:ascii="Arial" w:hAnsi="Arial" w:cs="Arial"/>
          <w:noProof/>
        </w:rPr>
        <w:footnoteReference w:id="53"/>
      </w:r>
      <w:r>
        <w:rPr>
          <w:rFonts w:ascii="Arial" w:hAnsi="Arial" w:cs="Arial"/>
          <w:noProof/>
          <w:sz w:val="20"/>
          <w:szCs w:val="20"/>
        </w:rPr>
        <w:t>;</w:t>
      </w:r>
    </w:p>
    <w:p>
      <w:pPr>
        <w:pStyle w:val="ListParagraph"/>
        <w:numPr>
          <w:ilvl w:val="0"/>
          <w:numId w:val="129"/>
        </w:numPr>
        <w:jc w:val="both"/>
        <w:rPr>
          <w:noProof/>
        </w:rPr>
      </w:pPr>
      <w:r>
        <w:rPr>
          <w:rFonts w:ascii="Arial" w:eastAsia="Calibri" w:hAnsi="Arial" w:cs="Arial"/>
          <w:noProof/>
          <w:kern w:val="20"/>
          <w:sz w:val="20"/>
          <w:lang w:eastAsia="en-GB"/>
        </w:rPr>
        <w:t>Commission Directive amending the Directive on quality system standards and specifications for blood establishments</w:t>
      </w:r>
      <w:r>
        <w:rPr>
          <w:rStyle w:val="FootnoteReference"/>
          <w:rFonts w:ascii="Arial" w:eastAsia="Calibri" w:hAnsi="Arial" w:cs="Arial"/>
          <w:noProof/>
          <w:kern w:val="20"/>
          <w:sz w:val="20"/>
          <w:lang w:eastAsia="en-GB"/>
        </w:rPr>
        <w:footnoteReference w:id="54"/>
      </w:r>
      <w:r>
        <w:rPr>
          <w:rFonts w:ascii="Arial" w:eastAsia="Calibri" w:hAnsi="Arial" w:cs="Arial"/>
          <w:noProof/>
          <w:kern w:val="20"/>
          <w:sz w:val="20"/>
          <w:lang w:eastAsia="en-GB"/>
        </w:rPr>
        <w:t>;</w:t>
      </w:r>
      <w:r>
        <w:rPr>
          <w:rFonts w:ascii="Arial" w:hAnsi="Arial" w:cs="Arial"/>
          <w:noProof/>
          <w:sz w:val="20"/>
          <w:szCs w:val="20"/>
        </w:rPr>
        <w:t xml:space="preserve"> </w:t>
      </w:r>
    </w:p>
    <w:p>
      <w:pPr>
        <w:pStyle w:val="ListParagraph"/>
        <w:numPr>
          <w:ilvl w:val="0"/>
          <w:numId w:val="129"/>
        </w:numPr>
        <w:jc w:val="both"/>
        <w:rPr>
          <w:noProof/>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55"/>
      </w:r>
      <w:r>
        <w:rPr>
          <w:rFonts w:ascii="Arial" w:hAnsi="Arial" w:cs="Arial"/>
          <w:noProof/>
          <w:sz w:val="20"/>
          <w:szCs w:val="20"/>
        </w:rPr>
        <w:t>;</w:t>
      </w:r>
    </w:p>
    <w:p>
      <w:pPr>
        <w:pStyle w:val="ListParagraph"/>
        <w:numPr>
          <w:ilvl w:val="0"/>
          <w:numId w:val="129"/>
        </w:numPr>
        <w:jc w:val="both"/>
        <w:rPr>
          <w:noProof/>
        </w:rPr>
      </w:pPr>
      <w:r>
        <w:rPr>
          <w:rFonts w:ascii="Arial" w:hAnsi="Arial" w:cs="Arial"/>
          <w:noProof/>
          <w:sz w:val="20"/>
          <w:szCs w:val="20"/>
        </w:rPr>
        <w:t>Directive on the characteristics to be covered as a minimum by the examination and the minimum conditions for examining certain varieties of agricultural plant species and vegetable species</w:t>
      </w:r>
      <w:r>
        <w:rPr>
          <w:rFonts w:ascii="Arial" w:hAnsi="Arial" w:cs="Arial"/>
          <w:noProof/>
          <w:sz w:val="20"/>
          <w:szCs w:val="20"/>
          <w:vertAlign w:val="superscript"/>
        </w:rPr>
        <w:footnoteReference w:id="56"/>
      </w:r>
      <w:r>
        <w:rPr>
          <w:rFonts w:ascii="Arial" w:hAnsi="Arial" w:cs="Arial"/>
          <w:noProof/>
          <w:sz w:val="20"/>
          <w:szCs w:val="20"/>
        </w:rPr>
        <w:t>;</w:t>
      </w:r>
    </w:p>
    <w:p>
      <w:pPr>
        <w:pStyle w:val="ListParagraph"/>
        <w:numPr>
          <w:ilvl w:val="0"/>
          <w:numId w:val="129"/>
        </w:numPr>
        <w:jc w:val="both"/>
        <w:rPr>
          <w:noProof/>
        </w:rPr>
      </w:pPr>
      <w:r>
        <w:rPr>
          <w:rFonts w:ascii="Arial" w:hAnsi="Arial" w:cs="Arial"/>
          <w:noProof/>
          <w:sz w:val="20"/>
          <w:szCs w:val="20"/>
        </w:rPr>
        <w:t>Directive on the freezing and confiscation of instrumentalities and proceeds of crime in the European Union</w:t>
      </w:r>
      <w:r>
        <w:rPr>
          <w:rStyle w:val="FootnoteReference"/>
          <w:rFonts w:ascii="Arial" w:hAnsi="Arial" w:cs="Arial"/>
          <w:noProof/>
          <w:sz w:val="20"/>
          <w:szCs w:val="20"/>
        </w:rPr>
        <w:footnoteReference w:id="57"/>
      </w:r>
      <w:r>
        <w:rPr>
          <w:rFonts w:ascii="Arial" w:hAnsi="Arial" w:cs="Arial"/>
          <w:noProof/>
          <w:sz w:val="20"/>
          <w:szCs w:val="20"/>
        </w:rPr>
        <w:t>;</w:t>
      </w:r>
    </w:p>
    <w:p>
      <w:pPr>
        <w:pStyle w:val="ListParagraph"/>
        <w:numPr>
          <w:ilvl w:val="0"/>
          <w:numId w:val="129"/>
        </w:numPr>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58"/>
      </w:r>
      <w:r>
        <w:rPr>
          <w:rFonts w:ascii="Arial" w:hAnsi="Arial" w:cs="Arial"/>
          <w:noProof/>
          <w:sz w:val="20"/>
          <w:szCs w:val="20"/>
        </w:rPr>
        <w:t>;</w:t>
      </w:r>
    </w:p>
    <w:p>
      <w:pPr>
        <w:pStyle w:val="ListParagraph"/>
        <w:numPr>
          <w:ilvl w:val="0"/>
          <w:numId w:val="129"/>
        </w:numPr>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59"/>
      </w:r>
      <w:r>
        <w:rPr>
          <w:rFonts w:ascii="Arial" w:hAnsi="Arial" w:cs="Arial"/>
          <w:noProof/>
          <w:sz w:val="20"/>
          <w:szCs w:val="20"/>
        </w:rPr>
        <w:t>;</w:t>
      </w:r>
    </w:p>
    <w:p>
      <w:pPr>
        <w:pStyle w:val="ListParagraph"/>
        <w:numPr>
          <w:ilvl w:val="0"/>
          <w:numId w:val="129"/>
        </w:numPr>
        <w:rPr>
          <w:rFonts w:ascii="Arial" w:hAnsi="Arial" w:cs="Arial"/>
          <w:noProof/>
          <w:sz w:val="20"/>
          <w:szCs w:val="20"/>
        </w:rPr>
      </w:pPr>
      <w:r>
        <w:rPr>
          <w:rFonts w:ascii="Arial" w:hAnsi="Arial" w:cs="Arial"/>
          <w:noProof/>
          <w:sz w:val="20"/>
          <w:szCs w:val="20"/>
        </w:rPr>
        <w:t>Directive on the presumption of innocence</w:t>
      </w:r>
      <w:r>
        <w:rPr>
          <w:rStyle w:val="FootnoteReference"/>
          <w:rFonts w:ascii="Arial" w:hAnsi="Arial" w:cs="Arial"/>
          <w:noProof/>
          <w:sz w:val="20"/>
          <w:szCs w:val="20"/>
        </w:rPr>
        <w:footnoteReference w:id="60"/>
      </w:r>
      <w:r>
        <w:rPr>
          <w:rFonts w:ascii="Arial" w:hAnsi="Arial" w:cs="Arial"/>
          <w:noProof/>
          <w:sz w:val="20"/>
          <w:szCs w:val="20"/>
        </w:rPr>
        <w:t>;</w:t>
      </w:r>
    </w:p>
    <w:p>
      <w:pPr>
        <w:pStyle w:val="ListParagraph"/>
        <w:numPr>
          <w:ilvl w:val="0"/>
          <w:numId w:val="129"/>
        </w:numPr>
        <w:rPr>
          <w:rFonts w:ascii="Arial" w:hAnsi="Arial" w:cs="Arial"/>
          <w:noProof/>
          <w:sz w:val="20"/>
          <w:szCs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61"/>
      </w:r>
      <w:r>
        <w:rPr>
          <w:rFonts w:ascii="Arial" w:hAnsi="Arial" w:cs="Arial"/>
          <w:noProof/>
          <w:sz w:val="20"/>
          <w:szCs w:val="20"/>
        </w:rPr>
        <w:t>;</w:t>
      </w:r>
    </w:p>
    <w:p>
      <w:pPr>
        <w:numPr>
          <w:ilvl w:val="0"/>
          <w:numId w:val="79"/>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79"/>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kop2"/>
        <w:numPr>
          <w:ilvl w:val="0"/>
          <w:numId w:val="8"/>
        </w:numPr>
        <w:spacing w:before="240" w:after="240"/>
        <w:ind w:left="709" w:hanging="425"/>
        <w:rPr>
          <w:caps w:val="0"/>
          <w:noProof/>
        </w:rPr>
      </w:pPr>
      <w:r>
        <w:rPr>
          <w:noProof/>
        </w:rPr>
        <w:t xml:space="preserve">TRANSPOSITION OF </w:t>
      </w:r>
      <w:r>
        <w:rPr>
          <w:caps w:val="0"/>
          <w:noProof/>
        </w:rPr>
        <w:t>DIRECTIVES</w:t>
      </w:r>
    </w:p>
    <w:p>
      <w:pPr>
        <w:pStyle w:val="AnnualReport2"/>
        <w:numPr>
          <w:ilvl w:val="0"/>
          <w:numId w:val="69"/>
        </w:numPr>
        <w:ind w:left="709" w:hanging="425"/>
        <w:rPr>
          <w:noProof/>
        </w:rPr>
      </w:pPr>
      <w:r>
        <w:rPr>
          <w:noProof/>
        </w:rPr>
        <w:t>Late transposition infringement cases against Bulgaria open on 31 December (2014-2018)</w:t>
      </w:r>
    </w:p>
    <w:p>
      <w:pPr>
        <w:ind w:left="426" w:firstLine="283"/>
        <w:rPr>
          <w:noProof/>
        </w:rPr>
      </w:pPr>
      <w:r>
        <w:rPr>
          <w:noProof/>
          <w:lang w:eastAsia="en-GB"/>
        </w:rPr>
        <w:drawing>
          <wp:inline distT="0" distB="0" distL="0" distR="0">
            <wp:extent cx="4610100" cy="2125980"/>
            <wp:effectExtent l="0" t="0" r="19050" b="26670"/>
            <wp:docPr id="104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AnnualReport2"/>
        <w:numPr>
          <w:ilvl w:val="0"/>
          <w:numId w:val="69"/>
        </w:numPr>
        <w:ind w:left="709" w:hanging="425"/>
        <w:rPr>
          <w:noProof/>
        </w:rPr>
      </w:pPr>
      <w:r>
        <w:rPr>
          <w:noProof/>
        </w:rPr>
        <w:t>New late transposition infringement cases against Bulgaria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067560"/>
            <wp:effectExtent l="0" t="0" r="25400" b="27940"/>
            <wp:docPr id="10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after="0" w:line="240" w:lineRule="auto"/>
        <w:rPr>
          <w:rFonts w:ascii="Arial" w:hAnsi="Arial"/>
          <w:noProof/>
          <w:color w:val="002060"/>
        </w:rPr>
      </w:pPr>
      <w:r>
        <w:rPr>
          <w:noProof/>
        </w:rPr>
        <w:br w:type="page"/>
      </w:r>
    </w:p>
    <w:p>
      <w:pPr>
        <w:pStyle w:val="AnnualReport2"/>
        <w:numPr>
          <w:ilvl w:val="0"/>
          <w:numId w:val="69"/>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79620" cy="2529840"/>
            <wp:effectExtent l="0" t="0" r="11430" b="3810"/>
            <wp:docPr id="1041"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AnnualReport2"/>
        <w:numPr>
          <w:ilvl w:val="0"/>
          <w:numId w:val="69"/>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two cases to the Court under Articles 258 and 260(3) TFEU. They concern:</w:t>
      </w:r>
    </w:p>
    <w:p>
      <w:pPr>
        <w:pStyle w:val="ListParagraph"/>
        <w:numPr>
          <w:ilvl w:val="0"/>
          <w:numId w:val="14"/>
        </w:numPr>
        <w:spacing w:after="120"/>
        <w:ind w:left="1276" w:hanging="425"/>
        <w:jc w:val="both"/>
        <w:rPr>
          <w:rFonts w:ascii="Arial" w:eastAsia="Calibri" w:hAnsi="Arial" w:cs="Arial"/>
          <w:b/>
          <w:noProof/>
          <w:kern w:val="20"/>
          <w:sz w:val="20"/>
          <w:szCs w:val="20"/>
          <w:lang w:bidi="en-US"/>
        </w:rPr>
      </w:pPr>
      <w:r>
        <w:rPr>
          <w:rFonts w:ascii="Arial" w:hAnsi="Arial" w:cs="Arial"/>
          <w:noProof/>
          <w:sz w:val="20"/>
          <w:szCs w:val="20"/>
          <w:lang w:bidi="en-US"/>
        </w:rPr>
        <w:t>non-communication of national measures transposing the Directive on collective management of copyright and related rights and multi-territorial licensing of rights in musical works for online use in the internal market</w:t>
      </w:r>
      <w:r>
        <w:rPr>
          <w:rFonts w:ascii="Arial" w:hAnsi="Arial" w:cs="Arial"/>
          <w:noProof/>
          <w:sz w:val="20"/>
          <w:szCs w:val="20"/>
          <w:vertAlign w:val="superscript"/>
          <w:lang w:bidi="en-US"/>
        </w:rPr>
        <w:footnoteReference w:id="62"/>
      </w:r>
      <w:r>
        <w:rPr>
          <w:rFonts w:ascii="Arial" w:hAnsi="Arial" w:cs="Arial"/>
          <w:noProof/>
          <w:sz w:val="20"/>
          <w:szCs w:val="20"/>
          <w:lang w:bidi="en-US"/>
        </w:rPr>
        <w:t>;</w:t>
      </w:r>
      <w:r>
        <w:rPr>
          <w:rFonts w:ascii="Arial" w:hAnsi="Arial" w:cs="Arial"/>
          <w:noProof/>
          <w:sz w:val="20"/>
          <w:szCs w:val="20"/>
        </w:rPr>
        <w:t xml:space="preserve"> </w:t>
      </w:r>
    </w:p>
    <w:p>
      <w:pPr>
        <w:pStyle w:val="ListParagraph"/>
        <w:numPr>
          <w:ilvl w:val="0"/>
          <w:numId w:val="14"/>
        </w:numPr>
        <w:spacing w:after="120"/>
        <w:ind w:left="1276" w:hanging="425"/>
        <w:jc w:val="both"/>
        <w:rPr>
          <w:rFonts w:ascii="Arial" w:eastAsia="Calibri" w:hAnsi="Arial" w:cs="Arial"/>
          <w:noProof/>
          <w:kern w:val="20"/>
          <w:sz w:val="20"/>
        </w:rPr>
      </w:pPr>
      <w:r>
        <w:rPr>
          <w:rFonts w:ascii="Arial" w:hAnsi="Arial" w:cs="Arial"/>
          <w:noProof/>
          <w:sz w:val="20"/>
          <w:szCs w:val="20"/>
        </w:rPr>
        <w:t>failure to communicate national measures transposing the Maritime Spatial Planning Directive</w:t>
      </w:r>
      <w:r>
        <w:rPr>
          <w:rStyle w:val="FootnoteReference"/>
          <w:rFonts w:ascii="Arial" w:hAnsi="Arial" w:cs="Arial"/>
          <w:noProof/>
          <w:sz w:val="20"/>
          <w:szCs w:val="20"/>
        </w:rPr>
        <w:footnoteReference w:id="63"/>
      </w:r>
      <w:r>
        <w:rPr>
          <w:rFonts w:ascii="Arial" w:hAnsi="Arial" w:cs="Arial"/>
          <w:noProof/>
          <w:sz w:val="20"/>
          <w:szCs w:val="20"/>
        </w:rPr>
        <w:t>.</w:t>
      </w:r>
    </w:p>
    <w:p>
      <w:pPr>
        <w:pStyle w:val="kop2"/>
        <w:numPr>
          <w:ilvl w:val="0"/>
          <w:numId w:val="8"/>
        </w:numPr>
        <w:spacing w:before="360" w:after="240"/>
        <w:ind w:left="709" w:hanging="425"/>
        <w:rPr>
          <w:caps w:val="0"/>
          <w:noProof/>
        </w:rPr>
      </w:pPr>
      <w:r>
        <w:rPr>
          <w:noProof/>
        </w:rPr>
        <w:t>EARLY RESOLUTION OF INFRINGEMENT CASES</w:t>
      </w:r>
    </w:p>
    <w:p>
      <w:pPr>
        <w:spacing w:after="60"/>
        <w:ind w:firstLine="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szCs w:val="20"/>
        </w:rPr>
      </w:pPr>
      <w:r>
        <w:rPr>
          <w:rFonts w:ascii="Arial" w:hAnsi="Arial" w:cs="Arial"/>
          <w:noProof/>
          <w:sz w:val="20"/>
          <w:szCs w:val="20"/>
        </w:rPr>
        <w:t>These concerned:</w:t>
      </w:r>
    </w:p>
    <w:p>
      <w:pPr>
        <w:pStyle w:val="ListParagraph"/>
        <w:numPr>
          <w:ilvl w:val="0"/>
          <w:numId w:val="105"/>
        </w:numPr>
        <w:autoSpaceDE w:val="0"/>
        <w:autoSpaceDN w:val="0"/>
        <w:adjustRightInd w:val="0"/>
        <w:spacing w:before="120" w:after="120"/>
        <w:ind w:left="1276"/>
        <w:contextualSpacing w:val="0"/>
        <w:jc w:val="both"/>
        <w:rPr>
          <w:rFonts w:ascii="Arial" w:hAnsi="Arial" w:cs="Arial"/>
          <w:noProof/>
          <w:sz w:val="20"/>
          <w:szCs w:val="20"/>
        </w:rPr>
      </w:pPr>
      <w:r>
        <w:rPr>
          <w:rFonts w:ascii="Arial" w:hAnsi="Arial" w:cs="Arial"/>
          <w:noProof/>
          <w:sz w:val="20"/>
          <w:szCs w:val="20"/>
        </w:rPr>
        <w:t>incorrect application of the Nitrates Directive though insufficient designation of nitrates vulnerable zones and shortcomings in the action plans</w:t>
      </w:r>
      <w:r>
        <w:rPr>
          <w:rStyle w:val="FootnoteReference"/>
          <w:rFonts w:ascii="Arial" w:hAnsi="Arial" w:cs="Arial"/>
          <w:noProof/>
          <w:sz w:val="20"/>
          <w:szCs w:val="20"/>
        </w:rPr>
        <w:footnoteReference w:id="64"/>
      </w:r>
      <w:r>
        <w:rPr>
          <w:rFonts w:ascii="Arial" w:hAnsi="Arial" w:cs="Arial"/>
          <w:noProof/>
          <w:sz w:val="20"/>
          <w:szCs w:val="20"/>
        </w:rPr>
        <w:t>;</w:t>
      </w:r>
    </w:p>
    <w:p>
      <w:pPr>
        <w:pStyle w:val="ListParagraph"/>
        <w:numPr>
          <w:ilvl w:val="0"/>
          <w:numId w:val="105"/>
        </w:numPr>
        <w:autoSpaceDE w:val="0"/>
        <w:autoSpaceDN w:val="0"/>
        <w:adjustRightInd w:val="0"/>
        <w:spacing w:before="120" w:after="120"/>
        <w:ind w:left="1276"/>
        <w:contextualSpacing w:val="0"/>
        <w:jc w:val="both"/>
        <w:rPr>
          <w:rFonts w:ascii="Arial" w:hAnsi="Arial" w:cs="Arial"/>
          <w:noProof/>
          <w:sz w:val="20"/>
          <w:szCs w:val="20"/>
        </w:rPr>
      </w:pPr>
      <w:r>
        <w:rPr>
          <w:rFonts w:ascii="Arial" w:hAnsi="Arial" w:cs="Arial"/>
          <w:noProof/>
          <w:sz w:val="20"/>
          <w:szCs w:val="20"/>
        </w:rPr>
        <w:t>unlawful use of aircraft in breach of noise restrictions set out in the EU legislation</w:t>
      </w:r>
      <w:r>
        <w:rPr>
          <w:rStyle w:val="FootnoteReference"/>
          <w:rFonts w:ascii="Arial" w:hAnsi="Arial" w:cs="Arial"/>
          <w:noProof/>
          <w:sz w:val="20"/>
          <w:szCs w:val="20"/>
        </w:rPr>
        <w:footnoteReference w:id="65"/>
      </w:r>
      <w:r>
        <w:rPr>
          <w:rFonts w:ascii="Arial" w:hAnsi="Arial" w:cs="Arial"/>
          <w:noProof/>
          <w:sz w:val="20"/>
          <w:szCs w:val="20"/>
        </w:rPr>
        <w:t>;</w:t>
      </w:r>
    </w:p>
    <w:p>
      <w:pPr>
        <w:pStyle w:val="ListParagraph"/>
        <w:numPr>
          <w:ilvl w:val="0"/>
          <w:numId w:val="105"/>
        </w:numPr>
        <w:spacing w:after="120"/>
        <w:ind w:left="1276"/>
        <w:rPr>
          <w:rFonts w:ascii="Arial" w:hAnsi="Arial" w:cs="Arial"/>
          <w:noProof/>
          <w:sz w:val="20"/>
          <w:szCs w:val="20"/>
        </w:rPr>
      </w:pPr>
      <w:r>
        <w:rPr>
          <w:rFonts w:ascii="Arial" w:hAnsi="Arial" w:cs="Arial"/>
          <w:noProof/>
          <w:sz w:val="20"/>
          <w:szCs w:val="20"/>
        </w:rPr>
        <w:t xml:space="preserve">non-communication of national measures transposing the </w:t>
      </w:r>
    </w:p>
    <w:p>
      <w:pPr>
        <w:pStyle w:val="ListParagraph"/>
        <w:numPr>
          <w:ilvl w:val="1"/>
          <w:numId w:val="105"/>
        </w:numPr>
        <w:spacing w:after="120"/>
        <w:rPr>
          <w:rFonts w:ascii="Arial" w:hAnsi="Arial" w:cs="Arial"/>
          <w:noProof/>
          <w:sz w:val="20"/>
          <w:szCs w:val="20"/>
        </w:rPr>
      </w:pPr>
      <w:r>
        <w:rPr>
          <w:rFonts w:ascii="Arial" w:hAnsi="Arial" w:cs="Arial"/>
          <w:noProof/>
          <w:sz w:val="20"/>
          <w:szCs w:val="20"/>
        </w:rPr>
        <w:t>Directive on tobacco products</w:t>
      </w:r>
      <w:r>
        <w:rPr>
          <w:rFonts w:ascii="Arial" w:hAnsi="Arial" w:cs="Arial"/>
          <w:noProof/>
          <w:sz w:val="20"/>
          <w:szCs w:val="20"/>
          <w:vertAlign w:val="superscript"/>
          <w:lang w:val="nl-NL"/>
        </w:rPr>
        <w:footnoteReference w:id="66"/>
      </w:r>
      <w:r>
        <w:rPr>
          <w:rFonts w:ascii="Arial" w:hAnsi="Arial" w:cs="Arial"/>
          <w:noProof/>
          <w:sz w:val="20"/>
          <w:szCs w:val="20"/>
        </w:rPr>
        <w:t>;</w:t>
      </w:r>
    </w:p>
    <w:p>
      <w:pPr>
        <w:pStyle w:val="ListParagraph"/>
        <w:numPr>
          <w:ilvl w:val="1"/>
          <w:numId w:val="105"/>
        </w:numPr>
        <w:spacing w:after="120"/>
        <w:jc w:val="both"/>
        <w:rPr>
          <w:rFonts w:ascii="Arial" w:hAnsi="Arial" w:cs="Arial"/>
          <w:noProof/>
          <w:sz w:val="20"/>
          <w:szCs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lang w:val="nl-NL"/>
        </w:rPr>
        <w:footnoteReference w:id="67"/>
      </w:r>
      <w:r>
        <w:rPr>
          <w:rFonts w:ascii="Arial" w:hAnsi="Arial" w:cs="Arial"/>
          <w:noProof/>
          <w:sz w:val="20"/>
          <w:szCs w:val="20"/>
        </w:rPr>
        <w:t>;</w:t>
      </w:r>
    </w:p>
    <w:p>
      <w:pPr>
        <w:pStyle w:val="ListParagraph"/>
        <w:numPr>
          <w:ilvl w:val="1"/>
          <w:numId w:val="105"/>
        </w:numPr>
        <w:spacing w:after="120"/>
        <w:jc w:val="both"/>
        <w:rPr>
          <w:rFonts w:ascii="Arial" w:hAnsi="Arial" w:cs="Arial"/>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lang w:val="nl-NL"/>
        </w:rPr>
        <w:footnoteReference w:id="68"/>
      </w:r>
      <w:r>
        <w:rPr>
          <w:rFonts w:ascii="Arial" w:hAnsi="Arial" w:cs="Arial"/>
          <w:noProof/>
          <w:sz w:val="20"/>
          <w:szCs w:val="20"/>
        </w:rPr>
        <w:t>;</w:t>
      </w:r>
    </w:p>
    <w:p>
      <w:pPr>
        <w:pStyle w:val="ListParagraph"/>
        <w:numPr>
          <w:ilvl w:val="1"/>
          <w:numId w:val="105"/>
        </w:numPr>
        <w:spacing w:after="120"/>
        <w:jc w:val="both"/>
        <w:rPr>
          <w:rFonts w:ascii="Arial" w:hAnsi="Arial" w:cs="Arial"/>
          <w:noProof/>
          <w:sz w:val="20"/>
          <w:szCs w:val="20"/>
        </w:rPr>
      </w:pPr>
      <w:r>
        <w:rPr>
          <w:rFonts w:ascii="Arial" w:eastAsia="Times New Roman" w:hAnsi="Arial" w:cs="Arial"/>
          <w:noProof/>
          <w:sz w:val="20"/>
          <w:szCs w:val="20"/>
          <w:lang w:eastAsia="en-GB"/>
        </w:rPr>
        <w:t>Directive concerning undertakings for collective investment in transferable securities</w:t>
      </w:r>
      <w:r>
        <w:rPr>
          <w:rStyle w:val="FootnoteReference"/>
          <w:rFonts w:ascii="Arial" w:eastAsia="Times New Roman" w:hAnsi="Arial" w:cs="Arial"/>
          <w:noProof/>
          <w:sz w:val="20"/>
          <w:szCs w:val="20"/>
          <w:lang w:eastAsia="en-GB"/>
        </w:rPr>
        <w:footnoteReference w:id="69"/>
      </w:r>
      <w:r>
        <w:rPr>
          <w:rFonts w:ascii="Arial" w:eastAsia="Times New Roman" w:hAnsi="Arial" w:cs="Arial"/>
          <w:noProof/>
          <w:sz w:val="20"/>
          <w:szCs w:val="20"/>
          <w:lang w:eastAsia="en-GB"/>
        </w:rPr>
        <w:t>;</w:t>
      </w:r>
    </w:p>
    <w:p>
      <w:pPr>
        <w:pStyle w:val="ListParagraph"/>
        <w:numPr>
          <w:ilvl w:val="1"/>
          <w:numId w:val="105"/>
        </w:numPr>
        <w:spacing w:after="120"/>
        <w:jc w:val="both"/>
        <w:rPr>
          <w:rFonts w:ascii="Arial" w:hAnsi="Arial" w:cs="Arial"/>
          <w:noProof/>
          <w:sz w:val="20"/>
          <w:szCs w:val="20"/>
        </w:rPr>
      </w:pPr>
      <w:r>
        <w:rPr>
          <w:rFonts w:ascii="Arial" w:hAnsi="Arial" w:cs="Arial"/>
          <w:noProof/>
          <w:sz w:val="20"/>
          <w:szCs w:val="20"/>
        </w:rPr>
        <w:t>Package Travel Directive</w:t>
      </w:r>
      <w:r>
        <w:rPr>
          <w:rStyle w:val="FootnoteReference"/>
          <w:rFonts w:ascii="Arial" w:hAnsi="Arial" w:cs="Arial"/>
          <w:noProof/>
          <w:sz w:val="20"/>
          <w:szCs w:val="20"/>
        </w:rPr>
        <w:footnoteReference w:id="70"/>
      </w:r>
      <w:r>
        <w:rPr>
          <w:rFonts w:ascii="Arial" w:hAnsi="Arial" w:cs="Arial"/>
          <w:noProof/>
          <w:sz w:val="20"/>
          <w:szCs w:val="20"/>
        </w:rPr>
        <w:t>;</w:t>
      </w:r>
    </w:p>
    <w:p>
      <w:pPr>
        <w:pStyle w:val="ListParagraph"/>
        <w:numPr>
          <w:ilvl w:val="1"/>
          <w:numId w:val="105"/>
        </w:numPr>
        <w:spacing w:after="120"/>
        <w:ind w:left="1797" w:hanging="357"/>
        <w:contextualSpacing w:val="0"/>
        <w:jc w:val="both"/>
        <w:rPr>
          <w:rFonts w:ascii="Arial" w:hAnsi="Arial" w:cs="Arial"/>
          <w:noProof/>
          <w:sz w:val="20"/>
          <w:szCs w:val="20"/>
        </w:rPr>
      </w:pPr>
      <w:r>
        <w:rPr>
          <w:rFonts w:ascii="Arial" w:hAnsi="Arial" w:cs="Arial"/>
          <w:noProof/>
          <w:sz w:val="20"/>
          <w:szCs w:val="20"/>
        </w:rPr>
        <w:t>Directive on fuel quality reporting requirements and calculation methods</w:t>
      </w:r>
      <w:r>
        <w:rPr>
          <w:rStyle w:val="FootnoteReference"/>
          <w:rFonts w:ascii="Arial" w:hAnsi="Arial" w:cs="Arial"/>
          <w:noProof/>
          <w:sz w:val="20"/>
          <w:szCs w:val="20"/>
        </w:rPr>
        <w:footnoteReference w:id="71"/>
      </w:r>
      <w:r>
        <w:rPr>
          <w:rFonts w:ascii="Arial" w:hAnsi="Arial" w:cs="Arial"/>
          <w:noProof/>
          <w:sz w:val="20"/>
          <w:szCs w:val="20"/>
        </w:rPr>
        <w:t>.</w:t>
      </w:r>
    </w:p>
    <w:p>
      <w:pPr>
        <w:pStyle w:val="kop2"/>
        <w:numPr>
          <w:ilvl w:val="0"/>
          <w:numId w:val="8"/>
        </w:numPr>
        <w:spacing w:before="360" w:after="240"/>
        <w:ind w:left="709" w:hanging="425"/>
        <w:rPr>
          <w:caps w:val="0"/>
          <w:noProof/>
        </w:rPr>
      </w:pPr>
      <w:r>
        <w:rPr>
          <w:noProof/>
        </w:rPr>
        <w:t>IMPORTANT</w:t>
      </w:r>
      <w:r>
        <w:rPr>
          <w:caps w:val="0"/>
          <w:noProof/>
        </w:rPr>
        <w:t xml:space="preserve"> JUDGMENTS</w:t>
      </w:r>
    </w:p>
    <w:p>
      <w:pPr>
        <w:pStyle w:val="AnnualReport2"/>
        <w:numPr>
          <w:ilvl w:val="0"/>
          <w:numId w:val="142"/>
        </w:numPr>
        <w:ind w:left="709" w:hanging="425"/>
        <w:rPr>
          <w:rFonts w:cs="Arial"/>
          <w:noProof/>
          <w:sz w:val="20"/>
          <w:szCs w:val="20"/>
        </w:rPr>
      </w:pPr>
      <w:r>
        <w:rPr>
          <w:rFonts w:cs="Arial"/>
          <w:noProof/>
          <w:sz w:val="20"/>
          <w:szCs w:val="20"/>
        </w:rPr>
        <w:t>Court rulings</w:t>
      </w:r>
    </w:p>
    <w:p>
      <w:pPr>
        <w:spacing w:after="120"/>
        <w:ind w:firstLine="709"/>
        <w:rPr>
          <w:rFonts w:ascii="Arial" w:hAnsi="Arial" w:cs="Arial"/>
          <w:noProof/>
          <w:sz w:val="20"/>
        </w:rPr>
      </w:pPr>
      <w:r>
        <w:rPr>
          <w:rFonts w:ascii="Arial" w:hAnsi="Arial" w:cs="Arial"/>
          <w:noProof/>
          <w:sz w:val="20"/>
        </w:rPr>
        <w:t>The Court ruled that:</w:t>
      </w:r>
    </w:p>
    <w:p>
      <w:pPr>
        <w:pStyle w:val="Basis"/>
        <w:numPr>
          <w:ilvl w:val="0"/>
          <w:numId w:val="134"/>
        </w:numPr>
        <w:spacing w:after="100" w:afterAutospacing="1" w:line="240" w:lineRule="auto"/>
        <w:ind w:left="1276" w:hanging="425"/>
        <w:jc w:val="both"/>
        <w:rPr>
          <w:rFonts w:ascii="Arial" w:hAnsi="Arial" w:cs="Arial"/>
          <w:noProof/>
          <w:lang w:val="en-GB"/>
        </w:rPr>
      </w:pPr>
      <w:r>
        <w:rPr>
          <w:rFonts w:ascii="Arial" w:hAnsi="Arial" w:cs="Arial"/>
          <w:noProof/>
          <w:lang w:val="en-GB"/>
        </w:rPr>
        <w:t>Bulgaria has failed to fulfil its obligations under the Birds Directive by not having classified as a Special Protection Area the entire Important Bird Area covering the Rila Mountains</w:t>
      </w:r>
      <w:r>
        <w:rPr>
          <w:rStyle w:val="FootnoteReference"/>
          <w:rFonts w:ascii="Arial" w:hAnsi="Arial" w:cs="Arial"/>
          <w:noProof/>
          <w:lang w:val="en-GB"/>
        </w:rPr>
        <w:footnoteReference w:id="72"/>
      </w:r>
      <w:r>
        <w:rPr>
          <w:rFonts w:ascii="Arial" w:hAnsi="Arial" w:cs="Arial"/>
          <w:noProof/>
          <w:lang w:val="en-GB"/>
        </w:rPr>
        <w:t>.</w:t>
      </w:r>
    </w:p>
    <w:p>
      <w:pPr>
        <w:pStyle w:val="AnnualReport2"/>
        <w:numPr>
          <w:ilvl w:val="0"/>
          <w:numId w:val="142"/>
        </w:numPr>
        <w:ind w:left="709" w:hanging="425"/>
        <w:rPr>
          <w:rFonts w:cs="Arial"/>
          <w:noProof/>
          <w:sz w:val="20"/>
          <w:szCs w:val="20"/>
        </w:rPr>
      </w:pPr>
      <w:r>
        <w:rPr>
          <w:rFonts w:cs="Arial"/>
          <w:noProof/>
          <w:sz w:val="20"/>
          <w:szCs w:val="20"/>
        </w:rPr>
        <w:t>Preliminary rulings</w:t>
      </w:r>
    </w:p>
    <w:p>
      <w:pPr>
        <w:pStyle w:val="Body"/>
        <w:ind w:left="786" w:firstLine="0"/>
        <w:rPr>
          <w:noProof/>
          <w:szCs w:val="20"/>
          <w:lang w:val="en-GB"/>
        </w:rPr>
      </w:pPr>
      <w:r>
        <w:rPr>
          <w:noProof/>
          <w:szCs w:val="20"/>
          <w:lang w:val="en-GB"/>
        </w:rPr>
        <w:t>In a preliminary ruling addressed to the Bulgarian judiciary, the Court held that:</w:t>
      </w:r>
    </w:p>
    <w:p>
      <w:pPr>
        <w:pStyle w:val="Lijstje2"/>
        <w:numPr>
          <w:ilvl w:val="0"/>
          <w:numId w:val="14"/>
        </w:numPr>
        <w:spacing w:line="240" w:lineRule="auto"/>
        <w:ind w:left="1276"/>
        <w:contextualSpacing w:val="0"/>
        <w:jc w:val="both"/>
        <w:rPr>
          <w:rFonts w:ascii="Arial" w:hAnsi="Arial" w:cs="Arial"/>
          <w:b/>
          <w:noProof/>
          <w:szCs w:val="20"/>
          <w:lang w:val="en-US"/>
        </w:rPr>
      </w:pPr>
      <w:r>
        <w:rPr>
          <w:rFonts w:ascii="Arial" w:hAnsi="Arial" w:cs="Arial"/>
          <w:noProof/>
          <w:szCs w:val="20"/>
          <w:lang w:val="en-GB"/>
        </w:rPr>
        <w:t>An application for international protection cannot be granted on the ground that one of the applicant’s family members has a well-founded fear of being persecuted or faces a real risk of suffering serious harm. However, ,account must be taken of such threats in respect of one of the applicant’s family members for the purpose of determining whether the applicant is, because of his family tie to the person at risk, himself exposed to the threat of persecution or serious harm</w:t>
      </w:r>
      <w:r>
        <w:rPr>
          <w:rFonts w:ascii="Arial" w:hAnsi="Arial" w:cs="Arial"/>
          <w:noProof/>
          <w:szCs w:val="20"/>
          <w:vertAlign w:val="superscript"/>
        </w:rPr>
        <w:footnoteReference w:id="73"/>
      </w:r>
      <w:r>
        <w:rPr>
          <w:rFonts w:ascii="Arial" w:hAnsi="Arial" w:cs="Arial"/>
          <w:noProof/>
          <w:szCs w:val="20"/>
          <w:lang w:val="en-US"/>
        </w:rPr>
        <w:t>.</w:t>
      </w:r>
    </w:p>
    <w:p>
      <w:pPr>
        <w:pStyle w:val="Lijstje2"/>
        <w:numPr>
          <w:ilvl w:val="0"/>
          <w:numId w:val="14"/>
        </w:numPr>
        <w:spacing w:line="240" w:lineRule="auto"/>
        <w:ind w:left="1276"/>
        <w:contextualSpacing w:val="0"/>
        <w:jc w:val="both"/>
        <w:rPr>
          <w:rFonts w:ascii="Arial" w:hAnsi="Arial" w:cs="Arial"/>
          <w:b/>
          <w:noProof/>
          <w:szCs w:val="20"/>
          <w:lang w:val="en-US"/>
        </w:rPr>
      </w:pPr>
      <w:r>
        <w:rPr>
          <w:rFonts w:ascii="Arial" w:hAnsi="Arial" w:cs="Arial"/>
          <w:noProof/>
          <w:szCs w:val="20"/>
          <w:lang w:val="en-US"/>
        </w:rPr>
        <w:t>An applicant for international protection claiming risk of persecution for religious reasons does not have to submit statements or produce documents concerning all components of the concept of ‘religion’. The applicant must however submit evidence allowing the competent authority to conclude that the claims are true. The prohibition, on pain of execution or imprisonment, of conduct which is contrary to the state religion of the applicant’s country of origin may constitute an ‘act of persecution’</w:t>
      </w:r>
      <w:r>
        <w:rPr>
          <w:rStyle w:val="FootnoteReference"/>
          <w:rFonts w:ascii="Arial" w:hAnsi="Arial" w:cs="Arial"/>
          <w:noProof/>
          <w:szCs w:val="20"/>
        </w:rPr>
        <w:footnoteReference w:id="74"/>
      </w:r>
      <w:r>
        <w:rPr>
          <w:rFonts w:ascii="Arial" w:hAnsi="Arial" w:cs="Arial"/>
          <w:noProof/>
          <w:szCs w:val="20"/>
          <w:lang w:val="en-US"/>
        </w:rPr>
        <w:t>.</w:t>
      </w:r>
    </w:p>
    <w:p>
      <w:pPr>
        <w:pStyle w:val="ListParagraph"/>
        <w:rPr>
          <w:rFonts w:ascii="Arial" w:hAnsi="Arial" w:cs="Arial"/>
          <w:noProof/>
          <w:sz w:val="20"/>
          <w:szCs w:val="20"/>
        </w:rPr>
      </w:pPr>
    </w:p>
    <w:p>
      <w:pPr>
        <w:rPr>
          <w:rFonts w:ascii="Arial" w:hAnsi="Arial" w:cs="Arial"/>
          <w:noProof/>
        </w:rPr>
        <w:sectPr>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6" w:h="16838"/>
          <w:pgMar w:top="1701" w:right="1417" w:bottom="1134" w:left="1417" w:header="567" w:footer="351" w:gutter="0"/>
          <w:cols w:space="708"/>
          <w:titlePg/>
          <w:docGrid w:linePitch="360"/>
        </w:sectPr>
      </w:pPr>
    </w:p>
    <w:p>
      <w:pPr>
        <w:pStyle w:val="Heading1"/>
        <w:rPr>
          <w:noProof/>
          <w:szCs w:val="24"/>
        </w:rPr>
      </w:pPr>
      <w:bookmarkStart w:id="23" w:name="_Toc444769589"/>
      <w:bookmarkStart w:id="24" w:name="_Toc444772045"/>
      <w:bookmarkStart w:id="25" w:name="_Toc444773364"/>
      <w:bookmarkStart w:id="26" w:name="_Toc444776736"/>
      <w:bookmarkStart w:id="27" w:name="_Toc475974643"/>
      <w:bookmarkStart w:id="28" w:name="_Toc475980139"/>
      <w:bookmarkStart w:id="29" w:name="_Toc475981388"/>
      <w:bookmarkStart w:id="30" w:name="_Toc484622319"/>
      <w:bookmarkStart w:id="31" w:name="_Toc5788357"/>
      <w:r>
        <w:rPr>
          <w:noProof/>
          <w:szCs w:val="24"/>
        </w:rPr>
        <w:t>Czechia</w:t>
      </w:r>
      <w:bookmarkEnd w:id="23"/>
      <w:bookmarkEnd w:id="24"/>
      <w:bookmarkEnd w:id="25"/>
      <w:bookmarkEnd w:id="26"/>
      <w:bookmarkEnd w:id="27"/>
      <w:bookmarkEnd w:id="28"/>
      <w:bookmarkEnd w:id="29"/>
      <w:bookmarkEnd w:id="30"/>
      <w:bookmarkEnd w:id="31"/>
    </w:p>
    <w:p>
      <w:pPr>
        <w:pStyle w:val="AnnualReport1"/>
        <w:numPr>
          <w:ilvl w:val="0"/>
          <w:numId w:val="144"/>
        </w:numPr>
        <w:spacing w:after="240"/>
        <w:rPr>
          <w:noProof/>
        </w:rPr>
      </w:pPr>
      <w:r>
        <w:rPr>
          <w:noProof/>
        </w:rPr>
        <w:t>COMPLAINTS</w:t>
      </w:r>
    </w:p>
    <w:p>
      <w:pPr>
        <w:pStyle w:val="AnnualReport2"/>
        <w:numPr>
          <w:ilvl w:val="0"/>
          <w:numId w:val="61"/>
        </w:numPr>
        <w:ind w:left="709" w:hanging="425"/>
        <w:rPr>
          <w:noProof/>
        </w:rPr>
      </w:pPr>
      <w:r>
        <w:rPr>
          <w:noProof/>
        </w:rPr>
        <w:t>New complaints made against Czechia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202815"/>
            <wp:effectExtent l="0" t="0" r="0" b="0"/>
            <wp:docPr id="104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AnnualReport2"/>
        <w:numPr>
          <w:ilvl w:val="0"/>
          <w:numId w:val="61"/>
        </w:numPr>
        <w:ind w:left="709" w:hanging="425"/>
        <w:rPr>
          <w:noProof/>
        </w:rPr>
      </w:pPr>
      <w:r>
        <w:rPr>
          <w:noProof/>
        </w:rPr>
        <w:t>Public complaints against Czechia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85</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102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51</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61"/>
        </w:numPr>
        <w:ind w:left="709" w:hanging="425"/>
        <w:rPr>
          <w:noProof/>
        </w:rPr>
      </w:pPr>
      <w:r>
        <w:rPr>
          <w:noProof/>
        </w:rPr>
        <w:t>New complaints registered in 2018: main policy areas</w:t>
      </w:r>
    </w:p>
    <w:p>
      <w:pPr>
        <w:pStyle w:val="Body"/>
        <w:rPr>
          <w:noProof/>
        </w:rPr>
      </w:pPr>
      <w:r>
        <w:rPr>
          <w:noProof/>
          <w:lang w:val="en-GB" w:eastAsia="en-GB"/>
        </w:rPr>
        <w:drawing>
          <wp:inline distT="0" distB="0" distL="0" distR="0">
            <wp:extent cx="4615543" cy="2416628"/>
            <wp:effectExtent l="0" t="0" r="13970" b="3175"/>
            <wp:docPr id="95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AnnualReport1"/>
        <w:numPr>
          <w:ilvl w:val="0"/>
          <w:numId w:val="144"/>
        </w:numPr>
        <w:spacing w:after="240"/>
        <w:rPr>
          <w:noProof/>
        </w:rPr>
      </w:pPr>
      <w:r>
        <w:rPr>
          <w:noProof/>
        </w:rPr>
        <w:br w:type="page"/>
      </w:r>
      <w:r>
        <w:rPr>
          <w:caps w:val="0"/>
          <w:noProof/>
        </w:rPr>
        <w:t>EU PILOT</w:t>
      </w:r>
    </w:p>
    <w:p>
      <w:pPr>
        <w:pStyle w:val="AnnualReport2"/>
        <w:numPr>
          <w:ilvl w:val="0"/>
          <w:numId w:val="65"/>
        </w:numPr>
        <w:ind w:left="709" w:hanging="425"/>
        <w:rPr>
          <w:noProof/>
        </w:rPr>
      </w:pPr>
      <w:r>
        <w:rPr>
          <w:noProof/>
        </w:rPr>
        <w:t>New EU Pilot files opened against Czechia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7875" cy="2226310"/>
            <wp:effectExtent l="0" t="0" r="22225" b="21590"/>
            <wp:docPr id="103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AnnualReport2"/>
        <w:numPr>
          <w:ilvl w:val="0"/>
          <w:numId w:val="65"/>
        </w:numPr>
        <w:ind w:left="709" w:hanging="425"/>
        <w:rPr>
          <w:noProof/>
        </w:rPr>
      </w:pPr>
      <w:r>
        <w:rPr>
          <w:noProof/>
        </w:rPr>
        <w:t>Files relating to Czechia open in EU Pilot at year-end</w:t>
      </w:r>
    </w:p>
    <w:p>
      <w:pPr>
        <w:spacing w:after="0"/>
        <w:ind w:firstLine="709"/>
        <w:rPr>
          <w:rFonts w:ascii="Arial" w:hAnsi="Arial" w:cs="Arial"/>
          <w:noProof/>
          <w:sz w:val="20"/>
        </w:rPr>
      </w:pPr>
      <w:r>
        <w:rPr>
          <w:rFonts w:ascii="Arial" w:hAnsi="Arial" w:cs="Arial"/>
          <w:noProof/>
          <w:sz w:val="20"/>
          <w:lang w:eastAsia="en-GB"/>
        </w:rPr>
        <w:drawing>
          <wp:inline distT="0" distB="0" distL="0" distR="0">
            <wp:extent cx="4587875" cy="2170430"/>
            <wp:effectExtent l="0" t="0" r="22225" b="20320"/>
            <wp:docPr id="103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AnnualReport2"/>
        <w:numPr>
          <w:ilvl w:val="0"/>
          <w:numId w:val="65"/>
        </w:numPr>
        <w:ind w:left="709" w:hanging="425"/>
        <w:rPr>
          <w:rFonts w:cs="Arial"/>
          <w:noProof/>
          <w:sz w:val="20"/>
        </w:rPr>
      </w:pPr>
      <w:r>
        <w:rPr>
          <w:noProof/>
        </w:rPr>
        <w:t>New EU Pilot files opened in 2018: main policy areas</w:t>
      </w:r>
    </w:p>
    <w:p>
      <w:pPr>
        <w:pStyle w:val="Body"/>
        <w:ind w:left="709" w:firstLine="0"/>
        <w:rPr>
          <w:noProof/>
        </w:rPr>
      </w:pPr>
      <w:r>
        <w:rPr>
          <w:noProof/>
        </w:rPr>
        <w:t>In 2018, the Commission opened two EU Pilot files against Czechia, one in the area of environment and one in the area of energy.</w:t>
      </w:r>
    </w:p>
    <w:p>
      <w:pPr>
        <w:spacing w:after="0" w:line="240" w:lineRule="auto"/>
        <w:rPr>
          <w:rFonts w:ascii="Arial" w:hAnsi="Arial"/>
          <w:noProof/>
          <w:color w:val="002060"/>
        </w:rPr>
      </w:pPr>
      <w:r>
        <w:rPr>
          <w:noProof/>
        </w:rPr>
        <w:br w:type="page"/>
      </w:r>
    </w:p>
    <w:p>
      <w:pPr>
        <w:pStyle w:val="AnnualReport2"/>
        <w:numPr>
          <w:ilvl w:val="0"/>
          <w:numId w:val="65"/>
        </w:numPr>
        <w:ind w:left="709" w:hanging="425"/>
        <w:rPr>
          <w:noProof/>
        </w:rPr>
      </w:pPr>
      <w:r>
        <w:rPr>
          <w:noProof/>
        </w:rPr>
        <w:t>EU Pilot files: Czechia’s resolution rate in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186305"/>
            <wp:effectExtent l="0" t="0" r="0" b="0"/>
            <wp:docPr id="103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AnnualReport1"/>
        <w:numPr>
          <w:ilvl w:val="0"/>
          <w:numId w:val="144"/>
        </w:numPr>
        <w:spacing w:after="240"/>
        <w:ind w:left="709" w:hanging="425"/>
        <w:rPr>
          <w:caps w:val="0"/>
          <w:noProof/>
        </w:rPr>
      </w:pPr>
      <w:r>
        <w:rPr>
          <w:caps w:val="0"/>
          <w:noProof/>
        </w:rPr>
        <w:t>INFRINGEMENT CASES</w:t>
      </w:r>
    </w:p>
    <w:p>
      <w:pPr>
        <w:pStyle w:val="AnnualReport2"/>
        <w:numPr>
          <w:ilvl w:val="0"/>
          <w:numId w:val="66"/>
        </w:numPr>
        <w:ind w:left="709" w:hanging="567"/>
        <w:rPr>
          <w:noProof/>
        </w:rPr>
      </w:pPr>
      <w:r>
        <w:rPr>
          <w:noProof/>
        </w:rPr>
        <w:t>Infringement cases against Czechia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34565"/>
            <wp:effectExtent l="0" t="0" r="22225" b="13335"/>
            <wp:docPr id="103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AnnualReport2"/>
        <w:numPr>
          <w:ilvl w:val="0"/>
          <w:numId w:val="66"/>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337435"/>
            <wp:effectExtent l="0" t="0" r="3175" b="5715"/>
            <wp:docPr id="103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after="0"/>
        <w:rPr>
          <w:rFonts w:ascii="Arial" w:hAnsi="Arial"/>
          <w:noProof/>
          <w:color w:val="002060"/>
        </w:rPr>
      </w:pPr>
      <w:r>
        <w:rPr>
          <w:noProof/>
        </w:rPr>
        <w:br w:type="page"/>
      </w:r>
    </w:p>
    <w:p>
      <w:pPr>
        <w:pStyle w:val="AnnualReport2"/>
        <w:numPr>
          <w:ilvl w:val="0"/>
          <w:numId w:val="66"/>
        </w:numPr>
        <w:ind w:left="709" w:hanging="425"/>
        <w:rPr>
          <w:noProof/>
        </w:rPr>
      </w:pPr>
      <w:r>
        <w:rPr>
          <w:noProof/>
        </w:rPr>
        <w:t>Key infringement cases and referrals to the Court</w:t>
      </w:r>
    </w:p>
    <w:p>
      <w:pPr>
        <w:numPr>
          <w:ilvl w:val="0"/>
          <w:numId w:val="80"/>
        </w:numPr>
        <w:ind w:left="1276" w:hanging="425"/>
        <w:rPr>
          <w:rFonts w:ascii="Arial" w:hAnsi="Arial" w:cs="Arial"/>
          <w:noProof/>
          <w:sz w:val="20"/>
          <w:szCs w:val="20"/>
        </w:rPr>
      </w:pPr>
      <w:r>
        <w:rPr>
          <w:rFonts w:ascii="Arial" w:hAnsi="Arial" w:cs="Arial"/>
          <w:noProof/>
          <w:sz w:val="20"/>
          <w:szCs w:val="20"/>
        </w:rPr>
        <w:t>The Commission opened 28 new infringement cases against Czechia in 2018. These, and other major ongoing infringement cases, include:</w:t>
      </w:r>
    </w:p>
    <w:p>
      <w:pPr>
        <w:pStyle w:val="BodyTextIndent2"/>
        <w:numPr>
          <w:ilvl w:val="0"/>
          <w:numId w:val="132"/>
        </w:numPr>
        <w:spacing w:line="240" w:lineRule="auto"/>
        <w:jc w:val="both"/>
        <w:rPr>
          <w:rFonts w:ascii="Arial" w:hAnsi="Arial" w:cs="Arial"/>
          <w:noProof/>
          <w:sz w:val="20"/>
          <w:szCs w:val="20"/>
        </w:rPr>
      </w:pPr>
      <w:r>
        <w:rPr>
          <w:rFonts w:ascii="Arial" w:hAnsi="Arial" w:cs="Arial"/>
          <w:noProof/>
          <w:sz w:val="20"/>
          <w:szCs w:val="20"/>
        </w:rPr>
        <w:t>failure to comply with EU legislation on Flag State requirements</w:t>
      </w:r>
      <w:r>
        <w:rPr>
          <w:rStyle w:val="FootnoteReference"/>
          <w:rFonts w:ascii="Arial" w:hAnsi="Arial" w:cs="Arial"/>
          <w:noProof/>
          <w:sz w:val="20"/>
          <w:szCs w:val="20"/>
        </w:rPr>
        <w:footnoteReference w:id="75"/>
      </w:r>
      <w:r>
        <w:rPr>
          <w:rFonts w:ascii="Arial" w:hAnsi="Arial" w:cs="Arial"/>
          <w:noProof/>
          <w:sz w:val="20"/>
          <w:szCs w:val="20"/>
        </w:rPr>
        <w:t>;</w:t>
      </w:r>
    </w:p>
    <w:p>
      <w:pPr>
        <w:pStyle w:val="BodyTextIndent2"/>
        <w:numPr>
          <w:ilvl w:val="0"/>
          <w:numId w:val="132"/>
        </w:numPr>
        <w:spacing w:line="240" w:lineRule="auto"/>
        <w:jc w:val="both"/>
        <w:rPr>
          <w:rFonts w:ascii="Arial" w:hAnsi="Arial" w:cs="Arial"/>
          <w:noProof/>
          <w:sz w:val="20"/>
          <w:szCs w:val="20"/>
        </w:rPr>
      </w:pPr>
      <w:r>
        <w:rPr>
          <w:rFonts w:ascii="Arial" w:hAnsi="Arial" w:cs="Arial"/>
          <w:noProof/>
          <w:sz w:val="20"/>
          <w:szCs w:val="20"/>
        </w:rPr>
        <w:t>failure to comply with the Air Quality Directive</w:t>
      </w:r>
      <w:r>
        <w:rPr>
          <w:rStyle w:val="FootnoteReference"/>
          <w:rFonts w:ascii="Arial" w:hAnsi="Arial" w:cs="Arial"/>
          <w:noProof/>
          <w:sz w:val="20"/>
          <w:szCs w:val="20"/>
        </w:rPr>
        <w:footnoteReference w:id="76"/>
      </w:r>
      <w:r>
        <w:rPr>
          <w:rFonts w:ascii="Arial" w:hAnsi="Arial" w:cs="Arial"/>
          <w:noProof/>
          <w:sz w:val="20"/>
          <w:szCs w:val="20"/>
        </w:rPr>
        <w:t>;</w:t>
      </w:r>
    </w:p>
    <w:p>
      <w:pPr>
        <w:pStyle w:val="BodyTextIndent2"/>
        <w:numPr>
          <w:ilvl w:val="0"/>
          <w:numId w:val="132"/>
        </w:numPr>
        <w:spacing w:line="240" w:lineRule="auto"/>
        <w:jc w:val="both"/>
        <w:rPr>
          <w:rFonts w:ascii="Arial" w:hAnsi="Arial" w:cs="Arial"/>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77"/>
      </w:r>
      <w:r>
        <w:rPr>
          <w:rFonts w:ascii="Arial" w:hAnsi="Arial" w:cs="Arial"/>
          <w:noProof/>
          <w:sz w:val="20"/>
          <w:szCs w:val="20"/>
        </w:rPr>
        <w:t>;</w:t>
      </w:r>
    </w:p>
    <w:p>
      <w:pPr>
        <w:pStyle w:val="Lijstje2"/>
        <w:numPr>
          <w:ilvl w:val="0"/>
          <w:numId w:val="132"/>
        </w:numPr>
        <w:spacing w:after="200" w:line="240" w:lineRule="auto"/>
        <w:jc w:val="both"/>
        <w:rPr>
          <w:rFonts w:ascii="Arial" w:hAnsi="Arial" w:cs="Arial"/>
          <w:noProof/>
          <w:lang w:val="en-GB"/>
        </w:rPr>
      </w:pPr>
      <w:r>
        <w:rPr>
          <w:rFonts w:ascii="Arial" w:hAnsi="Arial" w:cs="Arial"/>
          <w:noProof/>
          <w:lang w:val="en-GB"/>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rPr>
        <w:footnoteReference w:id="78"/>
      </w:r>
      <w:r>
        <w:rPr>
          <w:rFonts w:ascii="Arial" w:hAnsi="Arial" w:cs="Arial"/>
          <w:noProof/>
          <w:lang w:val="en-US"/>
        </w:rPr>
        <w:t>;</w:t>
      </w:r>
    </w:p>
    <w:p>
      <w:pPr>
        <w:pStyle w:val="BodyTextIndent2"/>
        <w:numPr>
          <w:ilvl w:val="0"/>
          <w:numId w:val="132"/>
        </w:numPr>
        <w:spacing w:line="240" w:lineRule="auto"/>
        <w:jc w:val="both"/>
        <w:rPr>
          <w:rFonts w:ascii="Arial" w:hAnsi="Arial" w:cs="Arial"/>
          <w:noProof/>
          <w:sz w:val="20"/>
          <w:szCs w:val="20"/>
        </w:rPr>
      </w:pPr>
      <w:r>
        <w:rPr>
          <w:rFonts w:ascii="Arial" w:hAnsi="Arial" w:cs="Arial"/>
          <w:noProof/>
          <w:sz w:val="20"/>
          <w:szCs w:val="20"/>
        </w:rPr>
        <w:t xml:space="preserve">non-conformity of national transposition measures with the Directive on the recognition of professional qualifications </w:t>
      </w:r>
      <w:r>
        <w:rPr>
          <w:rStyle w:val="FootnoteReference"/>
          <w:rFonts w:ascii="Arial" w:hAnsi="Arial" w:cs="Arial"/>
          <w:noProof/>
          <w:sz w:val="20"/>
          <w:szCs w:val="20"/>
        </w:rPr>
        <w:footnoteReference w:id="79"/>
      </w:r>
      <w:r>
        <w:rPr>
          <w:rFonts w:ascii="Arial" w:hAnsi="Arial" w:cs="Arial"/>
          <w:noProof/>
          <w:sz w:val="20"/>
          <w:szCs w:val="20"/>
        </w:rPr>
        <w:t>;</w:t>
      </w:r>
    </w:p>
    <w:p>
      <w:pPr>
        <w:pStyle w:val="BodyTextIndent2"/>
        <w:numPr>
          <w:ilvl w:val="0"/>
          <w:numId w:val="132"/>
        </w:numPr>
        <w:spacing w:line="240" w:lineRule="auto"/>
        <w:ind w:left="2517" w:hanging="357"/>
        <w:rPr>
          <w:rFonts w:ascii="Arial" w:hAnsi="Arial" w:cs="Arial"/>
          <w:noProof/>
          <w:sz w:val="20"/>
          <w:szCs w:val="20"/>
        </w:rPr>
      </w:pPr>
      <w:r>
        <w:rPr>
          <w:rFonts w:ascii="Arial" w:eastAsia="Calibri" w:hAnsi="Arial" w:cs="Arial"/>
          <w:noProof/>
          <w:kern w:val="20"/>
          <w:sz w:val="20"/>
          <w:lang w:eastAsia="en-GB"/>
        </w:rPr>
        <w:t xml:space="preserve">non-communication of national measures transposing the </w:t>
      </w:r>
    </w:p>
    <w:p>
      <w:pPr>
        <w:pStyle w:val="BodyTextIndent2"/>
        <w:numPr>
          <w:ilvl w:val="1"/>
          <w:numId w:val="132"/>
        </w:numPr>
        <w:spacing w:line="240" w:lineRule="auto"/>
        <w:jc w:val="both"/>
        <w:rPr>
          <w:rFonts w:ascii="Arial" w:hAnsi="Arial" w:cs="Arial"/>
          <w:noProof/>
          <w:sz w:val="20"/>
          <w:szCs w:val="20"/>
        </w:rPr>
      </w:pPr>
      <w:r>
        <w:rPr>
          <w:rFonts w:ascii="Arial" w:eastAsia="Calibri" w:hAnsi="Arial" w:cs="Arial"/>
          <w:noProof/>
          <w:kern w:val="20"/>
          <w:sz w:val="20"/>
          <w:lang w:eastAsia="en-GB"/>
        </w:rPr>
        <w:t>Commission Directive amending the Directive on quality system standards and specifications for blood establishments</w:t>
      </w:r>
      <w:r>
        <w:rPr>
          <w:rStyle w:val="FootnoteReference"/>
          <w:rFonts w:ascii="Arial" w:eastAsia="Calibri" w:hAnsi="Arial" w:cs="Arial"/>
          <w:noProof/>
          <w:kern w:val="20"/>
          <w:sz w:val="20"/>
          <w:lang w:eastAsia="en-GB"/>
        </w:rPr>
        <w:footnoteReference w:id="80"/>
      </w:r>
      <w:r>
        <w:rPr>
          <w:rFonts w:ascii="Arial" w:eastAsia="Calibri" w:hAnsi="Arial" w:cs="Arial"/>
          <w:noProof/>
          <w:kern w:val="20"/>
          <w:sz w:val="20"/>
          <w:lang w:eastAsia="en-GB"/>
        </w:rPr>
        <w:t>;</w:t>
      </w:r>
    </w:p>
    <w:p>
      <w:pPr>
        <w:pStyle w:val="BodyTextIndent2"/>
        <w:numPr>
          <w:ilvl w:val="1"/>
          <w:numId w:val="132"/>
        </w:numPr>
        <w:spacing w:line="240" w:lineRule="auto"/>
        <w:jc w:val="both"/>
        <w:rPr>
          <w:rFonts w:ascii="Arial" w:hAnsi="Arial" w:cs="Arial"/>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81"/>
      </w:r>
      <w:r>
        <w:rPr>
          <w:rFonts w:ascii="Arial" w:hAnsi="Arial" w:cs="Arial"/>
          <w:noProof/>
          <w:sz w:val="20"/>
          <w:szCs w:val="20"/>
        </w:rPr>
        <w:t>;</w:t>
      </w:r>
    </w:p>
    <w:p>
      <w:pPr>
        <w:pStyle w:val="BodyTextIndent2"/>
        <w:numPr>
          <w:ilvl w:val="1"/>
          <w:numId w:val="132"/>
        </w:numPr>
        <w:spacing w:line="240" w:lineRule="auto"/>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82"/>
      </w:r>
      <w:r>
        <w:rPr>
          <w:rFonts w:ascii="Arial" w:hAnsi="Arial" w:cs="Arial"/>
          <w:noProof/>
          <w:sz w:val="20"/>
          <w:szCs w:val="20"/>
        </w:rPr>
        <w:t>;</w:t>
      </w:r>
    </w:p>
    <w:p>
      <w:pPr>
        <w:pStyle w:val="BodyTextIndent2"/>
        <w:numPr>
          <w:ilvl w:val="1"/>
          <w:numId w:val="132"/>
        </w:numPr>
        <w:spacing w:line="240" w:lineRule="auto"/>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83"/>
      </w:r>
      <w:r>
        <w:rPr>
          <w:rFonts w:ascii="Arial" w:hAnsi="Arial" w:cs="Arial"/>
          <w:noProof/>
          <w:sz w:val="20"/>
          <w:szCs w:val="20"/>
        </w:rPr>
        <w:t>.</w:t>
      </w:r>
    </w:p>
    <w:p>
      <w:pPr>
        <w:numPr>
          <w:ilvl w:val="0"/>
          <w:numId w:val="80"/>
        </w:numPr>
        <w:ind w:left="1276" w:hanging="425"/>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80"/>
        </w:numPr>
        <w:ind w:left="1276" w:hanging="425"/>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noProof/>
        </w:rPr>
        <w:br w:type="page"/>
      </w:r>
    </w:p>
    <w:p>
      <w:pPr>
        <w:pStyle w:val="AnnualReport1"/>
        <w:numPr>
          <w:ilvl w:val="0"/>
          <w:numId w:val="144"/>
        </w:numPr>
        <w:spacing w:after="240"/>
        <w:ind w:left="709" w:hanging="425"/>
        <w:rPr>
          <w:caps w:val="0"/>
          <w:noProof/>
        </w:rPr>
      </w:pPr>
      <w:r>
        <w:rPr>
          <w:noProof/>
        </w:rPr>
        <w:t>TRANSPOSITION</w:t>
      </w:r>
      <w:r>
        <w:rPr>
          <w:caps w:val="0"/>
          <w:noProof/>
        </w:rPr>
        <w:t xml:space="preserve"> OF DIRECTIVES</w:t>
      </w:r>
    </w:p>
    <w:p>
      <w:pPr>
        <w:pStyle w:val="AnnualReport2"/>
        <w:numPr>
          <w:ilvl w:val="0"/>
          <w:numId w:val="67"/>
        </w:numPr>
        <w:ind w:left="709" w:hanging="425"/>
        <w:rPr>
          <w:noProof/>
        </w:rPr>
      </w:pPr>
      <w:r>
        <w:rPr>
          <w:noProof/>
        </w:rPr>
        <w:t>Late transposition infringement cases against Czechia open on 31 December (2014-2018)</w:t>
      </w:r>
    </w:p>
    <w:p>
      <w:pPr>
        <w:ind w:left="426" w:firstLine="283"/>
        <w:rPr>
          <w:noProof/>
        </w:rPr>
      </w:pPr>
      <w:r>
        <w:rPr>
          <w:noProof/>
          <w:lang w:eastAsia="en-GB"/>
        </w:rPr>
        <w:drawing>
          <wp:inline distT="0" distB="0" distL="0" distR="0">
            <wp:extent cx="4612005" cy="2289810"/>
            <wp:effectExtent l="0" t="0" r="0" b="0"/>
            <wp:docPr id="103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AnnualReport2"/>
        <w:numPr>
          <w:ilvl w:val="0"/>
          <w:numId w:val="67"/>
        </w:numPr>
        <w:ind w:left="709" w:hanging="425"/>
        <w:rPr>
          <w:noProof/>
        </w:rPr>
      </w:pPr>
      <w:r>
        <w:rPr>
          <w:noProof/>
        </w:rPr>
        <w:t>New late transposition infringement cases against Czechia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89810"/>
            <wp:effectExtent l="0" t="0" r="17145" b="15240"/>
            <wp:docPr id="10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AnnualReport2"/>
        <w:numPr>
          <w:ilvl w:val="0"/>
          <w:numId w:val="67"/>
        </w:numPr>
        <w:ind w:left="709" w:hanging="567"/>
        <w:rPr>
          <w:noProof/>
        </w:rPr>
      </w:pPr>
      <w:r>
        <w:rPr>
          <w:noProof/>
        </w:rPr>
        <w:t>New late transposition infringement cases opened in 2018: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512695"/>
            <wp:effectExtent l="0" t="0" r="13970" b="1905"/>
            <wp:docPr id="1030"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AnnualReport2"/>
        <w:numPr>
          <w:ilvl w:val="0"/>
          <w:numId w:val="67"/>
        </w:numPr>
        <w:ind w:left="709" w:hanging="862"/>
        <w:rPr>
          <w:noProof/>
        </w:rPr>
      </w:pPr>
      <w:r>
        <w:rPr>
          <w:noProof/>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44"/>
        </w:numPr>
        <w:spacing w:after="240"/>
        <w:rPr>
          <w:caps w:val="0"/>
          <w:noProof/>
        </w:rPr>
      </w:pPr>
      <w:r>
        <w:rPr>
          <w:caps w:val="0"/>
          <w:noProof/>
        </w:rPr>
        <w:t>EARLY RESOLUTION OF INFRINGEMENT CASES</w:t>
      </w:r>
    </w:p>
    <w:p>
      <w:pPr>
        <w:pStyle w:val="ListParagraph"/>
        <w:spacing w:after="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15"/>
        </w:numPr>
        <w:spacing w:after="120"/>
        <w:rPr>
          <w:rFonts w:ascii="Arial" w:hAnsi="Arial" w:cs="Arial"/>
          <w:noProof/>
          <w:sz w:val="20"/>
          <w:szCs w:val="20"/>
        </w:rPr>
      </w:pPr>
      <w:r>
        <w:rPr>
          <w:rFonts w:ascii="Arial" w:hAnsi="Arial" w:cs="Arial"/>
          <w:noProof/>
          <w:sz w:val="20"/>
          <w:szCs w:val="20"/>
        </w:rPr>
        <w:t>non-compliance with the Security of Gas Supply Regulation</w:t>
      </w:r>
      <w:r>
        <w:rPr>
          <w:rStyle w:val="FootnoteReference"/>
          <w:rFonts w:ascii="Arial" w:hAnsi="Arial" w:cs="Arial"/>
          <w:noProof/>
          <w:sz w:val="20"/>
          <w:szCs w:val="20"/>
        </w:rPr>
        <w:footnoteReference w:id="84"/>
      </w:r>
      <w:r>
        <w:rPr>
          <w:rFonts w:ascii="Arial" w:hAnsi="Arial" w:cs="Arial"/>
          <w:noProof/>
          <w:sz w:val="20"/>
          <w:szCs w:val="20"/>
        </w:rPr>
        <w:t>;</w:t>
      </w:r>
    </w:p>
    <w:p>
      <w:pPr>
        <w:pStyle w:val="ListParagraph"/>
        <w:numPr>
          <w:ilvl w:val="0"/>
          <w:numId w:val="15"/>
        </w:numPr>
        <w:spacing w:after="120"/>
        <w:rPr>
          <w:rFonts w:ascii="Arial" w:hAnsi="Arial" w:cs="Arial"/>
          <w:noProof/>
          <w:sz w:val="20"/>
          <w:szCs w:val="20"/>
        </w:rPr>
      </w:pPr>
      <w:r>
        <w:rPr>
          <w:rFonts w:ascii="Arial" w:hAnsi="Arial" w:cs="Arial"/>
          <w:noProof/>
          <w:sz w:val="20"/>
          <w:szCs w:val="20"/>
          <w:lang w:bidi="en-US"/>
        </w:rPr>
        <w:t xml:space="preserve">non-conformity with the Directive </w:t>
      </w:r>
      <w:r>
        <w:rPr>
          <w:rFonts w:ascii="Arial" w:hAnsi="Arial" w:cs="Arial"/>
          <w:noProof/>
          <w:sz w:val="20"/>
          <w:szCs w:val="20"/>
        </w:rPr>
        <w:t>on the authorisation of electronic communications networks and services (Authorisation Directive)</w:t>
      </w:r>
      <w:r>
        <w:rPr>
          <w:rStyle w:val="FootnoteReference"/>
          <w:rFonts w:ascii="Arial" w:hAnsi="Arial" w:cs="Arial"/>
          <w:noProof/>
          <w:sz w:val="20"/>
          <w:szCs w:val="20"/>
          <w:lang w:bidi="en-US"/>
        </w:rPr>
        <w:footnoteReference w:id="85"/>
      </w:r>
      <w:r>
        <w:rPr>
          <w:rFonts w:ascii="Arial" w:hAnsi="Arial" w:cs="Arial"/>
          <w:noProof/>
          <w:sz w:val="20"/>
          <w:szCs w:val="20"/>
          <w:lang w:bidi="en-US"/>
        </w:rPr>
        <w:t>;</w:t>
      </w:r>
    </w:p>
    <w:p>
      <w:pPr>
        <w:pStyle w:val="ListParagraph"/>
        <w:numPr>
          <w:ilvl w:val="0"/>
          <w:numId w:val="15"/>
        </w:numPr>
        <w:spacing w:after="120"/>
        <w:rPr>
          <w:rFonts w:ascii="Arial" w:hAnsi="Arial" w:cs="Arial"/>
          <w:noProof/>
          <w:sz w:val="20"/>
          <w:szCs w:val="20"/>
        </w:rPr>
      </w:pPr>
      <w:r>
        <w:rPr>
          <w:rFonts w:ascii="Arial" w:hAnsi="Arial" w:cs="Arial"/>
          <w:noProof/>
          <w:sz w:val="20"/>
          <w:szCs w:val="20"/>
          <w:lang w:bidi="en-US"/>
        </w:rPr>
        <w:t>failure to designate competent authorities responsible for the application of the Regulation on compliance measures for the Nahoya Protocol on access to genetic resources and the fair and equitable sharing of benefits from their utilisation</w:t>
      </w:r>
      <w:r>
        <w:rPr>
          <w:rStyle w:val="FootnoteReference"/>
          <w:rFonts w:ascii="Arial" w:hAnsi="Arial" w:cs="Arial"/>
          <w:noProof/>
          <w:sz w:val="20"/>
          <w:szCs w:val="20"/>
          <w:lang w:bidi="en-US"/>
        </w:rPr>
        <w:footnoteReference w:id="86"/>
      </w:r>
      <w:r>
        <w:rPr>
          <w:rFonts w:ascii="Arial" w:hAnsi="Arial" w:cs="Arial"/>
          <w:noProof/>
          <w:sz w:val="20"/>
          <w:szCs w:val="20"/>
          <w:lang w:bidi="en-US"/>
        </w:rPr>
        <w:t>;</w:t>
      </w:r>
    </w:p>
    <w:p>
      <w:pPr>
        <w:pStyle w:val="ListParagraph"/>
        <w:numPr>
          <w:ilvl w:val="0"/>
          <w:numId w:val="15"/>
        </w:numPr>
        <w:spacing w:after="120"/>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1"/>
          <w:numId w:val="15"/>
        </w:numPr>
        <w:spacing w:after="120"/>
        <w:jc w:val="both"/>
        <w:rPr>
          <w:rFonts w:ascii="Arial" w:hAnsi="Arial" w:cs="Arial"/>
          <w:noProof/>
          <w:sz w:val="20"/>
        </w:rPr>
      </w:pPr>
      <w:r>
        <w:rPr>
          <w:rFonts w:ascii="Arial" w:hAnsi="Arial" w:cs="Arial"/>
          <w:noProof/>
          <w:sz w:val="20"/>
          <w:szCs w:val="20"/>
        </w:rPr>
        <w:t>Directive on measures facilitating the exercise of rights conferred on workers in the context of freedom of movement for workers</w:t>
      </w:r>
      <w:r>
        <w:rPr>
          <w:rStyle w:val="FootnoteReference"/>
          <w:rFonts w:ascii="Arial" w:hAnsi="Arial" w:cs="Arial"/>
          <w:noProof/>
        </w:rPr>
        <w:footnoteReference w:id="87"/>
      </w:r>
      <w:r>
        <w:rPr>
          <w:rFonts w:ascii="Arial" w:hAnsi="Arial" w:cs="Arial"/>
          <w:noProof/>
          <w:sz w:val="20"/>
          <w:szCs w:val="20"/>
        </w:rPr>
        <w:t>;</w:t>
      </w:r>
    </w:p>
    <w:p>
      <w:pPr>
        <w:pStyle w:val="ListParagraph"/>
        <w:numPr>
          <w:ilvl w:val="1"/>
          <w:numId w:val="15"/>
        </w:numPr>
        <w:spacing w:after="120"/>
        <w:jc w:val="both"/>
        <w:rPr>
          <w:rFonts w:ascii="Arial" w:hAnsi="Arial" w:cs="Arial"/>
          <w:noProof/>
          <w:sz w:val="20"/>
        </w:rPr>
      </w:pPr>
      <w:r>
        <w:rPr>
          <w:rFonts w:ascii="Arial" w:eastAsia="Times New Roman" w:hAnsi="Arial" w:cs="Arial"/>
          <w:noProof/>
          <w:sz w:val="20"/>
          <w:szCs w:val="20"/>
          <w:lang w:eastAsia="en-GB"/>
        </w:rPr>
        <w:t>Mortgage Credit Directive</w:t>
      </w:r>
      <w:r>
        <w:rPr>
          <w:rStyle w:val="FootnoteReference"/>
          <w:rFonts w:ascii="Arial" w:eastAsia="Times New Roman" w:hAnsi="Arial" w:cs="Arial"/>
          <w:noProof/>
          <w:sz w:val="20"/>
          <w:szCs w:val="20"/>
          <w:lang w:eastAsia="en-GB"/>
        </w:rPr>
        <w:footnoteReference w:id="88"/>
      </w:r>
      <w:r>
        <w:rPr>
          <w:rFonts w:ascii="Arial" w:eastAsia="Times New Roman" w:hAnsi="Arial" w:cs="Arial"/>
          <w:noProof/>
          <w:sz w:val="20"/>
          <w:szCs w:val="20"/>
          <w:lang w:eastAsia="en-GB"/>
        </w:rPr>
        <w:t>;</w:t>
      </w:r>
    </w:p>
    <w:p>
      <w:pPr>
        <w:pStyle w:val="ListParagraph"/>
        <w:numPr>
          <w:ilvl w:val="1"/>
          <w:numId w:val="15"/>
        </w:numPr>
        <w:spacing w:after="120"/>
        <w:jc w:val="both"/>
        <w:rPr>
          <w:rFonts w:ascii="Arial" w:hAnsi="Arial" w:cs="Arial"/>
          <w:noProof/>
          <w:sz w:val="20"/>
        </w:rPr>
      </w:pPr>
      <w:r>
        <w:rPr>
          <w:rFonts w:ascii="Arial" w:hAnsi="Arial" w:cs="Arial"/>
          <w:noProof/>
          <w:sz w:val="20"/>
        </w:rPr>
        <w:t>Commission Directive amending the Directive on quality system standards and specifications for blood establishments</w:t>
      </w:r>
      <w:r>
        <w:rPr>
          <w:rFonts w:ascii="Arial" w:hAnsi="Arial" w:cs="Arial"/>
          <w:noProof/>
          <w:sz w:val="20"/>
          <w:vertAlign w:val="superscript"/>
          <w:lang w:val="nl-NL"/>
        </w:rPr>
        <w:footnoteReference w:id="89"/>
      </w:r>
      <w:r>
        <w:rPr>
          <w:rFonts w:ascii="Arial" w:hAnsi="Arial" w:cs="Arial"/>
          <w:noProof/>
          <w:sz w:val="20"/>
        </w:rPr>
        <w:t>;</w:t>
      </w:r>
    </w:p>
    <w:p>
      <w:pPr>
        <w:pStyle w:val="ListParagraph"/>
        <w:numPr>
          <w:ilvl w:val="1"/>
          <w:numId w:val="15"/>
        </w:numPr>
        <w:spacing w:after="120"/>
        <w:jc w:val="both"/>
        <w:rPr>
          <w:rFonts w:ascii="Arial" w:hAnsi="Arial" w:cs="Arial"/>
          <w:noProof/>
          <w:sz w:val="20"/>
        </w:rPr>
      </w:pPr>
      <w:r>
        <w:rPr>
          <w:rFonts w:ascii="Arial" w:hAnsi="Arial" w:cs="Arial"/>
          <w:noProof/>
          <w:sz w:val="20"/>
        </w:rPr>
        <w:t>Directive on protective measures against the introduction into the Community of organisms harmful to plants</w:t>
      </w:r>
      <w:r>
        <w:rPr>
          <w:rFonts w:ascii="Arial" w:hAnsi="Arial" w:cs="Arial"/>
          <w:noProof/>
          <w:sz w:val="20"/>
          <w:vertAlign w:val="superscript"/>
          <w:lang w:val="nl-NL"/>
        </w:rPr>
        <w:footnoteReference w:id="90"/>
      </w:r>
      <w:r>
        <w:rPr>
          <w:rFonts w:ascii="Arial" w:hAnsi="Arial" w:cs="Arial"/>
          <w:noProof/>
          <w:sz w:val="20"/>
        </w:rPr>
        <w:t>;</w:t>
      </w:r>
    </w:p>
    <w:p>
      <w:pPr>
        <w:pStyle w:val="ListParagraph"/>
        <w:numPr>
          <w:ilvl w:val="1"/>
          <w:numId w:val="15"/>
        </w:numPr>
        <w:spacing w:after="120"/>
        <w:jc w:val="both"/>
        <w:rPr>
          <w:rFonts w:ascii="Arial" w:hAnsi="Arial" w:cs="Arial"/>
          <w:noProof/>
          <w:sz w:val="20"/>
        </w:rPr>
      </w:pPr>
      <w:r>
        <w:rPr>
          <w:rFonts w:ascii="Arial" w:hAnsi="Arial" w:cs="Arial"/>
          <w:bCs/>
          <w:noProof/>
          <w:sz w:val="20"/>
        </w:rPr>
        <w:t>Directive on intra-corporate transfer</w:t>
      </w:r>
      <w:r>
        <w:rPr>
          <w:noProof/>
          <w:vertAlign w:val="superscript"/>
        </w:rPr>
        <w:footnoteReference w:id="91"/>
      </w:r>
      <w:r>
        <w:rPr>
          <w:rFonts w:ascii="Arial" w:hAnsi="Arial" w:cs="Arial"/>
          <w:bCs/>
          <w:noProof/>
          <w:sz w:val="20"/>
        </w:rPr>
        <w:t>;</w:t>
      </w:r>
    </w:p>
    <w:p>
      <w:pPr>
        <w:pStyle w:val="ListParagraph"/>
        <w:numPr>
          <w:ilvl w:val="1"/>
          <w:numId w:val="15"/>
        </w:numPr>
        <w:spacing w:after="120"/>
        <w:jc w:val="both"/>
        <w:rPr>
          <w:rFonts w:ascii="Arial" w:hAnsi="Arial" w:cs="Arial"/>
          <w:noProof/>
          <w:sz w:val="20"/>
        </w:rPr>
      </w:pPr>
      <w:r>
        <w:rPr>
          <w:rFonts w:ascii="Arial" w:hAnsi="Arial" w:cs="Arial"/>
          <w:noProof/>
          <w:sz w:val="20"/>
          <w:szCs w:val="20"/>
        </w:rPr>
        <w:t xml:space="preserve">Unfair Commercial Practices Directive; </w:t>
      </w:r>
    </w:p>
    <w:p>
      <w:pPr>
        <w:pStyle w:val="ListParagraph"/>
        <w:numPr>
          <w:ilvl w:val="1"/>
          <w:numId w:val="15"/>
        </w:numPr>
        <w:spacing w:after="120"/>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92"/>
      </w:r>
      <w:r>
        <w:rPr>
          <w:rFonts w:ascii="Arial" w:eastAsia="Calibri" w:hAnsi="Arial" w:cs="Arial"/>
          <w:noProof/>
          <w:sz w:val="20"/>
          <w:szCs w:val="20"/>
          <w:lang w:eastAsia="en-GB"/>
        </w:rPr>
        <w:t>.</w:t>
      </w:r>
    </w:p>
    <w:p>
      <w:pPr>
        <w:pStyle w:val="ListParagraph"/>
        <w:numPr>
          <w:ilvl w:val="0"/>
          <w:numId w:val="15"/>
        </w:numPr>
        <w:spacing w:after="0"/>
        <w:ind w:hanging="357"/>
        <w:rPr>
          <w:rFonts w:ascii="Arial" w:hAnsi="Arial" w:cs="Arial"/>
          <w:noProof/>
          <w:sz w:val="20"/>
          <w:szCs w:val="20"/>
        </w:rPr>
      </w:pPr>
      <w:r>
        <w:rPr>
          <w:rFonts w:ascii="Arial" w:hAnsi="Arial" w:cs="Arial"/>
          <w:bCs/>
          <w:noProof/>
          <w:sz w:val="20"/>
        </w:rPr>
        <w:t>Directive on the freezing and confiscation of instrumentalities and proceeds of crime</w:t>
      </w:r>
      <w:r>
        <w:rPr>
          <w:rStyle w:val="FootnoteReference"/>
          <w:rFonts w:ascii="Arial" w:hAnsi="Arial" w:cs="Arial"/>
          <w:bCs/>
          <w:noProof/>
          <w:sz w:val="20"/>
        </w:rPr>
        <w:footnoteReference w:id="93"/>
      </w:r>
      <w:r>
        <w:rPr>
          <w:rFonts w:ascii="Arial" w:hAnsi="Arial" w:cs="Arial"/>
          <w:bCs/>
          <w:noProof/>
          <w:sz w:val="20"/>
        </w:rPr>
        <w:t>.</w:t>
      </w:r>
    </w:p>
    <w:p>
      <w:pPr>
        <w:pStyle w:val="AnnualReport1"/>
        <w:numPr>
          <w:ilvl w:val="0"/>
          <w:numId w:val="144"/>
        </w:numPr>
        <w:spacing w:before="240"/>
        <w:ind w:left="709" w:hanging="425"/>
        <w:rPr>
          <w:caps w:val="0"/>
          <w:noProof/>
        </w:rPr>
      </w:pPr>
      <w:r>
        <w:rPr>
          <w:caps w:val="0"/>
          <w:noProof/>
        </w:rPr>
        <w:t>IMPORTANT JUDGMENTS</w:t>
      </w:r>
    </w:p>
    <w:p>
      <w:pPr>
        <w:pStyle w:val="AnnualReport2"/>
        <w:numPr>
          <w:ilvl w:val="0"/>
          <w:numId w:val="68"/>
        </w:numPr>
        <w:ind w:left="709" w:hanging="425"/>
        <w:rPr>
          <w:noProof/>
        </w:rPr>
      </w:pPr>
      <w:r>
        <w:rPr>
          <w:noProof/>
        </w:rPr>
        <w:t>Court rulings</w:t>
      </w:r>
    </w:p>
    <w:p>
      <w:pPr>
        <w:spacing w:after="120"/>
        <w:ind w:firstLine="709"/>
        <w:rPr>
          <w:rFonts w:ascii="Arial" w:hAnsi="Arial" w:cs="Arial"/>
          <w:noProof/>
          <w:sz w:val="20"/>
        </w:rPr>
      </w:pPr>
      <w:r>
        <w:rPr>
          <w:rFonts w:ascii="Arial" w:hAnsi="Arial" w:cs="Arial"/>
          <w:noProof/>
          <w:sz w:val="20"/>
        </w:rPr>
        <w:t>The Court ruled that:</w:t>
      </w:r>
    </w:p>
    <w:p>
      <w:pPr>
        <w:pStyle w:val="ListParagraph"/>
        <w:numPr>
          <w:ilvl w:val="0"/>
          <w:numId w:val="15"/>
        </w:numPr>
        <w:spacing w:after="120"/>
        <w:jc w:val="both"/>
        <w:rPr>
          <w:rFonts w:ascii="Arial" w:eastAsia="Calibri" w:hAnsi="Arial" w:cs="Arial"/>
          <w:noProof/>
          <w:kern w:val="20"/>
          <w:sz w:val="20"/>
        </w:rPr>
      </w:pPr>
      <w:r>
        <w:rPr>
          <w:rFonts w:ascii="Arial" w:hAnsi="Arial" w:cs="Arial"/>
          <w:iCs/>
          <w:noProof/>
          <w:sz w:val="20"/>
          <w:szCs w:val="20"/>
        </w:rPr>
        <w:t>Czechia</w:t>
      </w:r>
      <w:r>
        <w:rPr>
          <w:rFonts w:ascii="Arial" w:hAnsi="Arial" w:cs="Arial"/>
          <w:noProof/>
          <w:sz w:val="20"/>
          <w:szCs w:val="20"/>
        </w:rPr>
        <w:t xml:space="preserve"> incorrectly implemented the definitions of categories of motor vehicles as set out in the Directive on driving licences</w:t>
      </w:r>
      <w:r>
        <w:rPr>
          <w:rStyle w:val="Ancredenotedebasdepage"/>
          <w:rFonts w:ascii="Arial" w:hAnsi="Arial" w:cs="Arial"/>
          <w:noProof/>
          <w:sz w:val="20"/>
          <w:szCs w:val="20"/>
        </w:rPr>
        <w:footnoteReference w:id="94"/>
      </w:r>
      <w:r>
        <w:rPr>
          <w:rFonts w:ascii="Arial" w:hAnsi="Arial" w:cs="Arial"/>
          <w:noProof/>
          <w:sz w:val="20"/>
          <w:szCs w:val="20"/>
        </w:rPr>
        <w:t>;</w:t>
      </w:r>
    </w:p>
    <w:p>
      <w:pPr>
        <w:numPr>
          <w:ilvl w:val="0"/>
          <w:numId w:val="15"/>
        </w:numPr>
        <w:spacing w:after="100" w:afterAutospacing="1"/>
        <w:jc w:val="both"/>
        <w:rPr>
          <w:rFonts w:ascii="Arial" w:hAnsi="Arial" w:cs="Arial"/>
          <w:noProof/>
          <w:sz w:val="20"/>
          <w:szCs w:val="20"/>
        </w:rPr>
      </w:pPr>
      <w:r>
        <w:rPr>
          <w:rFonts w:ascii="Arial" w:hAnsi="Arial" w:cs="Arial"/>
          <w:noProof/>
          <w:sz w:val="20"/>
          <w:szCs w:val="20"/>
        </w:rPr>
        <w:t>Czechia failed to fulfil its obligations under EU law by imposing a condition of nationality for access to the profession of notary in the Czech legal system</w:t>
      </w:r>
      <w:r>
        <w:rPr>
          <w:rStyle w:val="FootnoteReference"/>
          <w:rFonts w:ascii="Arial" w:hAnsi="Arial" w:cs="Arial"/>
          <w:noProof/>
          <w:sz w:val="20"/>
          <w:szCs w:val="20"/>
        </w:rPr>
        <w:footnoteReference w:id="95"/>
      </w:r>
      <w:r>
        <w:rPr>
          <w:noProof/>
        </w:rPr>
        <w:t>.</w:t>
      </w:r>
    </w:p>
    <w:p>
      <w:pPr>
        <w:pStyle w:val="AnnualReport2"/>
        <w:numPr>
          <w:ilvl w:val="0"/>
          <w:numId w:val="68"/>
        </w:numPr>
        <w:ind w:left="709" w:hanging="425"/>
        <w:rPr>
          <w:noProof/>
        </w:rPr>
      </w:pPr>
      <w:r>
        <w:rPr>
          <w:noProof/>
        </w:rPr>
        <w:t>Preliminary rulings</w:t>
      </w:r>
    </w:p>
    <w:p>
      <w:pPr>
        <w:pStyle w:val="Body"/>
        <w:ind w:left="426" w:firstLine="294"/>
        <w:rPr>
          <w:noProof/>
        </w:rPr>
      </w:pPr>
      <w:r>
        <w:rPr>
          <w:noProof/>
        </w:rPr>
        <w:t xml:space="preserve">No major preliminary rulings were addressed to the </w:t>
      </w:r>
      <w:r>
        <w:rPr>
          <w:noProof/>
          <w:lang w:val="en-GB"/>
        </w:rPr>
        <w:t xml:space="preserve">Czech </w:t>
      </w:r>
      <w:r>
        <w:rPr>
          <w:noProof/>
        </w:rPr>
        <w:t>judiciary in 2018.</w:t>
      </w:r>
    </w:p>
    <w:p>
      <w:pPr>
        <w:pStyle w:val="ListParagraph"/>
        <w:spacing w:after="120"/>
        <w:ind w:left="1276"/>
        <w:rPr>
          <w:rFonts w:ascii="Arial" w:hAnsi="Arial" w:cs="Arial"/>
          <w:noProof/>
          <w:sz w:val="20"/>
        </w:rPr>
        <w:sectPr>
          <w:headerReference w:type="even" r:id="rId69"/>
          <w:headerReference w:type="default" r:id="rId70"/>
          <w:footerReference w:type="even" r:id="rId71"/>
          <w:footerReference w:type="default" r:id="rId72"/>
          <w:headerReference w:type="first" r:id="rId73"/>
          <w:footerReference w:type="first" r:id="rId74"/>
          <w:footnotePr>
            <w:numRestart w:val="eachSect"/>
          </w:footnotePr>
          <w:pgSz w:w="11906" w:h="16838"/>
          <w:pgMar w:top="1843" w:right="1417" w:bottom="1134" w:left="1417" w:header="567" w:footer="351" w:gutter="0"/>
          <w:cols w:space="708"/>
          <w:titlePg/>
          <w:docGrid w:linePitch="360"/>
        </w:sectPr>
      </w:pPr>
    </w:p>
    <w:p>
      <w:pPr>
        <w:pStyle w:val="Heading1"/>
        <w:rPr>
          <w:noProof/>
          <w:szCs w:val="24"/>
        </w:rPr>
      </w:pPr>
      <w:bookmarkStart w:id="32" w:name="_Toc444769590"/>
      <w:bookmarkStart w:id="33" w:name="_Toc444772046"/>
      <w:bookmarkStart w:id="34" w:name="_Toc444773365"/>
      <w:bookmarkStart w:id="35" w:name="_Toc444776737"/>
      <w:bookmarkStart w:id="36" w:name="_Toc475974644"/>
      <w:bookmarkStart w:id="37" w:name="_Toc475980140"/>
      <w:bookmarkStart w:id="38" w:name="_Toc475981389"/>
      <w:bookmarkStart w:id="39" w:name="_Toc484622320"/>
      <w:bookmarkStart w:id="40" w:name="_Toc5788358"/>
      <w:r>
        <w:rPr>
          <w:noProof/>
          <w:szCs w:val="24"/>
        </w:rPr>
        <w:t>Denmark</w:t>
      </w:r>
      <w:bookmarkEnd w:id="32"/>
      <w:bookmarkEnd w:id="33"/>
      <w:bookmarkEnd w:id="34"/>
      <w:bookmarkEnd w:id="35"/>
      <w:bookmarkEnd w:id="36"/>
      <w:bookmarkEnd w:id="37"/>
      <w:bookmarkEnd w:id="38"/>
      <w:bookmarkEnd w:id="39"/>
      <w:bookmarkEnd w:id="40"/>
    </w:p>
    <w:p>
      <w:pPr>
        <w:pStyle w:val="AnnualReport1"/>
        <w:numPr>
          <w:ilvl w:val="0"/>
          <w:numId w:val="145"/>
        </w:numPr>
        <w:spacing w:after="240"/>
        <w:rPr>
          <w:noProof/>
        </w:rPr>
      </w:pPr>
      <w:r>
        <w:rPr>
          <w:caps w:val="0"/>
          <w:noProof/>
        </w:rPr>
        <w:t>COMPLAINTS</w:t>
      </w:r>
    </w:p>
    <w:p>
      <w:pPr>
        <w:pStyle w:val="AnnualReport2"/>
        <w:numPr>
          <w:ilvl w:val="0"/>
          <w:numId w:val="52"/>
        </w:numPr>
        <w:ind w:left="709" w:hanging="425"/>
        <w:rPr>
          <w:noProof/>
        </w:rPr>
      </w:pPr>
      <w:r>
        <w:rPr>
          <w:noProof/>
        </w:rPr>
        <w:t>New complaints made against Denmark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31995" cy="1844675"/>
            <wp:effectExtent l="0" t="0" r="0" b="0"/>
            <wp:docPr id="102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AnnualReport2"/>
        <w:numPr>
          <w:ilvl w:val="0"/>
          <w:numId w:val="52"/>
        </w:numPr>
        <w:ind w:left="709" w:hanging="425"/>
        <w:rPr>
          <w:noProof/>
        </w:rPr>
      </w:pPr>
      <w:r>
        <w:rPr>
          <w:noProof/>
        </w:rPr>
        <w:t>Public complaints against Denmark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51</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56</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68</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39</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52"/>
        </w:numPr>
        <w:ind w:left="709" w:hanging="425"/>
        <w:rPr>
          <w:noProof/>
        </w:rPr>
      </w:pPr>
      <w:r>
        <w:rPr>
          <w:noProof/>
        </w:rPr>
        <w:t>New complaints registered in 2018: main policy areas</w:t>
      </w:r>
    </w:p>
    <w:p>
      <w:pPr>
        <w:pStyle w:val="Body"/>
        <w:rPr>
          <w:noProof/>
        </w:rPr>
      </w:pPr>
      <w:r>
        <w:rPr>
          <w:noProof/>
          <w:lang w:val="en-GB" w:eastAsia="en-GB"/>
        </w:rPr>
        <w:drawing>
          <wp:inline distT="0" distB="0" distL="0" distR="0">
            <wp:extent cx="4617720" cy="2241550"/>
            <wp:effectExtent l="0" t="0" r="11430" b="6350"/>
            <wp:docPr id="1075"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pacing w:after="200" w:line="276" w:lineRule="auto"/>
        <w:rPr>
          <w:rFonts w:ascii="Arial" w:hAnsi="Arial" w:cs="Arial"/>
          <w:noProof/>
          <w:sz w:val="20"/>
        </w:rPr>
      </w:pPr>
      <w:r>
        <w:rPr>
          <w:noProof/>
        </w:rPr>
        <w:br w:type="page"/>
      </w:r>
    </w:p>
    <w:p>
      <w:pPr>
        <w:pStyle w:val="AnnualReport1"/>
        <w:numPr>
          <w:ilvl w:val="0"/>
          <w:numId w:val="145"/>
        </w:numPr>
        <w:spacing w:after="240"/>
        <w:rPr>
          <w:caps w:val="0"/>
          <w:noProof/>
        </w:rPr>
      </w:pPr>
      <w:r>
        <w:rPr>
          <w:caps w:val="0"/>
          <w:noProof/>
        </w:rPr>
        <w:t>EU PILOT</w:t>
      </w:r>
    </w:p>
    <w:p>
      <w:pPr>
        <w:pStyle w:val="AnnualReport2"/>
        <w:numPr>
          <w:ilvl w:val="0"/>
          <w:numId w:val="53"/>
        </w:numPr>
        <w:ind w:left="709" w:hanging="425"/>
        <w:rPr>
          <w:noProof/>
        </w:rPr>
      </w:pPr>
      <w:r>
        <w:rPr>
          <w:noProof/>
        </w:rPr>
        <w:t>New EU Pilot files opened against Denmark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7875" cy="2003425"/>
            <wp:effectExtent l="0" t="0" r="3175" b="15875"/>
            <wp:docPr id="106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AnnualReport2"/>
        <w:numPr>
          <w:ilvl w:val="0"/>
          <w:numId w:val="53"/>
        </w:numPr>
        <w:ind w:left="709" w:hanging="425"/>
        <w:rPr>
          <w:noProof/>
        </w:rPr>
      </w:pPr>
      <w:r>
        <w:rPr>
          <w:noProof/>
        </w:rPr>
        <w:t>Files relating to Denmark open in EU Pilot at year-end</w:t>
      </w:r>
    </w:p>
    <w:p>
      <w:pPr>
        <w:spacing w:after="0"/>
        <w:ind w:firstLine="709"/>
        <w:rPr>
          <w:rFonts w:ascii="Arial" w:hAnsi="Arial" w:cs="Arial"/>
          <w:noProof/>
          <w:sz w:val="20"/>
        </w:rPr>
      </w:pPr>
      <w:r>
        <w:rPr>
          <w:rFonts w:ascii="Arial" w:hAnsi="Arial" w:cs="Arial"/>
          <w:noProof/>
          <w:sz w:val="20"/>
          <w:lang w:eastAsia="en-GB"/>
        </w:rPr>
        <w:drawing>
          <wp:inline distT="0" distB="0" distL="0" distR="0">
            <wp:extent cx="4587875" cy="2003425"/>
            <wp:effectExtent l="0" t="0" r="3175" b="15875"/>
            <wp:docPr id="102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AnnualReport2"/>
        <w:numPr>
          <w:ilvl w:val="0"/>
          <w:numId w:val="53"/>
        </w:numPr>
        <w:ind w:left="709" w:hanging="425"/>
        <w:rPr>
          <w:noProof/>
        </w:rPr>
      </w:pPr>
      <w:r>
        <w:rPr>
          <w:noProof/>
        </w:rPr>
        <w:t>New EU Pilot files opened in 2018: main policy areas</w:t>
      </w:r>
    </w:p>
    <w:p>
      <w:pPr>
        <w:pStyle w:val="Body"/>
        <w:ind w:left="709" w:firstLine="0"/>
        <w:jc w:val="both"/>
        <w:rPr>
          <w:noProof/>
        </w:rPr>
      </w:pPr>
      <w:r>
        <w:rPr>
          <w:noProof/>
        </w:rPr>
        <w:t>In 2018, the Commission opened three EU Pilot files against Denmark: two in the area of energy and one in the area of mobility and transport.</w:t>
      </w:r>
    </w:p>
    <w:p>
      <w:pPr>
        <w:spacing w:after="0" w:line="240" w:lineRule="auto"/>
        <w:rPr>
          <w:rFonts w:ascii="Arial" w:hAnsi="Arial"/>
          <w:noProof/>
          <w:color w:val="002060"/>
        </w:rPr>
      </w:pPr>
      <w:r>
        <w:rPr>
          <w:noProof/>
        </w:rPr>
        <w:br w:type="page"/>
      </w:r>
    </w:p>
    <w:p>
      <w:pPr>
        <w:pStyle w:val="AnnualReport2"/>
        <w:numPr>
          <w:ilvl w:val="0"/>
          <w:numId w:val="53"/>
        </w:numPr>
        <w:ind w:left="709" w:hanging="425"/>
        <w:rPr>
          <w:noProof/>
        </w:rPr>
      </w:pPr>
      <w:r>
        <w:rPr>
          <w:noProof/>
        </w:rPr>
        <w:t>EU Pilot files: Denmark’s resolution rate in 2014-2018</w:t>
      </w:r>
    </w:p>
    <w:p>
      <w:pPr>
        <w:spacing w:after="200"/>
        <w:ind w:firstLine="709"/>
        <w:rPr>
          <w:rFonts w:ascii="Arial" w:hAnsi="Arial" w:cs="Arial"/>
          <w:noProof/>
          <w:sz w:val="20"/>
        </w:rPr>
      </w:pPr>
      <w:r>
        <w:rPr>
          <w:rFonts w:ascii="Arial" w:hAnsi="Arial" w:cs="Arial"/>
          <w:noProof/>
          <w:sz w:val="20"/>
          <w:lang w:eastAsia="en-GB"/>
        </w:rPr>
        <w:drawing>
          <wp:inline distT="0" distB="0" distL="0" distR="0">
            <wp:extent cx="4587875" cy="2115185"/>
            <wp:effectExtent l="0" t="0" r="3175" b="18415"/>
            <wp:docPr id="102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AnnualReport1"/>
        <w:numPr>
          <w:ilvl w:val="0"/>
          <w:numId w:val="145"/>
        </w:numPr>
        <w:spacing w:after="240"/>
        <w:rPr>
          <w:caps w:val="0"/>
          <w:noProof/>
        </w:rPr>
      </w:pPr>
      <w:r>
        <w:rPr>
          <w:caps w:val="0"/>
          <w:noProof/>
        </w:rPr>
        <w:t>INFRINGEMENT CASES</w:t>
      </w:r>
    </w:p>
    <w:p>
      <w:pPr>
        <w:pStyle w:val="AnnualReport2"/>
        <w:numPr>
          <w:ilvl w:val="0"/>
          <w:numId w:val="54"/>
        </w:numPr>
        <w:ind w:left="709" w:hanging="425"/>
        <w:rPr>
          <w:noProof/>
        </w:rPr>
      </w:pPr>
      <w:r>
        <w:rPr>
          <w:noProof/>
        </w:rPr>
        <w:t>Infringement cases against Denmark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067560"/>
            <wp:effectExtent l="0" t="0" r="3175" b="8890"/>
            <wp:docPr id="102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AnnualReport2"/>
        <w:numPr>
          <w:ilvl w:val="0"/>
          <w:numId w:val="54"/>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337435"/>
            <wp:effectExtent l="0" t="0" r="3175" b="5715"/>
            <wp:docPr id="102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AnnualReport2"/>
        <w:numPr>
          <w:ilvl w:val="0"/>
          <w:numId w:val="54"/>
        </w:numPr>
        <w:ind w:left="709" w:hanging="425"/>
        <w:rPr>
          <w:noProof/>
        </w:rPr>
      </w:pPr>
      <w:r>
        <w:rPr>
          <w:noProof/>
        </w:rPr>
        <w:t>Key infringement cases and referrals to the Court</w:t>
      </w:r>
    </w:p>
    <w:p>
      <w:pPr>
        <w:numPr>
          <w:ilvl w:val="0"/>
          <w:numId w:val="81"/>
        </w:numPr>
        <w:ind w:left="1276" w:hanging="425"/>
        <w:jc w:val="both"/>
        <w:rPr>
          <w:rFonts w:ascii="Arial" w:hAnsi="Arial" w:cs="Arial"/>
          <w:noProof/>
          <w:sz w:val="20"/>
          <w:szCs w:val="20"/>
        </w:rPr>
      </w:pPr>
      <w:r>
        <w:rPr>
          <w:rFonts w:ascii="Arial" w:hAnsi="Arial" w:cs="Arial"/>
          <w:noProof/>
          <w:sz w:val="20"/>
          <w:szCs w:val="20"/>
        </w:rPr>
        <w:t>The Commission opened 17 new infringement cases against Denmark in 2018. These, and other major ongoing infringement cases, include:</w:t>
      </w:r>
    </w:p>
    <w:p>
      <w:pPr>
        <w:pStyle w:val="ListParagraph"/>
        <w:numPr>
          <w:ilvl w:val="0"/>
          <w:numId w:val="15"/>
        </w:numPr>
        <w:jc w:val="both"/>
        <w:rPr>
          <w:noProof/>
        </w:rPr>
      </w:pPr>
      <w:r>
        <w:rPr>
          <w:rFonts w:ascii="Arial" w:hAnsi="Arial" w:cs="Arial"/>
          <w:noProof/>
          <w:sz w:val="20"/>
          <w:szCs w:val="20"/>
        </w:rPr>
        <w:t>discrimination against foreign hauliers and violation of the principle of freedom to provide transport services</w:t>
      </w:r>
      <w:r>
        <w:rPr>
          <w:rFonts w:ascii="Arial" w:hAnsi="Arial" w:cs="Arial"/>
          <w:noProof/>
          <w:sz w:val="20"/>
          <w:szCs w:val="20"/>
          <w:vertAlign w:val="superscript"/>
        </w:rPr>
        <w:footnoteReference w:id="96"/>
      </w:r>
      <w:r>
        <w:rPr>
          <w:rFonts w:ascii="Arial" w:hAnsi="Arial" w:cs="Arial"/>
          <w:noProof/>
          <w:sz w:val="20"/>
          <w:szCs w:val="20"/>
        </w:rPr>
        <w:t>;</w:t>
      </w:r>
    </w:p>
    <w:p>
      <w:pPr>
        <w:pStyle w:val="ListParagraph"/>
        <w:numPr>
          <w:ilvl w:val="0"/>
          <w:numId w:val="15"/>
        </w:numPr>
        <w:jc w:val="both"/>
        <w:rPr>
          <w:noProof/>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97"/>
      </w:r>
      <w:r>
        <w:rPr>
          <w:rFonts w:ascii="Arial" w:hAnsi="Arial" w:cs="Arial"/>
          <w:noProof/>
          <w:sz w:val="20"/>
          <w:szCs w:val="20"/>
        </w:rPr>
        <w:t>;</w:t>
      </w:r>
    </w:p>
    <w:p>
      <w:pPr>
        <w:pStyle w:val="ListParagraph"/>
        <w:numPr>
          <w:ilvl w:val="0"/>
          <w:numId w:val="15"/>
        </w:numPr>
        <w:jc w:val="both"/>
        <w:rPr>
          <w:rFonts w:ascii="Arial" w:hAnsi="Arial" w:cs="Arial"/>
          <w:noProof/>
          <w:sz w:val="20"/>
          <w:szCs w:val="20"/>
        </w:rPr>
      </w:pPr>
      <w:r>
        <w:rPr>
          <w:rFonts w:ascii="Arial" w:hAnsi="Arial" w:cs="Arial"/>
          <w:noProof/>
          <w:sz w:val="20"/>
          <w:szCs w:val="20"/>
        </w:rPr>
        <w:t>exceedances of the limit values for nitrogen dioxide (NO</w:t>
      </w:r>
      <w:r>
        <w:rPr>
          <w:rFonts w:ascii="Arial" w:hAnsi="Arial"/>
          <w:noProof/>
          <w:sz w:val="20"/>
          <w:vertAlign w:val="subscript"/>
        </w:rPr>
        <w:t>2</w:t>
      </w:r>
      <w:r>
        <w:rPr>
          <w:rFonts w:ascii="Arial" w:hAnsi="Arial" w:cs="Arial"/>
          <w:noProof/>
          <w:sz w:val="20"/>
          <w:szCs w:val="20"/>
        </w:rPr>
        <w:t>) emissions;</w:t>
      </w:r>
    </w:p>
    <w:p>
      <w:pPr>
        <w:pStyle w:val="ListParagraph"/>
        <w:numPr>
          <w:ilvl w:val="0"/>
          <w:numId w:val="15"/>
        </w:numPr>
        <w:jc w:val="both"/>
        <w:rPr>
          <w:rFonts w:ascii="Arial" w:hAnsi="Arial" w:cs="Arial"/>
          <w:noProof/>
          <w:sz w:val="20"/>
          <w:szCs w:val="20"/>
        </w:rPr>
      </w:pPr>
      <w:r>
        <w:rPr>
          <w:rFonts w:ascii="Arial" w:hAnsi="Arial" w:cs="Arial"/>
          <w:noProof/>
          <w:sz w:val="20"/>
          <w:szCs w:val="20"/>
        </w:rPr>
        <w:t>incorrect transposition of the Environmental Liability Directive</w:t>
      </w:r>
      <w:r>
        <w:rPr>
          <w:rStyle w:val="FootnoteReference"/>
          <w:rFonts w:ascii="Arial" w:hAnsi="Arial" w:cs="Arial"/>
          <w:noProof/>
          <w:sz w:val="20"/>
          <w:szCs w:val="20"/>
        </w:rPr>
        <w:footnoteReference w:id="98"/>
      </w:r>
      <w:r>
        <w:rPr>
          <w:rFonts w:ascii="Arial" w:hAnsi="Arial" w:cs="Arial"/>
          <w:noProof/>
          <w:sz w:val="20"/>
          <w:szCs w:val="20"/>
        </w:rPr>
        <w:t>;</w:t>
      </w:r>
    </w:p>
    <w:p>
      <w:pPr>
        <w:pStyle w:val="ListParagraph"/>
        <w:numPr>
          <w:ilvl w:val="0"/>
          <w:numId w:val="15"/>
        </w:numPr>
        <w:jc w:val="both"/>
        <w:rPr>
          <w:rFonts w:ascii="Arial" w:hAnsi="Arial" w:cs="Arial"/>
          <w:noProof/>
          <w:sz w:val="20"/>
          <w:szCs w:val="20"/>
        </w:rPr>
      </w:pPr>
      <w:r>
        <w:rPr>
          <w:rFonts w:ascii="Arial" w:hAnsi="Arial" w:cs="Arial"/>
          <w:noProof/>
          <w:sz w:val="20"/>
          <w:szCs w:val="20"/>
        </w:rPr>
        <w:t>unjustified restriction on freedom to provide services for foreign self-employed persons</w:t>
      </w:r>
      <w:r>
        <w:rPr>
          <w:rStyle w:val="FootnoteReference"/>
          <w:rFonts w:ascii="Arial" w:hAnsi="Arial" w:cs="Arial"/>
          <w:noProof/>
          <w:sz w:val="20"/>
          <w:szCs w:val="20"/>
        </w:rPr>
        <w:footnoteReference w:id="99"/>
      </w:r>
      <w:r>
        <w:rPr>
          <w:rFonts w:ascii="Arial" w:hAnsi="Arial" w:cs="Arial"/>
          <w:noProof/>
          <w:sz w:val="20"/>
          <w:szCs w:val="20"/>
        </w:rPr>
        <w:t>;</w:t>
      </w:r>
    </w:p>
    <w:p>
      <w:pPr>
        <w:pStyle w:val="ListParagraph"/>
        <w:numPr>
          <w:ilvl w:val="0"/>
          <w:numId w:val="15"/>
        </w:numPr>
        <w:jc w:val="both"/>
        <w:rPr>
          <w:rFonts w:ascii="Arial" w:hAnsi="Arial" w:cs="Arial"/>
          <w:noProof/>
          <w:sz w:val="20"/>
          <w:szCs w:val="20"/>
        </w:rPr>
      </w:pPr>
      <w:r>
        <w:rPr>
          <w:rFonts w:ascii="Arial" w:hAnsi="Arial" w:cs="Arial"/>
          <w:noProof/>
          <w:sz w:val="20"/>
          <w:szCs w:val="20"/>
        </w:rPr>
        <w:t>unjustified offset requirements demanding compensation from non-national suppliers when purchasing defence equipment from them</w:t>
      </w:r>
      <w:r>
        <w:rPr>
          <w:rStyle w:val="FootnoteReference"/>
          <w:rFonts w:ascii="Arial" w:hAnsi="Arial" w:cs="Arial"/>
          <w:noProof/>
          <w:sz w:val="20"/>
          <w:szCs w:val="20"/>
        </w:rPr>
        <w:footnoteReference w:id="100"/>
      </w:r>
      <w:r>
        <w:rPr>
          <w:rFonts w:ascii="Arial" w:hAnsi="Arial" w:cs="Arial"/>
          <w:noProof/>
          <w:sz w:val="20"/>
          <w:szCs w:val="20"/>
        </w:rPr>
        <w:t>;</w:t>
      </w:r>
    </w:p>
    <w:p>
      <w:pPr>
        <w:pStyle w:val="ListParagraph"/>
        <w:numPr>
          <w:ilvl w:val="0"/>
          <w:numId w:val="15"/>
        </w:numPr>
        <w:jc w:val="both"/>
        <w:rPr>
          <w:rFonts w:ascii="Arial" w:hAnsi="Arial" w:cs="Arial"/>
          <w:noProof/>
          <w:sz w:val="20"/>
          <w:szCs w:val="20"/>
        </w:rPr>
      </w:pPr>
      <w:r>
        <w:rPr>
          <w:rFonts w:ascii="Arial" w:hAnsi="Arial" w:cs="Arial"/>
          <w:noProof/>
          <w:sz w:val="20"/>
          <w:szCs w:val="20"/>
        </w:rPr>
        <w:t>unlawful use of the protected designation of origin ‘Feta’, in violation of the EU rules on quality schemes for agricultural products and foodstuffs</w:t>
      </w:r>
      <w:r>
        <w:rPr>
          <w:rStyle w:val="FootnoteReference"/>
          <w:rFonts w:ascii="Arial" w:hAnsi="Arial" w:cs="Arial"/>
          <w:noProof/>
          <w:sz w:val="20"/>
          <w:szCs w:val="20"/>
        </w:rPr>
        <w:footnoteReference w:id="101"/>
      </w:r>
      <w:r>
        <w:rPr>
          <w:rFonts w:ascii="Arial" w:hAnsi="Arial" w:cs="Arial"/>
          <w:noProof/>
          <w:sz w:val="20"/>
          <w:szCs w:val="20"/>
        </w:rPr>
        <w:t>;</w:t>
      </w:r>
    </w:p>
    <w:p>
      <w:pPr>
        <w:pStyle w:val="ListParagraph"/>
        <w:numPr>
          <w:ilvl w:val="0"/>
          <w:numId w:val="15"/>
        </w:numPr>
        <w:spacing w:after="0" w:line="240" w:lineRule="auto"/>
        <w:jc w:val="both"/>
        <w:rPr>
          <w:rFonts w:ascii="Arial" w:hAnsi="Arial" w:cs="Arial"/>
          <w:noProof/>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102"/>
      </w:r>
      <w:r>
        <w:rPr>
          <w:rFonts w:ascii="Arial" w:hAnsi="Arial" w:cs="Arial"/>
          <w:noProof/>
          <w:sz w:val="20"/>
          <w:szCs w:val="20"/>
        </w:rPr>
        <w:t xml:space="preserve">; </w:t>
      </w:r>
    </w:p>
    <w:p>
      <w:pPr>
        <w:pStyle w:val="ListParagraph"/>
        <w:numPr>
          <w:ilvl w:val="0"/>
          <w:numId w:val="15"/>
        </w:numPr>
        <w:jc w:val="both"/>
        <w:rPr>
          <w:rFonts w:ascii="Arial" w:hAnsi="Arial" w:cs="Arial"/>
          <w:noProof/>
          <w:sz w:val="20"/>
          <w:szCs w:val="20"/>
        </w:rPr>
      </w:pPr>
      <w:r>
        <w:rPr>
          <w:rFonts w:ascii="Arial" w:eastAsia="Calibri" w:hAnsi="Arial" w:cs="Arial"/>
          <w:noProof/>
          <w:kern w:val="20"/>
          <w:sz w:val="20"/>
        </w:rPr>
        <w:t>failure to adopt a national programme for the implementation of spent fuel and radioactive waste management policy compliant with the requirements of the Radioactive Waste Directive</w:t>
      </w:r>
      <w:r>
        <w:rPr>
          <w:rStyle w:val="FootnoteReference"/>
          <w:rFonts w:ascii="Arial" w:eastAsia="Calibri" w:hAnsi="Arial" w:cs="Arial"/>
          <w:noProof/>
          <w:kern w:val="20"/>
          <w:sz w:val="20"/>
        </w:rPr>
        <w:footnoteReference w:id="103"/>
      </w:r>
      <w:r>
        <w:rPr>
          <w:rFonts w:ascii="Arial" w:eastAsia="Calibri" w:hAnsi="Arial" w:cs="Arial"/>
          <w:noProof/>
          <w:kern w:val="20"/>
          <w:sz w:val="20"/>
        </w:rPr>
        <w:t>;</w:t>
      </w:r>
      <w:r>
        <w:rPr>
          <w:rFonts w:ascii="Arial" w:hAnsi="Arial" w:cs="Arial"/>
          <w:noProof/>
          <w:sz w:val="20"/>
          <w:szCs w:val="20"/>
        </w:rPr>
        <w:t>non-communication of national measures transposing the</w:t>
      </w:r>
    </w:p>
    <w:p>
      <w:pPr>
        <w:pStyle w:val="ListParagraph"/>
        <w:numPr>
          <w:ilvl w:val="1"/>
          <w:numId w:val="15"/>
        </w:numPr>
        <w:jc w:val="both"/>
        <w:rPr>
          <w:rFonts w:ascii="Arial" w:hAnsi="Arial" w:cs="Arial"/>
          <w:noProof/>
          <w:sz w:val="20"/>
          <w:szCs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rPr>
        <w:footnoteReference w:id="104"/>
      </w:r>
      <w:r>
        <w:rPr>
          <w:rFonts w:ascii="Arial" w:hAnsi="Arial" w:cs="Arial"/>
          <w:noProof/>
          <w:sz w:val="20"/>
          <w:szCs w:val="20"/>
        </w:rPr>
        <w:t xml:space="preserve">; </w:t>
      </w:r>
    </w:p>
    <w:p>
      <w:pPr>
        <w:pStyle w:val="ListParagraph"/>
        <w:numPr>
          <w:ilvl w:val="1"/>
          <w:numId w:val="15"/>
        </w:numPr>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105"/>
      </w:r>
      <w:r>
        <w:rPr>
          <w:rFonts w:ascii="Arial" w:hAnsi="Arial" w:cs="Arial"/>
          <w:noProof/>
          <w:sz w:val="20"/>
          <w:szCs w:val="20"/>
        </w:rPr>
        <w:t>.</w:t>
      </w:r>
    </w:p>
    <w:p>
      <w:pPr>
        <w:numPr>
          <w:ilvl w:val="0"/>
          <w:numId w:val="81"/>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81"/>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45"/>
        </w:numPr>
        <w:spacing w:after="240"/>
        <w:rPr>
          <w:caps w:val="0"/>
          <w:noProof/>
        </w:rPr>
      </w:pPr>
      <w:r>
        <w:rPr>
          <w:caps w:val="0"/>
          <w:noProof/>
        </w:rPr>
        <w:t>TRANSPOSITION OF DIRECTIVES</w:t>
      </w:r>
    </w:p>
    <w:p>
      <w:pPr>
        <w:pStyle w:val="AnnualReport2"/>
        <w:numPr>
          <w:ilvl w:val="0"/>
          <w:numId w:val="55"/>
        </w:numPr>
        <w:ind w:left="709" w:hanging="425"/>
        <w:rPr>
          <w:noProof/>
        </w:rPr>
      </w:pPr>
      <w:r>
        <w:rPr>
          <w:noProof/>
        </w:rPr>
        <w:t>Late transposition infringement cases against Denmark open on 31 December (2014-2018)</w:t>
      </w:r>
    </w:p>
    <w:p>
      <w:pPr>
        <w:ind w:left="426" w:firstLine="283"/>
        <w:rPr>
          <w:rFonts w:ascii="Arial" w:hAnsi="Arial"/>
          <w:noProof/>
          <w:color w:val="002060"/>
        </w:rPr>
      </w:pPr>
      <w:r>
        <w:rPr>
          <w:noProof/>
          <w:lang w:eastAsia="en-GB"/>
        </w:rPr>
        <w:drawing>
          <wp:inline distT="0" distB="0" distL="0" distR="0">
            <wp:extent cx="4556125" cy="1916430"/>
            <wp:effectExtent l="0" t="0" r="15875" b="26670"/>
            <wp:docPr id="102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spacing w:after="0" w:line="240" w:lineRule="auto"/>
        <w:rPr>
          <w:rFonts w:ascii="Arial" w:hAnsi="Arial"/>
          <w:noProof/>
          <w:color w:val="002060"/>
        </w:rPr>
      </w:pPr>
      <w:r>
        <w:rPr>
          <w:noProof/>
        </w:rPr>
        <w:br w:type="page"/>
      </w:r>
    </w:p>
    <w:p>
      <w:pPr>
        <w:pStyle w:val="AnnualReport2"/>
        <w:numPr>
          <w:ilvl w:val="0"/>
          <w:numId w:val="55"/>
        </w:numPr>
        <w:ind w:left="709" w:hanging="425"/>
        <w:rPr>
          <w:noProof/>
        </w:rPr>
      </w:pPr>
      <w:r>
        <w:rPr>
          <w:noProof/>
        </w:rPr>
        <w:t>New late transposition infringement cases against Denmark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56125" cy="1916430"/>
            <wp:effectExtent l="0" t="0" r="15875" b="26670"/>
            <wp:docPr id="102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AnnualReport2"/>
        <w:numPr>
          <w:ilvl w:val="0"/>
          <w:numId w:val="55"/>
        </w:numPr>
        <w:ind w:left="709" w:hanging="425"/>
        <w:rPr>
          <w:noProof/>
        </w:rPr>
      </w:pPr>
      <w:r>
        <w:rPr>
          <w:noProof/>
        </w:rPr>
        <w:t>New late transposition infringement cases opened in 2018: main policy areas</w:t>
      </w:r>
    </w:p>
    <w:p>
      <w:pPr>
        <w:spacing w:after="200"/>
        <w:ind w:firstLine="709"/>
        <w:rPr>
          <w:rFonts w:ascii="Arial" w:hAnsi="Arial" w:cs="Arial"/>
          <w:noProof/>
          <w:sz w:val="20"/>
        </w:rPr>
      </w:pPr>
      <w:r>
        <w:rPr>
          <w:rFonts w:ascii="Arial" w:hAnsi="Arial" w:cs="Arial"/>
          <w:noProof/>
          <w:sz w:val="20"/>
          <w:lang w:eastAsia="en-GB"/>
        </w:rPr>
        <w:drawing>
          <wp:inline distT="0" distB="0" distL="0" distR="0">
            <wp:extent cx="4580255" cy="2647950"/>
            <wp:effectExtent l="0" t="0" r="10795" b="0"/>
            <wp:docPr id="1011"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AnnualReport2"/>
        <w:numPr>
          <w:ilvl w:val="0"/>
          <w:numId w:val="55"/>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45"/>
        </w:numPr>
        <w:spacing w:after="240"/>
        <w:rPr>
          <w:caps w:val="0"/>
          <w:noProof/>
        </w:rPr>
      </w:pPr>
      <w:r>
        <w:rPr>
          <w:caps w:val="0"/>
          <w:noProof/>
        </w:rPr>
        <w:t>EARLY RESOLUTION OF INFRINGEMENT CASES</w:t>
      </w:r>
    </w:p>
    <w:p>
      <w:pPr>
        <w:pStyle w:val="ListParagraph"/>
        <w:spacing w:before="24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pStyle w:val="ListParagraph"/>
        <w:numPr>
          <w:ilvl w:val="0"/>
          <w:numId w:val="117"/>
        </w:numPr>
        <w:spacing w:after="120"/>
        <w:jc w:val="both"/>
        <w:rPr>
          <w:rFonts w:ascii="Arial" w:hAnsi="Arial" w:cs="Arial"/>
          <w:noProof/>
          <w:sz w:val="20"/>
          <w:szCs w:val="20"/>
        </w:rPr>
      </w:pPr>
      <w:r>
        <w:rPr>
          <w:rFonts w:ascii="Arial" w:hAnsi="Arial" w:cs="Arial"/>
          <w:noProof/>
          <w:sz w:val="20"/>
          <w:szCs w:val="20"/>
        </w:rPr>
        <w:t>incorrect transposition of the Directive on the management of waste from the extractive industries</w:t>
      </w:r>
      <w:r>
        <w:rPr>
          <w:rStyle w:val="FootnoteReference"/>
          <w:rFonts w:ascii="Arial" w:hAnsi="Arial" w:cs="Arial"/>
          <w:noProof/>
          <w:sz w:val="20"/>
          <w:szCs w:val="20"/>
        </w:rPr>
        <w:footnoteReference w:id="106"/>
      </w:r>
      <w:r>
        <w:rPr>
          <w:rFonts w:ascii="Arial" w:hAnsi="Arial" w:cs="Arial"/>
          <w:noProof/>
          <w:sz w:val="20"/>
          <w:szCs w:val="20"/>
        </w:rPr>
        <w:t>;</w:t>
      </w:r>
    </w:p>
    <w:p>
      <w:pPr>
        <w:pStyle w:val="ListParagraph"/>
        <w:numPr>
          <w:ilvl w:val="0"/>
          <w:numId w:val="117"/>
        </w:numPr>
        <w:spacing w:after="120"/>
        <w:jc w:val="both"/>
        <w:rPr>
          <w:rFonts w:ascii="Arial" w:hAnsi="Arial" w:cs="Arial"/>
          <w:noProof/>
          <w:sz w:val="20"/>
          <w:szCs w:val="20"/>
        </w:rPr>
      </w:pPr>
      <w:r>
        <w:rPr>
          <w:rFonts w:ascii="Arial" w:hAnsi="Arial" w:cs="Arial"/>
          <w:noProof/>
          <w:sz w:val="20"/>
          <w:szCs w:val="20"/>
        </w:rPr>
        <w:t>discrimination against foreign hauliers and violation of the principle of freedom to provide transport services</w:t>
      </w:r>
      <w:r>
        <w:rPr>
          <w:rStyle w:val="FootnoteReference"/>
          <w:rFonts w:ascii="Arial" w:hAnsi="Arial" w:cs="Arial"/>
          <w:noProof/>
          <w:sz w:val="20"/>
          <w:szCs w:val="20"/>
        </w:rPr>
        <w:footnoteReference w:id="107"/>
      </w:r>
      <w:r>
        <w:rPr>
          <w:rFonts w:ascii="Arial" w:hAnsi="Arial" w:cs="Arial"/>
          <w:noProof/>
          <w:sz w:val="20"/>
          <w:szCs w:val="20"/>
        </w:rPr>
        <w:t>;</w:t>
      </w:r>
    </w:p>
    <w:p>
      <w:pPr>
        <w:pStyle w:val="ListParagraph"/>
        <w:numPr>
          <w:ilvl w:val="0"/>
          <w:numId w:val="117"/>
        </w:numPr>
        <w:spacing w:after="120"/>
        <w:jc w:val="both"/>
        <w:rPr>
          <w:rFonts w:ascii="Arial" w:hAnsi="Arial" w:cs="Arial"/>
          <w:noProof/>
          <w:sz w:val="20"/>
          <w:szCs w:val="20"/>
        </w:rPr>
      </w:pPr>
      <w:r>
        <w:rPr>
          <w:rFonts w:ascii="Arial" w:hAnsi="Arial" w:cs="Arial"/>
          <w:noProof/>
          <w:sz w:val="20"/>
          <w:szCs w:val="20"/>
        </w:rPr>
        <w:t>non-conformity of national legislation on annual leave entitlements with the Working Time Directive</w:t>
      </w:r>
      <w:r>
        <w:rPr>
          <w:rStyle w:val="FootnoteReference"/>
          <w:rFonts w:ascii="Arial" w:hAnsi="Arial" w:cs="Arial"/>
          <w:noProof/>
          <w:sz w:val="20"/>
          <w:szCs w:val="20"/>
        </w:rPr>
        <w:footnoteReference w:id="108"/>
      </w:r>
      <w:r>
        <w:rPr>
          <w:rFonts w:ascii="Arial" w:hAnsi="Arial" w:cs="Arial"/>
          <w:noProof/>
          <w:sz w:val="20"/>
          <w:szCs w:val="20"/>
        </w:rPr>
        <w:t>;</w:t>
      </w:r>
    </w:p>
    <w:p>
      <w:pPr>
        <w:pStyle w:val="ListParagraph"/>
        <w:numPr>
          <w:ilvl w:val="0"/>
          <w:numId w:val="117"/>
        </w:numPr>
        <w:spacing w:after="120"/>
        <w:jc w:val="both"/>
        <w:rPr>
          <w:rFonts w:ascii="Arial" w:hAnsi="Arial" w:cs="Arial"/>
          <w:noProof/>
          <w:sz w:val="20"/>
          <w:szCs w:val="20"/>
        </w:rPr>
      </w:pPr>
      <w:r>
        <w:rPr>
          <w:rFonts w:ascii="Arial" w:hAnsi="Arial" w:cs="Arial"/>
          <w:noProof/>
          <w:sz w:val="20"/>
          <w:szCs w:val="20"/>
        </w:rPr>
        <w:t>a nut tax with equivalent effect to a customs duty;</w:t>
      </w:r>
    </w:p>
    <w:p>
      <w:pPr>
        <w:pStyle w:val="ListParagraph"/>
        <w:numPr>
          <w:ilvl w:val="0"/>
          <w:numId w:val="117"/>
        </w:numPr>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1"/>
          <w:numId w:val="117"/>
        </w:numPr>
        <w:spacing w:after="120"/>
        <w:jc w:val="both"/>
        <w:rPr>
          <w:rFonts w:ascii="Arial" w:hAnsi="Arial" w:cs="Arial"/>
          <w:noProof/>
          <w:sz w:val="20"/>
          <w:szCs w:val="20"/>
        </w:rPr>
      </w:pPr>
      <w:r>
        <w:rPr>
          <w:rFonts w:ascii="Arial" w:hAnsi="Arial" w:cs="Arial"/>
          <w:noProof/>
          <w:sz w:val="20"/>
          <w:szCs w:val="20"/>
        </w:rPr>
        <w:t>Directive on the assessment of the effects of certain public and private projects on the environment</w:t>
      </w:r>
      <w:r>
        <w:rPr>
          <w:rStyle w:val="FootnoteReference"/>
          <w:rFonts w:ascii="Arial" w:eastAsia="Calibri" w:hAnsi="Arial" w:cs="Arial"/>
          <w:noProof/>
          <w:kern w:val="20"/>
          <w:sz w:val="20"/>
          <w:szCs w:val="20"/>
          <w:lang w:eastAsia="en-GB"/>
        </w:rPr>
        <w:footnoteReference w:id="109"/>
      </w:r>
      <w:r>
        <w:rPr>
          <w:rFonts w:ascii="Arial" w:eastAsia="Calibri" w:hAnsi="Arial" w:cs="Arial"/>
          <w:noProof/>
          <w:kern w:val="20"/>
          <w:sz w:val="20"/>
          <w:szCs w:val="20"/>
          <w:lang w:eastAsia="en-GB"/>
        </w:rPr>
        <w:t>;</w:t>
      </w:r>
    </w:p>
    <w:p>
      <w:pPr>
        <w:pStyle w:val="ListParagraph"/>
        <w:numPr>
          <w:ilvl w:val="1"/>
          <w:numId w:val="117"/>
        </w:numPr>
        <w:spacing w:after="0"/>
        <w:ind w:hanging="357"/>
        <w:jc w:val="both"/>
        <w:rPr>
          <w:rFonts w:ascii="Arial" w:hAnsi="Arial" w:cs="Arial"/>
          <w:noProof/>
          <w:sz w:val="20"/>
          <w:szCs w:val="20"/>
        </w:rPr>
      </w:pPr>
      <w:r>
        <w:rPr>
          <w:rFonts w:ascii="Arial" w:eastAsia="Calibri" w:hAnsi="Arial" w:cs="Arial"/>
          <w:noProof/>
          <w:kern w:val="20"/>
          <w:sz w:val="20"/>
          <w:lang w:eastAsia="en-GB"/>
        </w:rPr>
        <w:t>Commission Directive amending the Directive on quality system standards and specifications for blood establishments</w:t>
      </w:r>
      <w:r>
        <w:rPr>
          <w:rFonts w:ascii="Arial" w:eastAsia="Calibri" w:hAnsi="Arial" w:cs="Arial"/>
          <w:noProof/>
          <w:kern w:val="20"/>
          <w:sz w:val="20"/>
          <w:vertAlign w:val="superscript"/>
          <w:lang w:val="nl-NL" w:eastAsia="en-GB"/>
        </w:rPr>
        <w:footnoteReference w:id="110"/>
      </w:r>
      <w:r>
        <w:rPr>
          <w:rFonts w:ascii="Arial" w:eastAsia="Calibri" w:hAnsi="Arial" w:cs="Arial"/>
          <w:noProof/>
          <w:kern w:val="20"/>
          <w:sz w:val="20"/>
          <w:lang w:eastAsia="en-GB"/>
        </w:rPr>
        <w:t>;</w:t>
      </w:r>
    </w:p>
    <w:p>
      <w:pPr>
        <w:pStyle w:val="ListBullet3"/>
        <w:numPr>
          <w:ilvl w:val="1"/>
          <w:numId w:val="117"/>
        </w:numPr>
        <w:spacing w:after="120"/>
        <w:jc w:val="both"/>
        <w:rPr>
          <w:rFonts w:ascii="Arial" w:hAnsi="Arial" w:cs="Arial"/>
          <w:noProof/>
          <w:sz w:val="20"/>
          <w:szCs w:val="20"/>
        </w:rPr>
      </w:pPr>
      <w:r>
        <w:rPr>
          <w:rFonts w:ascii="Arial" w:eastAsia="Times New Roman" w:hAnsi="Arial" w:cs="Arial"/>
          <w:noProof/>
          <w:sz w:val="20"/>
          <w:szCs w:val="20"/>
          <w:lang w:eastAsia="en-GB"/>
        </w:rPr>
        <w:t>Mortgage Credit Directive</w:t>
      </w:r>
      <w:r>
        <w:rPr>
          <w:rFonts w:ascii="Arial" w:eastAsia="Times New Roman" w:hAnsi="Arial" w:cs="Arial"/>
          <w:noProof/>
          <w:sz w:val="20"/>
          <w:szCs w:val="20"/>
          <w:vertAlign w:val="superscript"/>
          <w:lang w:eastAsia="en-GB"/>
        </w:rPr>
        <w:footnoteReference w:id="111"/>
      </w:r>
      <w:r>
        <w:rPr>
          <w:rFonts w:ascii="Arial" w:eastAsia="Times New Roman" w:hAnsi="Arial" w:cs="Arial"/>
          <w:noProof/>
          <w:sz w:val="20"/>
          <w:szCs w:val="20"/>
          <w:lang w:eastAsia="en-GB"/>
        </w:rPr>
        <w:t>;</w:t>
      </w:r>
    </w:p>
    <w:p>
      <w:pPr>
        <w:pStyle w:val="ListBullet3"/>
        <w:numPr>
          <w:ilvl w:val="1"/>
          <w:numId w:val="117"/>
        </w:numPr>
        <w:spacing w:after="120"/>
        <w:jc w:val="both"/>
        <w:rPr>
          <w:rFonts w:ascii="Arial" w:hAnsi="Arial" w:cs="Arial"/>
          <w:noProof/>
          <w:sz w:val="20"/>
          <w:szCs w:val="20"/>
        </w:rPr>
      </w:pPr>
      <w:r>
        <w:rPr>
          <w:rFonts w:ascii="Arial" w:hAnsi="Arial" w:cs="Arial"/>
          <w:noProof/>
          <w:sz w:val="20"/>
          <w:szCs w:val="20"/>
        </w:rPr>
        <w:t>Nuclear Safety Directive</w:t>
      </w:r>
      <w:r>
        <w:rPr>
          <w:rStyle w:val="FootnoteReference"/>
          <w:rFonts w:ascii="Arial" w:hAnsi="Arial" w:cs="Arial"/>
          <w:noProof/>
          <w:sz w:val="20"/>
          <w:szCs w:val="20"/>
        </w:rPr>
        <w:footnoteReference w:id="112"/>
      </w:r>
      <w:r>
        <w:rPr>
          <w:rFonts w:ascii="Arial" w:hAnsi="Arial" w:cs="Arial"/>
          <w:noProof/>
          <w:sz w:val="20"/>
          <w:szCs w:val="20"/>
        </w:rPr>
        <w:t>.</w:t>
      </w:r>
    </w:p>
    <w:p>
      <w:pPr>
        <w:pStyle w:val="AnnualReport1"/>
        <w:numPr>
          <w:ilvl w:val="0"/>
          <w:numId w:val="145"/>
        </w:numPr>
        <w:spacing w:after="240"/>
        <w:rPr>
          <w:caps w:val="0"/>
          <w:noProof/>
        </w:rPr>
      </w:pPr>
      <w:r>
        <w:rPr>
          <w:caps w:val="0"/>
          <w:noProof/>
        </w:rPr>
        <w:t>IMPORTANT JUDGMENTS</w:t>
      </w:r>
    </w:p>
    <w:p>
      <w:pPr>
        <w:pStyle w:val="AnnualReport2"/>
        <w:numPr>
          <w:ilvl w:val="0"/>
          <w:numId w:val="56"/>
        </w:numPr>
        <w:ind w:left="709" w:hanging="425"/>
        <w:rPr>
          <w:noProof/>
        </w:rPr>
      </w:pPr>
      <w:r>
        <w:rPr>
          <w:noProof/>
        </w:rPr>
        <w:t>Court rulings</w:t>
      </w:r>
    </w:p>
    <w:p>
      <w:pPr>
        <w:spacing w:after="120"/>
        <w:ind w:firstLine="709"/>
        <w:jc w:val="both"/>
        <w:rPr>
          <w:rFonts w:ascii="Arial" w:hAnsi="Arial" w:cs="Arial"/>
          <w:noProof/>
          <w:sz w:val="20"/>
        </w:rPr>
      </w:pPr>
      <w:r>
        <w:rPr>
          <w:rFonts w:ascii="Arial" w:hAnsi="Arial" w:cs="Arial"/>
          <w:noProof/>
          <w:sz w:val="20"/>
        </w:rPr>
        <w:t>The Court ruled that:</w:t>
      </w:r>
    </w:p>
    <w:p>
      <w:pPr>
        <w:pStyle w:val="ListParagraph"/>
        <w:numPr>
          <w:ilvl w:val="0"/>
          <w:numId w:val="118"/>
        </w:numPr>
        <w:spacing w:after="120"/>
        <w:jc w:val="both"/>
        <w:rPr>
          <w:rFonts w:ascii="Arial" w:hAnsi="Arial" w:cs="Arial"/>
          <w:noProof/>
          <w:sz w:val="20"/>
        </w:rPr>
      </w:pPr>
      <w:r>
        <w:rPr>
          <w:rFonts w:ascii="Arial" w:hAnsi="Arial" w:cs="Arial"/>
          <w:noProof/>
          <w:sz w:val="20"/>
          <w:szCs w:val="20"/>
        </w:rPr>
        <w:t>the European Commission failed to establish that Denmark had failed to comply with EU rules on access to the international road haulage market</w:t>
      </w:r>
      <w:r>
        <w:rPr>
          <w:rStyle w:val="FootnoteReference"/>
          <w:rFonts w:ascii="Arial" w:hAnsi="Arial" w:cs="Arial"/>
          <w:noProof/>
          <w:sz w:val="20"/>
          <w:szCs w:val="20"/>
        </w:rPr>
        <w:footnoteReference w:id="113"/>
      </w:r>
      <w:r>
        <w:rPr>
          <w:rFonts w:ascii="Arial" w:hAnsi="Arial" w:cs="Arial"/>
          <w:noProof/>
          <w:sz w:val="20"/>
          <w:szCs w:val="20"/>
        </w:rPr>
        <w:t>.</w:t>
      </w:r>
    </w:p>
    <w:p>
      <w:pPr>
        <w:pStyle w:val="AnnualReport2"/>
        <w:numPr>
          <w:ilvl w:val="0"/>
          <w:numId w:val="56"/>
        </w:numPr>
        <w:ind w:left="709" w:hanging="425"/>
        <w:rPr>
          <w:noProof/>
        </w:rPr>
      </w:pPr>
      <w:r>
        <w:rPr>
          <w:noProof/>
        </w:rPr>
        <w:t>Preliminary rulings</w:t>
      </w:r>
    </w:p>
    <w:p>
      <w:pPr>
        <w:spacing w:after="120"/>
        <w:ind w:left="426" w:firstLine="294"/>
        <w:jc w:val="both"/>
        <w:rPr>
          <w:rFonts w:ascii="Arial" w:hAnsi="Arial" w:cs="Arial"/>
          <w:noProof/>
          <w:sz w:val="20"/>
        </w:rPr>
      </w:pPr>
      <w:r>
        <w:rPr>
          <w:rFonts w:ascii="Arial" w:hAnsi="Arial" w:cs="Arial"/>
          <w:noProof/>
          <w:sz w:val="20"/>
        </w:rPr>
        <w:t>The Court addressed the following preliminary rulings to the Danish judiciary.</w:t>
      </w:r>
    </w:p>
    <w:p>
      <w:pPr>
        <w:pStyle w:val="ListParagraph"/>
        <w:numPr>
          <w:ilvl w:val="0"/>
          <w:numId w:val="118"/>
        </w:numPr>
        <w:spacing w:after="120"/>
        <w:jc w:val="both"/>
        <w:rPr>
          <w:rFonts w:ascii="Arial" w:eastAsia="Calibri" w:hAnsi="Arial" w:cs="Arial"/>
          <w:noProof/>
          <w:kern w:val="20"/>
          <w:sz w:val="20"/>
        </w:rPr>
      </w:pPr>
      <w:r>
        <w:rPr>
          <w:rFonts w:ascii="Arial" w:eastAsia="Calibri" w:hAnsi="Arial" w:cs="Arial"/>
          <w:noProof/>
          <w:kern w:val="20"/>
          <w:sz w:val="20"/>
        </w:rPr>
        <w:t>A resident company which has not opted for an international joint taxation scheme may deduct from its taxable profits losses incurred by a permanent establishment in another Member State. This is subject to two conditions: i) the company has exhausted the possibilities for deducting those losses available under the law of the Member State in which the establishment is situated; and ii) it has ceased to receive any income from that establishment, so that there is no longer any possibility of the losses being taken into account in that Member State</w:t>
      </w:r>
      <w:r>
        <w:rPr>
          <w:rStyle w:val="FootnoteReference"/>
          <w:rFonts w:ascii="Arial" w:hAnsi="Arial" w:cs="Arial"/>
          <w:noProof/>
          <w:sz w:val="20"/>
        </w:rPr>
        <w:footnoteReference w:id="114"/>
      </w:r>
      <w:r>
        <w:rPr>
          <w:noProof/>
        </w:rPr>
        <w:t>.</w:t>
      </w:r>
    </w:p>
    <w:p>
      <w:pPr>
        <w:pStyle w:val="Lijstje2"/>
        <w:numPr>
          <w:ilvl w:val="0"/>
          <w:numId w:val="118"/>
        </w:numPr>
        <w:spacing w:after="200" w:line="240" w:lineRule="auto"/>
        <w:jc w:val="both"/>
        <w:rPr>
          <w:rFonts w:ascii="Arial" w:hAnsi="Arial" w:cs="Arial"/>
          <w:noProof/>
          <w:lang w:val="en-GB"/>
        </w:rPr>
      </w:pPr>
      <w:r>
        <w:rPr>
          <w:rFonts w:ascii="Arial" w:hAnsi="Arial" w:cs="Arial"/>
          <w:noProof/>
          <w:lang w:val="en-GB"/>
        </w:rPr>
        <w:t>EU citizens have the right to be accompanied or joined by their non-EU national family members when returning to their home Member State after having exercised free movement rights in another Member State. EU citizens must have exercised free movement rights genuinely and effectively in another Member State, and must have created or strengthened family life there, before they can invoke similar rights of entry and residence for their family members</w:t>
      </w:r>
      <w:r>
        <w:rPr>
          <w:rStyle w:val="FootnoteReference"/>
          <w:rFonts w:ascii="Arial" w:hAnsi="Arial" w:cs="Arial"/>
          <w:noProof/>
          <w:lang w:val="en-GB"/>
        </w:rPr>
        <w:footnoteReference w:id="115"/>
      </w:r>
      <w:r>
        <w:rPr>
          <w:noProof/>
          <w:lang w:val="en-US"/>
        </w:rPr>
        <w:t>.</w:t>
      </w:r>
    </w:p>
    <w:p>
      <w:pPr>
        <w:pStyle w:val="Body"/>
        <w:ind w:firstLine="0"/>
        <w:rPr>
          <w:rFonts w:eastAsia="Calibri"/>
          <w:noProof/>
          <w:lang w:val="en-GB"/>
        </w:rPr>
      </w:pPr>
    </w:p>
    <w:p>
      <w:pPr>
        <w:ind w:left="1777"/>
        <w:rPr>
          <w:noProof/>
        </w:rPr>
        <w:sectPr>
          <w:headerReference w:type="even" r:id="rId85"/>
          <w:headerReference w:type="default" r:id="rId86"/>
          <w:footerReference w:type="even" r:id="rId87"/>
          <w:footerReference w:type="default" r:id="rId88"/>
          <w:headerReference w:type="first" r:id="rId89"/>
          <w:footerReference w:type="first" r:id="rId90"/>
          <w:footnotePr>
            <w:numRestart w:val="eachSect"/>
          </w:footnotePr>
          <w:pgSz w:w="11906" w:h="16838"/>
          <w:pgMar w:top="1701" w:right="1417" w:bottom="1134" w:left="1417" w:header="567" w:footer="351" w:gutter="0"/>
          <w:cols w:space="708"/>
          <w:titlePg/>
          <w:docGrid w:linePitch="360"/>
        </w:sectPr>
      </w:pPr>
    </w:p>
    <w:p>
      <w:pPr>
        <w:pStyle w:val="Heading1"/>
        <w:rPr>
          <w:noProof/>
          <w:szCs w:val="24"/>
        </w:rPr>
      </w:pPr>
      <w:bookmarkStart w:id="41" w:name="_Toc484622321"/>
      <w:bookmarkStart w:id="42" w:name="_Toc5788359"/>
      <w:bookmarkStart w:id="43" w:name="_Toc444769591"/>
      <w:bookmarkStart w:id="44" w:name="_Toc444772047"/>
      <w:bookmarkStart w:id="45" w:name="_Toc444773366"/>
      <w:bookmarkStart w:id="46" w:name="_Toc444776738"/>
      <w:bookmarkStart w:id="47" w:name="_Toc475974645"/>
      <w:bookmarkStart w:id="48" w:name="_Toc475980141"/>
      <w:bookmarkStart w:id="49" w:name="_Toc475981390"/>
      <w:r>
        <w:rPr>
          <w:noProof/>
          <w:szCs w:val="24"/>
        </w:rPr>
        <w:t>Germany</w:t>
      </w:r>
      <w:bookmarkEnd w:id="41"/>
      <w:bookmarkEnd w:id="42"/>
    </w:p>
    <w:p>
      <w:pPr>
        <w:pStyle w:val="AnnualReport1"/>
        <w:numPr>
          <w:ilvl w:val="0"/>
          <w:numId w:val="140"/>
        </w:numPr>
        <w:spacing w:after="240"/>
        <w:rPr>
          <w:noProof/>
        </w:rPr>
      </w:pPr>
      <w:r>
        <w:rPr>
          <w:caps w:val="0"/>
          <w:noProof/>
        </w:rPr>
        <w:t>COMPLAINTS</w:t>
      </w:r>
    </w:p>
    <w:p>
      <w:pPr>
        <w:pStyle w:val="AnnualReport2"/>
        <w:numPr>
          <w:ilvl w:val="0"/>
          <w:numId w:val="71"/>
        </w:numPr>
        <w:ind w:left="709" w:hanging="425"/>
        <w:rPr>
          <w:noProof/>
        </w:rPr>
      </w:pPr>
      <w:r>
        <w:rPr>
          <w:noProof/>
        </w:rPr>
        <w:t>New complaints made against Germany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96130" cy="2234565"/>
            <wp:effectExtent l="0" t="0" r="13970" b="13335"/>
            <wp:docPr id="101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AnnualReport2"/>
        <w:numPr>
          <w:ilvl w:val="0"/>
          <w:numId w:val="71"/>
        </w:numPr>
        <w:ind w:left="709" w:hanging="425"/>
        <w:rPr>
          <w:noProof/>
        </w:rPr>
      </w:pPr>
      <w:r>
        <w:rPr>
          <w:noProof/>
        </w:rPr>
        <w:t>Public complaints against Germany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299</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250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272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277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71"/>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858385" cy="2480945"/>
            <wp:effectExtent l="0" t="0" r="18415" b="14605"/>
            <wp:docPr id="1009"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pStyle w:val="AnnualReport1"/>
        <w:numPr>
          <w:ilvl w:val="0"/>
          <w:numId w:val="140"/>
        </w:numPr>
        <w:spacing w:after="240"/>
        <w:rPr>
          <w:caps w:val="0"/>
          <w:noProof/>
        </w:rPr>
      </w:pPr>
      <w:r>
        <w:rPr>
          <w:caps w:val="0"/>
          <w:noProof/>
        </w:rPr>
        <w:t>EU PILOT</w:t>
      </w:r>
    </w:p>
    <w:p>
      <w:pPr>
        <w:pStyle w:val="AnnualReport2"/>
        <w:numPr>
          <w:ilvl w:val="0"/>
          <w:numId w:val="72"/>
        </w:numPr>
        <w:ind w:left="709" w:hanging="425"/>
        <w:rPr>
          <w:noProof/>
        </w:rPr>
      </w:pPr>
      <w:r>
        <w:rPr>
          <w:noProof/>
        </w:rPr>
        <w:t>New EU Pilot files opened against Germany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7875" cy="2234565"/>
            <wp:effectExtent l="0" t="0" r="0" b="0"/>
            <wp:docPr id="100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AnnualReport2"/>
        <w:numPr>
          <w:ilvl w:val="0"/>
          <w:numId w:val="72"/>
        </w:numPr>
        <w:ind w:left="709" w:hanging="425"/>
        <w:rPr>
          <w:noProof/>
        </w:rPr>
      </w:pPr>
      <w:r>
        <w:rPr>
          <w:noProof/>
        </w:rPr>
        <w:t>Files relating to Germany open in EU Pilot at year-end</w:t>
      </w:r>
    </w:p>
    <w:p>
      <w:pPr>
        <w:spacing w:after="0"/>
        <w:ind w:firstLine="709"/>
        <w:rPr>
          <w:rFonts w:ascii="Arial" w:hAnsi="Arial" w:cs="Arial"/>
          <w:noProof/>
          <w:sz w:val="20"/>
        </w:rPr>
      </w:pPr>
      <w:r>
        <w:rPr>
          <w:rFonts w:ascii="Arial" w:hAnsi="Arial" w:cs="Arial"/>
          <w:noProof/>
          <w:sz w:val="20"/>
          <w:lang w:eastAsia="en-GB"/>
        </w:rPr>
        <w:drawing>
          <wp:inline distT="0" distB="0" distL="0" distR="0">
            <wp:extent cx="4587875" cy="2234565"/>
            <wp:effectExtent l="0" t="0" r="0" b="0"/>
            <wp:docPr id="100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AnnualReport2"/>
        <w:numPr>
          <w:ilvl w:val="0"/>
          <w:numId w:val="72"/>
        </w:numPr>
        <w:ind w:left="709" w:hanging="425"/>
        <w:rPr>
          <w:noProof/>
        </w:rPr>
      </w:pPr>
      <w:r>
        <w:rPr>
          <w:noProof/>
        </w:rPr>
        <w:t>New EU Pilot files opened in 2018: main policy areas</w:t>
      </w:r>
    </w:p>
    <w:p>
      <w:pPr>
        <w:pStyle w:val="Body"/>
        <w:rPr>
          <w:noProof/>
        </w:rPr>
      </w:pPr>
      <w:r>
        <w:rPr>
          <w:noProof/>
          <w:lang w:val="en-GB" w:eastAsia="en-GB"/>
        </w:rPr>
        <w:drawing>
          <wp:inline distT="0" distB="0" distL="0" distR="0">
            <wp:extent cx="4632960" cy="2235200"/>
            <wp:effectExtent l="0" t="0" r="15240" b="12700"/>
            <wp:docPr id="1039" name="Chart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after="0"/>
        <w:rPr>
          <w:rFonts w:ascii="Arial" w:hAnsi="Arial"/>
          <w:noProof/>
          <w:color w:val="002060"/>
        </w:rPr>
      </w:pPr>
      <w:r>
        <w:rPr>
          <w:noProof/>
        </w:rPr>
        <w:br w:type="page"/>
      </w:r>
    </w:p>
    <w:p>
      <w:pPr>
        <w:pStyle w:val="AnnualReport2"/>
        <w:numPr>
          <w:ilvl w:val="0"/>
          <w:numId w:val="72"/>
        </w:numPr>
        <w:ind w:left="709" w:hanging="425"/>
        <w:rPr>
          <w:noProof/>
        </w:rPr>
      </w:pPr>
      <w:r>
        <w:rPr>
          <w:noProof/>
        </w:rPr>
        <w:t>EU Pilot files: Germany’s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1937385"/>
            <wp:effectExtent l="0" t="0" r="17145" b="5715"/>
            <wp:docPr id="100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AnnualReport1"/>
        <w:numPr>
          <w:ilvl w:val="0"/>
          <w:numId w:val="140"/>
        </w:numPr>
        <w:spacing w:after="240"/>
        <w:rPr>
          <w:caps w:val="0"/>
          <w:noProof/>
        </w:rPr>
      </w:pPr>
      <w:r>
        <w:rPr>
          <w:caps w:val="0"/>
          <w:noProof/>
        </w:rPr>
        <w:t>INFRINGEMENT CASES</w:t>
      </w:r>
    </w:p>
    <w:p>
      <w:pPr>
        <w:pStyle w:val="AnnualReport2"/>
        <w:numPr>
          <w:ilvl w:val="0"/>
          <w:numId w:val="73"/>
        </w:numPr>
        <w:ind w:left="709" w:hanging="425"/>
        <w:rPr>
          <w:noProof/>
        </w:rPr>
      </w:pPr>
      <w:r>
        <w:rPr>
          <w:noProof/>
        </w:rPr>
        <w:t>Infringement cases against Germany open on 31 December (2014-2018)</w:t>
      </w:r>
    </w:p>
    <w:p>
      <w:pPr>
        <w:spacing w:after="120"/>
        <w:ind w:firstLine="709"/>
        <w:rPr>
          <w:rFonts w:ascii="Arial" w:hAnsi="Arial"/>
          <w:noProof/>
          <w:color w:val="002060"/>
        </w:rPr>
      </w:pPr>
      <w:r>
        <w:rPr>
          <w:rFonts w:ascii="Arial" w:hAnsi="Arial" w:cs="Arial"/>
          <w:noProof/>
          <w:sz w:val="20"/>
          <w:lang w:eastAsia="en-GB"/>
        </w:rPr>
        <w:drawing>
          <wp:inline distT="0" distB="0" distL="0" distR="0">
            <wp:extent cx="4596130" cy="2024380"/>
            <wp:effectExtent l="0" t="0" r="13970" b="13970"/>
            <wp:docPr id="100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AnnualReport2"/>
        <w:numPr>
          <w:ilvl w:val="0"/>
          <w:numId w:val="73"/>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71700"/>
            <wp:effectExtent l="0" t="0" r="3175" b="0"/>
            <wp:docPr id="1003"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after="0" w:line="240" w:lineRule="auto"/>
        <w:rPr>
          <w:rFonts w:ascii="Arial" w:hAnsi="Arial"/>
          <w:noProof/>
          <w:color w:val="002060"/>
        </w:rPr>
      </w:pPr>
      <w:r>
        <w:rPr>
          <w:noProof/>
        </w:rPr>
        <w:br w:type="page"/>
      </w:r>
    </w:p>
    <w:p>
      <w:pPr>
        <w:pStyle w:val="AnnualReport2"/>
        <w:numPr>
          <w:ilvl w:val="0"/>
          <w:numId w:val="73"/>
        </w:numPr>
        <w:ind w:left="709" w:hanging="425"/>
        <w:rPr>
          <w:noProof/>
        </w:rPr>
      </w:pPr>
      <w:r>
        <w:rPr>
          <w:noProof/>
        </w:rPr>
        <w:t>Key infringement cases and referrals to the Court</w:t>
      </w:r>
    </w:p>
    <w:p>
      <w:pPr>
        <w:numPr>
          <w:ilvl w:val="0"/>
          <w:numId w:val="82"/>
        </w:numPr>
        <w:ind w:left="1276" w:hanging="425"/>
        <w:jc w:val="both"/>
        <w:rPr>
          <w:rFonts w:ascii="Arial" w:hAnsi="Arial" w:cs="Arial"/>
          <w:noProof/>
          <w:sz w:val="20"/>
          <w:szCs w:val="20"/>
        </w:rPr>
      </w:pPr>
      <w:r>
        <w:rPr>
          <w:rFonts w:ascii="Arial" w:hAnsi="Arial" w:cs="Arial"/>
          <w:noProof/>
          <w:sz w:val="20"/>
          <w:szCs w:val="20"/>
        </w:rPr>
        <w:t>The Commission opened 20 new infringement cases against Germany in 2018. These, and other major ongoing infringement cases, include:</w:t>
      </w:r>
    </w:p>
    <w:p>
      <w:pPr>
        <w:pStyle w:val="ListParagraph"/>
        <w:numPr>
          <w:ilvl w:val="0"/>
          <w:numId w:val="102"/>
        </w:numPr>
        <w:ind w:left="1843" w:hanging="502"/>
        <w:jc w:val="both"/>
        <w:rPr>
          <w:noProof/>
        </w:rPr>
      </w:pPr>
      <w:r>
        <w:rPr>
          <w:rFonts w:ascii="Arial" w:hAnsi="Arial" w:cs="Arial"/>
          <w:noProof/>
          <w:sz w:val="20"/>
          <w:szCs w:val="20"/>
        </w:rPr>
        <w:t>failure to ensure that regional transport networks are subject to the safety requirements set by EU rules on railway safety</w:t>
      </w:r>
      <w:r>
        <w:rPr>
          <w:rStyle w:val="FootnoteReference"/>
          <w:rFonts w:ascii="Arial" w:hAnsi="Arial" w:cs="Arial"/>
          <w:noProof/>
          <w:sz w:val="20"/>
          <w:szCs w:val="20"/>
        </w:rPr>
        <w:footnoteReference w:id="116"/>
      </w:r>
      <w:r>
        <w:rPr>
          <w:rFonts w:ascii="Arial" w:hAnsi="Arial" w:cs="Arial"/>
          <w:noProof/>
          <w:sz w:val="20"/>
          <w:szCs w:val="20"/>
        </w:rPr>
        <w:t>;</w:t>
      </w:r>
    </w:p>
    <w:p>
      <w:pPr>
        <w:pStyle w:val="ListParagraph"/>
        <w:numPr>
          <w:ilvl w:val="0"/>
          <w:numId w:val="102"/>
        </w:numPr>
        <w:ind w:left="1843" w:hanging="502"/>
        <w:jc w:val="both"/>
        <w:rPr>
          <w:noProof/>
        </w:rPr>
      </w:pPr>
      <w:r>
        <w:rPr>
          <w:rFonts w:ascii="Arial" w:hAnsi="Arial" w:cs="Arial"/>
          <w:noProof/>
          <w:sz w:val="20"/>
          <w:szCs w:val="20"/>
          <w:lang w:eastAsia="en-GB"/>
        </w:rPr>
        <w:t xml:space="preserve">application of a </w:t>
      </w:r>
      <w:r>
        <w:rPr>
          <w:rFonts w:ascii="Arial" w:hAnsi="Arial" w:cs="Arial"/>
          <w:noProof/>
          <w:sz w:val="20"/>
          <w:szCs w:val="20"/>
        </w:rPr>
        <w:t xml:space="preserve">flat-rate scheme for farmers, </w:t>
      </w:r>
      <w:r>
        <w:rPr>
          <w:rFonts w:ascii="Arial" w:hAnsi="Arial" w:cs="Arial"/>
          <w:noProof/>
          <w:sz w:val="20"/>
          <w:szCs w:val="20"/>
          <w:lang w:eastAsia="en-GB"/>
        </w:rPr>
        <w:t>in breach of EU rules</w:t>
      </w:r>
      <w:r>
        <w:rPr>
          <w:rStyle w:val="FootnoteReference"/>
          <w:rFonts w:ascii="Arial" w:hAnsi="Arial" w:cs="Arial"/>
          <w:noProof/>
          <w:sz w:val="20"/>
          <w:szCs w:val="20"/>
        </w:rPr>
        <w:footnoteReference w:id="117"/>
      </w:r>
      <w:r>
        <w:rPr>
          <w:rFonts w:ascii="Arial" w:hAnsi="Arial" w:cs="Arial"/>
          <w:noProof/>
          <w:sz w:val="20"/>
          <w:szCs w:val="20"/>
        </w:rPr>
        <w:t>;</w:t>
      </w:r>
    </w:p>
    <w:p>
      <w:pPr>
        <w:pStyle w:val="ListParagraph"/>
        <w:numPr>
          <w:ilvl w:val="0"/>
          <w:numId w:val="102"/>
        </w:numPr>
        <w:ind w:left="1849" w:hanging="505"/>
        <w:rPr>
          <w:rFonts w:ascii="Arial" w:hAnsi="Arial" w:cs="Arial"/>
          <w:noProof/>
          <w:sz w:val="20"/>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118"/>
      </w:r>
      <w:r>
        <w:rPr>
          <w:rFonts w:ascii="Arial" w:hAnsi="Arial" w:cs="Arial"/>
          <w:noProof/>
          <w:sz w:val="20"/>
          <w:szCs w:val="20"/>
        </w:rPr>
        <w:t>;</w:t>
      </w:r>
    </w:p>
    <w:p>
      <w:pPr>
        <w:pStyle w:val="ListParagraph"/>
        <w:numPr>
          <w:ilvl w:val="0"/>
          <w:numId w:val="102"/>
        </w:numPr>
        <w:spacing w:line="240" w:lineRule="auto"/>
        <w:ind w:left="1849" w:hanging="505"/>
        <w:rPr>
          <w:rFonts w:ascii="Arial" w:hAnsi="Arial" w:cs="Arial"/>
          <w:noProof/>
          <w:sz w:val="20"/>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119"/>
      </w:r>
      <w:r>
        <w:rPr>
          <w:rFonts w:ascii="Arial" w:hAnsi="Arial" w:cs="Arial"/>
          <w:noProof/>
        </w:rPr>
        <w:t>;</w:t>
      </w:r>
    </w:p>
    <w:p>
      <w:pPr>
        <w:pStyle w:val="ListParagraph"/>
        <w:numPr>
          <w:ilvl w:val="0"/>
          <w:numId w:val="102"/>
        </w:numPr>
        <w:ind w:left="1843" w:hanging="502"/>
        <w:jc w:val="both"/>
        <w:rPr>
          <w:noProof/>
        </w:rPr>
      </w:pPr>
      <w:r>
        <w:rPr>
          <w:rFonts w:ascii="Arial" w:hAnsi="Arial" w:cs="Arial"/>
          <w:noProof/>
          <w:sz w:val="20"/>
          <w:szCs w:val="20"/>
        </w:rPr>
        <w:t>incorrect transposition of the Directive on the protection of animals used for scientific purposes</w:t>
      </w:r>
      <w:r>
        <w:rPr>
          <w:rStyle w:val="FootnoteReference"/>
          <w:rFonts w:ascii="Arial" w:hAnsi="Arial" w:cs="Arial"/>
          <w:noProof/>
          <w:sz w:val="20"/>
          <w:szCs w:val="20"/>
        </w:rPr>
        <w:footnoteReference w:id="120"/>
      </w:r>
      <w:r>
        <w:rPr>
          <w:rFonts w:ascii="Arial" w:hAnsi="Arial" w:cs="Arial"/>
          <w:noProof/>
          <w:sz w:val="20"/>
          <w:szCs w:val="20"/>
        </w:rPr>
        <w:t>;</w:t>
      </w:r>
    </w:p>
    <w:p>
      <w:pPr>
        <w:pStyle w:val="ListParagraph"/>
        <w:numPr>
          <w:ilvl w:val="0"/>
          <w:numId w:val="102"/>
        </w:numPr>
        <w:ind w:left="1843" w:hanging="502"/>
        <w:jc w:val="both"/>
        <w:rPr>
          <w:noProof/>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121"/>
      </w:r>
      <w:r>
        <w:rPr>
          <w:rFonts w:ascii="Arial" w:hAnsi="Arial" w:cs="Arial"/>
          <w:noProof/>
          <w:sz w:val="20"/>
          <w:szCs w:val="20"/>
        </w:rPr>
        <w:t>;</w:t>
      </w:r>
    </w:p>
    <w:p>
      <w:pPr>
        <w:pStyle w:val="ListParagraph"/>
        <w:numPr>
          <w:ilvl w:val="0"/>
          <w:numId w:val="102"/>
        </w:numPr>
        <w:ind w:left="1843" w:hanging="502"/>
        <w:jc w:val="both"/>
        <w:rPr>
          <w:rFonts w:ascii="Arial" w:hAnsi="Arial" w:cs="Arial"/>
          <w:noProof/>
          <w:sz w:val="20"/>
          <w:szCs w:val="20"/>
        </w:rPr>
      </w:pPr>
      <w:r>
        <w:rPr>
          <w:rFonts w:ascii="Arial" w:hAnsi="Arial" w:cs="Arial"/>
          <w:noProof/>
          <w:sz w:val="20"/>
          <w:szCs w:val="20"/>
        </w:rPr>
        <w:t xml:space="preserve">non-communication of national measures transposing the </w:t>
      </w:r>
    </w:p>
    <w:p>
      <w:pPr>
        <w:pStyle w:val="ListParagraph"/>
        <w:numPr>
          <w:ilvl w:val="0"/>
          <w:numId w:val="129"/>
        </w:numPr>
        <w:ind w:left="2552"/>
        <w:jc w:val="both"/>
        <w:rPr>
          <w:noProof/>
        </w:rPr>
      </w:pPr>
      <w:r>
        <w:rPr>
          <w:rFonts w:ascii="Arial" w:hAnsi="Arial" w:cs="Arial"/>
          <w:noProof/>
          <w:sz w:val="20"/>
          <w:szCs w:val="20"/>
        </w:rPr>
        <w:t>Insurance Distribution Directive</w:t>
      </w:r>
      <w:r>
        <w:rPr>
          <w:rStyle w:val="FootnoteReference"/>
          <w:rFonts w:ascii="Arial" w:hAnsi="Arial" w:cs="Arial"/>
          <w:noProof/>
          <w:sz w:val="20"/>
          <w:szCs w:val="20"/>
        </w:rPr>
        <w:footnoteReference w:id="122"/>
      </w:r>
      <w:r>
        <w:rPr>
          <w:rFonts w:ascii="Arial" w:hAnsi="Arial" w:cs="Arial"/>
          <w:noProof/>
          <w:sz w:val="20"/>
          <w:szCs w:val="20"/>
        </w:rPr>
        <w:t>;</w:t>
      </w:r>
    </w:p>
    <w:p>
      <w:pPr>
        <w:pStyle w:val="ListParagraph"/>
        <w:numPr>
          <w:ilvl w:val="0"/>
          <w:numId w:val="129"/>
        </w:numPr>
        <w:ind w:left="2552"/>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123"/>
      </w:r>
      <w:r>
        <w:rPr>
          <w:rFonts w:ascii="Arial" w:hAnsi="Arial" w:cs="Arial"/>
          <w:noProof/>
          <w:sz w:val="20"/>
          <w:szCs w:val="20"/>
        </w:rPr>
        <w:t>;</w:t>
      </w:r>
    </w:p>
    <w:p>
      <w:pPr>
        <w:pStyle w:val="ListParagraph"/>
        <w:numPr>
          <w:ilvl w:val="0"/>
          <w:numId w:val="129"/>
        </w:numPr>
        <w:ind w:left="2552"/>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124"/>
      </w:r>
      <w:r>
        <w:rPr>
          <w:rFonts w:ascii="Arial" w:hAnsi="Arial" w:cs="Arial"/>
          <w:noProof/>
          <w:sz w:val="20"/>
          <w:szCs w:val="20"/>
        </w:rPr>
        <w:t>;</w:t>
      </w:r>
    </w:p>
    <w:p>
      <w:pPr>
        <w:pStyle w:val="ListParagraph"/>
        <w:numPr>
          <w:ilvl w:val="0"/>
          <w:numId w:val="129"/>
        </w:numPr>
        <w:ind w:left="2552"/>
        <w:jc w:val="both"/>
        <w:rPr>
          <w:noProof/>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125"/>
      </w:r>
      <w:r>
        <w:rPr>
          <w:rFonts w:ascii="Arial" w:hAnsi="Arial" w:cs="Arial"/>
          <w:noProof/>
          <w:sz w:val="20"/>
          <w:szCs w:val="20"/>
        </w:rPr>
        <w:t>;</w:t>
      </w:r>
    </w:p>
    <w:p>
      <w:pPr>
        <w:numPr>
          <w:ilvl w:val="0"/>
          <w:numId w:val="82"/>
        </w:numPr>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pStyle w:val="Lijstje2"/>
        <w:numPr>
          <w:ilvl w:val="0"/>
          <w:numId w:val="2"/>
        </w:numPr>
        <w:spacing w:after="200" w:line="240" w:lineRule="auto"/>
        <w:ind w:left="1800"/>
        <w:jc w:val="both"/>
        <w:rPr>
          <w:rFonts w:ascii="Arial" w:hAnsi="Arial" w:cs="Arial"/>
          <w:noProof/>
          <w:lang w:val="en-GB"/>
        </w:rPr>
      </w:pPr>
      <w:r>
        <w:rPr>
          <w:rFonts w:ascii="Arial" w:hAnsi="Arial" w:cs="Arial"/>
          <w:noProof/>
          <w:lang w:val="en-GB"/>
        </w:rPr>
        <w:t>non-compliance with the requirements of the Third Energy Package Directives (Electricity and Gas Directives)</w:t>
      </w:r>
      <w:r>
        <w:rPr>
          <w:rStyle w:val="FootnoteReference"/>
          <w:rFonts w:ascii="Arial" w:hAnsi="Arial" w:cs="Arial"/>
          <w:noProof/>
          <w:lang w:val="en-GB"/>
        </w:rPr>
        <w:footnoteReference w:id="126"/>
      </w:r>
      <w:r>
        <w:rPr>
          <w:rFonts w:ascii="Arial" w:hAnsi="Arial" w:cs="Arial"/>
          <w:noProof/>
          <w:lang w:val="en-GB"/>
        </w:rPr>
        <w:t>;</w:t>
      </w:r>
    </w:p>
    <w:p>
      <w:pPr>
        <w:pStyle w:val="Lijstje2"/>
        <w:numPr>
          <w:ilvl w:val="0"/>
          <w:numId w:val="2"/>
        </w:numPr>
        <w:spacing w:after="200" w:line="240" w:lineRule="auto"/>
        <w:ind w:left="1800"/>
        <w:jc w:val="both"/>
        <w:rPr>
          <w:rFonts w:ascii="Arial" w:hAnsi="Arial" w:cs="Arial"/>
          <w:noProof/>
          <w:szCs w:val="20"/>
          <w:lang w:val="en-US"/>
        </w:rPr>
      </w:pPr>
      <w:r>
        <w:rPr>
          <w:rFonts w:ascii="Arial" w:hAnsi="Arial" w:cs="Arial"/>
          <w:noProof/>
          <w:szCs w:val="20"/>
          <w:lang w:val="en-US"/>
        </w:rPr>
        <w:t>exceedance of the nitrogen dioxide (NO</w:t>
      </w:r>
      <w:r>
        <w:rPr>
          <w:rFonts w:ascii="Arial" w:hAnsi="Arial" w:cs="Arial"/>
          <w:noProof/>
          <w:szCs w:val="20"/>
          <w:vertAlign w:val="subscript"/>
          <w:lang w:val="en-US"/>
        </w:rPr>
        <w:t>2</w:t>
      </w:r>
      <w:r>
        <w:rPr>
          <w:rFonts w:ascii="Arial" w:hAnsi="Arial" w:cs="Arial"/>
          <w:noProof/>
          <w:szCs w:val="20"/>
          <w:lang w:val="en-US"/>
        </w:rPr>
        <w:t>) limit values set by the Air Quality Directive</w:t>
      </w:r>
      <w:r>
        <w:rPr>
          <w:rStyle w:val="FootnoteReference"/>
          <w:rFonts w:ascii="Arial" w:hAnsi="Arial" w:cs="Arial"/>
          <w:noProof/>
          <w:szCs w:val="20"/>
        </w:rPr>
        <w:footnoteReference w:id="127"/>
      </w:r>
      <w:r>
        <w:rPr>
          <w:rFonts w:ascii="Arial" w:hAnsi="Arial" w:cs="Arial"/>
          <w:noProof/>
          <w:szCs w:val="20"/>
          <w:lang w:val="en-US"/>
        </w:rPr>
        <w:t>.</w:t>
      </w:r>
    </w:p>
    <w:p>
      <w:pPr>
        <w:numPr>
          <w:ilvl w:val="0"/>
          <w:numId w:val="82"/>
        </w:numPr>
        <w:ind w:left="1276" w:hanging="425"/>
        <w:rPr>
          <w:noProof/>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noProof/>
          <w:color w:val="4F81BD"/>
          <w:kern w:val="20"/>
          <w:szCs w:val="24"/>
        </w:rPr>
      </w:pPr>
      <w:r>
        <w:rPr>
          <w:caps/>
          <w:noProof/>
        </w:rPr>
        <w:br w:type="page"/>
      </w:r>
    </w:p>
    <w:p>
      <w:pPr>
        <w:pStyle w:val="AnnualReport1"/>
        <w:numPr>
          <w:ilvl w:val="0"/>
          <w:numId w:val="140"/>
        </w:numPr>
        <w:spacing w:after="240"/>
        <w:rPr>
          <w:caps w:val="0"/>
          <w:noProof/>
        </w:rPr>
      </w:pPr>
      <w:r>
        <w:rPr>
          <w:caps w:val="0"/>
          <w:noProof/>
        </w:rPr>
        <w:t>TRANSPOSITION OF DIRECTIVES</w:t>
      </w:r>
    </w:p>
    <w:p>
      <w:pPr>
        <w:pStyle w:val="AnnualReport2"/>
        <w:numPr>
          <w:ilvl w:val="0"/>
          <w:numId w:val="138"/>
        </w:numPr>
        <w:ind w:left="709"/>
        <w:rPr>
          <w:noProof/>
        </w:rPr>
      </w:pPr>
      <w:r>
        <w:rPr>
          <w:noProof/>
        </w:rPr>
        <w:t>Late transposition infringement cases against Germany open on 31 December (2014-2018)</w:t>
      </w:r>
    </w:p>
    <w:p>
      <w:pPr>
        <w:ind w:left="426" w:firstLine="283"/>
        <w:rPr>
          <w:noProof/>
        </w:rPr>
      </w:pPr>
      <w:r>
        <w:rPr>
          <w:noProof/>
          <w:lang w:eastAsia="en-GB"/>
        </w:rPr>
        <w:drawing>
          <wp:inline distT="0" distB="0" distL="0" distR="0">
            <wp:extent cx="4587875" cy="2154555"/>
            <wp:effectExtent l="0" t="0" r="0" b="0"/>
            <wp:docPr id="100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AnnualReport2"/>
        <w:numPr>
          <w:ilvl w:val="0"/>
          <w:numId w:val="138"/>
        </w:numPr>
        <w:ind w:left="709"/>
        <w:rPr>
          <w:noProof/>
        </w:rPr>
      </w:pPr>
      <w:r>
        <w:rPr>
          <w:noProof/>
        </w:rPr>
        <w:t>New late transposition infringement cases against Germany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54555"/>
            <wp:effectExtent l="0" t="0" r="22225" b="17145"/>
            <wp:docPr id="100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AnnualReport2"/>
        <w:numPr>
          <w:ilvl w:val="0"/>
          <w:numId w:val="138"/>
        </w:numPr>
        <w:ind w:left="709"/>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16780" cy="2273300"/>
            <wp:effectExtent l="0" t="0" r="7620" b="12700"/>
            <wp:docPr id="1080"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spacing w:after="0" w:line="240" w:lineRule="auto"/>
        <w:rPr>
          <w:rFonts w:ascii="Arial" w:hAnsi="Arial"/>
          <w:noProof/>
          <w:color w:val="002060"/>
        </w:rPr>
      </w:pPr>
      <w:r>
        <w:rPr>
          <w:noProof/>
        </w:rPr>
        <w:br w:type="page"/>
      </w:r>
    </w:p>
    <w:p>
      <w:pPr>
        <w:pStyle w:val="AnnualReport2"/>
        <w:numPr>
          <w:ilvl w:val="0"/>
          <w:numId w:val="138"/>
        </w:numPr>
        <w:ind w:left="709"/>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40"/>
        </w:numPr>
        <w:spacing w:after="240"/>
        <w:rPr>
          <w:caps w:val="0"/>
          <w:noProof/>
        </w:rPr>
      </w:pPr>
      <w:r>
        <w:rPr>
          <w:caps w:val="0"/>
          <w:noProof/>
        </w:rPr>
        <w:t>EARLY RESOLUTION OF INFRINGEMENT CASES</w:t>
      </w:r>
    </w:p>
    <w:p>
      <w:pPr>
        <w:spacing w:after="60"/>
        <w:ind w:firstLine="709"/>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pStyle w:val="ListParagraph"/>
        <w:numPr>
          <w:ilvl w:val="0"/>
          <w:numId w:val="15"/>
        </w:numPr>
        <w:spacing w:after="0"/>
        <w:jc w:val="both"/>
        <w:rPr>
          <w:rFonts w:ascii="Arial" w:hAnsi="Arial" w:cs="Arial"/>
          <w:i/>
          <w:noProof/>
          <w:sz w:val="20"/>
          <w:szCs w:val="20"/>
        </w:rPr>
      </w:pPr>
      <w:r>
        <w:rPr>
          <w:rFonts w:ascii="Arial" w:hAnsi="Arial" w:cs="Arial"/>
          <w:noProof/>
          <w:sz w:val="20"/>
          <w:szCs w:val="20"/>
        </w:rPr>
        <w:t>non-compliance with the principle of mutual recognition of ‘old authorisations’ for plant protection products</w:t>
      </w:r>
      <w:r>
        <w:rPr>
          <w:rFonts w:ascii="Arial" w:hAnsi="Arial" w:cs="Arial"/>
          <w:noProof/>
          <w:sz w:val="20"/>
          <w:szCs w:val="20"/>
          <w:vertAlign w:val="superscript"/>
          <w:lang w:val="nl-NL"/>
        </w:rPr>
        <w:footnoteReference w:id="128"/>
      </w:r>
      <w:r>
        <w:rPr>
          <w:rFonts w:ascii="Arial" w:hAnsi="Arial" w:cs="Arial"/>
          <w:noProof/>
          <w:sz w:val="20"/>
          <w:szCs w:val="20"/>
        </w:rPr>
        <w:t>;</w:t>
      </w:r>
    </w:p>
    <w:p>
      <w:pPr>
        <w:pStyle w:val="ListParagraph"/>
        <w:numPr>
          <w:ilvl w:val="0"/>
          <w:numId w:val="15"/>
        </w:numPr>
        <w:spacing w:after="0"/>
        <w:jc w:val="both"/>
        <w:rPr>
          <w:rFonts w:ascii="Arial" w:hAnsi="Arial" w:cs="Arial"/>
          <w:i/>
          <w:noProof/>
          <w:sz w:val="20"/>
          <w:szCs w:val="20"/>
        </w:rPr>
      </w:pPr>
      <w:r>
        <w:rPr>
          <w:rFonts w:ascii="Arial" w:hAnsi="Arial" w:cs="Arial"/>
          <w:noProof/>
          <w:sz w:val="20"/>
          <w:szCs w:val="20"/>
        </w:rPr>
        <w:t>incorrect transposition of the Directive on railway safety</w:t>
      </w:r>
      <w:r>
        <w:rPr>
          <w:rStyle w:val="FootnoteReference"/>
          <w:rFonts w:ascii="Arial" w:hAnsi="Arial" w:cs="Arial"/>
          <w:noProof/>
          <w:sz w:val="20"/>
          <w:szCs w:val="20"/>
        </w:rPr>
        <w:footnoteReference w:id="129"/>
      </w:r>
      <w:r>
        <w:rPr>
          <w:rFonts w:ascii="Arial" w:hAnsi="Arial" w:cs="Arial"/>
          <w:noProof/>
          <w:sz w:val="20"/>
          <w:szCs w:val="20"/>
        </w:rPr>
        <w:t>;</w:t>
      </w:r>
    </w:p>
    <w:p>
      <w:pPr>
        <w:pStyle w:val="ListParagraph"/>
        <w:numPr>
          <w:ilvl w:val="0"/>
          <w:numId w:val="15"/>
        </w:numPr>
        <w:spacing w:after="0"/>
        <w:jc w:val="both"/>
        <w:rPr>
          <w:rFonts w:ascii="Arial" w:hAnsi="Arial" w:cs="Arial"/>
          <w:i/>
          <w:noProof/>
          <w:sz w:val="20"/>
          <w:szCs w:val="20"/>
        </w:rPr>
      </w:pPr>
      <w:r>
        <w:rPr>
          <w:rFonts w:ascii="Arial" w:hAnsi="Arial" w:cs="Arial"/>
          <w:noProof/>
          <w:sz w:val="20"/>
          <w:szCs w:val="20"/>
        </w:rPr>
        <w:t>parallel imports of medicines;</w:t>
      </w:r>
      <w:r>
        <w:rPr>
          <w:rStyle w:val="FootnoteReference"/>
          <w:rFonts w:ascii="Arial" w:hAnsi="Arial" w:cs="Arial"/>
          <w:noProof/>
          <w:sz w:val="20"/>
          <w:szCs w:val="20"/>
        </w:rPr>
        <w:footnoteReference w:id="130"/>
      </w:r>
    </w:p>
    <w:p>
      <w:pPr>
        <w:pStyle w:val="ListParagraph"/>
        <w:numPr>
          <w:ilvl w:val="0"/>
          <w:numId w:val="15"/>
        </w:numPr>
        <w:spacing w:after="0"/>
        <w:jc w:val="both"/>
        <w:rPr>
          <w:rFonts w:ascii="Arial" w:hAnsi="Arial" w:cs="Arial"/>
          <w:i/>
          <w:noProof/>
          <w:sz w:val="20"/>
          <w:szCs w:val="20"/>
        </w:rPr>
      </w:pPr>
      <w:r>
        <w:rPr>
          <w:rFonts w:ascii="Arial" w:hAnsi="Arial" w:cs="Arial"/>
          <w:bCs/>
          <w:noProof/>
          <w:sz w:val="20"/>
        </w:rPr>
        <w:t>non-communication of national measures transposing the</w:t>
      </w:r>
    </w:p>
    <w:p>
      <w:pPr>
        <w:pStyle w:val="ListParagraph"/>
        <w:numPr>
          <w:ilvl w:val="1"/>
          <w:numId w:val="15"/>
        </w:numPr>
        <w:spacing w:after="0"/>
        <w:jc w:val="both"/>
        <w:rPr>
          <w:rFonts w:ascii="Arial" w:hAnsi="Arial" w:cs="Arial"/>
          <w:i/>
          <w:noProof/>
          <w:sz w:val="20"/>
          <w:szCs w:val="20"/>
        </w:rPr>
      </w:pPr>
      <w:r>
        <w:rPr>
          <w:rFonts w:ascii="Arial" w:hAnsi="Arial" w:cs="Arial"/>
          <w:bCs/>
          <w:noProof/>
          <w:sz w:val="20"/>
        </w:rPr>
        <w:t>Directive on intra-corporate transfer</w:t>
      </w:r>
      <w:r>
        <w:rPr>
          <w:rFonts w:ascii="Arial" w:hAnsi="Arial" w:cs="Arial"/>
          <w:bCs/>
          <w:noProof/>
          <w:sz w:val="20"/>
          <w:vertAlign w:val="superscript"/>
        </w:rPr>
        <w:footnoteReference w:id="131"/>
      </w:r>
      <w:r>
        <w:rPr>
          <w:rFonts w:ascii="Arial" w:hAnsi="Arial" w:cs="Arial"/>
          <w:bCs/>
          <w:noProof/>
          <w:sz w:val="20"/>
        </w:rPr>
        <w:t>;</w:t>
      </w:r>
    </w:p>
    <w:p>
      <w:pPr>
        <w:pStyle w:val="ListParagraph"/>
        <w:numPr>
          <w:ilvl w:val="1"/>
          <w:numId w:val="15"/>
        </w:numPr>
        <w:spacing w:after="0"/>
        <w:jc w:val="both"/>
        <w:rPr>
          <w:rFonts w:ascii="Arial" w:hAnsi="Arial" w:cs="Arial"/>
          <w:i/>
          <w:noProof/>
          <w:sz w:val="20"/>
          <w:szCs w:val="20"/>
        </w:rPr>
      </w:pPr>
      <w:r>
        <w:rPr>
          <w:rFonts w:ascii="Arial" w:hAnsi="Arial" w:cs="Arial"/>
          <w:bCs/>
          <w:noProof/>
          <w:sz w:val="20"/>
        </w:rPr>
        <w:t>Directive on the freezing and confiscation of instrumentalities and proceeds of crime</w:t>
      </w:r>
      <w:r>
        <w:rPr>
          <w:rStyle w:val="FootnoteReference"/>
          <w:rFonts w:ascii="Arial" w:hAnsi="Arial" w:cs="Arial"/>
          <w:bCs/>
          <w:noProof/>
          <w:sz w:val="20"/>
        </w:rPr>
        <w:footnoteReference w:id="132"/>
      </w:r>
      <w:r>
        <w:rPr>
          <w:rFonts w:ascii="Arial" w:hAnsi="Arial" w:cs="Arial"/>
          <w:bCs/>
          <w:noProof/>
          <w:sz w:val="20"/>
        </w:rPr>
        <w:t>;</w:t>
      </w:r>
    </w:p>
    <w:p>
      <w:pPr>
        <w:pStyle w:val="ListParagraph"/>
        <w:numPr>
          <w:ilvl w:val="1"/>
          <w:numId w:val="15"/>
        </w:numPr>
        <w:spacing w:after="120"/>
        <w:jc w:val="both"/>
        <w:rPr>
          <w:rFonts w:ascii="Arial" w:hAnsi="Arial" w:cs="Arial"/>
          <w:noProof/>
          <w:sz w:val="20"/>
        </w:rPr>
      </w:pPr>
      <w:r>
        <w:rPr>
          <w:rFonts w:ascii="Arial" w:hAnsi="Arial" w:cs="Arial"/>
          <w:noProof/>
          <w:sz w:val="20"/>
        </w:rPr>
        <w:t>Directive on fuel quality reporting requirements and calculation methods;</w:t>
      </w:r>
      <w:r>
        <w:rPr>
          <w:rStyle w:val="FootnoteReference"/>
          <w:rFonts w:ascii="Arial" w:hAnsi="Arial" w:cs="Arial"/>
          <w:noProof/>
          <w:sz w:val="20"/>
        </w:rPr>
        <w:footnoteReference w:id="133"/>
      </w:r>
      <w:r>
        <w:rPr>
          <w:rFonts w:ascii="Arial" w:hAnsi="Arial" w:cs="Arial"/>
          <w:noProof/>
          <w:sz w:val="20"/>
        </w:rPr>
        <w:t xml:space="preserve"> </w:t>
      </w:r>
    </w:p>
    <w:p>
      <w:pPr>
        <w:pStyle w:val="ListParagraph"/>
        <w:numPr>
          <w:ilvl w:val="1"/>
          <w:numId w:val="15"/>
        </w:numPr>
        <w:spacing w:after="120"/>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134"/>
      </w:r>
      <w:r>
        <w:rPr>
          <w:rFonts w:ascii="Arial" w:eastAsia="Calibri" w:hAnsi="Arial" w:cs="Arial"/>
          <w:noProof/>
          <w:sz w:val="20"/>
          <w:szCs w:val="20"/>
          <w:lang w:eastAsia="en-GB"/>
        </w:rPr>
        <w:t>.</w:t>
      </w:r>
    </w:p>
    <w:p>
      <w:pPr>
        <w:pStyle w:val="AnnualReport1"/>
        <w:numPr>
          <w:ilvl w:val="0"/>
          <w:numId w:val="140"/>
        </w:numPr>
        <w:spacing w:after="240"/>
        <w:rPr>
          <w:caps w:val="0"/>
          <w:noProof/>
        </w:rPr>
      </w:pPr>
      <w:r>
        <w:rPr>
          <w:caps w:val="0"/>
          <w:noProof/>
        </w:rPr>
        <w:t>IMPORTANT JUDGMENTS</w:t>
      </w:r>
    </w:p>
    <w:p>
      <w:pPr>
        <w:pStyle w:val="AnnualReport2"/>
        <w:numPr>
          <w:ilvl w:val="0"/>
          <w:numId w:val="74"/>
        </w:numPr>
        <w:ind w:left="709" w:hanging="425"/>
        <w:rPr>
          <w:noProof/>
        </w:rPr>
      </w:pPr>
      <w:r>
        <w:rPr>
          <w:noProof/>
        </w:rPr>
        <w:t>Court rulings</w:t>
      </w:r>
    </w:p>
    <w:p>
      <w:pPr>
        <w:spacing w:after="120"/>
        <w:ind w:firstLine="709"/>
        <w:jc w:val="both"/>
        <w:rPr>
          <w:rFonts w:ascii="Arial" w:hAnsi="Arial" w:cs="Arial"/>
          <w:noProof/>
          <w:sz w:val="20"/>
        </w:rPr>
      </w:pPr>
      <w:r>
        <w:rPr>
          <w:rFonts w:ascii="Arial" w:hAnsi="Arial" w:cs="Arial"/>
          <w:noProof/>
          <w:sz w:val="20"/>
        </w:rPr>
        <w:t>The Court gave the following rulings:</w:t>
      </w:r>
    </w:p>
    <w:p>
      <w:pPr>
        <w:pStyle w:val="Basis"/>
        <w:numPr>
          <w:ilvl w:val="0"/>
          <w:numId w:val="134"/>
        </w:numPr>
        <w:spacing w:after="100" w:afterAutospacing="1" w:line="240" w:lineRule="auto"/>
        <w:ind w:left="1276" w:hanging="425"/>
        <w:jc w:val="both"/>
        <w:rPr>
          <w:rFonts w:ascii="Arial" w:hAnsi="Arial" w:cs="Arial"/>
          <w:noProof/>
          <w:lang w:val="en-GB"/>
        </w:rPr>
      </w:pPr>
      <w:r>
        <w:rPr>
          <w:rFonts w:ascii="Arial" w:hAnsi="Arial" w:cs="Arial"/>
          <w:noProof/>
          <w:lang w:val="en-GB"/>
        </w:rPr>
        <w:t>Germany has failed to comply with the Nitrates Directive by not having taken additional measures or reinforced action as soon as it became apparent that the action programme was not sufficient to achieve the objectives set by the Directive. These are to reduce water pollution caused by nitrates from agricultural sources and prevent further such pollution</w:t>
      </w:r>
      <w:r>
        <w:rPr>
          <w:rStyle w:val="FootnoteReference"/>
          <w:rFonts w:ascii="Arial" w:hAnsi="Arial" w:cs="Arial"/>
          <w:noProof/>
          <w:lang w:val="en-GB"/>
        </w:rPr>
        <w:footnoteReference w:id="135"/>
      </w:r>
      <w:r>
        <w:rPr>
          <w:rFonts w:ascii="Arial" w:hAnsi="Arial" w:cs="Arial"/>
          <w:noProof/>
          <w:lang w:val="en-GB"/>
        </w:rPr>
        <w:t>.</w:t>
      </w:r>
    </w:p>
    <w:p>
      <w:pPr>
        <w:pStyle w:val="Basis"/>
        <w:numPr>
          <w:ilvl w:val="0"/>
          <w:numId w:val="134"/>
        </w:numPr>
        <w:spacing w:after="100" w:afterAutospacing="1" w:line="240" w:lineRule="auto"/>
        <w:ind w:left="1276" w:hanging="425"/>
        <w:jc w:val="both"/>
        <w:rPr>
          <w:rFonts w:ascii="Arial" w:hAnsi="Arial" w:cs="Arial"/>
          <w:noProof/>
          <w:lang w:val="en-GB"/>
        </w:rPr>
      </w:pPr>
      <w:r>
        <w:rPr>
          <w:rFonts w:ascii="Arial" w:hAnsi="Arial" w:cs="Arial"/>
          <w:noProof/>
          <w:szCs w:val="20"/>
        </w:rPr>
        <w:t>Germany failed to take the necessary measures to re-establish conformity to their approved types of 133 713 vehicles of types 246, 176 and 117, sold by Daimler between 1 January and 26 June 2013. The vehicles were fitted not with the refrigerant R1234yf declared for those approved types but a different refrigerant with a global warming potential of over 150</w:t>
      </w:r>
      <w:r>
        <w:rPr>
          <w:rStyle w:val="FootnoteReference"/>
          <w:rFonts w:ascii="Arial" w:hAnsi="Arial" w:cs="Arial"/>
          <w:noProof/>
          <w:szCs w:val="20"/>
        </w:rPr>
        <w:footnoteReference w:id="136"/>
      </w:r>
      <w:r>
        <w:rPr>
          <w:rFonts w:ascii="Arial" w:hAnsi="Arial" w:cs="Arial"/>
          <w:noProof/>
          <w:szCs w:val="20"/>
        </w:rPr>
        <w:t>.</w:t>
      </w:r>
    </w:p>
    <w:p>
      <w:pPr>
        <w:pStyle w:val="Basis"/>
        <w:numPr>
          <w:ilvl w:val="0"/>
          <w:numId w:val="134"/>
        </w:numPr>
        <w:spacing w:after="100" w:afterAutospacing="1" w:line="240" w:lineRule="auto"/>
        <w:ind w:left="1276" w:hanging="425"/>
        <w:jc w:val="both"/>
        <w:rPr>
          <w:rFonts w:ascii="Arial" w:hAnsi="Arial" w:cs="Arial"/>
          <w:noProof/>
          <w:lang w:val="en-GB"/>
        </w:rPr>
      </w:pPr>
      <w:r>
        <w:rPr>
          <w:rFonts w:ascii="Arial" w:hAnsi="Arial" w:cs="Arial"/>
          <w:noProof/>
          <w:szCs w:val="20"/>
        </w:rPr>
        <w:t>Germany</w:t>
      </w:r>
      <w:r>
        <w:rPr>
          <w:rFonts w:ascii="Arial" w:hAnsi="Arial" w:cs="Arial"/>
          <w:i/>
          <w:noProof/>
          <w:szCs w:val="20"/>
        </w:rPr>
        <w:t xml:space="preserve"> </w:t>
      </w:r>
      <w:r>
        <w:rPr>
          <w:rFonts w:ascii="Arial" w:hAnsi="Arial" w:cs="Arial"/>
          <w:noProof/>
          <w:szCs w:val="20"/>
        </w:rPr>
        <w:t>excludes sales of travel services to taxable undertakings from the special scheme for travel agents. Moreover, when applying the special scheme, Germany allows an overall taxable amount to be calculated either for groups of services or for all services provided within a tax period. The Court decided that both measures are incompatible with the VAT Directive</w:t>
      </w:r>
      <w:r>
        <w:rPr>
          <w:rStyle w:val="FootnoteReference"/>
          <w:rFonts w:ascii="Arial" w:hAnsi="Arial" w:cs="Arial"/>
          <w:noProof/>
          <w:szCs w:val="20"/>
        </w:rPr>
        <w:footnoteReference w:id="137"/>
      </w:r>
      <w:r>
        <w:rPr>
          <w:rFonts w:ascii="Arial" w:hAnsi="Arial" w:cs="Arial"/>
          <w:noProof/>
          <w:szCs w:val="20"/>
        </w:rPr>
        <w:t>.</w:t>
      </w:r>
    </w:p>
    <w:p>
      <w:pPr>
        <w:spacing w:after="0" w:line="240" w:lineRule="auto"/>
        <w:rPr>
          <w:rFonts w:ascii="Arial" w:hAnsi="Arial" w:cs="Arial"/>
          <w:noProof/>
          <w:color w:val="002060"/>
          <w:sz w:val="20"/>
          <w:szCs w:val="20"/>
        </w:rPr>
      </w:pPr>
      <w:r>
        <w:rPr>
          <w:rFonts w:cs="Arial"/>
          <w:noProof/>
          <w:sz w:val="20"/>
          <w:szCs w:val="20"/>
        </w:rPr>
        <w:br w:type="page"/>
      </w:r>
    </w:p>
    <w:p>
      <w:pPr>
        <w:pStyle w:val="AnnualReport2"/>
        <w:numPr>
          <w:ilvl w:val="0"/>
          <w:numId w:val="74"/>
        </w:numPr>
        <w:ind w:left="709" w:hanging="425"/>
        <w:rPr>
          <w:rFonts w:cs="Arial"/>
          <w:noProof/>
          <w:sz w:val="20"/>
          <w:szCs w:val="20"/>
        </w:rPr>
      </w:pPr>
      <w:r>
        <w:rPr>
          <w:rFonts w:cs="Arial"/>
          <w:noProof/>
          <w:sz w:val="20"/>
          <w:szCs w:val="20"/>
        </w:rPr>
        <w:t>Preliminary rulings</w:t>
      </w:r>
    </w:p>
    <w:p>
      <w:pPr>
        <w:spacing w:after="120"/>
        <w:ind w:left="426" w:firstLine="294"/>
        <w:jc w:val="both"/>
        <w:rPr>
          <w:rFonts w:ascii="Arial" w:hAnsi="Arial" w:cs="Arial"/>
          <w:noProof/>
          <w:sz w:val="20"/>
          <w:szCs w:val="20"/>
        </w:rPr>
      </w:pPr>
      <w:r>
        <w:rPr>
          <w:rFonts w:ascii="Arial" w:hAnsi="Arial" w:cs="Arial"/>
          <w:noProof/>
          <w:sz w:val="20"/>
          <w:szCs w:val="20"/>
        </w:rPr>
        <w:t>The Court addressed the following preliminary rulings to the German judiciary:</w:t>
      </w:r>
    </w:p>
    <w:p>
      <w:pPr>
        <w:pStyle w:val="ListParagraph"/>
        <w:numPr>
          <w:ilvl w:val="0"/>
          <w:numId w:val="2"/>
        </w:numPr>
        <w:spacing w:before="120" w:after="120" w:line="240" w:lineRule="auto"/>
        <w:ind w:left="1440"/>
        <w:contextualSpacing w:val="0"/>
        <w:jc w:val="both"/>
        <w:rPr>
          <w:rFonts w:ascii="Arial" w:hAnsi="Arial" w:cs="Arial"/>
          <w:noProof/>
          <w:sz w:val="20"/>
          <w:szCs w:val="20"/>
        </w:rPr>
      </w:pPr>
      <w:r>
        <w:rPr>
          <w:rFonts w:ascii="Arial" w:hAnsi="Arial" w:cs="Arial"/>
          <w:noProof/>
          <w:sz w:val="20"/>
          <w:szCs w:val="20"/>
        </w:rPr>
        <w:t>The Court clarified further the consequences for the right to annual leave of terminating a contract and ruled that Article 31(2) of the Charter of Fundamental Rights of the European Union on the right to a period of paid annual leave has horizontal direct effect and that it can be invoked in disputes between a worker and his or her private sector employer</w:t>
      </w:r>
      <w:r>
        <w:rPr>
          <w:rFonts w:ascii="Arial" w:hAnsi="Arial" w:cs="Arial"/>
          <w:noProof/>
          <w:sz w:val="20"/>
          <w:szCs w:val="20"/>
          <w:vertAlign w:val="superscript"/>
        </w:rPr>
        <w:footnoteReference w:id="138"/>
      </w:r>
      <w:r>
        <w:rPr>
          <w:rFonts w:ascii="Arial" w:hAnsi="Arial" w:cs="Arial"/>
          <w:noProof/>
          <w:sz w:val="20"/>
          <w:szCs w:val="20"/>
          <w:vertAlign w:val="superscript"/>
        </w:rPr>
        <w:t>.</w:t>
      </w:r>
      <w:r>
        <w:rPr>
          <w:rFonts w:ascii="Arial" w:hAnsi="Arial" w:cs="Arial"/>
          <w:noProof/>
          <w:sz w:val="20"/>
          <w:szCs w:val="20"/>
        </w:rPr>
        <w:t xml:space="preserve">. </w:t>
      </w:r>
    </w:p>
    <w:p>
      <w:pPr>
        <w:pStyle w:val="ListParagraph"/>
        <w:numPr>
          <w:ilvl w:val="0"/>
          <w:numId w:val="2"/>
        </w:numPr>
        <w:spacing w:before="120" w:after="120" w:line="240" w:lineRule="auto"/>
        <w:ind w:left="1440"/>
        <w:contextualSpacing w:val="0"/>
        <w:jc w:val="both"/>
        <w:rPr>
          <w:rFonts w:ascii="Arial" w:hAnsi="Arial" w:cs="Arial"/>
          <w:noProof/>
          <w:sz w:val="20"/>
          <w:szCs w:val="20"/>
        </w:rPr>
      </w:pPr>
      <w:r>
        <w:rPr>
          <w:rFonts w:ascii="Arial" w:hAnsi="Arial" w:cs="Arial"/>
          <w:noProof/>
          <w:sz w:val="20"/>
          <w:szCs w:val="20"/>
        </w:rPr>
        <w:t>During their minimum period of annual leave guaranteed by EU law, workers are entitled to their normal remuneration, in spite of periods of short-time work during the reference period for that leave. A worker who carried out lower-paid short-time work during that period may not receive a lower remuneration for the corresponding annual leave</w:t>
      </w:r>
      <w:r>
        <w:rPr>
          <w:rFonts w:ascii="Arial" w:hAnsi="Arial" w:cs="Arial"/>
          <w:noProof/>
          <w:sz w:val="20"/>
          <w:szCs w:val="20"/>
          <w:vertAlign w:val="superscript"/>
        </w:rPr>
        <w:footnoteReference w:id="139"/>
      </w:r>
      <w:r>
        <w:rPr>
          <w:rFonts w:ascii="Arial" w:hAnsi="Arial" w:cs="Arial"/>
          <w:noProof/>
          <w:sz w:val="20"/>
          <w:szCs w:val="20"/>
        </w:rPr>
        <w:t xml:space="preserve">. </w:t>
      </w:r>
    </w:p>
    <w:p>
      <w:pPr>
        <w:pStyle w:val="ListParagraph"/>
        <w:numPr>
          <w:ilvl w:val="0"/>
          <w:numId w:val="2"/>
        </w:numPr>
        <w:spacing w:before="120" w:after="120" w:line="240" w:lineRule="auto"/>
        <w:ind w:left="1440"/>
        <w:contextualSpacing w:val="0"/>
        <w:jc w:val="both"/>
        <w:rPr>
          <w:rFonts w:ascii="Arial" w:hAnsi="Arial" w:cs="Arial"/>
          <w:noProof/>
          <w:sz w:val="20"/>
          <w:szCs w:val="20"/>
        </w:rPr>
      </w:pPr>
      <w:r>
        <w:rPr>
          <w:rFonts w:ascii="Arial" w:hAnsi="Arial" w:cs="Arial"/>
          <w:noProof/>
          <w:sz w:val="20"/>
          <w:szCs w:val="20"/>
        </w:rPr>
        <w:t>Churches or other organisations whose ethos is based on religion may impose on their employees different requirements on the basis of religion only if those requirements are genuine, legitimate and justified in the light of the organisation’s ethos as well as the nature and context of the specific job</w:t>
      </w:r>
      <w:r>
        <w:rPr>
          <w:rFonts w:ascii="Arial" w:hAnsi="Arial" w:cs="Arial"/>
          <w:noProof/>
          <w:sz w:val="20"/>
          <w:szCs w:val="20"/>
          <w:vertAlign w:val="superscript"/>
        </w:rPr>
        <w:footnoteReference w:id="140"/>
      </w:r>
      <w:r>
        <w:rPr>
          <w:rFonts w:ascii="Arial" w:hAnsi="Arial" w:cs="Arial"/>
          <w:noProof/>
          <w:sz w:val="20"/>
          <w:szCs w:val="20"/>
          <w:vertAlign w:val="superscript"/>
        </w:rPr>
        <w:t>.</w:t>
      </w:r>
    </w:p>
    <w:p>
      <w:pPr>
        <w:pStyle w:val="ListParagraph"/>
        <w:numPr>
          <w:ilvl w:val="0"/>
          <w:numId w:val="2"/>
        </w:numPr>
        <w:spacing w:before="120" w:after="120" w:line="240" w:lineRule="auto"/>
        <w:ind w:left="1440"/>
        <w:contextualSpacing w:val="0"/>
        <w:jc w:val="both"/>
        <w:rPr>
          <w:rFonts w:ascii="Arial" w:hAnsi="Arial" w:cs="Arial"/>
          <w:noProof/>
          <w:sz w:val="20"/>
          <w:szCs w:val="20"/>
        </w:rPr>
      </w:pPr>
      <w:r>
        <w:rPr>
          <w:rFonts w:ascii="Arial" w:hAnsi="Arial" w:cs="Arial"/>
          <w:noProof/>
          <w:sz w:val="20"/>
          <w:szCs w:val="20"/>
        </w:rPr>
        <w:t>An administrator of a fan page must be regarded as a controller jointly responsible, within the EU, with Facebook Ireland for the processing of personal data through that kind of page</w:t>
      </w:r>
      <w:r>
        <w:rPr>
          <w:rStyle w:val="FootnoteReference"/>
          <w:rFonts w:ascii="Arial" w:hAnsi="Arial" w:cs="Arial"/>
          <w:noProof/>
          <w:sz w:val="20"/>
          <w:szCs w:val="20"/>
        </w:rPr>
        <w:footnoteReference w:id="141"/>
      </w:r>
      <w:r>
        <w:rPr>
          <w:rFonts w:ascii="Arial" w:hAnsi="Arial" w:cs="Arial"/>
          <w:noProof/>
          <w:sz w:val="20"/>
          <w:szCs w:val="20"/>
        </w:rPr>
        <w:t>.</w:t>
      </w:r>
    </w:p>
    <w:p>
      <w:pPr>
        <w:pStyle w:val="ListParagraph"/>
        <w:numPr>
          <w:ilvl w:val="0"/>
          <w:numId w:val="128"/>
        </w:numPr>
        <w:suppressAutoHyphens/>
        <w:spacing w:before="120" w:after="120" w:line="240" w:lineRule="auto"/>
        <w:ind w:left="1434" w:hanging="357"/>
        <w:contextualSpacing w:val="0"/>
        <w:jc w:val="both"/>
        <w:rPr>
          <w:rFonts w:ascii="Arial" w:hAnsi="Arial" w:cs="Arial"/>
          <w:i/>
          <w:noProof/>
          <w:sz w:val="20"/>
          <w:szCs w:val="20"/>
        </w:rPr>
      </w:pPr>
      <w:r>
        <w:rPr>
          <w:rFonts w:ascii="Arial" w:hAnsi="Arial" w:cs="Arial"/>
          <w:noProof/>
          <w:sz w:val="20"/>
          <w:szCs w:val="20"/>
        </w:rPr>
        <w:t>Approval granted to chewing tobacco can only cover products that release their essential ingredients by being chewed</w:t>
      </w:r>
      <w:r>
        <w:rPr>
          <w:rFonts w:ascii="Arial" w:hAnsi="Arial" w:cs="Arial"/>
          <w:noProof/>
          <w:sz w:val="20"/>
          <w:szCs w:val="20"/>
          <w:vertAlign w:val="superscript"/>
        </w:rPr>
        <w:footnoteReference w:id="142"/>
      </w:r>
      <w:r>
        <w:rPr>
          <w:rFonts w:ascii="Arial" w:hAnsi="Arial" w:cs="Arial"/>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eastAsia="Calibri" w:hAnsi="Arial" w:cs="Arial"/>
          <w:noProof/>
          <w:kern w:val="20"/>
          <w:sz w:val="20"/>
          <w:szCs w:val="20"/>
          <w:lang w:eastAsia="en-GB"/>
        </w:rPr>
        <w:t>An arbitration clause included in a bilateral agreement between Member States which allows EU investors to bring claims against Member States before arbitral tribunals is not compatibile with EU law</w:t>
      </w:r>
      <w:r>
        <w:rPr>
          <w:rStyle w:val="FootnoteReference"/>
          <w:rFonts w:ascii="Arial" w:eastAsia="Calibri" w:hAnsi="Arial" w:cs="Arial"/>
          <w:noProof/>
          <w:kern w:val="20"/>
          <w:sz w:val="20"/>
          <w:szCs w:val="20"/>
          <w:lang w:eastAsia="en-GB"/>
        </w:rPr>
        <w:footnoteReference w:id="143"/>
      </w:r>
      <w:r>
        <w:rPr>
          <w:rFonts w:ascii="Arial" w:hAnsi="Arial" w:cs="Arial"/>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noProof/>
          <w:kern w:val="20"/>
          <w:sz w:val="20"/>
          <w:szCs w:val="20"/>
        </w:rPr>
        <w:t>An airline which operated only the first leg of a connecting flight in one Member State can be sued before the courts of the final destination in another Member State for compensation for delays</w:t>
      </w:r>
      <w:r>
        <w:rPr>
          <w:rStyle w:val="FootnoteReference"/>
          <w:rFonts w:ascii="Arial" w:hAnsi="Arial" w:cs="Arial"/>
          <w:noProof/>
          <w:sz w:val="20"/>
          <w:szCs w:val="20"/>
        </w:rPr>
        <w:footnoteReference w:id="144"/>
      </w:r>
      <w:r>
        <w:rPr>
          <w:rFonts w:ascii="Arial" w:hAnsi="Arial" w:cs="Arial"/>
          <w:bCs/>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cs="Arial"/>
          <w:bCs/>
          <w:noProof/>
          <w:sz w:val="20"/>
          <w:szCs w:val="20"/>
        </w:rPr>
        <w:t>A ‘wildcat’ strike by flight staff after the surprise announcement by an operating air carrier of a restructuring is not an ‘extraordinary circumstance’ as restructuring is part of normal business management measures. and the risks arising from the social consequences of such measures must be regarded as inherent in the normal exercise of the activity of the airline. Further, in such circumstances, a spontaneous strike by flight staff cannot be regarded as beyond the carrier’s actual control</w:t>
      </w:r>
      <w:r>
        <w:rPr>
          <w:rStyle w:val="FootnoteReference"/>
          <w:rFonts w:ascii="Arial" w:hAnsi="Arial" w:cs="Arial"/>
          <w:noProof/>
          <w:sz w:val="20"/>
          <w:szCs w:val="20"/>
        </w:rPr>
        <w:footnoteReference w:id="145"/>
      </w:r>
      <w:r>
        <w:rPr>
          <w:rFonts w:ascii="Arial" w:hAnsi="Arial" w:cs="Arial"/>
          <w:bCs/>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cs="Arial"/>
          <w:bCs/>
          <w:noProof/>
          <w:sz w:val="20"/>
          <w:szCs w:val="20"/>
        </w:rPr>
        <w:t>The common rules on compensation and assistance to passengers apply to passenger transport, from a Member State to a third State, effected under a single booking and comprising a scheduled stopover outside the EU with a change of aircraft</w:t>
      </w:r>
      <w:r>
        <w:rPr>
          <w:rFonts w:ascii="Arial" w:hAnsi="Arial" w:cs="Arial"/>
          <w:bCs/>
          <w:noProof/>
          <w:sz w:val="20"/>
          <w:szCs w:val="20"/>
          <w:vertAlign w:val="superscript"/>
        </w:rPr>
        <w:footnoteReference w:id="146"/>
      </w:r>
      <w:r>
        <w:rPr>
          <w:rFonts w:ascii="Arial" w:hAnsi="Arial" w:cs="Arial"/>
          <w:bCs/>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cs="Arial"/>
          <w:bCs/>
          <w:noProof/>
          <w:sz w:val="20"/>
          <w:szCs w:val="20"/>
        </w:rPr>
        <w:t>Compensation rights apply in the event of a flight cancellation less than 7 days before the scheduled time of departure where the passenger is subject to a loss of time of less than 3 hours but more than 2 hours as a result of re-routing. This is the case if the actual arrival time is between 2 and 3 hours later than the scheduled arrival</w:t>
      </w:r>
      <w:r>
        <w:rPr>
          <w:rFonts w:ascii="Arial" w:hAnsi="Arial" w:cs="Arial"/>
          <w:bCs/>
          <w:noProof/>
          <w:sz w:val="20"/>
          <w:szCs w:val="20"/>
          <w:vertAlign w:val="superscript"/>
        </w:rPr>
        <w:footnoteReference w:id="147"/>
      </w:r>
      <w:r>
        <w:rPr>
          <w:rFonts w:ascii="Arial" w:hAnsi="Arial" w:cs="Arial"/>
          <w:bCs/>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cs="Arial"/>
          <w:bCs/>
          <w:noProof/>
          <w:sz w:val="20"/>
          <w:szCs w:val="20"/>
        </w:rPr>
        <w:t>In the case of a long delay, the air company which must pay the compensation owed to passengers is the one which performed the flight (and not the company which leased the aircraft and its crew)</w:t>
      </w:r>
      <w:r>
        <w:rPr>
          <w:rFonts w:ascii="Arial" w:hAnsi="Arial" w:cs="Arial"/>
          <w:bCs/>
          <w:noProof/>
          <w:sz w:val="20"/>
          <w:szCs w:val="20"/>
          <w:vertAlign w:val="superscript"/>
        </w:rPr>
        <w:footnoteReference w:id="148"/>
      </w:r>
      <w:r>
        <w:rPr>
          <w:rFonts w:ascii="Arial" w:hAnsi="Arial" w:cs="Arial"/>
          <w:bCs/>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cs="Arial"/>
          <w:bCs/>
          <w:noProof/>
          <w:sz w:val="20"/>
          <w:szCs w:val="20"/>
        </w:rPr>
        <w:t>When a flight is cancelled, the air carrier must reimburse commissions paid to intermediaries provided that the carrier had prior knowledge of those commissions</w:t>
      </w:r>
      <w:r>
        <w:rPr>
          <w:rFonts w:ascii="Arial" w:hAnsi="Arial" w:cs="Arial"/>
          <w:bCs/>
          <w:noProof/>
          <w:sz w:val="20"/>
          <w:szCs w:val="20"/>
          <w:vertAlign w:val="superscript"/>
        </w:rPr>
        <w:footnoteReference w:id="149"/>
      </w:r>
      <w:r>
        <w:rPr>
          <w:rFonts w:ascii="Arial" w:hAnsi="Arial" w:cs="Arial"/>
          <w:bCs/>
          <w:noProof/>
          <w:sz w:val="20"/>
          <w:szCs w:val="20"/>
        </w:rPr>
        <w:t>.</w:t>
      </w:r>
    </w:p>
    <w:p>
      <w:pPr>
        <w:pStyle w:val="ListParagraph"/>
        <w:numPr>
          <w:ilvl w:val="0"/>
          <w:numId w:val="128"/>
        </w:numPr>
        <w:suppressAutoHyphens/>
        <w:spacing w:before="120" w:after="120" w:line="276" w:lineRule="auto"/>
        <w:contextualSpacing w:val="0"/>
        <w:jc w:val="both"/>
        <w:rPr>
          <w:rFonts w:ascii="Arial" w:hAnsi="Arial" w:cs="Arial"/>
          <w:bCs/>
          <w:i/>
          <w:iCs/>
          <w:noProof/>
          <w:sz w:val="20"/>
          <w:szCs w:val="20"/>
        </w:rPr>
      </w:pPr>
      <w:r>
        <w:rPr>
          <w:rFonts w:ascii="Arial" w:hAnsi="Arial" w:cs="Arial"/>
          <w:bCs/>
          <w:noProof/>
          <w:sz w:val="20"/>
          <w:szCs w:val="20"/>
        </w:rPr>
        <w:t>Airfares for flights within the EU are to be indicated by carriers in euros or in a local currency objectively linked to the service offered</w:t>
      </w:r>
      <w:r>
        <w:rPr>
          <w:rFonts w:ascii="Arial" w:hAnsi="Arial" w:cs="Arial"/>
          <w:bCs/>
          <w:noProof/>
          <w:sz w:val="20"/>
          <w:szCs w:val="20"/>
          <w:vertAlign w:val="superscript"/>
        </w:rPr>
        <w:footnoteReference w:id="150"/>
      </w:r>
      <w:r>
        <w:rPr>
          <w:rFonts w:ascii="Arial" w:hAnsi="Arial" w:cs="Arial"/>
          <w:noProof/>
          <w:sz w:val="20"/>
          <w:szCs w:val="20"/>
        </w:rPr>
        <w:t>.</w:t>
      </w:r>
    </w:p>
    <w:p>
      <w:pPr>
        <w:numPr>
          <w:ilvl w:val="0"/>
          <w:numId w:val="128"/>
        </w:numPr>
        <w:spacing w:before="120" w:after="120"/>
        <w:ind w:left="1434" w:hanging="357"/>
        <w:jc w:val="both"/>
        <w:rPr>
          <w:rFonts w:ascii="Arial" w:hAnsi="Arial" w:cs="Arial"/>
          <w:noProof/>
          <w:sz w:val="20"/>
          <w:szCs w:val="20"/>
        </w:rPr>
      </w:pPr>
      <w:r>
        <w:rPr>
          <w:rFonts w:ascii="Arial" w:hAnsi="Arial" w:cs="Arial"/>
          <w:noProof/>
          <w:sz w:val="20"/>
          <w:szCs w:val="20"/>
        </w:rPr>
        <w:t>Certain cross-border transactions need to be carried out at ‘arm’s length’, whereas identical domestic transactions are considered to be without any tax effect (i.e. they could also be made not at arm’s length). In fact, the tax authorities responsible for enforcing the legislation at stake afford the resident tax payer the opportunity to prove that the terms were agreed on for commercial reasons which could result from its status as a shareholder in the non-resident company</w:t>
      </w:r>
      <w:r>
        <w:rPr>
          <w:rStyle w:val="FootnoteReference"/>
          <w:rFonts w:ascii="Arial" w:hAnsi="Arial" w:cs="Arial"/>
          <w:noProof/>
          <w:sz w:val="20"/>
          <w:szCs w:val="20"/>
        </w:rPr>
        <w:footnoteReference w:id="151"/>
      </w:r>
      <w:r>
        <w:rPr>
          <w:rFonts w:ascii="Arial" w:hAnsi="Arial" w:cs="Arial"/>
          <w:noProof/>
          <w:sz w:val="20"/>
          <w:szCs w:val="20"/>
        </w:rPr>
        <w:t>.</w:t>
      </w:r>
    </w:p>
    <w:p>
      <w:pPr>
        <w:numPr>
          <w:ilvl w:val="0"/>
          <w:numId w:val="128"/>
        </w:numPr>
        <w:suppressAutoHyphens/>
        <w:spacing w:before="120" w:after="120" w:line="276" w:lineRule="auto"/>
        <w:ind w:left="1434" w:hanging="357"/>
        <w:jc w:val="both"/>
        <w:rPr>
          <w:rFonts w:ascii="Arial" w:hAnsi="Arial" w:cs="Arial"/>
          <w:bCs/>
          <w:i/>
          <w:iCs/>
          <w:noProof/>
          <w:sz w:val="20"/>
          <w:szCs w:val="20"/>
        </w:rPr>
      </w:pPr>
      <w:r>
        <w:rPr>
          <w:rFonts w:ascii="Arial" w:hAnsi="Arial" w:cs="Arial"/>
          <w:noProof/>
          <w:sz w:val="20"/>
          <w:szCs w:val="20"/>
        </w:rPr>
        <w:t>The German anti-abuse measures concerning dividend payments to foreign companies without genuine activity were incompatible, as of 2012, with both the Parent-Subsidiary Directive and the freedom of establishment</w:t>
      </w:r>
      <w:r>
        <w:rPr>
          <w:rStyle w:val="FootnoteReference"/>
          <w:rFonts w:ascii="Arial" w:hAnsi="Arial" w:cs="Arial"/>
          <w:noProof/>
          <w:sz w:val="20"/>
          <w:szCs w:val="20"/>
        </w:rPr>
        <w:footnoteReference w:id="152"/>
      </w:r>
      <w:r>
        <w:rPr>
          <w:rFonts w:ascii="Arial" w:hAnsi="Arial" w:cs="Arial"/>
          <w:noProof/>
          <w:sz w:val="20"/>
          <w:szCs w:val="20"/>
        </w:rPr>
        <w:t>.</w:t>
      </w:r>
    </w:p>
    <w:p>
      <w:pPr>
        <w:numPr>
          <w:ilvl w:val="0"/>
          <w:numId w:val="128"/>
        </w:numPr>
        <w:spacing w:before="120" w:after="120" w:line="240" w:lineRule="auto"/>
        <w:ind w:left="1434" w:hanging="357"/>
        <w:jc w:val="both"/>
        <w:rPr>
          <w:rFonts w:ascii="Arial" w:hAnsi="Arial" w:cs="Arial"/>
          <w:noProof/>
          <w:sz w:val="20"/>
          <w:szCs w:val="20"/>
        </w:rPr>
      </w:pPr>
      <w:r>
        <w:rPr>
          <w:rFonts w:ascii="Arial" w:hAnsi="Arial" w:cs="Arial"/>
          <w:noProof/>
          <w:sz w:val="20"/>
          <w:szCs w:val="20"/>
        </w:rPr>
        <w:t>The case concerns the requirement to package a product covered by a protected geographical indication, such as ‘Schwarzwälder Schinken’ ham, only in its geographical area of production. The Court ruled that this requirement is compatible with EU law, despite its restrictive effects on trade, if it is shown to be necessary and proportionate to safeguard the quality of the product at issue, guarantee its origin or ensure the control of the specification of that protected geographical indication</w:t>
      </w:r>
      <w:r>
        <w:rPr>
          <w:rFonts w:ascii="Arial" w:hAnsi="Arial" w:cs="Arial"/>
          <w:noProof/>
          <w:sz w:val="20"/>
          <w:szCs w:val="20"/>
          <w:vertAlign w:val="superscript"/>
        </w:rPr>
        <w:footnoteReference w:id="153"/>
      </w:r>
      <w:r>
        <w:rPr>
          <w:rFonts w:ascii="Arial" w:hAnsi="Arial" w:cs="Arial"/>
          <w:noProof/>
          <w:sz w:val="20"/>
          <w:szCs w:val="20"/>
        </w:rPr>
        <w:t>.</w:t>
      </w:r>
    </w:p>
    <w:p>
      <w:pPr>
        <w:numPr>
          <w:ilvl w:val="0"/>
          <w:numId w:val="128"/>
        </w:numPr>
        <w:spacing w:before="120" w:after="120" w:line="240" w:lineRule="auto"/>
        <w:jc w:val="both"/>
        <w:rPr>
          <w:rFonts w:ascii="Arial" w:hAnsi="Arial" w:cs="Arial"/>
          <w:noProof/>
          <w:sz w:val="20"/>
          <w:szCs w:val="20"/>
        </w:rPr>
      </w:pPr>
      <w:r>
        <w:rPr>
          <w:rFonts w:ascii="Arial" w:hAnsi="Arial" w:cs="Arial"/>
          <w:noProof/>
          <w:sz w:val="20"/>
          <w:szCs w:val="20"/>
        </w:rPr>
        <w:t>The EU has exclusive competence for fisheries measures taken to implement specific environmental directives (the Habitats Directive and the Environmental Liability Directive)</w:t>
      </w:r>
      <w:r>
        <w:rPr>
          <w:rStyle w:val="FootnoteReference"/>
          <w:rFonts w:ascii="Arial" w:hAnsi="Arial" w:cs="Arial"/>
          <w:noProof/>
          <w:sz w:val="20"/>
          <w:szCs w:val="20"/>
        </w:rPr>
        <w:footnoteReference w:id="154"/>
      </w:r>
      <w:r>
        <w:rPr>
          <w:rFonts w:ascii="Arial" w:hAnsi="Arial" w:cs="Arial"/>
          <w:noProof/>
          <w:sz w:val="20"/>
          <w:szCs w:val="20"/>
        </w:rPr>
        <w:t>.</w:t>
      </w:r>
    </w:p>
    <w:p>
      <w:pPr>
        <w:pStyle w:val="ListParagraph"/>
        <w:numPr>
          <w:ilvl w:val="0"/>
          <w:numId w:val="128"/>
        </w:numPr>
        <w:jc w:val="both"/>
        <w:rPr>
          <w:rFonts w:ascii="Arial" w:hAnsi="Arial" w:cs="Arial"/>
          <w:noProof/>
          <w:sz w:val="20"/>
          <w:szCs w:val="20"/>
        </w:rPr>
      </w:pPr>
      <w:r>
        <w:rPr>
          <w:rFonts w:ascii="Arial" w:hAnsi="Arial" w:cs="Arial"/>
          <w:noProof/>
          <w:sz w:val="20"/>
          <w:szCs w:val="20"/>
        </w:rPr>
        <w:t>The case concerns a situation where</w:t>
      </w:r>
      <w:r>
        <w:rPr>
          <w:rFonts w:ascii="Arial" w:hAnsi="Arial" w:cs="Arial"/>
          <w:b/>
          <w:noProof/>
          <w:sz w:val="20"/>
          <w:szCs w:val="20"/>
        </w:rPr>
        <w:t xml:space="preserve"> </w:t>
      </w:r>
      <w:r>
        <w:rPr>
          <w:rFonts w:ascii="Arial" w:hAnsi="Arial" w:cs="Arial"/>
          <w:noProof/>
          <w:sz w:val="20"/>
          <w:szCs w:val="20"/>
        </w:rPr>
        <w:t>a third country national</w:t>
      </w:r>
      <w:r>
        <w:rPr>
          <w:noProof/>
        </w:rPr>
        <w:t xml:space="preserve"> </w:t>
      </w:r>
      <w:r>
        <w:rPr>
          <w:rFonts w:ascii="Arial" w:hAnsi="Arial" w:cs="Arial"/>
          <w:noProof/>
          <w:sz w:val="20"/>
          <w:szCs w:val="20"/>
        </w:rPr>
        <w:t>who, having lodged a first asylum application in one Member State (Member State ‘A’) and a second asylum application in another Member State (Member State ‘B’), was transferred back to Member State ‘A’ following which he immediately returned illegally to the second Member State ‘B’. The Court ruled that in such a situation a return procedure may be undertaken in respect of that person, but it is not possible to transfer them again to Member State ‘A’ without following this procedure</w:t>
      </w:r>
      <w:r>
        <w:rPr>
          <w:rStyle w:val="FootnoteReference"/>
          <w:rFonts w:ascii="Arial" w:hAnsi="Arial" w:cs="Arial"/>
          <w:noProof/>
          <w:sz w:val="20"/>
          <w:szCs w:val="20"/>
        </w:rPr>
        <w:footnoteReference w:id="155"/>
      </w:r>
      <w:r>
        <w:rPr>
          <w:rFonts w:ascii="Arial" w:hAnsi="Arial" w:cs="Arial"/>
          <w:noProof/>
          <w:sz w:val="20"/>
          <w:szCs w:val="20"/>
        </w:rPr>
        <w:t>.</w:t>
      </w:r>
    </w:p>
    <w:p>
      <w:pPr>
        <w:numPr>
          <w:ilvl w:val="0"/>
          <w:numId w:val="128"/>
        </w:numPr>
        <w:spacing w:before="120" w:after="120" w:line="240" w:lineRule="auto"/>
        <w:jc w:val="both"/>
        <w:rPr>
          <w:rFonts w:ascii="Arial" w:hAnsi="Arial" w:cs="Arial"/>
          <w:noProof/>
          <w:sz w:val="20"/>
          <w:szCs w:val="20"/>
        </w:rPr>
      </w:pPr>
    </w:p>
    <w:p>
      <w:pPr>
        <w:pStyle w:val="ListParagraph"/>
        <w:numPr>
          <w:ilvl w:val="0"/>
          <w:numId w:val="2"/>
        </w:numPr>
        <w:ind w:left="1418"/>
        <w:jc w:val="both"/>
        <w:rPr>
          <w:rFonts w:ascii="Arial" w:hAnsi="Arial" w:cs="Arial"/>
          <w:noProof/>
          <w:sz w:val="20"/>
          <w:szCs w:val="20"/>
        </w:rPr>
      </w:pPr>
      <w:r>
        <w:rPr>
          <w:rFonts w:ascii="Arial" w:hAnsi="Arial" w:cs="Arial"/>
          <w:noProof/>
          <w:sz w:val="20"/>
          <w:szCs w:val="20"/>
        </w:rPr>
        <w:t>The imposition of a requirement on coach transport companies providing a regular cross-border service within the Schengen area to check the passports and residence permits of passengers before they cross an internal border in order to prevent the transport of third-country nationals not in possession of those travel documents to the national territory has an effect equivalent to border checks and is therefore prohibited</w:t>
      </w:r>
      <w:r>
        <w:rPr>
          <w:rFonts w:ascii="Arial" w:hAnsi="Arial" w:cs="Arial"/>
          <w:noProof/>
          <w:sz w:val="20"/>
          <w:szCs w:val="20"/>
          <w:vertAlign w:val="superscript"/>
        </w:rPr>
        <w:footnoteReference w:id="156"/>
      </w:r>
      <w:r>
        <w:rPr>
          <w:rFonts w:ascii="Arial" w:hAnsi="Arial" w:cs="Arial"/>
          <w:noProof/>
          <w:sz w:val="20"/>
          <w:szCs w:val="20"/>
        </w:rPr>
        <w:t>.</w:t>
      </w:r>
    </w:p>
    <w:p>
      <w:pPr>
        <w:numPr>
          <w:ilvl w:val="0"/>
          <w:numId w:val="2"/>
        </w:numPr>
        <w:spacing w:before="120" w:after="120" w:line="240" w:lineRule="auto"/>
        <w:ind w:left="1440"/>
        <w:jc w:val="both"/>
        <w:rPr>
          <w:rFonts w:ascii="Arial" w:hAnsi="Arial" w:cs="Arial"/>
          <w:noProof/>
          <w:sz w:val="20"/>
          <w:szCs w:val="20"/>
        </w:rPr>
      </w:pPr>
      <w:r>
        <w:rPr>
          <w:rFonts w:ascii="Arial" w:hAnsi="Arial" w:cs="Arial"/>
          <w:noProof/>
          <w:sz w:val="20"/>
          <w:szCs w:val="20"/>
        </w:rPr>
        <w:t>This case concerns voluntary remedial measures taken in case where an exclusion ground from participating in public procurement applies. The Court has established that it is compatible with EU law to require cooperation with both investigative and contracting authorities, each in their particular roles, to demonstrate reliability of a tenderer despite the existence of a relevant ground for exclusion as long as the cooperation with the latter is limited to what is necessary in the framework of the examination of re-establishing reliability. Furthermore, the Court has ruled that the maximum period for exclusion by reason of a competition infringement which had been penalised by a competent authority is to be calculated from the date of the decision of that authority</w:t>
      </w:r>
      <w:r>
        <w:rPr>
          <w:rStyle w:val="FootnoteReference"/>
          <w:rFonts w:ascii="Arial" w:hAnsi="Arial" w:cs="Arial"/>
          <w:noProof/>
          <w:sz w:val="20"/>
          <w:szCs w:val="20"/>
        </w:rPr>
        <w:footnoteReference w:id="157"/>
      </w:r>
      <w:r>
        <w:rPr>
          <w:rFonts w:ascii="Arial" w:hAnsi="Arial" w:cs="Arial"/>
          <w:noProof/>
          <w:sz w:val="20"/>
          <w:szCs w:val="20"/>
        </w:rPr>
        <w:t>.</w:t>
      </w:r>
    </w:p>
    <w:p>
      <w:pPr>
        <w:numPr>
          <w:ilvl w:val="0"/>
          <w:numId w:val="2"/>
        </w:numPr>
        <w:spacing w:before="120" w:after="120" w:line="240" w:lineRule="auto"/>
        <w:ind w:left="1440"/>
        <w:jc w:val="both"/>
        <w:rPr>
          <w:rFonts w:ascii="Arial" w:hAnsi="Arial" w:cs="Arial"/>
          <w:noProof/>
          <w:sz w:val="20"/>
          <w:szCs w:val="20"/>
        </w:rPr>
      </w:pPr>
      <w:r>
        <w:rPr>
          <w:rFonts w:ascii="Arial" w:hAnsi="Arial" w:cs="Arial"/>
          <w:noProof/>
          <w:sz w:val="20"/>
          <w:szCs w:val="20"/>
        </w:rPr>
        <w:t>Discrimination in education under the Racial Equality Directive also covers conditions for access to education</w:t>
      </w:r>
      <w:r>
        <w:rPr>
          <w:rStyle w:val="FootnoteReference"/>
          <w:rFonts w:ascii="Arial" w:hAnsi="Arial" w:cs="Arial"/>
          <w:noProof/>
          <w:sz w:val="20"/>
          <w:szCs w:val="20"/>
        </w:rPr>
        <w:footnoteReference w:id="158"/>
      </w:r>
      <w:r>
        <w:rPr>
          <w:rFonts w:ascii="Arial" w:hAnsi="Arial" w:cs="Arial"/>
          <w:noProof/>
          <w:sz w:val="20"/>
          <w:szCs w:val="20"/>
        </w:rPr>
        <w:t>.</w:t>
      </w:r>
    </w:p>
    <w:p>
      <w:pPr>
        <w:ind w:left="720"/>
        <w:rPr>
          <w:noProof/>
        </w:rPr>
      </w:pPr>
    </w:p>
    <w:p>
      <w:pPr>
        <w:spacing w:after="0"/>
        <w:rPr>
          <w:noProof/>
        </w:rPr>
        <w:sectPr>
          <w:headerReference w:type="even" r:id="rId102"/>
          <w:headerReference w:type="default" r:id="rId103"/>
          <w:footerReference w:type="even" r:id="rId104"/>
          <w:footerReference w:type="default" r:id="rId105"/>
          <w:headerReference w:type="first" r:id="rId106"/>
          <w:footerReference w:type="first" r:id="rId107"/>
          <w:footnotePr>
            <w:numRestart w:val="eachSect"/>
          </w:footnotePr>
          <w:pgSz w:w="11906" w:h="16838"/>
          <w:pgMar w:top="1702" w:right="1417" w:bottom="1134" w:left="1417" w:header="567" w:footer="351" w:gutter="0"/>
          <w:cols w:space="708"/>
          <w:titlePg/>
          <w:docGrid w:linePitch="360"/>
        </w:sectPr>
      </w:pPr>
    </w:p>
    <w:p>
      <w:pPr>
        <w:pStyle w:val="Heading1"/>
        <w:rPr>
          <w:noProof/>
        </w:rPr>
      </w:pPr>
      <w:bookmarkStart w:id="50" w:name="_Toc484622322"/>
      <w:bookmarkStart w:id="51" w:name="_Toc5788360"/>
      <w:r>
        <w:rPr>
          <w:noProof/>
        </w:rPr>
        <w:t>Estonia</w:t>
      </w:r>
      <w:bookmarkEnd w:id="43"/>
      <w:bookmarkEnd w:id="44"/>
      <w:bookmarkEnd w:id="45"/>
      <w:bookmarkEnd w:id="46"/>
      <w:bookmarkEnd w:id="47"/>
      <w:bookmarkEnd w:id="48"/>
      <w:bookmarkEnd w:id="49"/>
      <w:bookmarkEnd w:id="50"/>
      <w:bookmarkEnd w:id="51"/>
    </w:p>
    <w:p>
      <w:pPr>
        <w:pStyle w:val="AnnualReport1"/>
        <w:numPr>
          <w:ilvl w:val="0"/>
          <w:numId w:val="141"/>
        </w:numPr>
        <w:spacing w:after="240"/>
        <w:rPr>
          <w:noProof/>
        </w:rPr>
      </w:pPr>
      <w:r>
        <w:rPr>
          <w:noProof/>
        </w:rPr>
        <w:t>COMPLAINTS</w:t>
      </w:r>
    </w:p>
    <w:p>
      <w:pPr>
        <w:pStyle w:val="AnnualReport2"/>
        <w:numPr>
          <w:ilvl w:val="0"/>
          <w:numId w:val="16"/>
        </w:numPr>
        <w:ind w:left="709" w:hanging="425"/>
        <w:rPr>
          <w:noProof/>
        </w:rPr>
      </w:pPr>
      <w:r>
        <w:rPr>
          <w:noProof/>
        </w:rPr>
        <w:t>New complaints made against Estonia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96130" cy="1924050"/>
            <wp:effectExtent l="0" t="0" r="0" b="0"/>
            <wp:docPr id="99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AnnualReport2"/>
        <w:numPr>
          <w:ilvl w:val="0"/>
          <w:numId w:val="16"/>
        </w:numPr>
        <w:ind w:left="709" w:hanging="425"/>
        <w:rPr>
          <w:noProof/>
        </w:rPr>
      </w:pPr>
      <w:r>
        <w:rPr>
          <w:noProof/>
        </w:rPr>
        <w:t>Public complaints against Estonia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14</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16"/>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54880" cy="2266950"/>
            <wp:effectExtent l="0" t="0" r="7620" b="0"/>
            <wp:docPr id="99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spacing w:after="200" w:line="276" w:lineRule="auto"/>
        <w:rPr>
          <w:rFonts w:ascii="Arial" w:hAnsi="Arial" w:cs="Arial"/>
          <w:noProof/>
          <w:sz w:val="20"/>
        </w:rPr>
      </w:pPr>
      <w:r>
        <w:rPr>
          <w:noProof/>
        </w:rPr>
        <w:br w:type="page"/>
      </w:r>
    </w:p>
    <w:p>
      <w:pPr>
        <w:pStyle w:val="AnnualReport1"/>
        <w:numPr>
          <w:ilvl w:val="0"/>
          <w:numId w:val="141"/>
        </w:numPr>
        <w:spacing w:after="240"/>
        <w:rPr>
          <w:noProof/>
        </w:rPr>
      </w:pPr>
      <w:r>
        <w:rPr>
          <w:noProof/>
        </w:rPr>
        <w:t>EU PILOT</w:t>
      </w:r>
    </w:p>
    <w:p>
      <w:pPr>
        <w:pStyle w:val="AnnualReport2"/>
        <w:numPr>
          <w:ilvl w:val="0"/>
          <w:numId w:val="17"/>
        </w:numPr>
        <w:ind w:left="709" w:hanging="425"/>
        <w:rPr>
          <w:noProof/>
        </w:rPr>
      </w:pPr>
      <w:r>
        <w:rPr>
          <w:noProof/>
        </w:rPr>
        <w:t>New EU Pilot files opened against Estonia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12005" cy="2170430"/>
            <wp:effectExtent l="0" t="0" r="17145" b="20320"/>
            <wp:docPr id="99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AnnualReport2"/>
        <w:numPr>
          <w:ilvl w:val="0"/>
          <w:numId w:val="17"/>
        </w:numPr>
        <w:ind w:left="709" w:hanging="425"/>
        <w:rPr>
          <w:noProof/>
        </w:rPr>
      </w:pPr>
      <w:r>
        <w:rPr>
          <w:noProof/>
        </w:rPr>
        <w:t>Files relating to Estonia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170430"/>
            <wp:effectExtent l="0" t="0" r="17145" b="20320"/>
            <wp:docPr id="99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AnnualReport2"/>
        <w:numPr>
          <w:ilvl w:val="0"/>
          <w:numId w:val="17"/>
        </w:numPr>
        <w:ind w:left="709" w:hanging="425"/>
        <w:rPr>
          <w:noProof/>
        </w:rPr>
      </w:pPr>
      <w:r>
        <w:rPr>
          <w:noProof/>
        </w:rPr>
        <w:t>New EU Pilot files opened in 2018: main policy areas</w:t>
      </w:r>
    </w:p>
    <w:p>
      <w:pPr>
        <w:pStyle w:val="Body"/>
        <w:ind w:left="786" w:firstLine="0"/>
        <w:rPr>
          <w:noProof/>
        </w:rPr>
      </w:pPr>
      <w:r>
        <w:rPr>
          <w:noProof/>
        </w:rPr>
        <w:t>In 2018, the Commission opened three EU Pilot files against Estonia in the area of energy.</w:t>
      </w:r>
    </w:p>
    <w:p>
      <w:pPr>
        <w:pStyle w:val="AnnualReport2"/>
        <w:numPr>
          <w:ilvl w:val="0"/>
          <w:numId w:val="17"/>
        </w:numPr>
        <w:ind w:left="709" w:hanging="425"/>
        <w:rPr>
          <w:noProof/>
        </w:rPr>
      </w:pPr>
      <w:r>
        <w:rPr>
          <w:noProof/>
        </w:rPr>
        <w:t>EU Pilot files: Estonia’s resolution rate in 2014-2018</w:t>
      </w:r>
    </w:p>
    <w:p>
      <w:pPr>
        <w:spacing w:after="200"/>
        <w:ind w:firstLine="709"/>
        <w:rPr>
          <w:rFonts w:ascii="Arial" w:hAnsi="Arial" w:cs="Arial"/>
          <w:noProof/>
          <w:sz w:val="20"/>
        </w:rPr>
      </w:pPr>
      <w:r>
        <w:rPr>
          <w:rFonts w:ascii="Arial" w:hAnsi="Arial" w:cs="Arial"/>
          <w:noProof/>
          <w:sz w:val="20"/>
          <w:lang w:eastAsia="en-GB"/>
        </w:rPr>
        <w:drawing>
          <wp:inline distT="0" distB="0" distL="0" distR="0">
            <wp:extent cx="4518660" cy="2170430"/>
            <wp:effectExtent l="0" t="0" r="15240" b="1270"/>
            <wp:docPr id="99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AnnualReport1"/>
        <w:numPr>
          <w:ilvl w:val="0"/>
          <w:numId w:val="141"/>
        </w:numPr>
        <w:spacing w:after="240"/>
        <w:rPr>
          <w:noProof/>
        </w:rPr>
      </w:pPr>
      <w:r>
        <w:rPr>
          <w:noProof/>
        </w:rPr>
        <w:t>INFRINGEMENT CASES</w:t>
      </w:r>
    </w:p>
    <w:p>
      <w:pPr>
        <w:pStyle w:val="AnnualReport2"/>
        <w:numPr>
          <w:ilvl w:val="0"/>
          <w:numId w:val="18"/>
        </w:numPr>
        <w:ind w:left="709" w:hanging="425"/>
        <w:rPr>
          <w:noProof/>
        </w:rPr>
      </w:pPr>
      <w:r>
        <w:rPr>
          <w:noProof/>
        </w:rPr>
        <w:t>Infringement cases against Estonia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58060"/>
            <wp:effectExtent l="0" t="0" r="0" b="0"/>
            <wp:docPr id="99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AnnualReport2"/>
        <w:numPr>
          <w:ilvl w:val="0"/>
          <w:numId w:val="18"/>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72025" cy="2317750"/>
            <wp:effectExtent l="0" t="0" r="9525" b="6350"/>
            <wp:docPr id="53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spacing w:after="0" w:line="240" w:lineRule="auto"/>
        <w:rPr>
          <w:rFonts w:ascii="Arial" w:hAnsi="Arial"/>
          <w:noProof/>
          <w:color w:val="002060"/>
        </w:rPr>
      </w:pPr>
      <w:r>
        <w:rPr>
          <w:noProof/>
        </w:rPr>
        <w:br w:type="page"/>
      </w:r>
    </w:p>
    <w:p>
      <w:pPr>
        <w:pStyle w:val="AnnualReport2"/>
        <w:numPr>
          <w:ilvl w:val="0"/>
          <w:numId w:val="18"/>
        </w:numPr>
        <w:ind w:left="709" w:hanging="425"/>
        <w:rPr>
          <w:noProof/>
        </w:rPr>
      </w:pPr>
      <w:r>
        <w:rPr>
          <w:noProof/>
        </w:rPr>
        <w:t>Key infringement cases and referrals to the Court</w:t>
      </w:r>
    </w:p>
    <w:p>
      <w:pPr>
        <w:numPr>
          <w:ilvl w:val="0"/>
          <w:numId w:val="83"/>
        </w:numPr>
        <w:ind w:left="1276" w:hanging="425"/>
        <w:jc w:val="both"/>
        <w:rPr>
          <w:rFonts w:ascii="Arial" w:hAnsi="Arial" w:cs="Arial"/>
          <w:noProof/>
          <w:sz w:val="20"/>
          <w:szCs w:val="20"/>
        </w:rPr>
      </w:pPr>
      <w:r>
        <w:rPr>
          <w:rFonts w:ascii="Arial" w:hAnsi="Arial" w:cs="Arial"/>
          <w:noProof/>
          <w:sz w:val="20"/>
          <w:szCs w:val="20"/>
        </w:rPr>
        <w:t>The Commission opened 11 new infringement cases against Estonia in 2018. These, and other major ongoing infringement cases, include:</w:t>
      </w:r>
    </w:p>
    <w:p>
      <w:pPr>
        <w:pStyle w:val="ListParagraph"/>
        <w:numPr>
          <w:ilvl w:val="0"/>
          <w:numId w:val="102"/>
        </w:numPr>
        <w:ind w:left="1701"/>
        <w:jc w:val="both"/>
        <w:rPr>
          <w:rFonts w:ascii="Arial" w:hAnsi="Arial"/>
          <w:noProof/>
          <w:sz w:val="20"/>
          <w:szCs w:val="20"/>
          <w:lang w:eastAsia="en-GB"/>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159"/>
      </w:r>
      <w:r>
        <w:rPr>
          <w:rFonts w:ascii="Arial" w:hAnsi="Arial" w:cs="Arial"/>
          <w:noProof/>
          <w:sz w:val="20"/>
          <w:szCs w:val="20"/>
        </w:rPr>
        <w:t>;</w:t>
      </w:r>
    </w:p>
    <w:p>
      <w:pPr>
        <w:pStyle w:val="ListParagraph"/>
        <w:numPr>
          <w:ilvl w:val="0"/>
          <w:numId w:val="102"/>
        </w:numPr>
        <w:ind w:left="1701"/>
        <w:jc w:val="both"/>
        <w:rPr>
          <w:rFonts w:ascii="Arial" w:hAnsi="Arial"/>
          <w:noProof/>
          <w:sz w:val="20"/>
          <w:szCs w:val="20"/>
          <w:lang w:eastAsia="en-GB"/>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160"/>
      </w:r>
      <w:r>
        <w:rPr>
          <w:rFonts w:ascii="Arial" w:hAnsi="Arial" w:cs="Arial"/>
          <w:noProof/>
          <w:sz w:val="20"/>
          <w:szCs w:val="20"/>
        </w:rPr>
        <w:t>;</w:t>
      </w:r>
    </w:p>
    <w:p>
      <w:pPr>
        <w:pStyle w:val="ListParagraph"/>
        <w:numPr>
          <w:ilvl w:val="0"/>
          <w:numId w:val="102"/>
        </w:numPr>
        <w:ind w:left="1701"/>
        <w:jc w:val="both"/>
        <w:rPr>
          <w:rFonts w:ascii="Arial" w:hAnsi="Arial"/>
          <w:noProof/>
          <w:sz w:val="20"/>
          <w:szCs w:val="20"/>
          <w:lang w:eastAsia="en-GB"/>
        </w:rPr>
      </w:pPr>
      <w:r>
        <w:rPr>
          <w:rFonts w:ascii="Arial" w:hAnsi="Arial" w:cs="Arial"/>
          <w:noProof/>
          <w:sz w:val="20"/>
          <w:szCs w:val="20"/>
        </w:rPr>
        <w:t>incorrect transposition of the Directive on the protection of animals used for scientific purposes</w:t>
      </w:r>
      <w:r>
        <w:rPr>
          <w:rStyle w:val="FootnoteReference"/>
          <w:rFonts w:ascii="Arial" w:hAnsi="Arial" w:cs="Arial"/>
          <w:noProof/>
          <w:sz w:val="20"/>
          <w:szCs w:val="20"/>
        </w:rPr>
        <w:footnoteReference w:id="161"/>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failure to ensure that urban waste water is adequately treated</w:t>
      </w:r>
      <w:r>
        <w:rPr>
          <w:rStyle w:val="FootnoteReference"/>
          <w:rFonts w:ascii="Arial" w:hAnsi="Arial" w:cs="Arial"/>
          <w:noProof/>
          <w:sz w:val="20"/>
          <w:szCs w:val="20"/>
        </w:rPr>
        <w:footnoteReference w:id="162"/>
      </w:r>
      <w:r>
        <w:rPr>
          <w:rFonts w:ascii="Arial" w:hAnsi="Arial" w:cs="Arial"/>
          <w:noProof/>
          <w:sz w:val="20"/>
          <w:szCs w:val="20"/>
        </w:rPr>
        <w:t>;</w:t>
      </w:r>
    </w:p>
    <w:p>
      <w:pPr>
        <w:pStyle w:val="ListParagraph"/>
        <w:numPr>
          <w:ilvl w:val="0"/>
          <w:numId w:val="102"/>
        </w:numPr>
        <w:ind w:left="1701"/>
        <w:jc w:val="both"/>
        <w:rPr>
          <w:rFonts w:ascii="Arial" w:hAnsi="Arial"/>
          <w:noProof/>
          <w:sz w:val="20"/>
          <w:szCs w:val="20"/>
          <w:lang w:eastAsia="en-GB"/>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163"/>
      </w:r>
      <w:r>
        <w:rPr>
          <w:rFonts w:ascii="Arial" w:hAnsi="Arial" w:cs="Arial"/>
          <w:noProof/>
          <w:sz w:val="20"/>
          <w:szCs w:val="20"/>
        </w:rPr>
        <w:t>;</w:t>
      </w:r>
    </w:p>
    <w:p>
      <w:pPr>
        <w:pStyle w:val="ListParagraph"/>
        <w:numPr>
          <w:ilvl w:val="0"/>
          <w:numId w:val="102"/>
        </w:numPr>
        <w:ind w:left="1701"/>
        <w:jc w:val="both"/>
        <w:rPr>
          <w:rFonts w:ascii="Arial" w:hAnsi="Arial"/>
          <w:noProof/>
          <w:sz w:val="20"/>
          <w:szCs w:val="20"/>
          <w:lang w:eastAsia="en-GB"/>
        </w:rPr>
      </w:pPr>
      <w:r>
        <w:rPr>
          <w:rFonts w:ascii="Arial" w:hAnsi="Arial" w:cs="Arial"/>
          <w:noProof/>
          <w:sz w:val="20"/>
          <w:szCs w:val="20"/>
        </w:rPr>
        <w:t>non-communication of national measures transposing the</w:t>
      </w:r>
    </w:p>
    <w:p>
      <w:pPr>
        <w:pStyle w:val="ListParagraph"/>
        <w:numPr>
          <w:ilvl w:val="2"/>
          <w:numId w:val="102"/>
        </w:numPr>
        <w:ind w:left="2410"/>
        <w:jc w:val="both"/>
        <w:rPr>
          <w:rFonts w:ascii="Arial" w:hAnsi="Arial"/>
          <w:noProof/>
          <w:sz w:val="20"/>
          <w:szCs w:val="20"/>
          <w:lang w:eastAsia="en-GB"/>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164"/>
      </w:r>
      <w:r>
        <w:rPr>
          <w:rFonts w:ascii="Arial" w:hAnsi="Arial" w:cs="Arial"/>
          <w:noProof/>
          <w:sz w:val="20"/>
          <w:szCs w:val="20"/>
        </w:rPr>
        <w:t>;</w:t>
      </w:r>
    </w:p>
    <w:p>
      <w:pPr>
        <w:pStyle w:val="ListParagraph"/>
        <w:numPr>
          <w:ilvl w:val="2"/>
          <w:numId w:val="102"/>
        </w:numPr>
        <w:ind w:left="2410"/>
        <w:jc w:val="both"/>
        <w:rPr>
          <w:rFonts w:ascii="Arial" w:hAnsi="Arial"/>
          <w:noProof/>
          <w:sz w:val="20"/>
          <w:szCs w:val="20"/>
          <w:lang w:eastAsia="en-GB"/>
        </w:rPr>
      </w:pPr>
      <w:r>
        <w:rPr>
          <w:rFonts w:ascii="Arial" w:hAnsi="Arial"/>
          <w:noProof/>
          <w:sz w:val="20"/>
          <w:szCs w:val="20"/>
          <w:lang w:eastAsia="en-GB"/>
        </w:rPr>
        <w:t xml:space="preserve">Data Protection Law </w:t>
      </w:r>
      <w:r>
        <w:rPr>
          <w:rFonts w:ascii="Arial" w:hAnsi="Arial" w:cs="Arial"/>
          <w:noProof/>
          <w:sz w:val="20"/>
          <w:szCs w:val="20"/>
        </w:rPr>
        <w:t>Enforcement</w:t>
      </w:r>
      <w:r>
        <w:rPr>
          <w:rFonts w:ascii="Arial" w:hAnsi="Arial"/>
          <w:noProof/>
          <w:sz w:val="20"/>
          <w:szCs w:val="20"/>
          <w:lang w:eastAsia="en-GB"/>
        </w:rPr>
        <w:t xml:space="preserve"> Directive</w:t>
      </w:r>
      <w:r>
        <w:rPr>
          <w:rStyle w:val="FootnoteReference"/>
          <w:rFonts w:ascii="Arial" w:hAnsi="Arial"/>
          <w:noProof/>
          <w:sz w:val="20"/>
          <w:szCs w:val="20"/>
          <w:lang w:eastAsia="en-GB"/>
        </w:rPr>
        <w:footnoteReference w:id="165"/>
      </w:r>
      <w:r>
        <w:rPr>
          <w:rFonts w:ascii="Arial" w:hAnsi="Arial"/>
          <w:noProof/>
          <w:sz w:val="20"/>
          <w:szCs w:val="20"/>
          <w:lang w:eastAsia="en-GB"/>
        </w:rPr>
        <w:t>.</w:t>
      </w:r>
    </w:p>
    <w:p>
      <w:pPr>
        <w:numPr>
          <w:ilvl w:val="0"/>
          <w:numId w:val="83"/>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83"/>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AnnualReport1"/>
        <w:numPr>
          <w:ilvl w:val="0"/>
          <w:numId w:val="141"/>
        </w:numPr>
        <w:spacing w:after="240"/>
        <w:rPr>
          <w:noProof/>
        </w:rPr>
      </w:pPr>
      <w:r>
        <w:rPr>
          <w:noProof/>
        </w:rPr>
        <w:t>TRANSPOSITION OF DIRECTIVES</w:t>
      </w:r>
    </w:p>
    <w:p>
      <w:pPr>
        <w:pStyle w:val="AnnualReport2"/>
        <w:numPr>
          <w:ilvl w:val="0"/>
          <w:numId w:val="19"/>
        </w:numPr>
        <w:ind w:left="709" w:hanging="425"/>
        <w:rPr>
          <w:noProof/>
        </w:rPr>
      </w:pPr>
      <w:r>
        <w:rPr>
          <w:noProof/>
        </w:rPr>
        <w:t>Late transposition infringement cases against Estonia open on 31 December (2014-2018)</w:t>
      </w:r>
    </w:p>
    <w:p>
      <w:pPr>
        <w:ind w:left="426" w:firstLine="283"/>
        <w:rPr>
          <w:noProof/>
        </w:rPr>
      </w:pPr>
      <w:r>
        <w:rPr>
          <w:noProof/>
          <w:lang w:eastAsia="en-GB"/>
        </w:rPr>
        <w:drawing>
          <wp:inline distT="0" distB="0" distL="0" distR="0">
            <wp:extent cx="4587875" cy="1971675"/>
            <wp:effectExtent l="0" t="0" r="0" b="0"/>
            <wp:docPr id="99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spacing w:after="0" w:line="240" w:lineRule="auto"/>
        <w:rPr>
          <w:rFonts w:ascii="Arial" w:hAnsi="Arial"/>
          <w:noProof/>
          <w:color w:val="002060"/>
        </w:rPr>
      </w:pPr>
      <w:r>
        <w:rPr>
          <w:noProof/>
        </w:rPr>
        <w:br w:type="page"/>
      </w:r>
    </w:p>
    <w:p>
      <w:pPr>
        <w:pStyle w:val="AnnualReport2"/>
        <w:numPr>
          <w:ilvl w:val="0"/>
          <w:numId w:val="19"/>
        </w:numPr>
        <w:ind w:left="709" w:hanging="425"/>
        <w:rPr>
          <w:noProof/>
        </w:rPr>
      </w:pPr>
      <w:r>
        <w:rPr>
          <w:noProof/>
        </w:rPr>
        <w:t>New late transposition infringement cases against Estonia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70430"/>
            <wp:effectExtent l="0" t="0" r="0" b="0"/>
            <wp:docPr id="99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AnnualReport2"/>
        <w:numPr>
          <w:ilvl w:val="0"/>
          <w:numId w:val="19"/>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240" cy="2228850"/>
            <wp:effectExtent l="0" t="0" r="3810" b="0"/>
            <wp:docPr id="989" name="Objec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AnnualReport2"/>
        <w:numPr>
          <w:ilvl w:val="0"/>
          <w:numId w:val="19"/>
        </w:numPr>
        <w:ind w:left="709" w:hanging="425"/>
        <w:rPr>
          <w:noProof/>
        </w:rPr>
      </w:pPr>
      <w:r>
        <w:rPr>
          <w:noProof/>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AnnualReport1"/>
        <w:numPr>
          <w:ilvl w:val="0"/>
          <w:numId w:val="141"/>
        </w:numPr>
        <w:spacing w:after="240"/>
        <w:rPr>
          <w:noProof/>
        </w:rPr>
      </w:pPr>
      <w:r>
        <w:rPr>
          <w:noProof/>
        </w:rPr>
        <w:t>EARLY RESOLUTION OF INFRINGEMENT CASES</w:t>
      </w:r>
    </w:p>
    <w:p>
      <w:pPr>
        <w:pStyle w:val="ListParagraph"/>
        <w:spacing w:after="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numPr>
          <w:ilvl w:val="0"/>
          <w:numId w:val="137"/>
        </w:numPr>
        <w:spacing w:after="0"/>
        <w:jc w:val="both"/>
        <w:rPr>
          <w:rFonts w:ascii="Arial" w:eastAsia="Calibri" w:hAnsi="Arial" w:cs="Arial"/>
          <w:bCs/>
          <w:noProof/>
          <w:kern w:val="20"/>
          <w:sz w:val="20"/>
          <w:lang w:eastAsia="en-GB"/>
        </w:rPr>
      </w:pPr>
      <w:r>
        <w:rPr>
          <w:rFonts w:ascii="Arial" w:eastAsia="Calibri" w:hAnsi="Arial" w:cs="Arial"/>
          <w:bCs/>
          <w:noProof/>
          <w:kern w:val="20"/>
          <w:sz w:val="20"/>
          <w:lang w:eastAsia="en-GB"/>
        </w:rPr>
        <w:t xml:space="preserve">non-communication of national measures transposing the </w:t>
      </w:r>
    </w:p>
    <w:p>
      <w:pPr>
        <w:pStyle w:val="ListParagraph"/>
        <w:numPr>
          <w:ilvl w:val="2"/>
          <w:numId w:val="102"/>
        </w:numPr>
        <w:ind w:left="2268"/>
        <w:jc w:val="both"/>
        <w:rPr>
          <w:rFonts w:ascii="Arial" w:eastAsia="Calibri" w:hAnsi="Arial" w:cs="Arial"/>
          <w:bCs/>
          <w:noProof/>
          <w:kern w:val="20"/>
          <w:sz w:val="20"/>
          <w:lang w:eastAsia="en-GB"/>
        </w:rPr>
      </w:pPr>
      <w:r>
        <w:rPr>
          <w:rFonts w:ascii="Arial" w:eastAsia="Calibri" w:hAnsi="Arial" w:cs="Arial"/>
          <w:bCs/>
          <w:noProof/>
          <w:kern w:val="20"/>
          <w:sz w:val="20"/>
          <w:lang w:eastAsia="en-GB"/>
        </w:rPr>
        <w:t xml:space="preserve">Directive on the </w:t>
      </w:r>
      <w:r>
        <w:rPr>
          <w:rFonts w:ascii="Arial" w:hAnsi="Arial" w:cs="Arial"/>
          <w:noProof/>
          <w:sz w:val="20"/>
          <w:szCs w:val="20"/>
        </w:rPr>
        <w:t>freezing</w:t>
      </w:r>
      <w:r>
        <w:rPr>
          <w:rFonts w:ascii="Arial" w:eastAsia="Calibri" w:hAnsi="Arial" w:cs="Arial"/>
          <w:bCs/>
          <w:noProof/>
          <w:kern w:val="20"/>
          <w:sz w:val="20"/>
          <w:lang w:eastAsia="en-GB"/>
        </w:rPr>
        <w:t xml:space="preserve"> and confiscation of instrumentalities and proceeds of crime</w:t>
      </w:r>
      <w:r>
        <w:rPr>
          <w:rFonts w:ascii="Arial" w:eastAsia="Calibri" w:hAnsi="Arial" w:cs="Arial"/>
          <w:bCs/>
          <w:noProof/>
          <w:kern w:val="20"/>
          <w:sz w:val="20"/>
          <w:vertAlign w:val="superscript"/>
          <w:lang w:eastAsia="en-GB"/>
        </w:rPr>
        <w:footnoteReference w:id="166"/>
      </w:r>
      <w:r>
        <w:rPr>
          <w:rFonts w:ascii="Arial" w:eastAsia="Calibri" w:hAnsi="Arial" w:cs="Arial"/>
          <w:bCs/>
          <w:noProof/>
          <w:kern w:val="20"/>
          <w:sz w:val="20"/>
          <w:lang w:eastAsia="en-GB"/>
        </w:rPr>
        <w:t>;</w:t>
      </w:r>
    </w:p>
    <w:p>
      <w:pPr>
        <w:pStyle w:val="ListParagraph"/>
        <w:numPr>
          <w:ilvl w:val="2"/>
          <w:numId w:val="102"/>
        </w:numPr>
        <w:ind w:left="2268"/>
        <w:jc w:val="both"/>
        <w:rPr>
          <w:rFonts w:ascii="Arial" w:eastAsia="Calibri" w:hAnsi="Arial" w:cs="Arial"/>
          <w:bCs/>
          <w:noProof/>
          <w:kern w:val="20"/>
          <w:sz w:val="20"/>
          <w:lang w:eastAsia="en-GB"/>
        </w:rPr>
      </w:pPr>
      <w:r>
        <w:rPr>
          <w:rFonts w:ascii="Arial" w:eastAsia="Calibri" w:hAnsi="Arial" w:cs="Arial"/>
          <w:bCs/>
          <w:noProof/>
          <w:kern w:val="20"/>
          <w:sz w:val="20"/>
          <w:lang w:eastAsia="en-GB"/>
        </w:rPr>
        <w:t>Antitrust Damages Directive</w:t>
      </w:r>
      <w:r>
        <w:rPr>
          <w:rStyle w:val="FootnoteReference"/>
          <w:rFonts w:ascii="Arial" w:eastAsia="Calibri" w:hAnsi="Arial" w:cs="Arial"/>
          <w:bCs/>
          <w:noProof/>
          <w:kern w:val="20"/>
          <w:sz w:val="20"/>
          <w:lang w:eastAsia="en-GB"/>
        </w:rPr>
        <w:footnoteReference w:id="167"/>
      </w:r>
      <w:r>
        <w:rPr>
          <w:rFonts w:ascii="Arial" w:eastAsia="Calibri" w:hAnsi="Arial" w:cs="Arial"/>
          <w:bCs/>
          <w:noProof/>
          <w:kern w:val="20"/>
          <w:sz w:val="20"/>
          <w:lang w:eastAsia="en-GB"/>
        </w:rPr>
        <w:t>.</w:t>
      </w:r>
    </w:p>
    <w:p>
      <w:pPr>
        <w:spacing w:after="0" w:line="240" w:lineRule="auto"/>
        <w:rPr>
          <w:rFonts w:ascii="Arial" w:eastAsia="MS Gothic" w:hAnsi="Arial" w:cs="Arial"/>
          <w:caps/>
          <w:noProof/>
          <w:color w:val="4F81BD"/>
          <w:kern w:val="20"/>
          <w:szCs w:val="24"/>
        </w:rPr>
      </w:pPr>
      <w:r>
        <w:rPr>
          <w:noProof/>
        </w:rPr>
        <w:br w:type="page"/>
      </w:r>
    </w:p>
    <w:p>
      <w:pPr>
        <w:pStyle w:val="AnnualReport1"/>
        <w:numPr>
          <w:ilvl w:val="0"/>
          <w:numId w:val="141"/>
        </w:numPr>
        <w:spacing w:after="240"/>
        <w:rPr>
          <w:noProof/>
        </w:rPr>
      </w:pPr>
      <w:r>
        <w:rPr>
          <w:noProof/>
        </w:rPr>
        <w:t>IMPORTANT JUDGMENTS</w:t>
      </w:r>
    </w:p>
    <w:p>
      <w:pPr>
        <w:pStyle w:val="AnnualReport2"/>
        <w:numPr>
          <w:ilvl w:val="0"/>
          <w:numId w:val="94"/>
        </w:numPr>
        <w:rPr>
          <w:noProof/>
        </w:rPr>
      </w:pPr>
      <w:r>
        <w:rPr>
          <w:noProof/>
        </w:rPr>
        <w:t>Court rulings</w:t>
      </w:r>
    </w:p>
    <w:p>
      <w:pPr>
        <w:ind w:firstLine="709"/>
        <w:jc w:val="both"/>
        <w:rPr>
          <w:rFonts w:ascii="Arial" w:hAnsi="Arial" w:cs="Arial"/>
          <w:noProof/>
          <w:sz w:val="20"/>
          <w:lang w:val="en-US"/>
        </w:rPr>
      </w:pPr>
      <w:r>
        <w:rPr>
          <w:rFonts w:ascii="Arial" w:hAnsi="Arial" w:cs="Arial"/>
          <w:noProof/>
          <w:sz w:val="20"/>
          <w:lang w:val="en-US"/>
        </w:rPr>
        <w:t>There were no major Court rulings in 2018.</w:t>
      </w:r>
    </w:p>
    <w:p>
      <w:pPr>
        <w:pStyle w:val="AnnualReport2"/>
        <w:numPr>
          <w:ilvl w:val="0"/>
          <w:numId w:val="94"/>
        </w:numPr>
        <w:rPr>
          <w:noProof/>
        </w:rPr>
      </w:pPr>
      <w:r>
        <w:rPr>
          <w:noProof/>
        </w:rPr>
        <w:t>Preliminary rulings</w:t>
      </w:r>
    </w:p>
    <w:p>
      <w:pPr>
        <w:pStyle w:val="Body"/>
        <w:ind w:left="426" w:firstLine="294"/>
        <w:jc w:val="both"/>
        <w:rPr>
          <w:noProof/>
          <w:highlight w:val="yellow"/>
          <w:lang w:val="en-GB"/>
        </w:rPr>
      </w:pPr>
      <w:r>
        <w:rPr>
          <w:noProof/>
        </w:rPr>
        <w:t xml:space="preserve">No major preliminary rulings were addressed to the </w:t>
      </w:r>
      <w:r>
        <w:rPr>
          <w:noProof/>
          <w:lang w:val="en-GB"/>
        </w:rPr>
        <w:t xml:space="preserve">Estonian </w:t>
      </w:r>
      <w:r>
        <w:rPr>
          <w:noProof/>
        </w:rPr>
        <w:t>judiciary in 2018.</w:t>
      </w:r>
    </w:p>
    <w:p>
      <w:pPr>
        <w:pStyle w:val="Body"/>
        <w:rPr>
          <w:rFonts w:ascii="Verdana" w:eastAsia="Calibri" w:hAnsi="Verdana"/>
          <w:noProof/>
          <w:kern w:val="20"/>
          <w:lang w:val="en-GB"/>
        </w:rPr>
      </w:pPr>
    </w:p>
    <w:p>
      <w:pPr>
        <w:spacing w:after="0"/>
        <w:rPr>
          <w:noProof/>
        </w:rPr>
        <w:sectPr>
          <w:headerReference w:type="even" r:id="rId118"/>
          <w:headerReference w:type="default" r:id="rId119"/>
          <w:footerReference w:type="even" r:id="rId120"/>
          <w:footerReference w:type="default" r:id="rId121"/>
          <w:headerReference w:type="first" r:id="rId122"/>
          <w:footerReference w:type="first" r:id="rId123"/>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52" w:name="_Toc475974651"/>
      <w:bookmarkStart w:id="53" w:name="_Toc475980147"/>
      <w:bookmarkStart w:id="54" w:name="_Toc475981396"/>
      <w:bookmarkStart w:id="55" w:name="_Toc484622323"/>
      <w:bookmarkStart w:id="56" w:name="_Toc5788361"/>
      <w:bookmarkStart w:id="57" w:name="_Toc444769592"/>
      <w:bookmarkStart w:id="58" w:name="_Toc444772048"/>
      <w:bookmarkStart w:id="59" w:name="_Toc444773367"/>
      <w:bookmarkStart w:id="60" w:name="_Toc444776739"/>
      <w:bookmarkStart w:id="61" w:name="_Toc475974646"/>
      <w:bookmarkStart w:id="62" w:name="_Toc475980142"/>
      <w:bookmarkStart w:id="63" w:name="_Toc475981391"/>
      <w:r>
        <w:rPr>
          <w:noProof/>
        </w:rPr>
        <w:t>Ireland</w:t>
      </w:r>
      <w:bookmarkEnd w:id="52"/>
      <w:bookmarkEnd w:id="53"/>
      <w:bookmarkEnd w:id="54"/>
      <w:bookmarkEnd w:id="55"/>
      <w:bookmarkEnd w:id="56"/>
    </w:p>
    <w:p>
      <w:pPr>
        <w:pStyle w:val="AnnualReport1"/>
        <w:numPr>
          <w:ilvl w:val="1"/>
          <w:numId w:val="109"/>
        </w:numPr>
        <w:spacing w:after="240"/>
        <w:ind w:left="567" w:hanging="425"/>
        <w:rPr>
          <w:noProof/>
        </w:rPr>
      </w:pPr>
      <w:r>
        <w:rPr>
          <w:caps w:val="0"/>
          <w:noProof/>
        </w:rPr>
        <w:t>COMPLAINTS</w:t>
      </w:r>
    </w:p>
    <w:p>
      <w:pPr>
        <w:pStyle w:val="AnnualReport2"/>
        <w:numPr>
          <w:ilvl w:val="0"/>
          <w:numId w:val="20"/>
        </w:numPr>
        <w:ind w:left="709" w:hanging="425"/>
        <w:rPr>
          <w:noProof/>
        </w:rPr>
      </w:pPr>
      <w:r>
        <w:rPr>
          <w:noProof/>
        </w:rPr>
        <w:t>New complaints made against Ireland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329815"/>
            <wp:effectExtent l="0" t="0" r="3175" b="13335"/>
            <wp:docPr id="98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AnnualReport2"/>
        <w:numPr>
          <w:ilvl w:val="0"/>
          <w:numId w:val="94"/>
        </w:numPr>
        <w:rPr>
          <w:noProof/>
        </w:rPr>
      </w:pPr>
      <w:r>
        <w:rPr>
          <w:noProof/>
        </w:rPr>
        <w:t>Public complaints against Ireland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279</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99</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198</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180</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94"/>
        </w:numPr>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50440"/>
            <wp:effectExtent l="0" t="0" r="1270" b="16510"/>
            <wp:docPr id="98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spacing w:after="200" w:line="276" w:lineRule="auto"/>
        <w:rPr>
          <w:rFonts w:ascii="Arial" w:hAnsi="Arial" w:cs="Arial"/>
          <w:noProof/>
          <w:sz w:val="20"/>
        </w:rPr>
      </w:pPr>
      <w:r>
        <w:rPr>
          <w:noProof/>
        </w:rPr>
        <w:br w:type="page"/>
      </w:r>
    </w:p>
    <w:p>
      <w:pPr>
        <w:pStyle w:val="AnnualReport1"/>
        <w:spacing w:before="240"/>
        <w:ind w:left="567" w:hanging="425"/>
        <w:rPr>
          <w:caps w:val="0"/>
          <w:noProof/>
        </w:rPr>
      </w:pPr>
      <w:r>
        <w:rPr>
          <w:caps w:val="0"/>
          <w:noProof/>
        </w:rPr>
        <w:t>II.</w:t>
      </w:r>
      <w:r>
        <w:rPr>
          <w:caps w:val="0"/>
          <w:noProof/>
        </w:rPr>
        <w:tab/>
        <w:t xml:space="preserve"> EU PILOT</w:t>
      </w:r>
    </w:p>
    <w:p>
      <w:pPr>
        <w:pStyle w:val="AnnualReport2"/>
        <w:numPr>
          <w:ilvl w:val="0"/>
          <w:numId w:val="21"/>
        </w:numPr>
        <w:ind w:left="709" w:hanging="425"/>
        <w:rPr>
          <w:noProof/>
        </w:rPr>
      </w:pPr>
      <w:r>
        <w:rPr>
          <w:noProof/>
        </w:rPr>
        <w:t>New EU Pilot files opened against Ireland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7875" cy="2207260"/>
            <wp:effectExtent l="0" t="0" r="3175" b="2540"/>
            <wp:docPr id="98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AnnualReport2"/>
        <w:numPr>
          <w:ilvl w:val="0"/>
          <w:numId w:val="21"/>
        </w:numPr>
        <w:rPr>
          <w:noProof/>
        </w:rPr>
      </w:pPr>
      <w:r>
        <w:rPr>
          <w:noProof/>
        </w:rPr>
        <w:t>Files relating to Ireland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97735"/>
            <wp:effectExtent l="0" t="0" r="3175" b="12065"/>
            <wp:docPr id="97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AnnualReport2"/>
        <w:numPr>
          <w:ilvl w:val="0"/>
          <w:numId w:val="21"/>
        </w:numPr>
        <w:rPr>
          <w:noProof/>
        </w:rPr>
      </w:pPr>
      <w:r>
        <w:rPr>
          <w:noProof/>
        </w:rPr>
        <w:t>New EU Pilot files opened in 2018: main policy areas</w:t>
      </w:r>
    </w:p>
    <w:p>
      <w:pPr>
        <w:pStyle w:val="Body"/>
        <w:ind w:left="786" w:firstLine="0"/>
        <w:jc w:val="both"/>
        <w:rPr>
          <w:noProof/>
        </w:rPr>
      </w:pPr>
      <w:r>
        <w:rPr>
          <w:noProof/>
        </w:rPr>
        <w:t>In 2018, the Commission opened three EU Pilot files against Ireland: one in the area of environment and two in the area of energy.</w:t>
      </w:r>
    </w:p>
    <w:p>
      <w:pPr>
        <w:pStyle w:val="AnnualReport2"/>
        <w:numPr>
          <w:ilvl w:val="0"/>
          <w:numId w:val="21"/>
        </w:numPr>
        <w:rPr>
          <w:noProof/>
        </w:rPr>
      </w:pPr>
      <w:r>
        <w:rPr>
          <w:noProof/>
        </w:rPr>
        <w:t>EU Pilot files: Ireland’s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00275"/>
            <wp:effectExtent l="0" t="0" r="3175" b="9525"/>
            <wp:docPr id="97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AnnualReport1"/>
        <w:numPr>
          <w:ilvl w:val="0"/>
          <w:numId w:val="110"/>
        </w:numPr>
        <w:ind w:left="567" w:hanging="425"/>
        <w:rPr>
          <w:noProof/>
        </w:rPr>
      </w:pPr>
      <w:r>
        <w:rPr>
          <w:noProof/>
        </w:rPr>
        <w:t>INFRINGEMENT CASES</w:t>
      </w:r>
    </w:p>
    <w:p>
      <w:pPr>
        <w:pStyle w:val="AnnualReport2"/>
        <w:numPr>
          <w:ilvl w:val="0"/>
          <w:numId w:val="27"/>
        </w:numPr>
        <w:ind w:left="709" w:hanging="425"/>
        <w:rPr>
          <w:noProof/>
        </w:rPr>
      </w:pPr>
      <w:r>
        <w:rPr>
          <w:noProof/>
        </w:rPr>
        <w:t>Infringement cases against Ireland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18690"/>
            <wp:effectExtent l="0" t="0" r="3175" b="10160"/>
            <wp:docPr id="97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AnnualReport2"/>
        <w:numPr>
          <w:ilvl w:val="0"/>
          <w:numId w:val="27"/>
        </w:numPr>
        <w:ind w:left="709" w:hanging="425"/>
        <w:rPr>
          <w:noProof/>
        </w:rPr>
      </w:pPr>
      <w:r>
        <w:rPr>
          <w:noProof/>
        </w:rPr>
        <w:t>New infringement cases opened in 2018: main policy areas</w:t>
      </w:r>
    </w:p>
    <w:p>
      <w:pPr>
        <w:ind w:firstLine="709"/>
        <w:rPr>
          <w:rFonts w:ascii="Arial" w:hAnsi="Arial" w:cs="Arial"/>
          <w:noProof/>
          <w:sz w:val="20"/>
        </w:rPr>
      </w:pPr>
      <w:r>
        <w:rPr>
          <w:rFonts w:ascii="Arial" w:hAnsi="Arial" w:cs="Arial"/>
          <w:noProof/>
          <w:sz w:val="20"/>
          <w:lang w:eastAsia="en-GB"/>
        </w:rPr>
        <w:drawing>
          <wp:inline distT="0" distB="0" distL="0" distR="0">
            <wp:extent cx="4643755" cy="2282190"/>
            <wp:effectExtent l="0" t="0" r="4445" b="3810"/>
            <wp:docPr id="973" name="Objec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spacing w:after="0"/>
        <w:rPr>
          <w:rFonts w:ascii="Arial" w:hAnsi="Arial"/>
          <w:noProof/>
          <w:color w:val="002060"/>
        </w:rPr>
      </w:pPr>
      <w:r>
        <w:rPr>
          <w:noProof/>
        </w:rPr>
        <w:br w:type="page"/>
      </w:r>
    </w:p>
    <w:p>
      <w:pPr>
        <w:pStyle w:val="AnnualReport2"/>
        <w:numPr>
          <w:ilvl w:val="0"/>
          <w:numId w:val="27"/>
        </w:numPr>
        <w:ind w:left="709" w:hanging="425"/>
        <w:rPr>
          <w:noProof/>
        </w:rPr>
      </w:pPr>
      <w:r>
        <w:rPr>
          <w:noProof/>
        </w:rPr>
        <w:t>Key infringement cases and referrals to the Court</w:t>
      </w:r>
    </w:p>
    <w:p>
      <w:pPr>
        <w:numPr>
          <w:ilvl w:val="0"/>
          <w:numId w:val="84"/>
        </w:numPr>
        <w:ind w:left="1276" w:hanging="425"/>
        <w:jc w:val="both"/>
        <w:rPr>
          <w:rFonts w:ascii="Arial" w:hAnsi="Arial" w:cs="Arial"/>
          <w:noProof/>
          <w:sz w:val="20"/>
          <w:szCs w:val="20"/>
        </w:rPr>
      </w:pPr>
      <w:r>
        <w:rPr>
          <w:rFonts w:ascii="Arial" w:hAnsi="Arial" w:cs="Arial"/>
          <w:noProof/>
          <w:sz w:val="20"/>
          <w:szCs w:val="20"/>
        </w:rPr>
        <w:t>The Commission opened 21 new infringement cases against Ireland in 2018. These, and other major ongoing infringement cases, include:</w:t>
      </w:r>
    </w:p>
    <w:p>
      <w:pPr>
        <w:pStyle w:val="ListParagraph"/>
        <w:numPr>
          <w:ilvl w:val="1"/>
          <w:numId w:val="146"/>
        </w:numPr>
        <w:ind w:left="1843"/>
        <w:jc w:val="both"/>
        <w:rPr>
          <w:noProof/>
        </w:rPr>
      </w:pPr>
      <w:r>
        <w:rPr>
          <w:rFonts w:ascii="Arial" w:hAnsi="Arial" w:cs="Arial"/>
          <w:noProof/>
          <w:sz w:val="20"/>
          <w:szCs w:val="20"/>
        </w:rPr>
        <w:t>incorrect application of the Directive on the investigation of accidents in the maritime transport sector</w:t>
      </w:r>
      <w:r>
        <w:rPr>
          <w:rStyle w:val="FootnoteReference"/>
          <w:rFonts w:ascii="Arial" w:hAnsi="Arial" w:cs="Arial"/>
          <w:noProof/>
          <w:sz w:val="20"/>
          <w:szCs w:val="20"/>
        </w:rPr>
        <w:footnoteReference w:id="168"/>
      </w:r>
      <w:r>
        <w:rPr>
          <w:rFonts w:ascii="Arial" w:hAnsi="Arial" w:cs="Arial"/>
          <w:noProof/>
          <w:sz w:val="20"/>
          <w:szCs w:val="20"/>
        </w:rPr>
        <w:t>;</w:t>
      </w:r>
    </w:p>
    <w:p>
      <w:pPr>
        <w:pStyle w:val="ListParagraph"/>
        <w:numPr>
          <w:ilvl w:val="1"/>
          <w:numId w:val="146"/>
        </w:numPr>
        <w:ind w:left="1843"/>
        <w:jc w:val="both"/>
        <w:rPr>
          <w:rFonts w:ascii="Arial" w:hAnsi="Arial"/>
          <w:noProof/>
          <w:sz w:val="20"/>
        </w:rPr>
      </w:pPr>
      <w:r>
        <w:rPr>
          <w:rFonts w:ascii="Arial" w:hAnsi="Arial"/>
          <w:noProof/>
          <w:sz w:val="20"/>
        </w:rPr>
        <w:t xml:space="preserve">failure to </w:t>
      </w:r>
      <w:r>
        <w:rPr>
          <w:rFonts w:ascii="Arial" w:hAnsi="Arial" w:cs="Arial"/>
          <w:noProof/>
          <w:sz w:val="20"/>
          <w:szCs w:val="20"/>
        </w:rPr>
        <w:t>implement</w:t>
      </w:r>
      <w:r>
        <w:rPr>
          <w:rFonts w:ascii="Arial" w:hAnsi="Arial"/>
          <w:noProof/>
          <w:sz w:val="20"/>
        </w:rPr>
        <w:t xml:space="preserve"> a points system for fisheries as required under the EU Control Regulation</w:t>
      </w:r>
      <w:r>
        <w:rPr>
          <w:rStyle w:val="FootnoteReference"/>
          <w:rFonts w:ascii="Arial" w:hAnsi="Arial"/>
          <w:noProof/>
          <w:sz w:val="20"/>
        </w:rPr>
        <w:footnoteReference w:id="169"/>
      </w:r>
      <w:r>
        <w:rPr>
          <w:rFonts w:ascii="Arial" w:hAnsi="Arial"/>
          <w:noProof/>
          <w:sz w:val="20"/>
        </w:rPr>
        <w:t>;</w:t>
      </w:r>
    </w:p>
    <w:p>
      <w:pPr>
        <w:pStyle w:val="ListParagraph"/>
        <w:numPr>
          <w:ilvl w:val="1"/>
          <w:numId w:val="146"/>
        </w:numPr>
        <w:ind w:left="1843"/>
        <w:jc w:val="both"/>
        <w:rPr>
          <w:rFonts w:ascii="Arial" w:hAnsi="Arial" w:cs="Arial"/>
          <w:noProof/>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170"/>
      </w:r>
      <w:r>
        <w:rPr>
          <w:rFonts w:ascii="Arial" w:hAnsi="Arial" w:cs="Arial"/>
          <w:noProof/>
          <w:sz w:val="20"/>
          <w:szCs w:val="20"/>
        </w:rPr>
        <w:t>;</w:t>
      </w:r>
    </w:p>
    <w:p>
      <w:pPr>
        <w:pStyle w:val="ListParagraph"/>
        <w:numPr>
          <w:ilvl w:val="1"/>
          <w:numId w:val="146"/>
        </w:numPr>
        <w:ind w:left="1843"/>
        <w:jc w:val="both"/>
        <w:rPr>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171"/>
      </w:r>
      <w:r>
        <w:rPr>
          <w:rFonts w:ascii="Arial" w:hAnsi="Arial" w:cs="Arial"/>
          <w:noProof/>
          <w:sz w:val="20"/>
          <w:szCs w:val="20"/>
        </w:rPr>
        <w:t>;</w:t>
      </w:r>
    </w:p>
    <w:p>
      <w:pPr>
        <w:pStyle w:val="ListParagraph"/>
        <w:numPr>
          <w:ilvl w:val="1"/>
          <w:numId w:val="146"/>
        </w:numPr>
        <w:ind w:left="1843"/>
        <w:jc w:val="both"/>
        <w:rPr>
          <w:rFonts w:ascii="Arial" w:hAnsi="Arial" w:cs="Arial"/>
          <w:noProof/>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172"/>
      </w:r>
      <w:r>
        <w:rPr>
          <w:rFonts w:ascii="Arial" w:hAnsi="Arial" w:cs="Arial"/>
          <w:noProof/>
          <w:sz w:val="20"/>
          <w:szCs w:val="20"/>
        </w:rPr>
        <w:t>;</w:t>
      </w:r>
    </w:p>
    <w:p>
      <w:pPr>
        <w:pStyle w:val="ListParagraph"/>
        <w:numPr>
          <w:ilvl w:val="1"/>
          <w:numId w:val="146"/>
        </w:numPr>
        <w:ind w:left="1843"/>
        <w:jc w:val="both"/>
        <w:rPr>
          <w:rFonts w:ascii="Arial" w:hAnsi="Arial" w:cs="Arial"/>
          <w:noProof/>
          <w:sz w:val="20"/>
          <w:szCs w:val="20"/>
        </w:rPr>
      </w:pPr>
      <w:r>
        <w:rPr>
          <w:rFonts w:ascii="Arial" w:hAnsi="Arial" w:cs="Arial"/>
          <w:noProof/>
          <w:sz w:val="20"/>
          <w:szCs w:val="20"/>
        </w:rPr>
        <w:t>failure to establish Special Areas of Conservation, as well as conservation objectives and measures</w:t>
      </w:r>
      <w:r>
        <w:rPr>
          <w:noProof/>
        </w:rPr>
        <w:t xml:space="preserve"> </w:t>
      </w:r>
      <w:r>
        <w:rPr>
          <w:rFonts w:ascii="Arial" w:hAnsi="Arial" w:cs="Arial"/>
          <w:noProof/>
          <w:sz w:val="20"/>
          <w:szCs w:val="20"/>
        </w:rPr>
        <w:t>to maintain or restore the species and habitats to a favourable condition, as required by the Habitats Directive</w:t>
      </w:r>
      <w:r>
        <w:rPr>
          <w:rStyle w:val="FootnoteReference"/>
          <w:rFonts w:ascii="Arial" w:hAnsi="Arial" w:cs="Arial"/>
          <w:noProof/>
          <w:sz w:val="20"/>
          <w:szCs w:val="20"/>
        </w:rPr>
        <w:footnoteReference w:id="173"/>
      </w:r>
      <w:r>
        <w:rPr>
          <w:rFonts w:ascii="Arial" w:hAnsi="Arial" w:cs="Arial"/>
          <w:noProof/>
          <w:sz w:val="20"/>
          <w:szCs w:val="20"/>
        </w:rPr>
        <w:t>;</w:t>
      </w:r>
    </w:p>
    <w:p>
      <w:pPr>
        <w:pStyle w:val="ListParagraph"/>
        <w:numPr>
          <w:ilvl w:val="1"/>
          <w:numId w:val="146"/>
        </w:numPr>
        <w:ind w:left="1843"/>
        <w:jc w:val="both"/>
        <w:rPr>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174"/>
      </w:r>
      <w:r>
        <w:rPr>
          <w:rFonts w:ascii="Arial" w:hAnsi="Arial" w:cs="Arial"/>
          <w:noProof/>
          <w:sz w:val="20"/>
          <w:szCs w:val="20"/>
        </w:rPr>
        <w:t>;</w:t>
      </w:r>
    </w:p>
    <w:p>
      <w:pPr>
        <w:pStyle w:val="ListParagraph"/>
        <w:numPr>
          <w:ilvl w:val="1"/>
          <w:numId w:val="146"/>
        </w:numPr>
        <w:ind w:left="1843"/>
        <w:jc w:val="both"/>
        <w:rPr>
          <w:rFonts w:ascii="Arial" w:hAnsi="Arial" w:cs="Arial"/>
          <w:noProof/>
          <w:sz w:val="20"/>
          <w:szCs w:val="20"/>
        </w:rPr>
      </w:pPr>
      <w:r>
        <w:rPr>
          <w:rFonts w:ascii="Arial" w:hAnsi="Arial" w:cs="Arial"/>
          <w:noProof/>
          <w:sz w:val="20"/>
          <w:szCs w:val="20"/>
        </w:rPr>
        <w:t>excessive amounts of trihalomethanes in drinking water</w:t>
      </w:r>
      <w:r>
        <w:rPr>
          <w:rStyle w:val="FootnoteReference"/>
          <w:rFonts w:ascii="Arial" w:hAnsi="Arial" w:cs="Arial"/>
          <w:noProof/>
          <w:sz w:val="20"/>
          <w:szCs w:val="20"/>
        </w:rPr>
        <w:footnoteReference w:id="175"/>
      </w:r>
      <w:r>
        <w:rPr>
          <w:rFonts w:ascii="Arial" w:hAnsi="Arial" w:cs="Arial"/>
          <w:noProof/>
          <w:sz w:val="20"/>
          <w:szCs w:val="20"/>
        </w:rPr>
        <w:t>;</w:t>
      </w:r>
    </w:p>
    <w:p>
      <w:pPr>
        <w:pStyle w:val="ListParagraph"/>
        <w:numPr>
          <w:ilvl w:val="1"/>
          <w:numId w:val="146"/>
        </w:numPr>
        <w:ind w:left="1843"/>
        <w:rPr>
          <w:noProof/>
        </w:rPr>
      </w:pPr>
      <w:r>
        <w:rPr>
          <w:rFonts w:ascii="Arial" w:eastAsia="Calibri" w:hAnsi="Arial" w:cs="Arial"/>
          <w:noProof/>
          <w:kern w:val="20"/>
          <w:sz w:val="20"/>
          <w:lang w:eastAsia="en-GB"/>
        </w:rPr>
        <w:t>non-communication of national measures transposing the</w:t>
      </w:r>
    </w:p>
    <w:p>
      <w:pPr>
        <w:pStyle w:val="ListParagraph"/>
        <w:numPr>
          <w:ilvl w:val="2"/>
          <w:numId w:val="102"/>
        </w:numPr>
        <w:ind w:left="2552"/>
        <w:jc w:val="both"/>
        <w:rPr>
          <w:noProof/>
        </w:rPr>
      </w:pPr>
      <w:r>
        <w:rPr>
          <w:rFonts w:ascii="Arial" w:eastAsia="Calibri" w:hAnsi="Arial" w:cs="Arial"/>
          <w:noProof/>
          <w:kern w:val="20"/>
          <w:sz w:val="20"/>
          <w:lang w:eastAsia="en-GB"/>
        </w:rPr>
        <w:t>Commission Directive amending the Directive on quality system standards and specifications for blood establishments</w:t>
      </w:r>
      <w:r>
        <w:rPr>
          <w:rStyle w:val="FootnoteReference"/>
          <w:rFonts w:ascii="Arial" w:eastAsia="Calibri" w:hAnsi="Arial" w:cs="Arial"/>
          <w:noProof/>
          <w:kern w:val="20"/>
          <w:sz w:val="20"/>
          <w:lang w:eastAsia="en-GB"/>
        </w:rPr>
        <w:footnoteReference w:id="176"/>
      </w:r>
      <w:r>
        <w:rPr>
          <w:rFonts w:ascii="Arial" w:eastAsia="Calibri" w:hAnsi="Arial" w:cs="Arial"/>
          <w:noProof/>
          <w:kern w:val="20"/>
          <w:sz w:val="20"/>
          <w:lang w:eastAsia="en-GB"/>
        </w:rPr>
        <w:t>;</w:t>
      </w:r>
    </w:p>
    <w:p>
      <w:pPr>
        <w:pStyle w:val="ListParagraph"/>
        <w:numPr>
          <w:ilvl w:val="2"/>
          <w:numId w:val="102"/>
        </w:numPr>
        <w:ind w:left="2552"/>
        <w:jc w:val="both"/>
        <w:rPr>
          <w:noProof/>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177"/>
      </w:r>
      <w:r>
        <w:rPr>
          <w:rFonts w:ascii="Arial" w:hAnsi="Arial" w:cs="Arial"/>
          <w:noProof/>
          <w:sz w:val="20"/>
          <w:szCs w:val="20"/>
        </w:rPr>
        <w:t>;</w:t>
      </w:r>
    </w:p>
    <w:p>
      <w:pPr>
        <w:pStyle w:val="ListParagraph"/>
        <w:numPr>
          <w:ilvl w:val="2"/>
          <w:numId w:val="102"/>
        </w:numPr>
        <w:ind w:left="2552"/>
        <w:jc w:val="both"/>
        <w:rPr>
          <w:noProof/>
        </w:rPr>
      </w:pPr>
      <w:r>
        <w:rPr>
          <w:rFonts w:ascii="Arial" w:hAnsi="Arial" w:cs="Arial"/>
          <w:noProof/>
          <w:sz w:val="20"/>
          <w:szCs w:val="20"/>
        </w:rPr>
        <w:t>Directive on the characteristics to be covered as a minimum by the examination and the minimum conditions for examining certain varieties of agricultural plant species and vegetable species</w:t>
      </w:r>
      <w:r>
        <w:rPr>
          <w:rFonts w:ascii="Arial" w:hAnsi="Arial" w:cs="Arial"/>
          <w:noProof/>
          <w:sz w:val="20"/>
          <w:szCs w:val="20"/>
          <w:vertAlign w:val="superscript"/>
        </w:rPr>
        <w:footnoteReference w:id="178"/>
      </w:r>
      <w:r>
        <w:rPr>
          <w:rFonts w:ascii="Arial" w:hAnsi="Arial" w:cs="Arial"/>
          <w:noProof/>
          <w:sz w:val="20"/>
          <w:szCs w:val="20"/>
        </w:rPr>
        <w:t>;</w:t>
      </w:r>
    </w:p>
    <w:p>
      <w:pPr>
        <w:pStyle w:val="ListParagraph"/>
        <w:numPr>
          <w:ilvl w:val="2"/>
          <w:numId w:val="102"/>
        </w:numPr>
        <w:ind w:left="2552"/>
        <w:jc w:val="both"/>
        <w:rPr>
          <w:noProof/>
          <w:sz w:val="20"/>
          <w:szCs w:val="20"/>
        </w:rPr>
      </w:pPr>
      <w:r>
        <w:rPr>
          <w:rFonts w:ascii="Arial" w:hAnsi="Arial" w:cs="Arial"/>
          <w:noProof/>
          <w:sz w:val="20"/>
          <w:szCs w:val="20"/>
        </w:rPr>
        <w:t>Basic Safety Standards Directive</w:t>
      </w:r>
      <w:r>
        <w:rPr>
          <w:rStyle w:val="FootnoteReference"/>
          <w:rFonts w:ascii="Arial" w:hAnsi="Arial" w:cs="Arial"/>
          <w:noProof/>
          <w:sz w:val="20"/>
          <w:szCs w:val="20"/>
        </w:rPr>
        <w:footnoteReference w:id="179"/>
      </w:r>
      <w:r>
        <w:rPr>
          <w:rFonts w:ascii="Arial" w:hAnsi="Arial" w:cs="Arial"/>
          <w:noProof/>
          <w:sz w:val="20"/>
          <w:szCs w:val="20"/>
        </w:rPr>
        <w:t>;</w:t>
      </w:r>
    </w:p>
    <w:p>
      <w:pPr>
        <w:pStyle w:val="ListParagraph"/>
        <w:numPr>
          <w:ilvl w:val="2"/>
          <w:numId w:val="102"/>
        </w:numPr>
        <w:ind w:left="2552"/>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180"/>
      </w:r>
      <w:r>
        <w:rPr>
          <w:rFonts w:ascii="Arial" w:hAnsi="Arial" w:cs="Arial"/>
          <w:noProof/>
          <w:sz w:val="20"/>
          <w:szCs w:val="20"/>
        </w:rPr>
        <w:t>;</w:t>
      </w:r>
    </w:p>
    <w:p>
      <w:pPr>
        <w:pStyle w:val="ListParagraph"/>
        <w:numPr>
          <w:ilvl w:val="2"/>
          <w:numId w:val="102"/>
        </w:numPr>
        <w:ind w:left="2552"/>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181"/>
      </w:r>
      <w:r>
        <w:rPr>
          <w:rFonts w:ascii="Arial" w:hAnsi="Arial" w:cs="Arial"/>
          <w:noProof/>
          <w:sz w:val="20"/>
          <w:szCs w:val="20"/>
        </w:rPr>
        <w:t>;</w:t>
      </w:r>
    </w:p>
    <w:p>
      <w:pPr>
        <w:pStyle w:val="ListParagraph"/>
        <w:numPr>
          <w:ilvl w:val="2"/>
          <w:numId w:val="102"/>
        </w:numPr>
        <w:ind w:left="2552"/>
        <w:jc w:val="both"/>
        <w:rPr>
          <w:rFonts w:ascii="Arial" w:hAnsi="Arial" w:cs="Arial"/>
          <w:noProof/>
          <w:sz w:val="20"/>
          <w:szCs w:val="20"/>
        </w:rPr>
      </w:pPr>
      <w:r>
        <w:rPr>
          <w:rFonts w:ascii="Arial" w:hAnsi="Arial" w:cs="Arial"/>
          <w:noProof/>
          <w:sz w:val="20"/>
          <w:szCs w:val="20"/>
        </w:rPr>
        <w:t>Council Framework Decision on the exchange of criminal records</w:t>
      </w:r>
      <w:r>
        <w:rPr>
          <w:rStyle w:val="FootnoteReference"/>
          <w:rFonts w:ascii="Arial" w:hAnsi="Arial" w:cs="Arial"/>
          <w:noProof/>
          <w:sz w:val="20"/>
          <w:szCs w:val="20"/>
        </w:rPr>
        <w:footnoteReference w:id="182"/>
      </w:r>
      <w:r>
        <w:rPr>
          <w:rFonts w:ascii="Arial" w:hAnsi="Arial" w:cs="Arial"/>
          <w:noProof/>
          <w:sz w:val="20"/>
          <w:szCs w:val="20"/>
        </w:rPr>
        <w:t>;</w:t>
      </w:r>
    </w:p>
    <w:p>
      <w:pPr>
        <w:pStyle w:val="ListParagraph"/>
        <w:numPr>
          <w:ilvl w:val="2"/>
          <w:numId w:val="102"/>
        </w:numPr>
        <w:ind w:left="2552"/>
        <w:jc w:val="both"/>
        <w:rPr>
          <w:rFonts w:ascii="Arial" w:hAnsi="Arial" w:cs="Arial"/>
          <w:noProof/>
          <w:sz w:val="20"/>
          <w:szCs w:val="20"/>
        </w:rPr>
      </w:pPr>
      <w:r>
        <w:rPr>
          <w:rFonts w:ascii="Arial" w:hAnsi="Arial" w:cs="Arial"/>
          <w:noProof/>
          <w:sz w:val="20"/>
          <w:szCs w:val="20"/>
          <w:lang w:val="fr-BE"/>
        </w:rPr>
        <w:t>Package Travel Directive</w:t>
      </w:r>
      <w:r>
        <w:rPr>
          <w:rStyle w:val="FootnoteReference"/>
          <w:rFonts w:ascii="Arial" w:hAnsi="Arial" w:cs="Arial"/>
          <w:noProof/>
          <w:sz w:val="20"/>
          <w:szCs w:val="20"/>
          <w:lang w:val="fr-BE"/>
        </w:rPr>
        <w:footnoteReference w:id="183"/>
      </w:r>
      <w:r>
        <w:rPr>
          <w:rFonts w:ascii="Arial" w:hAnsi="Arial" w:cs="Arial"/>
          <w:noProof/>
          <w:sz w:val="20"/>
          <w:szCs w:val="20"/>
          <w:lang w:val="fr-BE"/>
        </w:rPr>
        <w:t>;</w:t>
      </w:r>
    </w:p>
    <w:p>
      <w:pPr>
        <w:numPr>
          <w:ilvl w:val="0"/>
          <w:numId w:val="84"/>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84"/>
        </w:numPr>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260(2) TFEU. It concerns</w:t>
      </w:r>
    </w:p>
    <w:p>
      <w:pPr>
        <w:numPr>
          <w:ilvl w:val="0"/>
          <w:numId w:val="75"/>
        </w:numPr>
        <w:spacing w:after="200"/>
        <w:jc w:val="both"/>
        <w:rPr>
          <w:rFonts w:ascii="Arial" w:eastAsia="Calibri" w:hAnsi="Arial" w:cs="Arial"/>
          <w:noProof/>
          <w:sz w:val="20"/>
          <w:szCs w:val="20"/>
        </w:rPr>
      </w:pPr>
      <w:r>
        <w:rPr>
          <w:rFonts w:ascii="Arial" w:hAnsi="Arial" w:cs="Arial"/>
          <w:noProof/>
          <w:sz w:val="20"/>
          <w:szCs w:val="20"/>
        </w:rPr>
        <w:t>failure to comply with a Court judgment establishing that Ireland had failed to apply correctly the EU provisions on environmental impact assessments in relation to the Derrybrien windfarm</w:t>
      </w:r>
      <w:r>
        <w:rPr>
          <w:rStyle w:val="FootnoteReference"/>
          <w:rFonts w:ascii="Arial" w:hAnsi="Arial" w:cs="Arial"/>
          <w:noProof/>
          <w:sz w:val="20"/>
          <w:szCs w:val="20"/>
        </w:rPr>
        <w:footnoteReference w:id="184"/>
      </w:r>
      <w:r>
        <w:rPr>
          <w:rFonts w:ascii="Arial" w:hAnsi="Arial" w:cs="Arial"/>
          <w:noProof/>
          <w:sz w:val="20"/>
          <w:szCs w:val="20"/>
        </w:rPr>
        <w:t>.</w:t>
      </w:r>
    </w:p>
    <w:p>
      <w:pPr>
        <w:pStyle w:val="kop2"/>
        <w:numPr>
          <w:ilvl w:val="0"/>
          <w:numId w:val="110"/>
        </w:numPr>
        <w:spacing w:before="360" w:after="240"/>
        <w:ind w:left="567" w:hanging="425"/>
        <w:rPr>
          <w:caps w:val="0"/>
          <w:noProof/>
        </w:rPr>
      </w:pPr>
      <w:r>
        <w:rPr>
          <w:caps w:val="0"/>
          <w:noProof/>
        </w:rPr>
        <w:t>TRANSPOSITION OF DIRECTIVES</w:t>
      </w:r>
    </w:p>
    <w:p>
      <w:pPr>
        <w:pStyle w:val="AnnualReport2"/>
        <w:numPr>
          <w:ilvl w:val="0"/>
          <w:numId w:val="28"/>
        </w:numPr>
        <w:ind w:left="709" w:hanging="425"/>
        <w:rPr>
          <w:noProof/>
        </w:rPr>
      </w:pPr>
      <w:r>
        <w:rPr>
          <w:noProof/>
        </w:rPr>
        <w:t>Late transposition infringement cases against Ireland open on 31 December (2014-2018)</w:t>
      </w:r>
    </w:p>
    <w:p>
      <w:pPr>
        <w:ind w:left="426" w:firstLine="283"/>
        <w:rPr>
          <w:noProof/>
        </w:rPr>
      </w:pPr>
      <w:r>
        <w:rPr>
          <w:noProof/>
          <w:lang w:eastAsia="en-GB"/>
        </w:rPr>
        <w:drawing>
          <wp:inline distT="0" distB="0" distL="0" distR="0">
            <wp:extent cx="4587875" cy="2226310"/>
            <wp:effectExtent l="0" t="0" r="3175" b="2540"/>
            <wp:docPr id="97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AnnualReport2"/>
        <w:numPr>
          <w:ilvl w:val="0"/>
          <w:numId w:val="28"/>
        </w:numPr>
        <w:ind w:left="709" w:hanging="425"/>
        <w:rPr>
          <w:noProof/>
        </w:rPr>
      </w:pPr>
      <w:r>
        <w:rPr>
          <w:noProof/>
        </w:rPr>
        <w:t>New late transposition infringement cases against Ireland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70430"/>
            <wp:effectExtent l="0" t="0" r="22225" b="20320"/>
            <wp:docPr id="7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spacing w:after="0" w:line="240" w:lineRule="auto"/>
        <w:rPr>
          <w:rFonts w:ascii="Arial" w:hAnsi="Arial"/>
          <w:noProof/>
          <w:color w:val="002060"/>
        </w:rPr>
      </w:pPr>
      <w:r>
        <w:rPr>
          <w:noProof/>
        </w:rPr>
        <w:br w:type="page"/>
      </w:r>
    </w:p>
    <w:p>
      <w:pPr>
        <w:pStyle w:val="AnnualReport2"/>
        <w:numPr>
          <w:ilvl w:val="0"/>
          <w:numId w:val="28"/>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960620" cy="2537460"/>
            <wp:effectExtent l="0" t="0" r="11430" b="15240"/>
            <wp:docPr id="78" name="Objec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pStyle w:val="AnnualReport2"/>
        <w:numPr>
          <w:ilvl w:val="0"/>
          <w:numId w:val="28"/>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one case to the Court under Articles 258 and 260(3) TFEU. It concerns</w:t>
      </w:r>
    </w:p>
    <w:p>
      <w:pPr>
        <w:pStyle w:val="ListParagraph"/>
        <w:numPr>
          <w:ilvl w:val="0"/>
          <w:numId w:val="14"/>
        </w:numPr>
        <w:spacing w:after="120"/>
        <w:ind w:left="1418" w:hanging="425"/>
        <w:jc w:val="both"/>
        <w:rPr>
          <w:rFonts w:ascii="Arial" w:hAnsi="Arial" w:cs="Arial"/>
          <w:noProof/>
          <w:sz w:val="20"/>
          <w:szCs w:val="20"/>
        </w:rPr>
      </w:pPr>
      <w:r>
        <w:rPr>
          <w:rFonts w:ascii="Arial" w:eastAsia="Calibri" w:hAnsi="Arial" w:cs="Arial"/>
          <w:noProof/>
          <w:kern w:val="20"/>
          <w:sz w:val="20"/>
        </w:rPr>
        <w:t>incomplete</w:t>
      </w:r>
      <w:r>
        <w:rPr>
          <w:rFonts w:ascii="Arial" w:hAnsi="Arial" w:cs="Arial"/>
          <w:noProof/>
          <w:sz w:val="20"/>
          <w:szCs w:val="20"/>
        </w:rPr>
        <w:t xml:space="preserve"> transposition of the fourth Anti-Money Laundering Directive</w:t>
      </w:r>
      <w:r>
        <w:rPr>
          <w:rStyle w:val="FootnoteReference"/>
          <w:rFonts w:ascii="Arial" w:hAnsi="Arial" w:cs="Arial"/>
          <w:noProof/>
          <w:sz w:val="20"/>
          <w:szCs w:val="20"/>
        </w:rPr>
        <w:footnoteReference w:id="185"/>
      </w:r>
      <w:r>
        <w:rPr>
          <w:rFonts w:ascii="Arial" w:hAnsi="Arial" w:cs="Arial"/>
          <w:noProof/>
          <w:sz w:val="20"/>
          <w:szCs w:val="20"/>
        </w:rPr>
        <w:t>.</w:t>
      </w:r>
    </w:p>
    <w:p>
      <w:pPr>
        <w:pStyle w:val="kop2"/>
        <w:numPr>
          <w:ilvl w:val="0"/>
          <w:numId w:val="110"/>
        </w:numPr>
        <w:spacing w:before="360" w:after="240"/>
        <w:ind w:left="709" w:hanging="425"/>
        <w:rPr>
          <w:caps w:val="0"/>
          <w:noProof/>
        </w:rPr>
      </w:pPr>
      <w:r>
        <w:rPr>
          <w:caps w:val="0"/>
          <w:noProof/>
        </w:rPr>
        <w:t>EARLY RESOLUTION OF INFRINGEMENT CASES</w:t>
      </w:r>
    </w:p>
    <w:p>
      <w:pPr>
        <w:pStyle w:val="ListParagraph"/>
        <w:spacing w:after="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pStyle w:val="ListParagraph"/>
        <w:numPr>
          <w:ilvl w:val="0"/>
          <w:numId w:val="131"/>
        </w:numPr>
        <w:spacing w:after="120"/>
        <w:jc w:val="both"/>
        <w:rPr>
          <w:rFonts w:ascii="Arial" w:hAnsi="Arial" w:cs="Arial"/>
          <w:noProof/>
          <w:sz w:val="20"/>
        </w:rPr>
      </w:pPr>
      <w:r>
        <w:rPr>
          <w:rFonts w:ascii="Arial" w:hAnsi="Arial" w:cs="Arial"/>
          <w:noProof/>
          <w:sz w:val="20"/>
          <w:szCs w:val="20"/>
        </w:rPr>
        <w:t>incorrect application of EU rules on the mutual recognition of seafarers certificates issued by the Member States</w:t>
      </w:r>
      <w:r>
        <w:rPr>
          <w:rStyle w:val="FootnoteReference"/>
          <w:rFonts w:ascii="Arial" w:hAnsi="Arial" w:cs="Arial"/>
          <w:noProof/>
          <w:sz w:val="20"/>
          <w:szCs w:val="20"/>
        </w:rPr>
        <w:footnoteReference w:id="186"/>
      </w:r>
      <w:r>
        <w:rPr>
          <w:rFonts w:ascii="Arial" w:hAnsi="Arial" w:cs="Arial"/>
          <w:noProof/>
          <w:sz w:val="20"/>
          <w:szCs w:val="20"/>
        </w:rPr>
        <w:t>;</w:t>
      </w:r>
    </w:p>
    <w:p>
      <w:pPr>
        <w:pStyle w:val="ListParagraph"/>
        <w:numPr>
          <w:ilvl w:val="0"/>
          <w:numId w:val="131"/>
        </w:numPr>
        <w:spacing w:after="120"/>
        <w:jc w:val="both"/>
        <w:rPr>
          <w:rFonts w:ascii="Arial" w:hAnsi="Arial" w:cs="Arial"/>
          <w:noProof/>
          <w:sz w:val="20"/>
        </w:rPr>
      </w:pPr>
      <w:r>
        <w:rPr>
          <w:rFonts w:ascii="Arial" w:hAnsi="Arial" w:cs="Arial"/>
          <w:noProof/>
          <w:sz w:val="20"/>
        </w:rPr>
        <w:t>late adoption of the second round of river basin management plans under the Water Framework Directive</w:t>
      </w:r>
      <w:r>
        <w:rPr>
          <w:rStyle w:val="FootnoteReference"/>
          <w:rFonts w:ascii="Arial" w:hAnsi="Arial" w:cs="Arial"/>
          <w:noProof/>
          <w:sz w:val="20"/>
        </w:rPr>
        <w:footnoteReference w:id="187"/>
      </w:r>
      <w:r>
        <w:rPr>
          <w:rFonts w:ascii="Arial" w:hAnsi="Arial" w:cs="Arial"/>
          <w:noProof/>
          <w:sz w:val="20"/>
        </w:rPr>
        <w:t>;</w:t>
      </w:r>
    </w:p>
    <w:p>
      <w:pPr>
        <w:pStyle w:val="ListParagraph"/>
        <w:numPr>
          <w:ilvl w:val="0"/>
          <w:numId w:val="131"/>
        </w:numPr>
        <w:spacing w:after="120"/>
        <w:jc w:val="both"/>
        <w:rPr>
          <w:rFonts w:ascii="Arial" w:hAnsi="Arial" w:cs="Arial"/>
          <w:noProof/>
          <w:sz w:val="20"/>
        </w:rPr>
      </w:pPr>
      <w:r>
        <w:rPr>
          <w:rFonts w:ascii="Arial" w:hAnsi="Arial" w:cs="Arial"/>
          <w:noProof/>
          <w:sz w:val="20"/>
        </w:rPr>
        <w:t>failure to establish and notify flood risk management plans under the Floods Directive</w:t>
      </w:r>
      <w:r>
        <w:rPr>
          <w:rStyle w:val="FootnoteReference"/>
          <w:rFonts w:ascii="Arial" w:hAnsi="Arial" w:cs="Arial"/>
          <w:noProof/>
          <w:sz w:val="20"/>
        </w:rPr>
        <w:footnoteReference w:id="188"/>
      </w:r>
      <w:r>
        <w:rPr>
          <w:rFonts w:ascii="Arial" w:hAnsi="Arial" w:cs="Arial"/>
          <w:noProof/>
          <w:sz w:val="20"/>
        </w:rPr>
        <w:t xml:space="preserve">; </w:t>
      </w:r>
    </w:p>
    <w:p>
      <w:pPr>
        <w:pStyle w:val="ListParagraph"/>
        <w:numPr>
          <w:ilvl w:val="0"/>
          <w:numId w:val="131"/>
        </w:numPr>
        <w:spacing w:after="120"/>
        <w:jc w:val="both"/>
        <w:rPr>
          <w:rFonts w:ascii="Arial" w:hAnsi="Arial" w:cs="Arial"/>
          <w:noProof/>
          <w:sz w:val="20"/>
        </w:rPr>
      </w:pPr>
      <w:r>
        <w:rPr>
          <w:rFonts w:ascii="Arial" w:hAnsi="Arial" w:cs="Arial"/>
          <w:noProof/>
          <w:sz w:val="20"/>
        </w:rPr>
        <w:t>bad application of the Unfair Commercial Practices Directive in the area of air transport;</w:t>
      </w:r>
      <w:r>
        <w:rPr>
          <w:rStyle w:val="FootnoteReference"/>
          <w:rFonts w:ascii="Arial" w:hAnsi="Arial" w:cs="Arial"/>
          <w:noProof/>
          <w:sz w:val="20"/>
        </w:rPr>
        <w:t xml:space="preserve"> </w:t>
      </w:r>
      <w:r>
        <w:rPr>
          <w:rStyle w:val="FootnoteReference"/>
          <w:rFonts w:ascii="Arial" w:hAnsi="Arial" w:cs="Arial"/>
          <w:noProof/>
          <w:sz w:val="20"/>
        </w:rPr>
        <w:footnoteReference w:id="189"/>
      </w:r>
    </w:p>
    <w:p>
      <w:pPr>
        <w:pStyle w:val="ListParagraph"/>
        <w:numPr>
          <w:ilvl w:val="0"/>
          <w:numId w:val="131"/>
        </w:numPr>
        <w:autoSpaceDE w:val="0"/>
        <w:autoSpaceDN w:val="0"/>
        <w:adjustRightInd w:val="0"/>
        <w:spacing w:after="200" w:line="240" w:lineRule="auto"/>
        <w:jc w:val="both"/>
        <w:rPr>
          <w:rFonts w:ascii="Arial" w:hAnsi="Arial" w:cs="Arial"/>
          <w:bCs/>
          <w:noProof/>
          <w:sz w:val="20"/>
        </w:rPr>
      </w:pPr>
      <w:r>
        <w:rPr>
          <w:rFonts w:ascii="Arial" w:hAnsi="Arial" w:cs="Arial"/>
          <w:bCs/>
          <w:noProof/>
          <w:sz w:val="20"/>
        </w:rPr>
        <w:t xml:space="preserve">non-communication of national measures transposing the </w:t>
      </w:r>
    </w:p>
    <w:p>
      <w:pPr>
        <w:pStyle w:val="ListParagraph"/>
        <w:numPr>
          <w:ilvl w:val="1"/>
          <w:numId w:val="131"/>
        </w:numPr>
        <w:spacing w:after="120"/>
        <w:jc w:val="both"/>
        <w:rPr>
          <w:rFonts w:ascii="Arial" w:hAnsi="Arial" w:cs="Arial"/>
          <w:bCs/>
          <w:noProof/>
          <w:sz w:val="20"/>
        </w:rPr>
      </w:pPr>
      <w:r>
        <w:rPr>
          <w:rFonts w:ascii="Arial" w:eastAsia="Times New Roman" w:hAnsi="Arial" w:cs="Arial"/>
          <w:noProof/>
          <w:sz w:val="20"/>
          <w:szCs w:val="20"/>
          <w:lang w:eastAsia="en-GB"/>
        </w:rPr>
        <w:t>Solvency II Directive</w:t>
      </w:r>
      <w:r>
        <w:rPr>
          <w:rStyle w:val="FootnoteReference"/>
          <w:rFonts w:ascii="Arial" w:eastAsia="Times New Roman" w:hAnsi="Arial" w:cs="Arial"/>
          <w:noProof/>
          <w:sz w:val="20"/>
          <w:szCs w:val="20"/>
          <w:lang w:eastAsia="en-GB"/>
        </w:rPr>
        <w:footnoteReference w:id="190"/>
      </w:r>
      <w:r>
        <w:rPr>
          <w:rFonts w:ascii="Arial" w:eastAsia="Times New Roman" w:hAnsi="Arial" w:cs="Arial"/>
          <w:noProof/>
          <w:sz w:val="20"/>
          <w:szCs w:val="20"/>
          <w:lang w:eastAsia="en-GB"/>
        </w:rPr>
        <w:t>;</w:t>
      </w:r>
    </w:p>
    <w:p>
      <w:pPr>
        <w:pStyle w:val="ListParagraph"/>
        <w:numPr>
          <w:ilvl w:val="1"/>
          <w:numId w:val="131"/>
        </w:numPr>
        <w:spacing w:after="120"/>
        <w:jc w:val="both"/>
        <w:rPr>
          <w:rFonts w:ascii="Arial" w:hAnsi="Arial" w:cs="Arial"/>
          <w:bCs/>
          <w:noProof/>
          <w:sz w:val="20"/>
        </w:rPr>
      </w:pPr>
      <w:r>
        <w:rPr>
          <w:rFonts w:ascii="Arial" w:hAnsi="Arial" w:cs="Arial"/>
          <w:noProof/>
          <w:sz w:val="20"/>
        </w:rPr>
        <w:t>Directive</w:t>
      </w:r>
      <w:r>
        <w:rPr>
          <w:rFonts w:ascii="Arial" w:hAnsi="Arial" w:cs="Arial"/>
          <w:bCs/>
          <w:noProof/>
          <w:sz w:val="20"/>
        </w:rPr>
        <w:t xml:space="preserve"> on the freezing and confiscation of instrumentalities and proceeds of crime</w:t>
      </w:r>
      <w:r>
        <w:rPr>
          <w:rStyle w:val="FootnoteReference"/>
          <w:rFonts w:ascii="Arial" w:hAnsi="Arial" w:cs="Arial"/>
          <w:bCs/>
          <w:noProof/>
          <w:sz w:val="20"/>
        </w:rPr>
        <w:footnoteReference w:id="191"/>
      </w:r>
      <w:r>
        <w:rPr>
          <w:rFonts w:ascii="Arial" w:hAnsi="Arial" w:cs="Arial"/>
          <w:bCs/>
          <w:noProof/>
          <w:sz w:val="20"/>
        </w:rPr>
        <w:t>;</w:t>
      </w:r>
    </w:p>
    <w:p>
      <w:pPr>
        <w:pStyle w:val="ListParagraph"/>
        <w:numPr>
          <w:ilvl w:val="1"/>
          <w:numId w:val="131"/>
        </w:numPr>
        <w:spacing w:after="120"/>
        <w:jc w:val="both"/>
        <w:rPr>
          <w:rFonts w:ascii="Arial" w:hAnsi="Arial" w:cs="Arial"/>
          <w:noProof/>
          <w:sz w:val="20"/>
        </w:rPr>
      </w:pPr>
      <w:r>
        <w:rPr>
          <w:rFonts w:ascii="Arial" w:hAnsi="Arial" w:cs="Arial"/>
          <w:noProof/>
          <w:sz w:val="20"/>
        </w:rPr>
        <w:t>Antitrust Damages Directive</w:t>
      </w:r>
      <w:r>
        <w:rPr>
          <w:rStyle w:val="FootnoteReference"/>
          <w:rFonts w:ascii="Arial" w:hAnsi="Arial" w:cs="Arial"/>
          <w:noProof/>
          <w:sz w:val="20"/>
        </w:rPr>
        <w:footnoteReference w:id="192"/>
      </w:r>
      <w:r>
        <w:rPr>
          <w:rFonts w:ascii="Arial" w:hAnsi="Arial" w:cs="Arial"/>
          <w:noProof/>
          <w:sz w:val="20"/>
        </w:rPr>
        <w:t>;</w:t>
      </w:r>
    </w:p>
    <w:p>
      <w:pPr>
        <w:pStyle w:val="ListParagraph"/>
        <w:numPr>
          <w:ilvl w:val="1"/>
          <w:numId w:val="131"/>
        </w:numPr>
        <w:spacing w:after="120"/>
        <w:jc w:val="both"/>
        <w:rPr>
          <w:rFonts w:ascii="Arial" w:hAnsi="Arial" w:cs="Arial"/>
          <w:noProof/>
          <w:sz w:val="20"/>
        </w:rPr>
      </w:pPr>
      <w:r>
        <w:rPr>
          <w:rFonts w:ascii="Arial" w:eastAsia="Calibri" w:hAnsi="Arial" w:cs="Arial"/>
          <w:noProof/>
          <w:kern w:val="20"/>
          <w:sz w:val="20"/>
          <w:lang w:eastAsia="en-GB"/>
        </w:rPr>
        <w:t>Commission Directive amending the Directive on quality system standards and specifications for blood establishments</w:t>
      </w:r>
      <w:r>
        <w:rPr>
          <w:rFonts w:ascii="Arial" w:eastAsia="Calibri" w:hAnsi="Arial" w:cs="Arial"/>
          <w:noProof/>
          <w:kern w:val="20"/>
          <w:sz w:val="20"/>
          <w:vertAlign w:val="superscript"/>
          <w:lang w:val="nl-NL" w:eastAsia="en-GB"/>
        </w:rPr>
        <w:footnoteReference w:id="193"/>
      </w:r>
      <w:r>
        <w:rPr>
          <w:rFonts w:ascii="Arial" w:eastAsia="Calibri" w:hAnsi="Arial" w:cs="Arial"/>
          <w:noProof/>
          <w:kern w:val="20"/>
          <w:sz w:val="20"/>
          <w:lang w:eastAsia="en-GB"/>
        </w:rPr>
        <w:t>;</w:t>
      </w:r>
    </w:p>
    <w:p>
      <w:pPr>
        <w:pStyle w:val="ListParagraph"/>
        <w:numPr>
          <w:ilvl w:val="1"/>
          <w:numId w:val="131"/>
        </w:numPr>
        <w:spacing w:after="120"/>
        <w:jc w:val="both"/>
        <w:rPr>
          <w:rFonts w:ascii="Arial" w:hAnsi="Arial" w:cs="Arial"/>
          <w:noProof/>
          <w:sz w:val="20"/>
        </w:rPr>
      </w:pPr>
      <w:r>
        <w:rPr>
          <w:rFonts w:ascii="Arial" w:eastAsia="Calibri" w:hAnsi="Arial" w:cs="Arial"/>
          <w:noProof/>
          <w:kern w:val="20"/>
          <w:sz w:val="20"/>
          <w:lang w:eastAsia="en-GB"/>
        </w:rPr>
        <w:t>Directive on protective measures against the introduction into the Community of organisms harmful to plants</w:t>
      </w:r>
      <w:r>
        <w:rPr>
          <w:rFonts w:ascii="Arial" w:eastAsia="Calibri" w:hAnsi="Arial" w:cs="Arial"/>
          <w:noProof/>
          <w:kern w:val="20"/>
          <w:sz w:val="20"/>
          <w:vertAlign w:val="superscript"/>
          <w:lang w:val="nl-NL" w:eastAsia="en-GB"/>
        </w:rPr>
        <w:footnoteReference w:id="194"/>
      </w:r>
      <w:r>
        <w:rPr>
          <w:rFonts w:ascii="Arial" w:eastAsia="Calibri" w:hAnsi="Arial" w:cs="Arial"/>
          <w:noProof/>
          <w:kern w:val="20"/>
          <w:sz w:val="20"/>
          <w:lang w:eastAsia="en-GB"/>
        </w:rPr>
        <w:t>.</w:t>
      </w:r>
    </w:p>
    <w:p>
      <w:pPr>
        <w:pStyle w:val="kop2"/>
        <w:numPr>
          <w:ilvl w:val="0"/>
          <w:numId w:val="110"/>
        </w:numPr>
        <w:spacing w:before="360" w:after="240"/>
        <w:ind w:left="709" w:hanging="425"/>
        <w:rPr>
          <w:caps w:val="0"/>
          <w:noProof/>
        </w:rPr>
      </w:pPr>
      <w:r>
        <w:rPr>
          <w:caps w:val="0"/>
          <w:noProof/>
        </w:rPr>
        <w:t>IMPORTANT JUDGMENTS</w:t>
      </w:r>
    </w:p>
    <w:p>
      <w:pPr>
        <w:pStyle w:val="AnnualReport2"/>
        <w:numPr>
          <w:ilvl w:val="0"/>
          <w:numId w:val="22"/>
        </w:numPr>
        <w:ind w:left="709" w:hanging="425"/>
        <w:rPr>
          <w:noProof/>
        </w:rPr>
      </w:pPr>
      <w:r>
        <w:rPr>
          <w:noProof/>
        </w:rPr>
        <w:t>Court ruling</w:t>
      </w:r>
    </w:p>
    <w:p>
      <w:pPr>
        <w:spacing w:after="120"/>
        <w:ind w:firstLine="709"/>
        <w:jc w:val="both"/>
        <w:rPr>
          <w:rFonts w:ascii="Arial" w:hAnsi="Arial" w:cs="Arial"/>
          <w:noProof/>
          <w:sz w:val="20"/>
        </w:rPr>
      </w:pPr>
      <w:r>
        <w:rPr>
          <w:rFonts w:ascii="Arial" w:hAnsi="Arial" w:cs="Arial"/>
          <w:noProof/>
          <w:sz w:val="20"/>
        </w:rPr>
        <w:t>The Court ruled that:</w:t>
      </w:r>
    </w:p>
    <w:p>
      <w:pPr>
        <w:numPr>
          <w:ilvl w:val="0"/>
          <w:numId w:val="139"/>
        </w:numPr>
        <w:spacing w:after="120"/>
        <w:ind w:left="1276" w:hanging="425"/>
        <w:jc w:val="both"/>
        <w:rPr>
          <w:rFonts w:ascii="Arial" w:hAnsi="Arial" w:cs="Arial"/>
          <w:noProof/>
          <w:sz w:val="20"/>
          <w:szCs w:val="20"/>
        </w:rPr>
      </w:pPr>
      <w:r>
        <w:rPr>
          <w:rFonts w:ascii="Arial" w:hAnsi="Arial" w:cs="Arial"/>
          <w:noProof/>
          <w:sz w:val="20"/>
          <w:szCs w:val="20"/>
        </w:rPr>
        <w:t>Ireland does not properly apply the EU rules on fiscal marking of fuels. The Court found that Ireland has failed to ensure that the minimum levels of taxation applicable to motor fuels are applied and that fuel is marked only when it is subject to an exemption from or reduction in excise duty</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195"/>
      </w:r>
      <w:r>
        <w:rPr>
          <w:rFonts w:ascii="Arial" w:hAnsi="Arial" w:cs="Arial"/>
          <w:noProof/>
          <w:sz w:val="20"/>
          <w:szCs w:val="20"/>
        </w:rPr>
        <w:t>.</w:t>
      </w:r>
    </w:p>
    <w:p>
      <w:pPr>
        <w:pStyle w:val="AnnualReport2"/>
        <w:numPr>
          <w:ilvl w:val="0"/>
          <w:numId w:val="22"/>
        </w:numPr>
        <w:ind w:left="709" w:hanging="425"/>
        <w:rPr>
          <w:noProof/>
        </w:rPr>
      </w:pPr>
      <w:r>
        <w:rPr>
          <w:noProof/>
        </w:rPr>
        <w:t>Preliminary rulings</w:t>
      </w:r>
    </w:p>
    <w:p>
      <w:pPr>
        <w:spacing w:after="120"/>
        <w:ind w:left="426" w:firstLine="294"/>
        <w:jc w:val="both"/>
        <w:rPr>
          <w:rFonts w:ascii="Arial" w:hAnsi="Arial" w:cs="Arial"/>
          <w:noProof/>
          <w:sz w:val="20"/>
        </w:rPr>
      </w:pPr>
      <w:r>
        <w:rPr>
          <w:rFonts w:ascii="Arial" w:hAnsi="Arial" w:cs="Arial"/>
          <w:noProof/>
          <w:sz w:val="20"/>
        </w:rPr>
        <w:t>The Court addressed the following preliminary rulings to the Irish judiciary.</w:t>
      </w:r>
    </w:p>
    <w:p>
      <w:pPr>
        <w:pStyle w:val="ListParagraph"/>
        <w:numPr>
          <w:ilvl w:val="0"/>
          <w:numId w:val="107"/>
        </w:numPr>
        <w:spacing w:after="120"/>
        <w:ind w:left="1276"/>
        <w:jc w:val="both"/>
        <w:rPr>
          <w:rFonts w:ascii="Arial" w:eastAsia="Calibri" w:hAnsi="Arial" w:cs="Arial"/>
          <w:noProof/>
          <w:kern w:val="20"/>
          <w:sz w:val="20"/>
          <w:szCs w:val="20"/>
        </w:rPr>
      </w:pPr>
      <w:r>
        <w:rPr>
          <w:rFonts w:ascii="Arial" w:hAnsi="Arial" w:cs="Arial"/>
          <w:noProof/>
          <w:sz w:val="20"/>
          <w:szCs w:val="20"/>
        </w:rPr>
        <w:t>When a company intends to acquire the shares of another company in order provide management services subject to VAT to that other company, input VAT paid on consultancy services received in the context of the takeover bid can be deducted, even if ultimately that economic activity was not carried out</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196"/>
      </w:r>
      <w:r>
        <w:rPr>
          <w:rFonts w:ascii="Arial" w:hAnsi="Arial" w:cs="Arial"/>
          <w:noProof/>
          <w:sz w:val="20"/>
          <w:szCs w:val="20"/>
        </w:rPr>
        <w:t>.</w:t>
      </w:r>
    </w:p>
    <w:p>
      <w:pPr>
        <w:pStyle w:val="Lijstje2"/>
        <w:numPr>
          <w:ilvl w:val="0"/>
          <w:numId w:val="107"/>
        </w:numPr>
        <w:tabs>
          <w:tab w:val="left" w:pos="1276"/>
        </w:tabs>
        <w:spacing w:before="120"/>
        <w:ind w:left="1276"/>
        <w:contextualSpacing w:val="0"/>
        <w:jc w:val="both"/>
        <w:rPr>
          <w:rFonts w:ascii="Arial" w:hAnsi="Arial" w:cs="Arial"/>
          <w:noProof/>
          <w:lang w:val="en-GB"/>
        </w:rPr>
      </w:pPr>
      <w:r>
        <w:rPr>
          <w:rFonts w:ascii="Arial" w:hAnsi="Arial" w:cs="Arial"/>
          <w:noProof/>
          <w:lang w:val="en-GB"/>
        </w:rPr>
        <w:t xml:space="preserve">If </w:t>
      </w:r>
      <w:r>
        <w:rPr>
          <w:rFonts w:ascii="Arial" w:hAnsi="Arial" w:cs="Arial"/>
          <w:bCs/>
          <w:noProof/>
          <w:lang w:val="en-GB"/>
        </w:rPr>
        <w:t xml:space="preserve">a project to be carried out on a site designated for the protection and conservation of certain species includes measures aiming to ensure that the part of the site likely to provide a suitable habitat for the species will not be reduced and could even be enhanced, those measures do not constitute mitigation measures. Therefore, they may not be taken into account </w:t>
      </w:r>
      <w:r>
        <w:rPr>
          <w:rFonts w:ascii="Arial" w:hAnsi="Arial" w:cs="Arial"/>
          <w:bCs/>
          <w:noProof/>
          <w:lang w:val="en-US"/>
        </w:rPr>
        <w:t xml:space="preserve">for the purpose of the appropriate </w:t>
      </w:r>
      <w:r>
        <w:rPr>
          <w:rFonts w:ascii="Arial" w:hAnsi="Arial" w:cs="Arial"/>
          <w:bCs/>
          <w:noProof/>
          <w:lang w:val="en-GB"/>
        </w:rPr>
        <w:t>assessment of the implications of the project for the site</w:t>
      </w:r>
      <w:r>
        <w:rPr>
          <w:rFonts w:ascii="Arial" w:hAnsi="Arial" w:cs="Arial"/>
          <w:bCs/>
          <w:noProof/>
          <w:lang w:val="en-US"/>
        </w:rPr>
        <w:t>. Such measures may</w:t>
      </w:r>
      <w:r>
        <w:rPr>
          <w:rFonts w:ascii="Arial" w:hAnsi="Arial" w:cs="Arial"/>
          <w:bCs/>
          <w:noProof/>
          <w:lang w:val="en-GB"/>
        </w:rPr>
        <w:t xml:space="preserve"> be seen as compensatory measures,</w:t>
      </w:r>
      <w:r>
        <w:rPr>
          <w:rFonts w:asciiTheme="minorHAnsi" w:eastAsiaTheme="minorHAnsi" w:hAnsiTheme="minorHAnsi"/>
          <w:noProof/>
          <w:kern w:val="0"/>
          <w:sz w:val="22"/>
          <w:lang w:val="en-GB"/>
        </w:rPr>
        <w:t xml:space="preserve"> </w:t>
      </w:r>
      <w:r>
        <w:rPr>
          <w:rFonts w:ascii="Arial" w:hAnsi="Arial" w:cs="Arial"/>
          <w:bCs/>
          <w:noProof/>
          <w:lang w:val="en-GB"/>
        </w:rPr>
        <w:t>necessary to protect the overall coherence of the Natura 2000 network</w:t>
      </w:r>
      <w:r>
        <w:rPr>
          <w:rStyle w:val="FootnoteReference"/>
          <w:rFonts w:ascii="Arial" w:hAnsi="Arial" w:cs="Arial"/>
          <w:noProof/>
          <w:lang w:val="en-GB"/>
        </w:rPr>
        <w:footnoteReference w:id="197"/>
      </w:r>
      <w:r>
        <w:rPr>
          <w:rFonts w:ascii="Arial" w:hAnsi="Arial" w:cs="Arial"/>
          <w:bCs/>
          <w:noProof/>
          <w:lang w:val="en-GB"/>
        </w:rPr>
        <w:t>.</w:t>
      </w:r>
    </w:p>
    <w:p>
      <w:pPr>
        <w:pStyle w:val="Lijstje2"/>
        <w:numPr>
          <w:ilvl w:val="0"/>
          <w:numId w:val="107"/>
        </w:numPr>
        <w:tabs>
          <w:tab w:val="left" w:pos="1276"/>
        </w:tabs>
        <w:spacing w:before="120" w:line="240" w:lineRule="auto"/>
        <w:ind w:left="1276"/>
        <w:contextualSpacing w:val="0"/>
        <w:jc w:val="both"/>
        <w:rPr>
          <w:rFonts w:ascii="Arial" w:hAnsi="Arial" w:cs="Arial"/>
          <w:noProof/>
          <w:lang w:val="en-IE"/>
        </w:rPr>
      </w:pPr>
      <w:r>
        <w:rPr>
          <w:rFonts w:ascii="Arial" w:hAnsi="Arial" w:cs="Arial"/>
          <w:noProof/>
          <w:lang w:val="en-IE"/>
        </w:rPr>
        <w:t>An ‘appropriate assessment’ required under the Habitats Directive</w:t>
      </w:r>
      <w:r>
        <w:rPr>
          <w:rStyle w:val="FootnoteReference"/>
          <w:rFonts w:ascii="Arial" w:hAnsi="Arial" w:cs="Arial"/>
          <w:noProof/>
          <w:lang w:val="en-IE"/>
        </w:rPr>
        <w:footnoteReference w:id="198"/>
      </w:r>
      <w:r>
        <w:rPr>
          <w:rFonts w:ascii="Arial" w:hAnsi="Arial" w:cs="Arial"/>
          <w:noProof/>
          <w:lang w:val="en-IE"/>
        </w:rPr>
        <w:t xml:space="preserve"> must i) catalogue all habitat types and species for which the Natura 2000 site is protected, and ii) examine the implications of the proposed project for the species present on the site (other than those for which the site has been listed) and the implications for habitat types and species outside the boundaries of that site, provided that those implications are liable to affect the conservation objectives of the site. The developer of the project is free to determine later, after the development consent has been granted, certain parameters relating to the construction phase only if those parameters will not adversely affect the integrity of the site. If a scientific expert opinion recommends obtaining additional information and the authority competent to issue the environmental permit rejects these findings, the ‘appropriate assessment’ must present explicity and in detail the reasons which led the permitting authority to conclude that there is no reasonable scientific doubt over the effects of the work envisaged on the site concerned. The Environmental Impact Assessment Directive</w:t>
      </w:r>
      <w:r>
        <w:rPr>
          <w:rStyle w:val="FootnoteReference"/>
          <w:rFonts w:ascii="Arial" w:hAnsi="Arial" w:cs="Arial"/>
          <w:noProof/>
          <w:lang w:val="en-IE"/>
        </w:rPr>
        <w:footnoteReference w:id="199"/>
      </w:r>
      <w:r>
        <w:rPr>
          <w:rFonts w:ascii="Arial" w:hAnsi="Arial" w:cs="Arial"/>
          <w:noProof/>
          <w:lang w:val="en-IE"/>
        </w:rPr>
        <w:t xml:space="preserve"> requires that the project developer supplies information that expressly addresses the significant effects of the project on all species identified in the environmental impact statement. Studying the ‘main alternatives’ means that the developer must indicate the reasons for his choice, taking into account at least the environmental effects, whether those alternatives were initially envisaged by him or by the competent authority or whether they were recommended by some stakeholders</w:t>
      </w:r>
      <w:r>
        <w:rPr>
          <w:rStyle w:val="FootnoteReference"/>
          <w:rFonts w:ascii="Arial" w:hAnsi="Arial" w:cs="Arial"/>
          <w:noProof/>
          <w:lang w:val="en-IE"/>
        </w:rPr>
        <w:footnoteReference w:id="200"/>
      </w:r>
      <w:r>
        <w:rPr>
          <w:rFonts w:ascii="Arial" w:hAnsi="Arial" w:cs="Arial"/>
          <w:noProof/>
          <w:lang w:val="en-IE"/>
        </w:rPr>
        <w:t>.</w:t>
      </w:r>
    </w:p>
    <w:p>
      <w:pPr>
        <w:pStyle w:val="Lijstje2"/>
        <w:numPr>
          <w:ilvl w:val="0"/>
          <w:numId w:val="107"/>
        </w:numPr>
        <w:tabs>
          <w:tab w:val="left" w:pos="1276"/>
        </w:tabs>
        <w:spacing w:before="120" w:line="240" w:lineRule="auto"/>
        <w:ind w:left="1276"/>
        <w:contextualSpacing w:val="0"/>
        <w:jc w:val="both"/>
        <w:rPr>
          <w:rFonts w:ascii="Arial" w:hAnsi="Arial" w:cs="Arial"/>
          <w:noProof/>
          <w:szCs w:val="20"/>
          <w:lang w:val="en-US"/>
        </w:rPr>
      </w:pPr>
      <w:r>
        <w:rPr>
          <w:rFonts w:ascii="Arial" w:hAnsi="Arial" w:cs="Arial"/>
          <w:noProof/>
          <w:szCs w:val="20"/>
          <w:lang w:val="en-US"/>
        </w:rPr>
        <w:t xml:space="preserve">The Habitats Directive does not allow mitigation measures (aiming to avoid or reduce the significant effects of a plan or project) to be taken into account already at the stage when screening is carried out in order to determine </w:t>
      </w:r>
      <w:r>
        <w:rPr>
          <w:rFonts w:ascii="Arial" w:hAnsi="Arial" w:cs="Arial"/>
          <w:noProof/>
          <w:lang w:val="en-IE"/>
        </w:rPr>
        <w:t>whether</w:t>
      </w:r>
      <w:r>
        <w:rPr>
          <w:rFonts w:ascii="Arial" w:hAnsi="Arial" w:cs="Arial"/>
          <w:noProof/>
          <w:szCs w:val="20"/>
          <w:lang w:val="en-US"/>
        </w:rPr>
        <w:t xml:space="preserve"> or not it is necessary to carry out an assessment of the implications of the plan or project on a special area of conservation</w:t>
      </w:r>
      <w:r>
        <w:rPr>
          <w:rStyle w:val="FootnoteReference"/>
          <w:rFonts w:ascii="Arial" w:hAnsi="Arial" w:cs="Arial"/>
          <w:noProof/>
          <w:szCs w:val="20"/>
        </w:rPr>
        <w:footnoteReference w:id="201"/>
      </w:r>
      <w:r>
        <w:rPr>
          <w:rFonts w:ascii="Arial" w:hAnsi="Arial" w:cs="Arial"/>
          <w:noProof/>
          <w:szCs w:val="20"/>
          <w:lang w:val="en-US"/>
        </w:rPr>
        <w:t>.</w:t>
      </w:r>
    </w:p>
    <w:p>
      <w:pPr>
        <w:pStyle w:val="Lijstje2"/>
        <w:numPr>
          <w:ilvl w:val="0"/>
          <w:numId w:val="107"/>
        </w:numPr>
        <w:tabs>
          <w:tab w:val="left" w:pos="1276"/>
        </w:tabs>
        <w:spacing w:before="120" w:line="240" w:lineRule="auto"/>
        <w:ind w:left="1276"/>
        <w:contextualSpacing w:val="0"/>
        <w:jc w:val="both"/>
        <w:rPr>
          <w:rFonts w:ascii="Arial" w:hAnsi="Arial" w:cs="Arial"/>
          <w:noProof/>
          <w:szCs w:val="20"/>
          <w:lang w:val="en-US"/>
        </w:rPr>
      </w:pPr>
      <w:r>
        <w:rPr>
          <w:rFonts w:ascii="Arial" w:hAnsi="Arial" w:cs="Arial"/>
          <w:noProof/>
          <w:szCs w:val="20"/>
          <w:lang w:val="en-US"/>
        </w:rPr>
        <w:t>The requirement that certain judicial procedures should not be prohibitively expensive applies to a procedure before a court of a Member State in which it is determined whether leave may be granted to bring a challenge in the course of a development consent process concerning a plan or a project.</w:t>
      </w:r>
      <w:r>
        <w:rPr>
          <w:noProof/>
          <w:lang w:val="en-US"/>
        </w:rPr>
        <w:t xml:space="preserve"> </w:t>
      </w:r>
      <w:r>
        <w:rPr>
          <w:rFonts w:ascii="Arial" w:hAnsi="Arial" w:cs="Arial"/>
          <w:noProof/>
          <w:szCs w:val="20"/>
          <w:lang w:val="en-US"/>
        </w:rPr>
        <w:t>The requirement applies only to the costs relating to the part of the challenge alleging infringement of the rules on public participation. The Aarhus Convention however sets a wider obligation for the Member States in relation to the requirement that certain judicial procedures should not be prohibitively expensive</w:t>
      </w:r>
      <w:r>
        <w:rPr>
          <w:rStyle w:val="FootnoteReference"/>
          <w:rFonts w:ascii="Arial" w:hAnsi="Arial" w:cs="Arial"/>
          <w:noProof/>
          <w:szCs w:val="20"/>
        </w:rPr>
        <w:footnoteReference w:id="202"/>
      </w:r>
      <w:r>
        <w:rPr>
          <w:rFonts w:ascii="Arial" w:hAnsi="Arial" w:cs="Arial"/>
          <w:noProof/>
          <w:szCs w:val="20"/>
          <w:lang w:val="en-US"/>
        </w:rPr>
        <w:t>.</w:t>
      </w:r>
    </w:p>
    <w:p>
      <w:pPr>
        <w:pStyle w:val="ListParagraph"/>
        <w:numPr>
          <w:ilvl w:val="0"/>
          <w:numId w:val="107"/>
        </w:numPr>
        <w:ind w:left="1276"/>
        <w:jc w:val="both"/>
        <w:rPr>
          <w:rFonts w:ascii="Arial" w:eastAsia="Calibri" w:hAnsi="Arial" w:cs="Arial"/>
          <w:noProof/>
          <w:sz w:val="20"/>
          <w:szCs w:val="20"/>
        </w:rPr>
      </w:pPr>
      <w:r>
        <w:rPr>
          <w:rFonts w:ascii="Arial" w:eastAsia="Calibri" w:hAnsi="Arial" w:cs="Arial"/>
          <w:noProof/>
          <w:sz w:val="20"/>
          <w:szCs w:val="20"/>
        </w:rPr>
        <w:t>The rule that legal challenges by a member of the public to an environmental impact assessment procedure should not be prohibitively expensive must be broadly interpreted so that it also applies to the costs arising in a case which was ongoing at the time the deadline for transposing the Directive which introduced this rule had elapsed</w:t>
      </w:r>
      <w:r>
        <w:rPr>
          <w:rStyle w:val="FootnoteReference"/>
          <w:rFonts w:ascii="Arial" w:eastAsia="Calibri" w:hAnsi="Arial" w:cs="Arial"/>
          <w:noProof/>
          <w:sz w:val="20"/>
          <w:szCs w:val="20"/>
        </w:rPr>
        <w:footnoteReference w:id="203"/>
      </w:r>
      <w:r>
        <w:rPr>
          <w:rFonts w:ascii="Arial" w:eastAsia="Calibri" w:hAnsi="Arial" w:cs="Arial"/>
          <w:noProof/>
          <w:sz w:val="20"/>
          <w:szCs w:val="20"/>
        </w:rPr>
        <w:t>.</w:t>
      </w:r>
    </w:p>
    <w:p>
      <w:pPr>
        <w:pStyle w:val="Lijstje2"/>
        <w:numPr>
          <w:ilvl w:val="0"/>
          <w:numId w:val="107"/>
        </w:numPr>
        <w:spacing w:after="200" w:line="240" w:lineRule="auto"/>
        <w:ind w:left="1276"/>
        <w:jc w:val="both"/>
        <w:rPr>
          <w:rFonts w:ascii="Arial" w:hAnsi="Arial" w:cs="Arial"/>
          <w:noProof/>
          <w:szCs w:val="20"/>
          <w:lang w:val="en-GB"/>
        </w:rPr>
      </w:pPr>
      <w:r>
        <w:rPr>
          <w:rFonts w:ascii="Arial" w:hAnsi="Arial" w:cs="Arial"/>
          <w:noProof/>
          <w:szCs w:val="20"/>
          <w:lang w:val="en-GB"/>
        </w:rPr>
        <w:t>The Court found that the notification by a Member State of its intention to leave the EU (Article 50 TEU) does not have as a consequence that another Member State must refuse to execute a European Arrest Warrant issued by the leaving Member State, neither must it postpone its execution pending clarification of the law that will be applicable after the withdrawal</w:t>
      </w:r>
      <w:r>
        <w:rPr>
          <w:rStyle w:val="FootnoteReference"/>
          <w:rFonts w:ascii="Arial" w:hAnsi="Arial" w:cs="Arial"/>
          <w:bCs/>
          <w:noProof/>
          <w:szCs w:val="20"/>
          <w:lang w:val="en-IE"/>
        </w:rPr>
        <w:footnoteReference w:id="204"/>
      </w:r>
      <w:r>
        <w:rPr>
          <w:rFonts w:ascii="Arial" w:hAnsi="Arial" w:cs="Arial"/>
          <w:noProof/>
          <w:szCs w:val="20"/>
          <w:lang w:val="en-GB"/>
        </w:rPr>
        <w:t>.</w:t>
      </w:r>
    </w:p>
    <w:p>
      <w:pPr>
        <w:pStyle w:val="ListParagraph"/>
        <w:numPr>
          <w:ilvl w:val="0"/>
          <w:numId w:val="107"/>
        </w:numPr>
        <w:ind w:left="1276"/>
        <w:jc w:val="both"/>
        <w:rPr>
          <w:rFonts w:ascii="Arial" w:eastAsia="Calibri" w:hAnsi="Arial" w:cs="Arial"/>
          <w:noProof/>
          <w:sz w:val="20"/>
          <w:szCs w:val="20"/>
        </w:rPr>
      </w:pPr>
      <w:r>
        <w:rPr>
          <w:rFonts w:ascii="Arial" w:eastAsia="Calibri" w:hAnsi="Arial" w:cs="Arial"/>
          <w:noProof/>
          <w:sz w:val="20"/>
          <w:szCs w:val="20"/>
        </w:rPr>
        <w:t>A judicial authority called upon to execute a European Arrest Warrant must refrain from giving effect to it if it considers that there is a real risk that the individual concerned would suffer a breach of his fundamental right to an independent tribunal and, therefore, of the essence of his fundamental right to a fair trial on account of deficiencies liable to affect the independence of the judiciary in the issuing Member State</w:t>
      </w:r>
      <w:r>
        <w:rPr>
          <w:rStyle w:val="FootnoteReference"/>
          <w:rFonts w:ascii="Arial" w:hAnsi="Arial" w:cs="Arial"/>
          <w:bCs/>
          <w:noProof/>
          <w:szCs w:val="20"/>
          <w:lang w:val="en-IE"/>
        </w:rPr>
        <w:footnoteReference w:id="205"/>
      </w:r>
      <w:r>
        <w:rPr>
          <w:rFonts w:ascii="Arial" w:eastAsia="Calibri" w:hAnsi="Arial" w:cs="Arial"/>
          <w:noProof/>
          <w:sz w:val="20"/>
          <w:szCs w:val="20"/>
        </w:rPr>
        <w:t>.</w:t>
      </w:r>
    </w:p>
    <w:p>
      <w:pPr>
        <w:pStyle w:val="Lijstje2"/>
        <w:ind w:left="1440"/>
        <w:rPr>
          <w:rFonts w:ascii="Arial" w:hAnsi="Arial" w:cs="Arial"/>
          <w:noProof/>
          <w:szCs w:val="20"/>
          <w:lang w:val="en-GB"/>
        </w:rPr>
      </w:pPr>
    </w:p>
    <w:p>
      <w:pPr>
        <w:spacing w:after="0"/>
        <w:rPr>
          <w:noProof/>
        </w:rPr>
        <w:sectPr>
          <w:headerReference w:type="even" r:id="rId134"/>
          <w:headerReference w:type="default" r:id="rId135"/>
          <w:footerReference w:type="even" r:id="rId136"/>
          <w:footerReference w:type="default" r:id="rId137"/>
          <w:headerReference w:type="first" r:id="rId138"/>
          <w:footerReference w:type="first" r:id="rId139"/>
          <w:footnotePr>
            <w:numRestart w:val="eachSect"/>
          </w:footnotePr>
          <w:pgSz w:w="11906" w:h="16838"/>
          <w:pgMar w:top="1702" w:right="1417" w:bottom="1134" w:left="1417" w:header="567" w:footer="351" w:gutter="0"/>
          <w:cols w:space="708"/>
          <w:titlePg/>
          <w:docGrid w:linePitch="360"/>
        </w:sectPr>
      </w:pPr>
    </w:p>
    <w:p>
      <w:pPr>
        <w:pStyle w:val="Heading1"/>
        <w:rPr>
          <w:noProof/>
        </w:rPr>
      </w:pPr>
      <w:bookmarkStart w:id="64" w:name="_Toc444769595"/>
      <w:bookmarkStart w:id="65" w:name="_Toc444772051"/>
      <w:bookmarkStart w:id="66" w:name="_Toc444773370"/>
      <w:bookmarkStart w:id="67" w:name="_Toc444776742"/>
      <w:bookmarkStart w:id="68" w:name="_Toc475974649"/>
      <w:bookmarkStart w:id="69" w:name="_Toc475980145"/>
      <w:bookmarkStart w:id="70" w:name="_Toc475981394"/>
      <w:bookmarkStart w:id="71" w:name="_Toc484622324"/>
      <w:bookmarkStart w:id="72" w:name="_Toc5788362"/>
      <w:bookmarkStart w:id="73" w:name="_Toc444769593"/>
      <w:bookmarkStart w:id="74" w:name="_Toc444772049"/>
      <w:bookmarkStart w:id="75" w:name="_Toc444773368"/>
      <w:bookmarkStart w:id="76" w:name="_Toc444776740"/>
      <w:bookmarkStart w:id="77" w:name="_Toc475974647"/>
      <w:bookmarkStart w:id="78" w:name="_Toc475980143"/>
      <w:bookmarkStart w:id="79" w:name="_Toc475981392"/>
      <w:bookmarkEnd w:id="57"/>
      <w:bookmarkEnd w:id="58"/>
      <w:bookmarkEnd w:id="59"/>
      <w:bookmarkEnd w:id="60"/>
      <w:bookmarkEnd w:id="61"/>
      <w:bookmarkEnd w:id="62"/>
      <w:bookmarkEnd w:id="63"/>
      <w:r>
        <w:rPr>
          <w:noProof/>
        </w:rPr>
        <w:t>Greece</w:t>
      </w:r>
      <w:bookmarkEnd w:id="64"/>
      <w:bookmarkEnd w:id="65"/>
      <w:bookmarkEnd w:id="66"/>
      <w:bookmarkEnd w:id="67"/>
      <w:bookmarkEnd w:id="68"/>
      <w:bookmarkEnd w:id="69"/>
      <w:bookmarkEnd w:id="70"/>
      <w:bookmarkEnd w:id="71"/>
      <w:bookmarkEnd w:id="72"/>
    </w:p>
    <w:p>
      <w:pPr>
        <w:pStyle w:val="kop2"/>
        <w:numPr>
          <w:ilvl w:val="0"/>
          <w:numId w:val="12"/>
        </w:numPr>
        <w:spacing w:before="360" w:after="240"/>
        <w:ind w:left="709" w:hanging="425"/>
        <w:rPr>
          <w:noProof/>
        </w:rPr>
      </w:pPr>
      <w:r>
        <w:rPr>
          <w:noProof/>
        </w:rPr>
        <w:t>COMPLAINTS</w:t>
      </w:r>
    </w:p>
    <w:p>
      <w:pPr>
        <w:pStyle w:val="AnnualReport2"/>
        <w:numPr>
          <w:ilvl w:val="0"/>
          <w:numId w:val="97"/>
        </w:numPr>
        <w:rPr>
          <w:noProof/>
        </w:rPr>
      </w:pPr>
      <w:r>
        <w:rPr>
          <w:noProof/>
        </w:rPr>
        <w:t>New complaints made against Greece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1868805"/>
            <wp:effectExtent l="0" t="0" r="22225" b="17145"/>
            <wp:docPr id="7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AnnualReport2"/>
        <w:numPr>
          <w:ilvl w:val="0"/>
          <w:numId w:val="97"/>
        </w:numPr>
        <w:rPr>
          <w:noProof/>
        </w:rPr>
      </w:pPr>
      <w:r>
        <w:rPr>
          <w:noProof/>
        </w:rPr>
        <w:t>Public complaints against Greece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109</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172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163</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118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97"/>
        </w:numPr>
        <w:rPr>
          <w:noProof/>
        </w:rPr>
      </w:pPr>
      <w:r>
        <w:rPr>
          <w:noProof/>
        </w:rPr>
        <w:t>New complaints registered in 2018: main policy areas</w:t>
      </w:r>
    </w:p>
    <w:p>
      <w:pPr>
        <w:spacing w:after="200" w:line="276" w:lineRule="auto"/>
        <w:ind w:firstLine="709"/>
        <w:rPr>
          <w:noProof/>
        </w:rPr>
      </w:pPr>
      <w:r>
        <w:rPr>
          <w:rFonts w:ascii="Arial" w:hAnsi="Arial" w:cs="Arial"/>
          <w:noProof/>
          <w:sz w:val="20"/>
          <w:lang w:eastAsia="en-GB"/>
        </w:rPr>
        <w:drawing>
          <wp:inline distT="0" distB="0" distL="0" distR="0">
            <wp:extent cx="4858385" cy="2480945"/>
            <wp:effectExtent l="0" t="0" r="18415" b="14605"/>
            <wp:docPr id="971" name="Object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spacing w:after="200" w:line="276" w:lineRule="auto"/>
        <w:ind w:firstLine="709"/>
        <w:rPr>
          <w:rFonts w:ascii="Arial" w:hAnsi="Arial" w:cs="Arial"/>
          <w:noProof/>
          <w:sz w:val="20"/>
        </w:rPr>
      </w:pPr>
      <w:r>
        <w:rPr>
          <w:noProof/>
        </w:rPr>
        <w:br w:type="page"/>
      </w:r>
    </w:p>
    <w:p>
      <w:pPr>
        <w:pStyle w:val="kop2"/>
        <w:numPr>
          <w:ilvl w:val="0"/>
          <w:numId w:val="12"/>
        </w:numPr>
        <w:spacing w:before="240" w:after="240"/>
        <w:ind w:left="709" w:hanging="425"/>
        <w:rPr>
          <w:caps w:val="0"/>
          <w:noProof/>
        </w:rPr>
      </w:pPr>
      <w:r>
        <w:rPr>
          <w:caps w:val="0"/>
          <w:noProof/>
        </w:rPr>
        <w:t>EU PILOT</w:t>
      </w:r>
    </w:p>
    <w:p>
      <w:pPr>
        <w:pStyle w:val="AnnualReport2"/>
        <w:numPr>
          <w:ilvl w:val="0"/>
          <w:numId w:val="98"/>
        </w:numPr>
        <w:rPr>
          <w:noProof/>
        </w:rPr>
      </w:pPr>
      <w:r>
        <w:rPr>
          <w:noProof/>
        </w:rPr>
        <w:t>New EU Pilot files opened against Greece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96130" cy="2186305"/>
            <wp:effectExtent l="0" t="0" r="0" b="0"/>
            <wp:docPr id="8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AnnualReport2"/>
        <w:numPr>
          <w:ilvl w:val="0"/>
          <w:numId w:val="98"/>
        </w:numPr>
        <w:rPr>
          <w:noProof/>
        </w:rPr>
      </w:pPr>
      <w:r>
        <w:rPr>
          <w:noProof/>
        </w:rPr>
        <w:t>Files relating to Greece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186305"/>
            <wp:effectExtent l="0" t="0" r="0" b="0"/>
            <wp:docPr id="8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AnnualReport2"/>
        <w:numPr>
          <w:ilvl w:val="0"/>
          <w:numId w:val="98"/>
        </w:numPr>
        <w:rPr>
          <w:noProof/>
        </w:rPr>
      </w:pPr>
      <w:r>
        <w:rPr>
          <w:noProof/>
        </w:rPr>
        <w:t>New EU Pilot files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35200"/>
            <wp:effectExtent l="0" t="0" r="1270" b="12700"/>
            <wp:docPr id="83"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spacing w:after="0"/>
        <w:rPr>
          <w:rFonts w:ascii="Arial" w:hAnsi="Arial"/>
          <w:noProof/>
          <w:color w:val="002060"/>
        </w:rPr>
      </w:pPr>
      <w:r>
        <w:rPr>
          <w:noProof/>
        </w:rPr>
        <w:br w:type="page"/>
      </w:r>
    </w:p>
    <w:p>
      <w:pPr>
        <w:pStyle w:val="AnnualReport2"/>
        <w:numPr>
          <w:ilvl w:val="0"/>
          <w:numId w:val="98"/>
        </w:numPr>
        <w:rPr>
          <w:noProof/>
        </w:rPr>
      </w:pPr>
      <w:r>
        <w:rPr>
          <w:noProof/>
        </w:rPr>
        <w:t>EU Pilot files: Greece’s resolution rate in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258060"/>
            <wp:effectExtent l="0" t="0" r="17145" b="8890"/>
            <wp:docPr id="8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kop2"/>
        <w:numPr>
          <w:ilvl w:val="0"/>
          <w:numId w:val="12"/>
        </w:numPr>
        <w:spacing w:before="360" w:after="240"/>
        <w:ind w:left="709" w:hanging="425"/>
        <w:rPr>
          <w:caps w:val="0"/>
          <w:noProof/>
        </w:rPr>
      </w:pPr>
      <w:r>
        <w:rPr>
          <w:noProof/>
        </w:rPr>
        <w:t>INFRINGEMENT</w:t>
      </w:r>
      <w:r>
        <w:rPr>
          <w:caps w:val="0"/>
          <w:noProof/>
        </w:rPr>
        <w:t xml:space="preserve"> CASES</w:t>
      </w:r>
    </w:p>
    <w:p>
      <w:pPr>
        <w:pStyle w:val="AnnualReport2"/>
        <w:numPr>
          <w:ilvl w:val="0"/>
          <w:numId w:val="99"/>
        </w:numPr>
        <w:jc w:val="both"/>
        <w:rPr>
          <w:noProof/>
        </w:rPr>
      </w:pPr>
      <w:r>
        <w:rPr>
          <w:noProof/>
        </w:rPr>
        <w:t>Infringement cases against Greece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495800" cy="1971675"/>
            <wp:effectExtent l="0" t="0" r="0" b="9525"/>
            <wp:docPr id="8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AnnualReport2"/>
        <w:numPr>
          <w:ilvl w:val="0"/>
          <w:numId w:val="99"/>
        </w:numPr>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460875" cy="2584450"/>
            <wp:effectExtent l="0" t="0" r="15875" b="6350"/>
            <wp:docPr id="292" name="Object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spacing w:after="0"/>
        <w:rPr>
          <w:rFonts w:ascii="Arial" w:hAnsi="Arial"/>
          <w:noProof/>
          <w:color w:val="002060"/>
        </w:rPr>
      </w:pPr>
      <w:r>
        <w:rPr>
          <w:noProof/>
        </w:rPr>
        <w:br w:type="page"/>
      </w:r>
    </w:p>
    <w:p>
      <w:pPr>
        <w:pStyle w:val="AnnualReport2"/>
        <w:numPr>
          <w:ilvl w:val="0"/>
          <w:numId w:val="99"/>
        </w:numPr>
        <w:rPr>
          <w:noProof/>
        </w:rPr>
      </w:pPr>
      <w:r>
        <w:rPr>
          <w:noProof/>
        </w:rPr>
        <w:t>Key infringement cases and referrals to the Court</w:t>
      </w:r>
    </w:p>
    <w:p>
      <w:pPr>
        <w:numPr>
          <w:ilvl w:val="0"/>
          <w:numId w:val="85"/>
        </w:numPr>
        <w:ind w:left="1276" w:hanging="425"/>
        <w:jc w:val="both"/>
        <w:rPr>
          <w:rFonts w:ascii="Arial" w:hAnsi="Arial" w:cs="Arial"/>
          <w:noProof/>
          <w:sz w:val="20"/>
          <w:szCs w:val="20"/>
        </w:rPr>
      </w:pPr>
      <w:r>
        <w:rPr>
          <w:rFonts w:ascii="Arial" w:hAnsi="Arial" w:cs="Arial"/>
          <w:noProof/>
          <w:sz w:val="20"/>
          <w:szCs w:val="20"/>
        </w:rPr>
        <w:t>The Commission opened 26 new infringement cases against Greece in 2018. These, and other major ongoing infringement cases, include:</w:t>
      </w:r>
    </w:p>
    <w:p>
      <w:pPr>
        <w:pStyle w:val="ListParagraph"/>
        <w:numPr>
          <w:ilvl w:val="0"/>
          <w:numId w:val="102"/>
        </w:numPr>
        <w:ind w:left="1701" w:hanging="284"/>
        <w:jc w:val="both"/>
        <w:rPr>
          <w:rFonts w:ascii="Arial" w:hAnsi="Arial" w:cs="Arial"/>
          <w:noProof/>
          <w:sz w:val="20"/>
          <w:szCs w:val="20"/>
        </w:rPr>
      </w:pPr>
      <w:r>
        <w:rPr>
          <w:rFonts w:ascii="Arial" w:hAnsi="Arial" w:cs="Arial"/>
          <w:noProof/>
          <w:sz w:val="20"/>
          <w:szCs w:val="20"/>
        </w:rPr>
        <w:t xml:space="preserve">incorrect application of the </w:t>
      </w:r>
      <w:r>
        <w:rPr>
          <w:rFonts w:ascii="Arial" w:hAnsi="Arial" w:cs="Arial"/>
          <w:noProof/>
          <w:color w:val="000000"/>
          <w:sz w:val="20"/>
          <w:szCs w:val="20"/>
        </w:rPr>
        <w:t>VAT rules on</w:t>
      </w:r>
      <w:r>
        <w:rPr>
          <w:rFonts w:ascii="Arial" w:hAnsi="Arial" w:cs="Arial"/>
          <w:noProof/>
          <w:sz w:val="20"/>
          <w:szCs w:val="20"/>
        </w:rPr>
        <w:t xml:space="preserve"> the lease of yachts</w:t>
      </w:r>
      <w:r>
        <w:rPr>
          <w:rStyle w:val="FootnoteReference"/>
          <w:rFonts w:ascii="Arial" w:hAnsi="Arial" w:cs="Arial"/>
          <w:noProof/>
          <w:sz w:val="20"/>
          <w:szCs w:val="20"/>
        </w:rPr>
        <w:footnoteReference w:id="206"/>
      </w:r>
      <w:r>
        <w:rPr>
          <w:rFonts w:ascii="Arial" w:hAnsi="Arial" w:cs="Arial"/>
          <w:noProof/>
          <w:sz w:val="20"/>
          <w:szCs w:val="20"/>
        </w:rPr>
        <w:t>;</w:t>
      </w:r>
    </w:p>
    <w:p>
      <w:pPr>
        <w:pStyle w:val="ListParagraph"/>
        <w:numPr>
          <w:ilvl w:val="0"/>
          <w:numId w:val="102"/>
        </w:numPr>
        <w:ind w:left="1701" w:hanging="284"/>
        <w:jc w:val="both"/>
        <w:rPr>
          <w:rFonts w:ascii="Arial" w:hAnsi="Arial" w:cs="Arial"/>
          <w:noProof/>
          <w:sz w:val="20"/>
          <w:szCs w:val="20"/>
        </w:rPr>
      </w:pPr>
      <w:r>
        <w:rPr>
          <w:rFonts w:ascii="Arial" w:hAnsi="Arial" w:cs="Arial"/>
          <w:noProof/>
          <w:sz w:val="20"/>
          <w:szCs w:val="20"/>
        </w:rPr>
        <w:t>delays in processing applications for recognition of diplomas from other Member States</w:t>
      </w:r>
      <w:r>
        <w:rPr>
          <w:rStyle w:val="FootnoteReference"/>
          <w:rFonts w:ascii="Arial" w:hAnsi="Arial" w:cs="Arial"/>
          <w:noProof/>
          <w:sz w:val="20"/>
          <w:szCs w:val="20"/>
        </w:rPr>
        <w:footnoteReference w:id="207"/>
      </w:r>
      <w:r>
        <w:rPr>
          <w:rFonts w:ascii="Arial" w:hAnsi="Arial" w:cs="Arial"/>
          <w:noProof/>
          <w:sz w:val="20"/>
          <w:szCs w:val="20"/>
        </w:rPr>
        <w:t>;</w:t>
      </w:r>
    </w:p>
    <w:p>
      <w:pPr>
        <w:pStyle w:val="ListParagraph"/>
        <w:numPr>
          <w:ilvl w:val="0"/>
          <w:numId w:val="102"/>
        </w:numPr>
        <w:ind w:left="1701" w:hanging="284"/>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208"/>
      </w:r>
      <w:r>
        <w:rPr>
          <w:rFonts w:ascii="Arial" w:hAnsi="Arial" w:cs="Arial"/>
          <w:noProof/>
          <w:sz w:val="20"/>
          <w:szCs w:val="20"/>
        </w:rPr>
        <w:t>;</w:t>
      </w:r>
    </w:p>
    <w:p>
      <w:pPr>
        <w:pStyle w:val="ListParagraph"/>
        <w:numPr>
          <w:ilvl w:val="0"/>
          <w:numId w:val="102"/>
        </w:numPr>
        <w:spacing w:after="200" w:line="240" w:lineRule="auto"/>
        <w:ind w:left="1701" w:hanging="284"/>
        <w:jc w:val="both"/>
        <w:rPr>
          <w:rFonts w:ascii="Arial" w:hAnsi="Arial" w:cs="Arial"/>
          <w:noProof/>
          <w:sz w:val="20"/>
          <w:szCs w:val="20"/>
        </w:rPr>
      </w:pPr>
      <w:r>
        <w:rPr>
          <w:rFonts w:ascii="Arial" w:hAnsi="Arial" w:cs="Arial"/>
          <w:noProof/>
          <w:sz w:val="20"/>
          <w:szCs w:val="20"/>
        </w:rPr>
        <w:t>insufficient monitoring of the entities responsible for the implementation of aviation security standards</w:t>
      </w:r>
      <w:r>
        <w:rPr>
          <w:rStyle w:val="FootnoteReference"/>
          <w:rFonts w:ascii="Arial" w:hAnsi="Arial" w:cs="Arial"/>
          <w:noProof/>
          <w:sz w:val="20"/>
          <w:szCs w:val="20"/>
        </w:rPr>
        <w:footnoteReference w:id="209"/>
      </w:r>
      <w:r>
        <w:rPr>
          <w:rFonts w:ascii="Arial" w:hAnsi="Arial" w:cs="Arial"/>
          <w:noProof/>
          <w:sz w:val="20"/>
          <w:szCs w:val="20"/>
        </w:rPr>
        <w:t>;</w:t>
      </w:r>
    </w:p>
    <w:p>
      <w:pPr>
        <w:pStyle w:val="ListParagraph"/>
        <w:numPr>
          <w:ilvl w:val="0"/>
          <w:numId w:val="102"/>
        </w:numPr>
        <w:spacing w:after="200" w:line="240" w:lineRule="auto"/>
        <w:ind w:left="1701" w:hanging="284"/>
        <w:jc w:val="both"/>
        <w:rPr>
          <w:rFonts w:ascii="Arial" w:hAnsi="Arial" w:cs="Arial"/>
          <w:noProof/>
          <w:sz w:val="20"/>
          <w:szCs w:val="20"/>
          <w:lang w:val="en-US"/>
        </w:rPr>
      </w:pPr>
      <w:r>
        <w:rPr>
          <w:rFonts w:ascii="Arial" w:hAnsi="Arial" w:cs="Arial"/>
          <w:bCs/>
          <w:noProof/>
          <w:sz w:val="20"/>
          <w:szCs w:val="20"/>
        </w:rPr>
        <w:t xml:space="preserve">failure to adopt and notify the long-term renovation strategy in commercial and residential buildings, as required by the </w:t>
      </w:r>
      <w:r>
        <w:rPr>
          <w:rFonts w:ascii="Arial" w:hAnsi="Arial" w:cs="Arial"/>
          <w:noProof/>
          <w:sz w:val="20"/>
          <w:szCs w:val="20"/>
        </w:rPr>
        <w:t>Energy Efficiency Directive</w:t>
      </w:r>
      <w:r>
        <w:rPr>
          <w:rStyle w:val="FootnoteReference"/>
          <w:rFonts w:ascii="Arial" w:hAnsi="Arial" w:cs="Arial"/>
          <w:noProof/>
          <w:sz w:val="20"/>
          <w:szCs w:val="20"/>
        </w:rPr>
        <w:footnoteReference w:id="210"/>
      </w:r>
      <w:r>
        <w:rPr>
          <w:rFonts w:ascii="Arial" w:hAnsi="Arial" w:cs="Arial"/>
          <w:noProof/>
          <w:sz w:val="20"/>
          <w:szCs w:val="20"/>
        </w:rPr>
        <w:t>;</w:t>
      </w:r>
    </w:p>
    <w:p>
      <w:pPr>
        <w:pStyle w:val="ListParagraph"/>
        <w:numPr>
          <w:ilvl w:val="0"/>
          <w:numId w:val="102"/>
        </w:numPr>
        <w:spacing w:after="200" w:line="240" w:lineRule="auto"/>
        <w:ind w:left="1701" w:hanging="284"/>
        <w:jc w:val="both"/>
        <w:rPr>
          <w:rFonts w:ascii="Arial" w:hAnsi="Arial" w:cs="Arial"/>
          <w:noProof/>
          <w:sz w:val="20"/>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211"/>
      </w:r>
      <w:r>
        <w:rPr>
          <w:rFonts w:ascii="Arial" w:hAnsi="Arial" w:cs="Arial"/>
          <w:noProof/>
          <w:sz w:val="20"/>
          <w:szCs w:val="20"/>
        </w:rPr>
        <w:t>;</w:t>
      </w:r>
    </w:p>
    <w:p>
      <w:pPr>
        <w:pStyle w:val="ListParagraph"/>
        <w:numPr>
          <w:ilvl w:val="0"/>
          <w:numId w:val="102"/>
        </w:numPr>
        <w:ind w:left="1701" w:hanging="284"/>
        <w:jc w:val="both"/>
        <w:rPr>
          <w:rFonts w:ascii="Arial" w:hAnsi="Arial" w:cs="Arial"/>
          <w:noProof/>
          <w:sz w:val="20"/>
          <w:szCs w:val="20"/>
        </w:rPr>
      </w:pPr>
      <w:r>
        <w:rPr>
          <w:rFonts w:ascii="Arial" w:hAnsi="Arial" w:cs="Arial"/>
          <w:noProof/>
          <w:sz w:val="20"/>
          <w:szCs w:val="20"/>
        </w:rPr>
        <w:t>failure to establish Special Areas of Conservation, as well as conservation objectives and measures</w:t>
      </w:r>
      <w:r>
        <w:rPr>
          <w:noProof/>
          <w:sz w:val="20"/>
          <w:szCs w:val="20"/>
        </w:rPr>
        <w:t xml:space="preserve"> </w:t>
      </w:r>
      <w:r>
        <w:rPr>
          <w:rFonts w:ascii="Arial" w:hAnsi="Arial" w:cs="Arial"/>
          <w:noProof/>
          <w:sz w:val="20"/>
          <w:szCs w:val="20"/>
        </w:rPr>
        <w:t>to maintain or restore the species and habitats to a favourable condition, as required by the Habitats Directive</w:t>
      </w:r>
      <w:r>
        <w:rPr>
          <w:rStyle w:val="FootnoteReference"/>
          <w:rFonts w:ascii="Arial" w:hAnsi="Arial" w:cs="Arial"/>
          <w:noProof/>
          <w:sz w:val="20"/>
          <w:szCs w:val="20"/>
        </w:rPr>
        <w:footnoteReference w:id="212"/>
      </w:r>
      <w:r>
        <w:rPr>
          <w:rFonts w:ascii="Arial" w:hAnsi="Arial" w:cs="Arial"/>
          <w:noProof/>
          <w:sz w:val="20"/>
          <w:szCs w:val="20"/>
        </w:rPr>
        <w:t>;</w:t>
      </w:r>
    </w:p>
    <w:p>
      <w:pPr>
        <w:pStyle w:val="ListParagraph"/>
        <w:numPr>
          <w:ilvl w:val="0"/>
          <w:numId w:val="102"/>
        </w:numPr>
        <w:ind w:left="1701" w:hanging="284"/>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129"/>
        </w:numPr>
        <w:ind w:left="2410"/>
        <w:jc w:val="both"/>
        <w:rPr>
          <w:noProof/>
        </w:rPr>
      </w:pPr>
      <w:r>
        <w:rPr>
          <w:rFonts w:ascii="Arial" w:hAnsi="Arial" w:cs="Arial"/>
          <w:noProof/>
          <w:sz w:val="20"/>
          <w:szCs w:val="20"/>
        </w:rPr>
        <w:t>Payment Services Directive</w:t>
      </w:r>
      <w:r>
        <w:rPr>
          <w:rStyle w:val="FootnoteReference"/>
          <w:rFonts w:ascii="Arial" w:hAnsi="Arial" w:cs="Arial"/>
          <w:noProof/>
          <w:sz w:val="20"/>
          <w:szCs w:val="20"/>
        </w:rPr>
        <w:footnoteReference w:id="213"/>
      </w:r>
      <w:r>
        <w:rPr>
          <w:rFonts w:ascii="Arial" w:hAnsi="Arial" w:cs="Arial"/>
          <w:noProof/>
          <w:sz w:val="20"/>
          <w:szCs w:val="20"/>
        </w:rPr>
        <w:t>;</w:t>
      </w:r>
    </w:p>
    <w:p>
      <w:pPr>
        <w:pStyle w:val="ListParagraph"/>
        <w:numPr>
          <w:ilvl w:val="0"/>
          <w:numId w:val="129"/>
        </w:numPr>
        <w:ind w:left="2410"/>
        <w:jc w:val="both"/>
        <w:rPr>
          <w:noProof/>
        </w:rPr>
      </w:pPr>
      <w:r>
        <w:rPr>
          <w:rFonts w:ascii="Arial" w:hAnsi="Arial" w:cs="Arial"/>
          <w:noProof/>
          <w:sz w:val="20"/>
          <w:szCs w:val="20"/>
        </w:rPr>
        <w:t>Insurance Distribution Directive</w:t>
      </w:r>
      <w:r>
        <w:rPr>
          <w:rStyle w:val="FootnoteReference"/>
          <w:rFonts w:ascii="Arial" w:hAnsi="Arial" w:cs="Arial"/>
          <w:noProof/>
          <w:sz w:val="20"/>
          <w:szCs w:val="20"/>
        </w:rPr>
        <w:footnoteReference w:id="214"/>
      </w:r>
      <w:r>
        <w:rPr>
          <w:rFonts w:ascii="Arial" w:hAnsi="Arial" w:cs="Arial"/>
          <w:noProof/>
          <w:sz w:val="20"/>
          <w:szCs w:val="20"/>
        </w:rPr>
        <w:t>;</w:t>
      </w:r>
    </w:p>
    <w:p>
      <w:pPr>
        <w:pStyle w:val="ListParagraph"/>
        <w:numPr>
          <w:ilvl w:val="0"/>
          <w:numId w:val="129"/>
        </w:numPr>
        <w:ind w:left="2410"/>
        <w:jc w:val="both"/>
        <w:rPr>
          <w:noProof/>
        </w:rPr>
      </w:pPr>
      <w:r>
        <w:rPr>
          <w:rFonts w:ascii="Arial" w:hAnsi="Arial" w:cs="Arial"/>
          <w:noProof/>
          <w:sz w:val="20"/>
          <w:szCs w:val="20"/>
        </w:rPr>
        <w:t>revised Markets in Financial Instruments Directive</w:t>
      </w:r>
      <w:r>
        <w:rPr>
          <w:rStyle w:val="FootnoteReference"/>
          <w:rFonts w:ascii="Arial" w:hAnsi="Arial" w:cs="Arial"/>
          <w:noProof/>
        </w:rPr>
        <w:footnoteReference w:id="215"/>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Basic Safety Standards Directive</w:t>
      </w:r>
      <w:r>
        <w:rPr>
          <w:rStyle w:val="FootnoteReference"/>
          <w:rFonts w:ascii="Arial" w:hAnsi="Arial" w:cs="Arial"/>
          <w:noProof/>
          <w:sz w:val="20"/>
          <w:szCs w:val="20"/>
        </w:rPr>
        <w:footnoteReference w:id="216"/>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217"/>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218"/>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219"/>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the presumption of innocence</w:t>
      </w:r>
      <w:r>
        <w:rPr>
          <w:rStyle w:val="FootnoteReference"/>
          <w:rFonts w:ascii="Arial" w:hAnsi="Arial" w:cs="Arial"/>
          <w:noProof/>
          <w:sz w:val="20"/>
          <w:szCs w:val="20"/>
        </w:rPr>
        <w:footnoteReference w:id="220"/>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the consular protection of unrepresented EU citizens in third countries</w:t>
      </w:r>
      <w:r>
        <w:rPr>
          <w:rStyle w:val="FootnoteReference"/>
          <w:rFonts w:ascii="Arial" w:hAnsi="Arial" w:cs="Arial"/>
          <w:noProof/>
          <w:sz w:val="20"/>
          <w:szCs w:val="20"/>
        </w:rPr>
        <w:footnoteReference w:id="221"/>
      </w:r>
      <w:r>
        <w:rPr>
          <w:rFonts w:ascii="Arial" w:hAnsi="Arial" w:cs="Arial"/>
          <w:noProof/>
          <w:sz w:val="20"/>
          <w:szCs w:val="20"/>
        </w:rPr>
        <w:t>.</w:t>
      </w:r>
    </w:p>
    <w:p>
      <w:pPr>
        <w:spacing w:after="0" w:line="240" w:lineRule="auto"/>
        <w:rPr>
          <w:rFonts w:ascii="Arial" w:hAnsi="Arial" w:cs="Arial"/>
          <w:noProof/>
          <w:sz w:val="20"/>
          <w:szCs w:val="20"/>
        </w:rPr>
      </w:pPr>
      <w:r>
        <w:rPr>
          <w:rFonts w:ascii="Arial" w:hAnsi="Arial" w:cs="Arial"/>
          <w:noProof/>
          <w:sz w:val="20"/>
          <w:szCs w:val="20"/>
        </w:rPr>
        <w:br w:type="page"/>
      </w:r>
    </w:p>
    <w:p>
      <w:pPr>
        <w:numPr>
          <w:ilvl w:val="0"/>
          <w:numId w:val="85"/>
        </w:numPr>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numPr>
          <w:ilvl w:val="0"/>
          <w:numId w:val="15"/>
        </w:numPr>
        <w:spacing w:after="0"/>
        <w:ind w:left="1701" w:hanging="283"/>
        <w:jc w:val="both"/>
        <w:rPr>
          <w:rFonts w:ascii="Arial" w:hAnsi="Arial" w:cs="Arial"/>
          <w:noProof/>
          <w:sz w:val="20"/>
          <w:szCs w:val="20"/>
        </w:rPr>
      </w:pPr>
      <w:r>
        <w:rPr>
          <w:rFonts w:ascii="Arial" w:hAnsi="Arial" w:cs="Arial"/>
          <w:noProof/>
          <w:sz w:val="20"/>
          <w:szCs w:val="20"/>
        </w:rPr>
        <w:t>obstacles to the freedom of establishment for training bodies for professional mediators contrary to the Services Directive</w:t>
      </w:r>
      <w:r>
        <w:rPr>
          <w:rStyle w:val="FootnoteReference"/>
          <w:rFonts w:ascii="Arial" w:hAnsi="Arial" w:cs="Arial"/>
          <w:noProof/>
          <w:sz w:val="20"/>
          <w:szCs w:val="20"/>
        </w:rPr>
        <w:footnoteReference w:id="222"/>
      </w:r>
      <w:r>
        <w:rPr>
          <w:rFonts w:ascii="Arial" w:hAnsi="Arial" w:cs="Arial"/>
          <w:noProof/>
          <w:sz w:val="20"/>
          <w:szCs w:val="20"/>
        </w:rPr>
        <w:t xml:space="preserve"> and restrictions on recognising the  professional qualifications of mediators</w:t>
      </w:r>
      <w:r>
        <w:rPr>
          <w:rStyle w:val="FootnoteReference"/>
          <w:rFonts w:ascii="Arial" w:hAnsi="Arial" w:cs="Arial"/>
          <w:noProof/>
          <w:sz w:val="20"/>
          <w:szCs w:val="20"/>
        </w:rPr>
        <w:footnoteReference w:id="223"/>
      </w:r>
      <w:r>
        <w:rPr>
          <w:rFonts w:ascii="Arial" w:hAnsi="Arial" w:cs="Arial"/>
          <w:noProof/>
          <w:sz w:val="20"/>
          <w:szCs w:val="20"/>
        </w:rPr>
        <w:t>;</w:t>
      </w:r>
    </w:p>
    <w:p>
      <w:pPr>
        <w:numPr>
          <w:ilvl w:val="0"/>
          <w:numId w:val="15"/>
        </w:numPr>
        <w:ind w:left="1701" w:hanging="283"/>
        <w:jc w:val="both"/>
        <w:rPr>
          <w:rFonts w:ascii="Arial" w:hAnsi="Arial" w:cs="Arial"/>
          <w:noProof/>
          <w:sz w:val="20"/>
          <w:szCs w:val="20"/>
        </w:rPr>
      </w:pPr>
      <w:r>
        <w:rPr>
          <w:rFonts w:ascii="Arial" w:hAnsi="Arial" w:cs="Arial"/>
          <w:noProof/>
          <w:sz w:val="20"/>
          <w:szCs w:val="20"/>
        </w:rPr>
        <w:t>wrong imposition of a reduced rate of 50% of the standard rate of excise duty on the spirit drinks Tsipouro and Tsikoudia, in breach of EU law</w:t>
      </w:r>
      <w:r>
        <w:rPr>
          <w:rStyle w:val="FootnoteReference"/>
          <w:rFonts w:ascii="Arial" w:hAnsi="Arial" w:cs="Arial"/>
          <w:noProof/>
          <w:sz w:val="20"/>
          <w:szCs w:val="20"/>
        </w:rPr>
        <w:footnoteReference w:id="224"/>
      </w:r>
      <w:r>
        <w:rPr>
          <w:rFonts w:ascii="Arial" w:hAnsi="Arial" w:cs="Arial"/>
          <w:noProof/>
          <w:sz w:val="20"/>
          <w:szCs w:val="20"/>
        </w:rPr>
        <w:t>.</w:t>
      </w:r>
    </w:p>
    <w:p>
      <w:pPr>
        <w:numPr>
          <w:ilvl w:val="0"/>
          <w:numId w:val="85"/>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pStyle w:val="kop2"/>
        <w:numPr>
          <w:ilvl w:val="0"/>
          <w:numId w:val="12"/>
        </w:numPr>
        <w:spacing w:before="360" w:after="240"/>
        <w:ind w:left="709" w:hanging="425"/>
        <w:rPr>
          <w:caps w:val="0"/>
          <w:noProof/>
        </w:rPr>
      </w:pPr>
      <w:r>
        <w:rPr>
          <w:caps w:val="0"/>
          <w:noProof/>
        </w:rPr>
        <w:t>TRANSPOSITION OF DIRECTIVES</w:t>
      </w:r>
    </w:p>
    <w:p>
      <w:pPr>
        <w:pStyle w:val="AnnualReport2"/>
        <w:numPr>
          <w:ilvl w:val="0"/>
          <w:numId w:val="100"/>
        </w:numPr>
        <w:rPr>
          <w:noProof/>
        </w:rPr>
      </w:pPr>
      <w:r>
        <w:rPr>
          <w:noProof/>
        </w:rPr>
        <w:t>Late transposition infringement cases against Greece open on 31 December (2014-2018)</w:t>
      </w:r>
    </w:p>
    <w:p>
      <w:pPr>
        <w:ind w:left="426" w:firstLine="283"/>
        <w:rPr>
          <w:noProof/>
        </w:rPr>
      </w:pPr>
      <w:r>
        <w:rPr>
          <w:noProof/>
          <w:lang w:eastAsia="en-GB"/>
        </w:rPr>
        <w:drawing>
          <wp:inline distT="0" distB="0" distL="0" distR="0">
            <wp:extent cx="4547870" cy="2051685"/>
            <wp:effectExtent l="0" t="0" r="5080" b="5715"/>
            <wp:docPr id="8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AnnualReport2"/>
        <w:numPr>
          <w:ilvl w:val="0"/>
          <w:numId w:val="100"/>
        </w:numPr>
        <w:rPr>
          <w:noProof/>
        </w:rPr>
      </w:pPr>
      <w:r>
        <w:rPr>
          <w:noProof/>
        </w:rPr>
        <w:t>New late transposition infringement cases against Greece (2014-2018)</w:t>
      </w:r>
    </w:p>
    <w:p>
      <w:pPr>
        <w:ind w:firstLine="709"/>
        <w:rPr>
          <w:rFonts w:ascii="Arial" w:hAnsi="Arial" w:cs="Arial"/>
          <w:noProof/>
          <w:sz w:val="20"/>
        </w:rPr>
      </w:pPr>
      <w:r>
        <w:rPr>
          <w:rFonts w:ascii="Arial" w:hAnsi="Arial" w:cs="Arial"/>
          <w:noProof/>
          <w:sz w:val="20"/>
          <w:lang w:eastAsia="en-GB"/>
        </w:rPr>
        <w:drawing>
          <wp:inline distT="0" distB="0" distL="0" distR="0">
            <wp:extent cx="4547870" cy="2051685"/>
            <wp:effectExtent l="0" t="0" r="5080" b="5715"/>
            <wp:docPr id="8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spacing w:after="0" w:line="240" w:lineRule="auto"/>
        <w:rPr>
          <w:rFonts w:ascii="Arial" w:hAnsi="Arial"/>
          <w:noProof/>
          <w:color w:val="002060"/>
        </w:rPr>
      </w:pPr>
      <w:r>
        <w:rPr>
          <w:noProof/>
        </w:rPr>
        <w:br w:type="page"/>
      </w:r>
    </w:p>
    <w:p>
      <w:pPr>
        <w:pStyle w:val="AnnualReport2"/>
        <w:numPr>
          <w:ilvl w:val="0"/>
          <w:numId w:val="100"/>
        </w:numPr>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325620" cy="2647950"/>
            <wp:effectExtent l="0" t="0" r="17780" b="0"/>
            <wp:docPr id="970" name="Object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AnnualReport2"/>
        <w:numPr>
          <w:ilvl w:val="0"/>
          <w:numId w:val="100"/>
        </w:numPr>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referred one case to the Court under Articles 258 and 260(3) TFEU. It concerns:</w:t>
      </w:r>
    </w:p>
    <w:p>
      <w:pPr>
        <w:pStyle w:val="ListParagraph"/>
        <w:numPr>
          <w:ilvl w:val="0"/>
          <w:numId w:val="14"/>
        </w:numPr>
        <w:spacing w:after="120"/>
        <w:ind w:left="1276" w:hanging="425"/>
        <w:jc w:val="both"/>
        <w:rPr>
          <w:rFonts w:ascii="Arial" w:hAnsi="Arial" w:cs="Arial"/>
          <w:noProof/>
          <w:sz w:val="20"/>
          <w:szCs w:val="20"/>
        </w:rPr>
      </w:pPr>
      <w:r>
        <w:rPr>
          <w:rFonts w:ascii="Arial" w:hAnsi="Arial" w:cs="Arial"/>
          <w:noProof/>
          <w:sz w:val="20"/>
          <w:szCs w:val="20"/>
        </w:rPr>
        <w:t>failure to communicate national measures transposing the Maritime Spatial Planning Directive</w:t>
      </w:r>
      <w:r>
        <w:rPr>
          <w:rStyle w:val="FootnoteReference"/>
          <w:rFonts w:ascii="Arial" w:hAnsi="Arial" w:cs="Arial"/>
          <w:noProof/>
          <w:sz w:val="20"/>
          <w:szCs w:val="20"/>
        </w:rPr>
        <w:footnoteReference w:id="225"/>
      </w:r>
      <w:r>
        <w:rPr>
          <w:rFonts w:ascii="Arial" w:hAnsi="Arial" w:cs="Arial"/>
          <w:noProof/>
          <w:sz w:val="20"/>
          <w:szCs w:val="20"/>
        </w:rPr>
        <w:t>.</w:t>
      </w:r>
    </w:p>
    <w:p>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pStyle w:val="ListParagraph"/>
        <w:spacing w:before="24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pStyle w:val="ListParagraph"/>
        <w:numPr>
          <w:ilvl w:val="0"/>
          <w:numId w:val="14"/>
        </w:numPr>
        <w:spacing w:after="120"/>
        <w:ind w:left="1276"/>
        <w:jc w:val="both"/>
        <w:rPr>
          <w:rFonts w:ascii="Arial" w:eastAsia="Times New Roman" w:hAnsi="Arial" w:cs="Arial"/>
          <w:noProof/>
          <w:sz w:val="20"/>
          <w:szCs w:val="20"/>
          <w:lang w:eastAsia="en-GB"/>
        </w:rPr>
      </w:pPr>
      <w:r>
        <w:rPr>
          <w:rFonts w:ascii="Arial" w:hAnsi="Arial" w:cs="Arial"/>
          <w:noProof/>
          <w:sz w:val="20"/>
          <w:szCs w:val="20"/>
        </w:rPr>
        <w:t>late adoption of the second round of river basin management plans under the Water Framework Directive</w:t>
      </w:r>
      <w:r>
        <w:rPr>
          <w:rStyle w:val="FootnoteReference"/>
          <w:rFonts w:ascii="Arial" w:hAnsi="Arial" w:cs="Arial"/>
          <w:noProof/>
          <w:sz w:val="20"/>
          <w:szCs w:val="20"/>
        </w:rPr>
        <w:footnoteReference w:id="226"/>
      </w:r>
      <w:r>
        <w:rPr>
          <w:rFonts w:ascii="Arial" w:hAnsi="Arial" w:cs="Arial"/>
          <w:noProof/>
          <w:sz w:val="20"/>
          <w:szCs w:val="20"/>
        </w:rPr>
        <w:t>;</w:t>
      </w:r>
    </w:p>
    <w:p>
      <w:pPr>
        <w:pStyle w:val="ListParagraph"/>
        <w:numPr>
          <w:ilvl w:val="0"/>
          <w:numId w:val="14"/>
        </w:numPr>
        <w:spacing w:after="120"/>
        <w:ind w:left="1276"/>
        <w:jc w:val="both"/>
        <w:rPr>
          <w:rFonts w:ascii="Arial" w:eastAsia="Times New Roman" w:hAnsi="Arial" w:cs="Arial"/>
          <w:noProof/>
          <w:sz w:val="20"/>
          <w:szCs w:val="20"/>
          <w:lang w:eastAsia="en-GB"/>
        </w:rPr>
      </w:pPr>
      <w:r>
        <w:rPr>
          <w:rFonts w:ascii="Arial" w:eastAsia="Times New Roman" w:hAnsi="Arial" w:cs="Arial"/>
          <w:noProof/>
          <w:sz w:val="20"/>
          <w:szCs w:val="20"/>
          <w:lang w:eastAsia="en-GB"/>
        </w:rPr>
        <w:t>non-conformity of the provisions of national legislation on average weekly working time and minimium periods of daily rest or of compensatory rest with the Working Time Directive in the healthcare sector</w:t>
      </w:r>
      <w:r>
        <w:rPr>
          <w:rStyle w:val="FootnoteReference"/>
          <w:rFonts w:ascii="Arial" w:eastAsia="Times New Roman" w:hAnsi="Arial" w:cs="Arial"/>
          <w:noProof/>
          <w:sz w:val="20"/>
          <w:szCs w:val="20"/>
          <w:lang w:eastAsia="en-GB"/>
        </w:rPr>
        <w:footnoteReference w:id="227"/>
      </w:r>
      <w:r>
        <w:rPr>
          <w:rFonts w:ascii="Arial" w:eastAsia="Times New Roman" w:hAnsi="Arial" w:cs="Arial"/>
          <w:noProof/>
          <w:sz w:val="20"/>
          <w:szCs w:val="20"/>
          <w:lang w:eastAsia="en-GB"/>
        </w:rPr>
        <w:t>;</w:t>
      </w:r>
    </w:p>
    <w:p>
      <w:pPr>
        <w:pStyle w:val="ListParagraph"/>
        <w:numPr>
          <w:ilvl w:val="0"/>
          <w:numId w:val="14"/>
        </w:numPr>
        <w:spacing w:after="120"/>
        <w:ind w:left="1276"/>
        <w:rPr>
          <w:rFonts w:ascii="Arial" w:eastAsia="Times New Roman" w:hAnsi="Arial" w:cs="Arial"/>
          <w:noProof/>
          <w:sz w:val="20"/>
          <w:szCs w:val="20"/>
          <w:lang w:eastAsia="en-GB"/>
        </w:rPr>
      </w:pPr>
      <w:r>
        <w:rPr>
          <w:rFonts w:ascii="Arial" w:hAnsi="Arial" w:cs="Arial"/>
          <w:noProof/>
          <w:sz w:val="20"/>
          <w:szCs w:val="20"/>
        </w:rPr>
        <w:t>failure to communicate national measures transposing the</w:t>
      </w:r>
    </w:p>
    <w:p>
      <w:pPr>
        <w:pStyle w:val="ListParagraph"/>
        <w:numPr>
          <w:ilvl w:val="0"/>
          <w:numId w:val="133"/>
        </w:numPr>
        <w:spacing w:after="120"/>
        <w:jc w:val="both"/>
        <w:rPr>
          <w:rFonts w:ascii="Arial" w:hAnsi="Arial" w:cs="Arial"/>
          <w:noProof/>
          <w:sz w:val="20"/>
        </w:rPr>
      </w:pPr>
      <w:r>
        <w:rPr>
          <w:rFonts w:ascii="Arial" w:eastAsia="Times New Roman" w:hAnsi="Arial" w:cs="Arial"/>
          <w:noProof/>
          <w:sz w:val="20"/>
          <w:szCs w:val="20"/>
          <w:lang w:eastAsia="en-GB"/>
        </w:rPr>
        <w:t>Mortgage Credit Directive;</w:t>
      </w:r>
      <w:r>
        <w:rPr>
          <w:rStyle w:val="FootnoteReference"/>
          <w:rFonts w:ascii="Arial" w:eastAsia="Times New Roman" w:hAnsi="Arial" w:cs="Arial"/>
          <w:noProof/>
          <w:sz w:val="20"/>
          <w:szCs w:val="20"/>
          <w:lang w:eastAsia="en-GB"/>
        </w:rPr>
        <w:footnoteReference w:id="228"/>
      </w:r>
    </w:p>
    <w:p>
      <w:pPr>
        <w:pStyle w:val="ListParagraph"/>
        <w:numPr>
          <w:ilvl w:val="0"/>
          <w:numId w:val="133"/>
        </w:numPr>
        <w:spacing w:after="120"/>
        <w:jc w:val="both"/>
        <w:rPr>
          <w:rFonts w:ascii="Arial" w:hAnsi="Arial" w:cs="Arial"/>
          <w:noProof/>
          <w:sz w:val="20"/>
        </w:rPr>
      </w:pPr>
      <w:r>
        <w:rPr>
          <w:rFonts w:ascii="Arial" w:eastAsia="Times New Roman" w:hAnsi="Arial" w:cs="Arial"/>
          <w:noProof/>
          <w:sz w:val="20"/>
          <w:szCs w:val="20"/>
          <w:lang w:eastAsia="en-GB"/>
        </w:rPr>
        <w:t>Directive concerning undertakings for collective investment in transferable securities;</w:t>
      </w:r>
      <w:r>
        <w:rPr>
          <w:rStyle w:val="FootnoteReference"/>
          <w:rFonts w:ascii="Arial" w:eastAsia="Times New Roman" w:hAnsi="Arial" w:cs="Arial"/>
          <w:noProof/>
          <w:sz w:val="20"/>
          <w:szCs w:val="20"/>
          <w:lang w:eastAsia="en-GB"/>
        </w:rPr>
        <w:footnoteReference w:id="229"/>
      </w:r>
    </w:p>
    <w:p>
      <w:pPr>
        <w:pStyle w:val="ListParagraph"/>
        <w:numPr>
          <w:ilvl w:val="0"/>
          <w:numId w:val="133"/>
        </w:numPr>
        <w:spacing w:after="120"/>
        <w:jc w:val="both"/>
        <w:rPr>
          <w:rFonts w:ascii="Arial" w:hAnsi="Arial" w:cs="Arial"/>
          <w:noProof/>
          <w:sz w:val="20"/>
        </w:rPr>
      </w:pPr>
      <w:r>
        <w:rPr>
          <w:rFonts w:ascii="Arial" w:hAnsi="Arial" w:cs="Arial"/>
          <w:bCs/>
          <w:noProof/>
          <w:sz w:val="20"/>
        </w:rPr>
        <w:t>Directive on intra-corporate transfer</w:t>
      </w:r>
      <w:r>
        <w:rPr>
          <w:rFonts w:ascii="Arial" w:hAnsi="Arial" w:cs="Arial"/>
          <w:bCs/>
          <w:noProof/>
          <w:sz w:val="20"/>
          <w:vertAlign w:val="superscript"/>
        </w:rPr>
        <w:footnoteReference w:id="230"/>
      </w:r>
      <w:r>
        <w:rPr>
          <w:rFonts w:ascii="Arial" w:hAnsi="Arial" w:cs="Arial"/>
          <w:bCs/>
          <w:noProof/>
          <w:sz w:val="20"/>
        </w:rPr>
        <w:t>;</w:t>
      </w:r>
    </w:p>
    <w:p>
      <w:pPr>
        <w:pStyle w:val="ListParagraph"/>
        <w:numPr>
          <w:ilvl w:val="0"/>
          <w:numId w:val="133"/>
        </w:numPr>
        <w:spacing w:after="120"/>
        <w:jc w:val="both"/>
        <w:rPr>
          <w:rFonts w:ascii="Arial" w:hAnsi="Arial" w:cs="Arial"/>
          <w:noProof/>
          <w:sz w:val="20"/>
        </w:rPr>
      </w:pPr>
      <w:r>
        <w:rPr>
          <w:rFonts w:ascii="Arial" w:hAnsi="Arial" w:cs="Arial"/>
          <w:noProof/>
          <w:sz w:val="20"/>
          <w:szCs w:val="20"/>
        </w:rPr>
        <w:t>Directive on reducing the consumption of lightweight plastic carrier bags</w:t>
      </w:r>
      <w:r>
        <w:rPr>
          <w:rStyle w:val="FootnoteReference"/>
          <w:rFonts w:ascii="Arial" w:hAnsi="Arial" w:cs="Arial"/>
          <w:noProof/>
          <w:sz w:val="20"/>
          <w:szCs w:val="20"/>
        </w:rPr>
        <w:footnoteReference w:id="231"/>
      </w:r>
      <w:r>
        <w:rPr>
          <w:rFonts w:ascii="Arial" w:hAnsi="Arial" w:cs="Arial"/>
          <w:noProof/>
          <w:sz w:val="20"/>
          <w:szCs w:val="20"/>
        </w:rPr>
        <w:t>;</w:t>
      </w:r>
    </w:p>
    <w:p>
      <w:pPr>
        <w:pStyle w:val="ListParagraph"/>
        <w:numPr>
          <w:ilvl w:val="0"/>
          <w:numId w:val="133"/>
        </w:numPr>
        <w:spacing w:after="120"/>
        <w:jc w:val="both"/>
        <w:rPr>
          <w:rFonts w:ascii="Arial" w:hAnsi="Arial" w:cs="Arial"/>
          <w:noProof/>
          <w:sz w:val="20"/>
        </w:rPr>
      </w:pPr>
      <w:r>
        <w:rPr>
          <w:rFonts w:ascii="Arial" w:hAnsi="Arial" w:cs="Arial"/>
          <w:noProof/>
          <w:sz w:val="20"/>
          <w:szCs w:val="20"/>
        </w:rPr>
        <w:t>revised Environmental Impact Assessment Directive</w:t>
      </w:r>
      <w:r>
        <w:rPr>
          <w:rStyle w:val="FootnoteReference"/>
          <w:rFonts w:ascii="Arial" w:hAnsi="Arial" w:cs="Arial"/>
          <w:noProof/>
          <w:sz w:val="20"/>
          <w:szCs w:val="20"/>
        </w:rPr>
        <w:footnoteReference w:id="232"/>
      </w:r>
      <w:r>
        <w:rPr>
          <w:rFonts w:ascii="Arial" w:hAnsi="Arial" w:cs="Arial"/>
          <w:noProof/>
          <w:sz w:val="20"/>
          <w:szCs w:val="20"/>
        </w:rPr>
        <w:t>;</w:t>
      </w:r>
    </w:p>
    <w:p>
      <w:pPr>
        <w:pStyle w:val="ListParagraph"/>
        <w:numPr>
          <w:ilvl w:val="0"/>
          <w:numId w:val="133"/>
        </w:numPr>
        <w:spacing w:after="120"/>
        <w:jc w:val="both"/>
        <w:rPr>
          <w:rFonts w:ascii="Arial" w:hAnsi="Arial" w:cs="Arial"/>
          <w:noProof/>
          <w:sz w:val="20"/>
        </w:rPr>
      </w:pPr>
      <w:r>
        <w:rPr>
          <w:rFonts w:ascii="Arial" w:hAnsi="Arial" w:cs="Arial"/>
          <w:noProof/>
          <w:sz w:val="20"/>
          <w:szCs w:val="20"/>
        </w:rPr>
        <w:t>Directive on fuel quality reporting requirements and calculation methods</w:t>
      </w:r>
      <w:r>
        <w:rPr>
          <w:rStyle w:val="FootnoteReference"/>
          <w:rFonts w:ascii="Arial" w:hAnsi="Arial" w:cs="Arial"/>
          <w:noProof/>
          <w:sz w:val="20"/>
          <w:szCs w:val="20"/>
        </w:rPr>
        <w:footnoteReference w:id="233"/>
      </w:r>
      <w:r>
        <w:rPr>
          <w:rFonts w:ascii="Arial" w:hAnsi="Arial" w:cs="Arial"/>
          <w:noProof/>
          <w:sz w:val="20"/>
          <w:szCs w:val="20"/>
        </w:rPr>
        <w:t>.</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95"/>
        </w:numPr>
        <w:rPr>
          <w:noProof/>
        </w:rPr>
      </w:pPr>
      <w:r>
        <w:rPr>
          <w:noProof/>
        </w:rPr>
        <w:t>Court rulings</w:t>
      </w:r>
      <w:r>
        <w:rPr>
          <w:rStyle w:val="FootnoteReference"/>
          <w:noProof/>
        </w:rPr>
        <w:footnoteReference w:id="234"/>
      </w:r>
    </w:p>
    <w:p>
      <w:pPr>
        <w:spacing w:after="120"/>
        <w:ind w:firstLine="709"/>
        <w:rPr>
          <w:rFonts w:ascii="Arial" w:hAnsi="Arial" w:cs="Arial"/>
          <w:noProof/>
          <w:sz w:val="20"/>
        </w:rPr>
      </w:pPr>
      <w:r>
        <w:rPr>
          <w:rFonts w:ascii="Arial" w:hAnsi="Arial" w:cs="Arial"/>
          <w:noProof/>
          <w:sz w:val="20"/>
        </w:rPr>
        <w:t xml:space="preserve">The Court gave the following rulings. </w:t>
      </w:r>
    </w:p>
    <w:p>
      <w:pPr>
        <w:pStyle w:val="Basis"/>
        <w:numPr>
          <w:ilvl w:val="0"/>
          <w:numId w:val="134"/>
        </w:numPr>
        <w:spacing w:after="0" w:line="240" w:lineRule="auto"/>
        <w:ind w:left="1276" w:hanging="425"/>
        <w:jc w:val="both"/>
        <w:rPr>
          <w:rFonts w:ascii="Arial" w:hAnsi="Arial" w:cs="Arial"/>
          <w:noProof/>
          <w:lang w:val="en-GB"/>
        </w:rPr>
      </w:pPr>
      <w:r>
        <w:rPr>
          <w:rFonts w:ascii="Arial" w:hAnsi="Arial" w:cs="Arial"/>
          <w:noProof/>
          <w:lang w:val="en-GB"/>
        </w:rPr>
        <w:t>Greece has failed to comply with an earlier Court judgment</w:t>
      </w:r>
      <w:r>
        <w:rPr>
          <w:rStyle w:val="FootnoteReference"/>
          <w:rFonts w:ascii="Arial" w:hAnsi="Arial" w:cs="Arial"/>
          <w:noProof/>
          <w:lang w:val="en-GB"/>
        </w:rPr>
        <w:footnoteReference w:id="235"/>
      </w:r>
      <w:r>
        <w:rPr>
          <w:rFonts w:ascii="Arial" w:hAnsi="Arial" w:cs="Arial"/>
          <w:noProof/>
          <w:lang w:val="en-GB"/>
        </w:rPr>
        <w:t xml:space="preserve"> that it had failed to fulfil its obligations under the Urban Waste Water Treatment Directive by not taking the measures necessary for the installation of a collection system for urban waste water from the Thriasio Pedio area and by not subjecting the area’s waste water to more stringent treatment before its discharge into the sensitive area of the Gulf of Elefsina, Greece. The Court ordered Greece to pay a lump sum of EUR 5 million and a sliding-scale periodic penalty payment of EUR 3 276 000 for each six-month period of delay until full compliance is achieved</w:t>
      </w:r>
      <w:r>
        <w:rPr>
          <w:rStyle w:val="FootnoteReference"/>
          <w:rFonts w:ascii="Arial" w:hAnsi="Arial" w:cs="Arial"/>
          <w:noProof/>
          <w:lang w:val="en-GB"/>
        </w:rPr>
        <w:footnoteReference w:id="236"/>
      </w:r>
      <w:r>
        <w:rPr>
          <w:rFonts w:ascii="Arial" w:hAnsi="Arial" w:cs="Arial"/>
          <w:noProof/>
          <w:lang w:val="en-GB"/>
        </w:rPr>
        <w:t xml:space="preserve">. </w:t>
      </w:r>
    </w:p>
    <w:p>
      <w:pPr>
        <w:pStyle w:val="Basis"/>
        <w:numPr>
          <w:ilvl w:val="0"/>
          <w:numId w:val="134"/>
        </w:numPr>
        <w:spacing w:after="100" w:afterAutospacing="1" w:line="240" w:lineRule="auto"/>
        <w:ind w:left="1276" w:hanging="425"/>
        <w:jc w:val="both"/>
        <w:rPr>
          <w:rFonts w:ascii="Arial" w:hAnsi="Arial" w:cs="Arial"/>
          <w:noProof/>
          <w:lang w:val="en-GB"/>
        </w:rPr>
      </w:pPr>
      <w:r>
        <w:rPr>
          <w:rFonts w:ascii="Arial" w:hAnsi="Arial" w:cs="Arial"/>
          <w:noProof/>
          <w:szCs w:val="20"/>
        </w:rPr>
        <w:t>The Greek rules allowing the sale of tax-exempt fuel by filling stations located in certain border posts at frontiers with third countries are contrary to the EU provisions on general arrangements for excise duty</w:t>
      </w:r>
      <w:r>
        <w:rPr>
          <w:rStyle w:val="FootnoteReference"/>
          <w:rFonts w:ascii="Arial" w:hAnsi="Arial" w:cs="Arial"/>
          <w:noProof/>
          <w:szCs w:val="20"/>
        </w:rPr>
        <w:footnoteReference w:id="237"/>
      </w:r>
      <w:r>
        <w:rPr>
          <w:rFonts w:ascii="Arial" w:hAnsi="Arial" w:cs="Arial"/>
          <w:noProof/>
        </w:rPr>
        <w:t>.</w:t>
      </w:r>
    </w:p>
    <w:p>
      <w:pPr>
        <w:pStyle w:val="Basis"/>
        <w:numPr>
          <w:ilvl w:val="0"/>
          <w:numId w:val="134"/>
        </w:numPr>
        <w:spacing w:after="100" w:afterAutospacing="1" w:line="240" w:lineRule="auto"/>
        <w:ind w:left="1276" w:hanging="425"/>
        <w:jc w:val="both"/>
        <w:rPr>
          <w:rFonts w:ascii="Arial" w:hAnsi="Arial" w:cs="Arial"/>
          <w:noProof/>
          <w:lang w:val="en-GB"/>
        </w:rPr>
      </w:pPr>
      <w:r>
        <w:rPr>
          <w:rFonts w:ascii="Arial" w:hAnsi="Arial" w:cs="Arial"/>
          <w:noProof/>
          <w:lang w:val="en-GB"/>
        </w:rPr>
        <w:t>Greece has failed to comply with an earlier Court judgment</w:t>
      </w:r>
      <w:r>
        <w:rPr>
          <w:rStyle w:val="FootnoteReference"/>
          <w:rFonts w:ascii="Arial" w:hAnsi="Arial" w:cs="Arial"/>
          <w:noProof/>
          <w:lang w:val="en-GB"/>
        </w:rPr>
        <w:footnoteReference w:id="238"/>
      </w:r>
      <w:r>
        <w:rPr>
          <w:rFonts w:ascii="Arial" w:hAnsi="Arial" w:cs="Arial"/>
          <w:noProof/>
          <w:lang w:val="en-GB"/>
        </w:rPr>
        <w:t xml:space="preserve"> finding that it had </w:t>
      </w:r>
      <w:r>
        <w:rPr>
          <w:rFonts w:ascii="Arial" w:hAnsi="Arial" w:cs="Arial"/>
          <w:noProof/>
          <w:szCs w:val="20"/>
        </w:rPr>
        <w:t>failed</w:t>
      </w:r>
      <w:r>
        <w:rPr>
          <w:rFonts w:ascii="Arial" w:hAnsi="Arial" w:cs="Arial"/>
          <w:noProof/>
          <w:lang w:val="en-GB"/>
        </w:rPr>
        <w:t xml:space="preserve"> to </w:t>
      </w:r>
      <w:r>
        <w:rPr>
          <w:rFonts w:ascii="Arial" w:hAnsi="Arial" w:cs="Arial"/>
          <w:noProof/>
          <w:szCs w:val="20"/>
        </w:rPr>
        <w:t>implement</w:t>
      </w:r>
      <w:r>
        <w:rPr>
          <w:rFonts w:ascii="Arial" w:hAnsi="Arial" w:cs="Arial"/>
          <w:noProof/>
          <w:lang w:val="en-GB"/>
        </w:rPr>
        <w:t xml:space="preserve"> a Commission decision</w:t>
      </w:r>
      <w:r>
        <w:rPr>
          <w:noProof/>
        </w:rPr>
        <w:t xml:space="preserve"> </w:t>
      </w:r>
      <w:r>
        <w:rPr>
          <w:rFonts w:ascii="Arial" w:hAnsi="Arial" w:cs="Arial"/>
          <w:noProof/>
          <w:lang w:val="en-GB"/>
        </w:rPr>
        <w:t>ordering the recovery of State aid granted to Hellenic Shipyards. The Court ordered Greece to pay a lump sum of EUR 10 million and a penalty payment of EUR 7 294 000 for each 6 months of delay until full compliance is achieved</w:t>
      </w:r>
      <w:r>
        <w:rPr>
          <w:rStyle w:val="FootnoteReference"/>
          <w:rFonts w:ascii="Arial" w:hAnsi="Arial" w:cs="Arial"/>
          <w:noProof/>
          <w:lang w:val="en-GB"/>
        </w:rPr>
        <w:footnoteReference w:id="239"/>
      </w:r>
      <w:r>
        <w:rPr>
          <w:rFonts w:ascii="Arial" w:hAnsi="Arial" w:cs="Arial"/>
          <w:noProof/>
          <w:lang w:val="en-GB"/>
        </w:rPr>
        <w:t>.</w:t>
      </w:r>
    </w:p>
    <w:p>
      <w:pPr>
        <w:pStyle w:val="AnnualReport2"/>
        <w:numPr>
          <w:ilvl w:val="0"/>
          <w:numId w:val="95"/>
        </w:numPr>
        <w:rPr>
          <w:noProof/>
        </w:rPr>
      </w:pPr>
      <w:r>
        <w:rPr>
          <w:noProof/>
        </w:rPr>
        <w:t>Preliminary rulings</w:t>
      </w:r>
    </w:p>
    <w:p>
      <w:pPr>
        <w:pStyle w:val="Body"/>
        <w:ind w:left="426" w:firstLine="294"/>
        <w:jc w:val="both"/>
        <w:rPr>
          <w:noProof/>
          <w:highlight w:val="yellow"/>
          <w:lang w:val="en-GB"/>
        </w:rPr>
      </w:pPr>
      <w:r>
        <w:rPr>
          <w:noProof/>
        </w:rPr>
        <w:t xml:space="preserve">No major preliminary rulings were addressed to the </w:t>
      </w:r>
      <w:r>
        <w:rPr>
          <w:noProof/>
          <w:lang w:val="en-GB"/>
        </w:rPr>
        <w:t xml:space="preserve">Greek </w:t>
      </w:r>
      <w:r>
        <w:rPr>
          <w:noProof/>
        </w:rPr>
        <w:t>judiciary in 2018.</w:t>
      </w:r>
    </w:p>
    <w:p>
      <w:pPr>
        <w:pStyle w:val="Body"/>
        <w:ind w:firstLine="0"/>
        <w:rPr>
          <w:noProof/>
          <w:lang w:val="en-GB"/>
        </w:rPr>
      </w:pPr>
    </w:p>
    <w:p>
      <w:pPr>
        <w:spacing w:after="120"/>
        <w:contextualSpacing/>
        <w:rPr>
          <w:rFonts w:ascii="Verdana" w:eastAsia="Calibri" w:hAnsi="Verdana"/>
          <w:noProof/>
          <w:kern w:val="20"/>
          <w:sz w:val="20"/>
        </w:rPr>
        <w:sectPr>
          <w:headerReference w:type="even" r:id="rId151"/>
          <w:headerReference w:type="default" r:id="rId152"/>
          <w:footerReference w:type="even" r:id="rId153"/>
          <w:footerReference w:type="default" r:id="rId154"/>
          <w:headerReference w:type="first" r:id="rId155"/>
          <w:footerReference w:type="first" r:id="rId156"/>
          <w:footnotePr>
            <w:numRestart w:val="eachSect"/>
          </w:footnotePr>
          <w:pgSz w:w="11906" w:h="16838"/>
          <w:pgMar w:top="1843" w:right="1417" w:bottom="1134" w:left="1417" w:header="567" w:footer="351" w:gutter="0"/>
          <w:cols w:space="708"/>
          <w:titlePg/>
          <w:docGrid w:linePitch="360"/>
        </w:sectPr>
      </w:pPr>
    </w:p>
    <w:p>
      <w:pPr>
        <w:pStyle w:val="Heading1"/>
        <w:rPr>
          <w:noProof/>
          <w:szCs w:val="24"/>
        </w:rPr>
      </w:pPr>
      <w:bookmarkStart w:id="80" w:name="_Toc475974663"/>
      <w:bookmarkStart w:id="81" w:name="_Toc475980159"/>
      <w:bookmarkStart w:id="82" w:name="_Toc475981408"/>
      <w:bookmarkStart w:id="83" w:name="_Toc484622325"/>
      <w:bookmarkStart w:id="84" w:name="_Toc5788363"/>
      <w:r>
        <w:rPr>
          <w:noProof/>
          <w:szCs w:val="24"/>
        </w:rPr>
        <w:t>Spain</w:t>
      </w:r>
      <w:bookmarkEnd w:id="80"/>
      <w:bookmarkEnd w:id="81"/>
      <w:bookmarkEnd w:id="82"/>
      <w:bookmarkEnd w:id="83"/>
      <w:bookmarkEnd w:id="84"/>
    </w:p>
    <w:p>
      <w:pPr>
        <w:pStyle w:val="kop2"/>
        <w:numPr>
          <w:ilvl w:val="0"/>
          <w:numId w:val="6"/>
        </w:numPr>
        <w:spacing w:before="360" w:after="240"/>
        <w:ind w:left="709" w:hanging="425"/>
        <w:rPr>
          <w:noProof/>
        </w:rPr>
      </w:pPr>
      <w:r>
        <w:rPr>
          <w:noProof/>
        </w:rPr>
        <w:t>COMPLAINTS</w:t>
      </w:r>
    </w:p>
    <w:p>
      <w:pPr>
        <w:pStyle w:val="AnnualReport2"/>
        <w:numPr>
          <w:ilvl w:val="0"/>
          <w:numId w:val="101"/>
        </w:numPr>
        <w:rPr>
          <w:noProof/>
        </w:rPr>
      </w:pPr>
      <w:r>
        <w:rPr>
          <w:noProof/>
        </w:rPr>
        <w:t>New complaints made against Spain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96130" cy="2186305"/>
            <wp:effectExtent l="0" t="0" r="13970" b="4445"/>
            <wp:docPr id="9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AnnualReport2"/>
        <w:numPr>
          <w:ilvl w:val="0"/>
          <w:numId w:val="101"/>
        </w:numPr>
        <w:rPr>
          <w:noProof/>
        </w:rPr>
      </w:pPr>
      <w:r>
        <w:rPr>
          <w:noProof/>
        </w:rPr>
        <w:t>Public complaints against Spain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367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486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462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391</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101"/>
        </w:numPr>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321560"/>
            <wp:effectExtent l="0" t="0" r="1270" b="2540"/>
            <wp:docPr id="96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Body"/>
        <w:rPr>
          <w:rFonts w:eastAsia="MS Gothic"/>
          <w:noProof/>
        </w:rPr>
      </w:pPr>
      <w:r>
        <w:rPr>
          <w:rFonts w:eastAsia="MS Gothic"/>
          <w:noProof/>
        </w:rPr>
        <w:br w:type="page"/>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111"/>
        </w:numPr>
        <w:rPr>
          <w:noProof/>
        </w:rPr>
      </w:pPr>
      <w:r>
        <w:rPr>
          <w:noProof/>
        </w:rPr>
        <w:t>New EU Pilot files opened against Spain (2011-2018)</w:t>
      </w:r>
    </w:p>
    <w:p>
      <w:pPr>
        <w:pStyle w:val="Body"/>
        <w:rPr>
          <w:noProof/>
          <w:lang w:val="en-GB"/>
        </w:rPr>
      </w:pPr>
      <w:r>
        <w:rPr>
          <w:noProof/>
          <w:lang w:val="en-GB" w:eastAsia="en-GB"/>
        </w:rPr>
        <w:drawing>
          <wp:inline distT="0" distB="0" distL="0" distR="0">
            <wp:extent cx="4587875" cy="2353310"/>
            <wp:effectExtent l="0" t="0" r="0" b="0"/>
            <wp:docPr id="9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AnnualReport2"/>
        <w:numPr>
          <w:ilvl w:val="0"/>
          <w:numId w:val="111"/>
        </w:numPr>
        <w:rPr>
          <w:noProof/>
        </w:rPr>
      </w:pPr>
      <w:r>
        <w:rPr>
          <w:noProof/>
        </w:rPr>
        <w:t>Files relating to Spain open in EU Pilot at year-end</w:t>
      </w:r>
    </w:p>
    <w:p>
      <w:pPr>
        <w:spacing w:after="120"/>
        <w:ind w:firstLine="709"/>
        <w:rPr>
          <w:rFonts w:ascii="Arial" w:hAnsi="Arial" w:cs="Arial"/>
          <w:noProof/>
          <w:sz w:val="20"/>
        </w:rPr>
      </w:pPr>
      <w:r>
        <w:rPr>
          <w:rFonts w:cs="Arial"/>
          <w:noProof/>
          <w:sz w:val="20"/>
          <w:lang w:eastAsia="en-GB"/>
        </w:rPr>
        <w:drawing>
          <wp:inline distT="0" distB="0" distL="0" distR="0">
            <wp:extent cx="4587875" cy="2353310"/>
            <wp:effectExtent l="0" t="0" r="0" b="0"/>
            <wp:docPr id="96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AnnualReport2"/>
        <w:numPr>
          <w:ilvl w:val="0"/>
          <w:numId w:val="111"/>
        </w:numPr>
        <w:rPr>
          <w:noProof/>
        </w:rPr>
      </w:pPr>
      <w:r>
        <w:rPr>
          <w:noProof/>
        </w:rPr>
        <w:t>New EU Pilot files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299970"/>
            <wp:effectExtent l="0" t="0" r="4445" b="5080"/>
            <wp:docPr id="965"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spacing w:after="0" w:line="240" w:lineRule="auto"/>
        <w:rPr>
          <w:rFonts w:ascii="Arial" w:hAnsi="Arial"/>
          <w:noProof/>
          <w:color w:val="002060"/>
        </w:rPr>
      </w:pPr>
      <w:r>
        <w:rPr>
          <w:noProof/>
        </w:rPr>
        <w:br w:type="page"/>
      </w:r>
    </w:p>
    <w:p>
      <w:pPr>
        <w:pStyle w:val="AnnualReport2"/>
        <w:numPr>
          <w:ilvl w:val="0"/>
          <w:numId w:val="111"/>
        </w:numPr>
        <w:rPr>
          <w:noProof/>
        </w:rPr>
      </w:pPr>
      <w:r>
        <w:rPr>
          <w:noProof/>
        </w:rPr>
        <w:t>EU Pilot files: Spain’s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47900"/>
            <wp:effectExtent l="0" t="0" r="3175" b="0"/>
            <wp:docPr id="96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keepNext/>
        <w:keepLines/>
        <w:numPr>
          <w:ilvl w:val="0"/>
          <w:numId w:val="1"/>
        </w:numPr>
        <w:spacing w:before="360"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112"/>
        </w:numPr>
        <w:rPr>
          <w:noProof/>
        </w:rPr>
      </w:pPr>
      <w:r>
        <w:rPr>
          <w:noProof/>
        </w:rPr>
        <w:t>Infringement cases against Spain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63745" cy="2289810"/>
            <wp:effectExtent l="0" t="0" r="0" b="0"/>
            <wp:docPr id="96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AnnualReport2"/>
        <w:numPr>
          <w:ilvl w:val="0"/>
          <w:numId w:val="112"/>
        </w:numPr>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1756" cy="2393315"/>
            <wp:effectExtent l="0" t="0" r="17780" b="6985"/>
            <wp:docPr id="962" name="Objec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spacing w:after="0" w:line="240" w:lineRule="auto"/>
        <w:rPr>
          <w:rFonts w:ascii="Arial" w:hAnsi="Arial"/>
          <w:noProof/>
          <w:color w:val="002060"/>
        </w:rPr>
      </w:pPr>
      <w:r>
        <w:rPr>
          <w:noProof/>
        </w:rPr>
        <w:br w:type="page"/>
      </w:r>
    </w:p>
    <w:p>
      <w:pPr>
        <w:pStyle w:val="AnnualReport2"/>
        <w:numPr>
          <w:ilvl w:val="0"/>
          <w:numId w:val="112"/>
        </w:numPr>
        <w:rPr>
          <w:noProof/>
        </w:rPr>
      </w:pPr>
      <w:r>
        <w:rPr>
          <w:noProof/>
        </w:rPr>
        <w:t>Key infringement cases and referrals to the Court</w:t>
      </w:r>
    </w:p>
    <w:p>
      <w:pPr>
        <w:numPr>
          <w:ilvl w:val="0"/>
          <w:numId w:val="86"/>
        </w:numPr>
        <w:ind w:left="1276" w:hanging="425"/>
        <w:jc w:val="both"/>
        <w:rPr>
          <w:rFonts w:ascii="Arial" w:hAnsi="Arial" w:cs="Arial"/>
          <w:noProof/>
          <w:sz w:val="20"/>
          <w:szCs w:val="20"/>
        </w:rPr>
      </w:pPr>
      <w:r>
        <w:rPr>
          <w:rFonts w:ascii="Arial" w:hAnsi="Arial" w:cs="Arial"/>
          <w:noProof/>
          <w:sz w:val="20"/>
          <w:szCs w:val="20"/>
        </w:rPr>
        <w:t>The Commission opened 27 new infringement cases against in 2018. These, and other major ongoing infringement cases, include:</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failure to comply with EU rules on the minimum level of training of seafarers</w:t>
      </w:r>
      <w:r>
        <w:rPr>
          <w:rStyle w:val="FootnoteReference"/>
          <w:rFonts w:ascii="Arial" w:hAnsi="Arial" w:cs="Arial"/>
          <w:noProof/>
          <w:sz w:val="20"/>
          <w:szCs w:val="20"/>
        </w:rPr>
        <w:footnoteReference w:id="240"/>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241"/>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non-conformity with the Directive on the recognition of professional qualifications;</w:t>
      </w:r>
    </w:p>
    <w:p>
      <w:pPr>
        <w:pStyle w:val="ListParagraph"/>
        <w:numPr>
          <w:ilvl w:val="0"/>
          <w:numId w:val="102"/>
        </w:numPr>
        <w:ind w:left="1701" w:hanging="283"/>
        <w:jc w:val="both"/>
        <w:rPr>
          <w:rFonts w:ascii="Arial" w:hAnsi="Arial" w:cs="Arial"/>
          <w:noProof/>
          <w:sz w:val="20"/>
          <w:szCs w:val="20"/>
        </w:rPr>
      </w:pPr>
      <w:r>
        <w:rPr>
          <w:rFonts w:ascii="Arial" w:hAnsi="Arial" w:cs="Arial"/>
          <w:bCs/>
          <w:noProof/>
          <w:sz w:val="20"/>
          <w:szCs w:val="20"/>
        </w:rPr>
        <w:t xml:space="preserve">failure to ensure individual metering and billing for heat energy </w:t>
      </w:r>
      <w:r>
        <w:rPr>
          <w:rFonts w:ascii="Arial" w:hAnsi="Arial" w:cs="Arial"/>
          <w:noProof/>
          <w:sz w:val="20"/>
          <w:szCs w:val="20"/>
        </w:rPr>
        <w:t>in multi-apartment buildings, as required under the Energy Efficiency Directive</w:t>
      </w:r>
      <w:r>
        <w:rPr>
          <w:rStyle w:val="FootnoteReference"/>
          <w:rFonts w:ascii="Arial" w:hAnsi="Arial" w:cs="Arial"/>
          <w:noProof/>
          <w:sz w:val="20"/>
          <w:szCs w:val="20"/>
        </w:rPr>
        <w:footnoteReference w:id="242"/>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243"/>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non-communication of flood risk management plans</w:t>
      </w:r>
      <w:r>
        <w:rPr>
          <w:rStyle w:val="FootnoteReference"/>
          <w:rFonts w:ascii="Arial" w:hAnsi="Arial" w:cs="Arial"/>
          <w:noProof/>
          <w:sz w:val="20"/>
          <w:szCs w:val="20"/>
        </w:rPr>
        <w:footnoteReference w:id="244"/>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245"/>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incorrect transposition of the Directive on the protection of animals used for scientific purposes</w:t>
      </w:r>
      <w:r>
        <w:rPr>
          <w:rStyle w:val="FootnoteReference"/>
          <w:rFonts w:ascii="Arial" w:hAnsi="Arial" w:cs="Arial"/>
          <w:noProof/>
          <w:sz w:val="20"/>
          <w:szCs w:val="20"/>
        </w:rPr>
        <w:footnoteReference w:id="246"/>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insufficient protection of waters against pollution caused by nitrates from agricultural sources</w:t>
      </w:r>
      <w:r>
        <w:rPr>
          <w:rStyle w:val="FootnoteReference"/>
          <w:rFonts w:ascii="Arial" w:hAnsi="Arial" w:cs="Arial"/>
          <w:noProof/>
          <w:sz w:val="20"/>
          <w:szCs w:val="20"/>
        </w:rPr>
        <w:footnoteReference w:id="247"/>
      </w:r>
      <w:r>
        <w:rPr>
          <w:rFonts w:ascii="Arial" w:hAnsi="Arial" w:cs="Arial"/>
          <w:noProof/>
          <w:sz w:val="20"/>
          <w:szCs w:val="20"/>
        </w:rPr>
        <w:t>;</w:t>
      </w:r>
    </w:p>
    <w:p>
      <w:pPr>
        <w:pStyle w:val="ListParagraph"/>
        <w:numPr>
          <w:ilvl w:val="0"/>
          <w:numId w:val="102"/>
        </w:numPr>
        <w:ind w:left="1701" w:hanging="283"/>
        <w:jc w:val="both"/>
        <w:rPr>
          <w:rFonts w:ascii="Arial" w:hAnsi="Arial" w:cs="Arial"/>
          <w:noProof/>
          <w:sz w:val="20"/>
          <w:szCs w:val="20"/>
        </w:rPr>
      </w:pPr>
      <w:r>
        <w:rPr>
          <w:rFonts w:ascii="Arial" w:hAnsi="Arial" w:cs="Arial"/>
          <w:noProof/>
          <w:sz w:val="20"/>
          <w:szCs w:val="20"/>
        </w:rPr>
        <w:t xml:space="preserve">non-communication of national measures transposing the </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Payment Services Directive</w:t>
      </w:r>
      <w:r>
        <w:rPr>
          <w:rStyle w:val="FootnoteReference"/>
          <w:rFonts w:ascii="Arial" w:hAnsi="Arial" w:cs="Arial"/>
          <w:noProof/>
          <w:sz w:val="20"/>
          <w:szCs w:val="20"/>
        </w:rPr>
        <w:footnoteReference w:id="248"/>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Insurance Distribution Directive</w:t>
      </w:r>
      <w:r>
        <w:rPr>
          <w:rStyle w:val="FootnoteReference"/>
          <w:rFonts w:ascii="Arial" w:hAnsi="Arial" w:cs="Arial"/>
          <w:noProof/>
          <w:sz w:val="20"/>
          <w:szCs w:val="20"/>
        </w:rPr>
        <w:footnoteReference w:id="249"/>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sz w:val="20"/>
          <w:szCs w:val="20"/>
        </w:rPr>
        <w:footnoteReference w:id="250"/>
      </w:r>
    </w:p>
    <w:p>
      <w:pPr>
        <w:pStyle w:val="ListParagraph"/>
        <w:numPr>
          <w:ilvl w:val="0"/>
          <w:numId w:val="129"/>
        </w:numPr>
        <w:ind w:left="2410"/>
        <w:jc w:val="both"/>
        <w:rPr>
          <w:rFonts w:ascii="Arial" w:hAnsi="Arial" w:cs="Arial"/>
          <w:noProof/>
          <w:sz w:val="20"/>
          <w:szCs w:val="20"/>
        </w:rPr>
      </w:pPr>
      <w:r>
        <w:rPr>
          <w:rFonts w:ascii="Arial" w:eastAsia="Calibri" w:hAnsi="Arial" w:cs="Arial"/>
          <w:noProof/>
          <w:kern w:val="20"/>
          <w:sz w:val="20"/>
          <w:szCs w:val="20"/>
          <w:lang w:eastAsia="en-GB"/>
        </w:rPr>
        <w:t>Commission Directive amending the Directive on quality system standards and specifications for blood establishments;</w:t>
      </w:r>
      <w:r>
        <w:rPr>
          <w:rStyle w:val="FootnoteReference"/>
          <w:rFonts w:ascii="Arial" w:eastAsia="Calibri" w:hAnsi="Arial" w:cs="Arial"/>
          <w:noProof/>
          <w:kern w:val="20"/>
          <w:sz w:val="20"/>
          <w:szCs w:val="20"/>
          <w:lang w:eastAsia="en-GB"/>
        </w:rPr>
        <w:footnoteReference w:id="251"/>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Nuclear Safety Directive</w:t>
      </w:r>
      <w:r>
        <w:rPr>
          <w:rStyle w:val="FootnoteReference"/>
          <w:rFonts w:ascii="Arial" w:hAnsi="Arial" w:cs="Arial"/>
          <w:noProof/>
          <w:sz w:val="20"/>
          <w:szCs w:val="20"/>
        </w:rPr>
        <w:footnoteReference w:id="252"/>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253"/>
      </w:r>
    </w:p>
    <w:p>
      <w:pPr>
        <w:numPr>
          <w:ilvl w:val="0"/>
          <w:numId w:val="86"/>
        </w:numPr>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numPr>
          <w:ilvl w:val="1"/>
          <w:numId w:val="2"/>
        </w:numPr>
        <w:ind w:left="1701" w:hanging="283"/>
        <w:jc w:val="both"/>
        <w:rPr>
          <w:rFonts w:ascii="Arial" w:hAnsi="Arial" w:cs="Arial"/>
          <w:i/>
          <w:noProof/>
          <w:sz w:val="20"/>
          <w:szCs w:val="20"/>
        </w:rPr>
      </w:pPr>
      <w:r>
        <w:rPr>
          <w:rFonts w:ascii="Arial" w:hAnsi="Arial" w:cs="Arial"/>
          <w:noProof/>
          <w:sz w:val="20"/>
          <w:szCs w:val="20"/>
        </w:rPr>
        <w:t>failure to adopt waste management plans and to revise these plans in accordance with the Waste Framework Directive</w:t>
      </w:r>
      <w:r>
        <w:rPr>
          <w:rStyle w:val="FootnoteReference"/>
          <w:rFonts w:ascii="Arial" w:hAnsi="Arial" w:cs="Arial"/>
          <w:noProof/>
          <w:sz w:val="20"/>
          <w:szCs w:val="20"/>
        </w:rPr>
        <w:footnoteReference w:id="254"/>
      </w:r>
      <w:r>
        <w:rPr>
          <w:rFonts w:ascii="Arial" w:hAnsi="Arial" w:cs="Arial"/>
          <w:noProof/>
          <w:sz w:val="20"/>
          <w:szCs w:val="20"/>
        </w:rPr>
        <w:t>;</w:t>
      </w:r>
    </w:p>
    <w:p>
      <w:pPr>
        <w:numPr>
          <w:ilvl w:val="1"/>
          <w:numId w:val="2"/>
        </w:numPr>
        <w:ind w:left="1701" w:hanging="283"/>
        <w:jc w:val="both"/>
        <w:rPr>
          <w:rFonts w:ascii="Arial" w:hAnsi="Arial" w:cs="Arial"/>
          <w:noProof/>
          <w:sz w:val="20"/>
          <w:szCs w:val="20"/>
        </w:rPr>
      </w:pPr>
      <w:r>
        <w:rPr>
          <w:rFonts w:ascii="Arial" w:hAnsi="Arial" w:cs="Arial"/>
          <w:noProof/>
          <w:sz w:val="20"/>
          <w:szCs w:val="20"/>
        </w:rPr>
        <w:t>failure to adopt and review the river basin management plans for the Canary Islands</w:t>
      </w:r>
      <w:r>
        <w:rPr>
          <w:rStyle w:val="FootnoteReference"/>
          <w:rFonts w:ascii="Arial" w:hAnsi="Arial" w:cs="Arial"/>
          <w:noProof/>
          <w:sz w:val="20"/>
          <w:szCs w:val="20"/>
        </w:rPr>
        <w:footnoteReference w:id="255"/>
      </w:r>
      <w:r>
        <w:rPr>
          <w:rFonts w:ascii="Arial" w:hAnsi="Arial" w:cs="Arial"/>
          <w:noProof/>
          <w:sz w:val="20"/>
          <w:szCs w:val="20"/>
        </w:rPr>
        <w:t>.</w:t>
      </w:r>
    </w:p>
    <w:p>
      <w:pPr>
        <w:numPr>
          <w:ilvl w:val="0"/>
          <w:numId w:val="86"/>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29"/>
        </w:numPr>
        <w:ind w:left="709" w:hanging="425"/>
        <w:rPr>
          <w:noProof/>
        </w:rPr>
      </w:pPr>
      <w:r>
        <w:rPr>
          <w:noProof/>
        </w:rPr>
        <w:t>Late transposition infringement cases against Spain open on 31 December (2014-2018)</w:t>
      </w:r>
    </w:p>
    <w:p>
      <w:pPr>
        <w:ind w:left="426" w:firstLine="283"/>
        <w:rPr>
          <w:rFonts w:ascii="Arial" w:hAnsi="Arial"/>
          <w:noProof/>
          <w:color w:val="002060"/>
        </w:rPr>
      </w:pPr>
      <w:r>
        <w:rPr>
          <w:noProof/>
          <w:lang w:eastAsia="en-GB"/>
        </w:rPr>
        <w:drawing>
          <wp:inline distT="0" distB="0" distL="0" distR="0">
            <wp:extent cx="4596130" cy="2444554"/>
            <wp:effectExtent l="0" t="0" r="13970" b="13335"/>
            <wp:docPr id="96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AnnualReport2"/>
        <w:numPr>
          <w:ilvl w:val="0"/>
          <w:numId w:val="29"/>
        </w:numPr>
        <w:ind w:left="709" w:hanging="425"/>
        <w:rPr>
          <w:noProof/>
        </w:rPr>
      </w:pPr>
      <w:r>
        <w:rPr>
          <w:noProof/>
        </w:rPr>
        <w:t>New late transposition infringement cases against Spain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282727"/>
            <wp:effectExtent l="0" t="0" r="13970" b="3810"/>
            <wp:docPr id="960"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AnnualReport2"/>
        <w:numPr>
          <w:ilvl w:val="0"/>
          <w:numId w:val="29"/>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393315"/>
            <wp:effectExtent l="0" t="0" r="10795" b="6985"/>
            <wp:docPr id="52" name="Objec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AnnualReport2"/>
        <w:numPr>
          <w:ilvl w:val="0"/>
          <w:numId w:val="29"/>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 xml:space="preserve">The Commission referred four cases to the Court under Articles 258 and 260(3) TFEU. They concern </w:t>
      </w:r>
      <w:r>
        <w:rPr>
          <w:rFonts w:ascii="Arial" w:hAnsi="Arial" w:cs="Arial"/>
          <w:noProof/>
          <w:sz w:val="20"/>
          <w:szCs w:val="20"/>
          <w:lang w:bidi="en-US"/>
        </w:rPr>
        <w:t>non-communication of national measures transposing the:</w:t>
      </w:r>
    </w:p>
    <w:p>
      <w:pPr>
        <w:pStyle w:val="ListParagraph"/>
        <w:numPr>
          <w:ilvl w:val="1"/>
          <w:numId w:val="14"/>
        </w:numPr>
        <w:spacing w:after="120"/>
        <w:ind w:left="1418"/>
        <w:jc w:val="both"/>
        <w:rPr>
          <w:rFonts w:ascii="Arial" w:hAnsi="Arial"/>
          <w:noProof/>
          <w:kern w:val="20"/>
          <w:sz w:val="20"/>
        </w:rPr>
      </w:pPr>
      <w:r>
        <w:rPr>
          <w:rFonts w:ascii="Arial" w:hAnsi="Arial" w:cs="Arial"/>
          <w:noProof/>
          <w:sz w:val="20"/>
          <w:szCs w:val="20"/>
          <w:lang w:bidi="en-US"/>
        </w:rPr>
        <w:t>D</w:t>
      </w:r>
      <w:r>
        <w:rPr>
          <w:rFonts w:ascii="Arial" w:hAnsi="Arial"/>
          <w:noProof/>
          <w:sz w:val="20"/>
        </w:rPr>
        <w:t>irective on collective management of copyright and related rights and multi-territorial licensing of rights in musical works for online use in the internal market</w:t>
      </w:r>
      <w:r>
        <w:rPr>
          <w:rFonts w:ascii="Arial" w:hAnsi="Arial"/>
          <w:noProof/>
          <w:sz w:val="20"/>
          <w:vertAlign w:val="superscript"/>
        </w:rPr>
        <w:footnoteReference w:id="256"/>
      </w:r>
      <w:r>
        <w:rPr>
          <w:rFonts w:ascii="Arial" w:hAnsi="Arial" w:cs="Arial"/>
          <w:noProof/>
          <w:sz w:val="20"/>
          <w:szCs w:val="20"/>
          <w:lang w:bidi="en-US"/>
        </w:rPr>
        <w:t>;</w:t>
      </w:r>
    </w:p>
    <w:p>
      <w:pPr>
        <w:pStyle w:val="ListParagraph"/>
        <w:numPr>
          <w:ilvl w:val="1"/>
          <w:numId w:val="14"/>
        </w:numPr>
        <w:spacing w:after="120"/>
        <w:ind w:left="1418"/>
        <w:jc w:val="both"/>
        <w:rPr>
          <w:rFonts w:ascii="Arial" w:hAnsi="Arial"/>
          <w:noProof/>
          <w:kern w:val="20"/>
          <w:sz w:val="20"/>
        </w:rPr>
      </w:pPr>
      <w:r>
        <w:rPr>
          <w:rFonts w:ascii="Arial" w:hAnsi="Arial"/>
          <w:noProof/>
          <w:sz w:val="20"/>
        </w:rPr>
        <w:t>Directive on the award of concession contracts</w:t>
      </w:r>
      <w:r>
        <w:rPr>
          <w:rStyle w:val="FootnoteReference"/>
          <w:rFonts w:ascii="Arial" w:hAnsi="Arial" w:cs="Arial"/>
          <w:noProof/>
          <w:sz w:val="20"/>
          <w:szCs w:val="20"/>
        </w:rPr>
        <w:footnoteReference w:id="257"/>
      </w:r>
      <w:r>
        <w:rPr>
          <w:rFonts w:ascii="Arial" w:hAnsi="Arial"/>
          <w:noProof/>
          <w:sz w:val="20"/>
        </w:rPr>
        <w:t xml:space="preserve">; </w:t>
      </w:r>
    </w:p>
    <w:p>
      <w:pPr>
        <w:pStyle w:val="ListParagraph"/>
        <w:numPr>
          <w:ilvl w:val="1"/>
          <w:numId w:val="14"/>
        </w:numPr>
        <w:spacing w:after="120"/>
        <w:ind w:left="1418"/>
        <w:jc w:val="both"/>
        <w:rPr>
          <w:rFonts w:ascii="Arial" w:hAnsi="Arial"/>
          <w:noProof/>
          <w:kern w:val="20"/>
          <w:sz w:val="20"/>
        </w:rPr>
      </w:pPr>
      <w:r>
        <w:rPr>
          <w:rFonts w:ascii="Arial" w:hAnsi="Arial"/>
          <w:noProof/>
          <w:sz w:val="20"/>
        </w:rPr>
        <w:t>Directive on procurement by entities operating in the water, energy, transport and postal services sectors</w:t>
      </w:r>
      <w:r>
        <w:rPr>
          <w:rStyle w:val="FootnoteReference"/>
          <w:rFonts w:ascii="Arial" w:hAnsi="Arial" w:cs="Arial"/>
          <w:noProof/>
          <w:sz w:val="20"/>
          <w:szCs w:val="20"/>
        </w:rPr>
        <w:footnoteReference w:id="258"/>
      </w:r>
      <w:r>
        <w:rPr>
          <w:rFonts w:ascii="Arial" w:hAnsi="Arial"/>
          <w:noProof/>
          <w:sz w:val="20"/>
        </w:rPr>
        <w:t>;</w:t>
      </w:r>
    </w:p>
    <w:p>
      <w:pPr>
        <w:pStyle w:val="ListParagraph"/>
        <w:numPr>
          <w:ilvl w:val="1"/>
          <w:numId w:val="14"/>
        </w:numPr>
        <w:spacing w:after="120"/>
        <w:ind w:left="1418"/>
        <w:jc w:val="both"/>
        <w:rPr>
          <w:rFonts w:ascii="Arial" w:hAnsi="Arial"/>
          <w:noProof/>
          <w:kern w:val="20"/>
          <w:sz w:val="20"/>
        </w:rPr>
      </w:pPr>
      <w:r>
        <w:rPr>
          <w:rFonts w:ascii="Arial" w:hAnsi="Arial"/>
          <w:noProof/>
          <w:kern w:val="20"/>
          <w:sz w:val="20"/>
        </w:rPr>
        <w:t>Payments Account Directive;</w:t>
      </w:r>
      <w:r>
        <w:rPr>
          <w:rStyle w:val="FootnoteReference"/>
          <w:rFonts w:ascii="Arial" w:hAnsi="Arial" w:cs="Arial"/>
          <w:noProof/>
          <w:sz w:val="20"/>
          <w:szCs w:val="20"/>
        </w:rPr>
        <w:footnoteReference w:id="259"/>
      </w:r>
    </w:p>
    <w:p>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pStyle w:val="ListParagraph"/>
        <w:spacing w:after="60"/>
        <w:ind w:left="709"/>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pStyle w:val="ListParagraph"/>
        <w:numPr>
          <w:ilvl w:val="0"/>
          <w:numId w:val="135"/>
        </w:numPr>
        <w:spacing w:after="120"/>
        <w:jc w:val="both"/>
        <w:rPr>
          <w:rFonts w:ascii="Arial" w:hAnsi="Arial" w:cs="Arial"/>
          <w:noProof/>
          <w:sz w:val="20"/>
        </w:rPr>
      </w:pPr>
      <w:r>
        <w:rPr>
          <w:rFonts w:ascii="Arial" w:hAnsi="Arial" w:cs="Arial"/>
          <w:bCs/>
          <w:noProof/>
          <w:sz w:val="20"/>
        </w:rPr>
        <w:t>non-compliance with the Regulation on the marketing and use of explosives precursors</w:t>
      </w:r>
      <w:r>
        <w:rPr>
          <w:rFonts w:ascii="Arial" w:hAnsi="Arial" w:cs="Arial"/>
          <w:bCs/>
          <w:noProof/>
          <w:sz w:val="20"/>
          <w:vertAlign w:val="superscript"/>
        </w:rPr>
        <w:footnoteReference w:id="260"/>
      </w:r>
      <w:r>
        <w:rPr>
          <w:rFonts w:ascii="Arial" w:hAnsi="Arial" w:cs="Arial"/>
          <w:bCs/>
          <w:noProof/>
          <w:sz w:val="20"/>
        </w:rPr>
        <w:t>;</w:t>
      </w:r>
    </w:p>
    <w:p>
      <w:pPr>
        <w:pStyle w:val="ListParagraph"/>
        <w:numPr>
          <w:ilvl w:val="0"/>
          <w:numId w:val="135"/>
        </w:numPr>
        <w:spacing w:after="120"/>
        <w:jc w:val="both"/>
        <w:rPr>
          <w:rFonts w:ascii="Arial" w:hAnsi="Arial" w:cs="Arial"/>
          <w:noProof/>
          <w:sz w:val="20"/>
        </w:rPr>
      </w:pPr>
      <w:r>
        <w:rPr>
          <w:rFonts w:ascii="Arial" w:hAnsi="Arial" w:cs="Arial"/>
          <w:noProof/>
          <w:sz w:val="20"/>
          <w:szCs w:val="20"/>
          <w:lang w:bidi="en-US"/>
        </w:rPr>
        <w:t xml:space="preserve">delays in conducting market reviews, in breach of the Directive </w:t>
      </w:r>
      <w:r>
        <w:rPr>
          <w:rFonts w:ascii="Arial" w:hAnsi="Arial" w:cs="Arial"/>
          <w:noProof/>
          <w:sz w:val="20"/>
          <w:szCs w:val="20"/>
        </w:rPr>
        <w:t>on a common regulatory framework for electronic communications networks and services</w:t>
      </w:r>
      <w:r>
        <w:rPr>
          <w:rFonts w:ascii="Arial" w:hAnsi="Arial" w:cs="Arial"/>
          <w:noProof/>
          <w:sz w:val="20"/>
          <w:szCs w:val="20"/>
          <w:lang w:bidi="en-US"/>
        </w:rPr>
        <w:t>;</w:t>
      </w:r>
      <w:r>
        <w:rPr>
          <w:rStyle w:val="FootnoteReference"/>
          <w:rFonts w:ascii="Arial" w:hAnsi="Arial" w:cs="Arial"/>
          <w:noProof/>
          <w:sz w:val="20"/>
          <w:szCs w:val="20"/>
          <w:lang w:bidi="en-US"/>
        </w:rPr>
        <w:t xml:space="preserve"> </w:t>
      </w:r>
      <w:r>
        <w:rPr>
          <w:rStyle w:val="FootnoteReference"/>
          <w:rFonts w:ascii="Arial" w:hAnsi="Arial" w:cs="Arial"/>
          <w:noProof/>
          <w:sz w:val="20"/>
          <w:szCs w:val="20"/>
          <w:lang w:bidi="en-US"/>
        </w:rPr>
        <w:footnoteReference w:id="261"/>
      </w:r>
    </w:p>
    <w:p>
      <w:pPr>
        <w:pStyle w:val="ListParagraph"/>
        <w:numPr>
          <w:ilvl w:val="0"/>
          <w:numId w:val="135"/>
        </w:numPr>
        <w:spacing w:after="120"/>
        <w:jc w:val="both"/>
        <w:rPr>
          <w:rFonts w:ascii="Arial" w:hAnsi="Arial" w:cs="Arial"/>
          <w:noProof/>
          <w:sz w:val="20"/>
        </w:rPr>
      </w:pPr>
      <w:r>
        <w:rPr>
          <w:rFonts w:ascii="Arial" w:hAnsi="Arial" w:cs="Arial"/>
          <w:noProof/>
          <w:sz w:val="20"/>
          <w:szCs w:val="20"/>
          <w:lang w:bidi="en-US"/>
        </w:rPr>
        <w:t xml:space="preserve">non-conformity with the Directive </w:t>
      </w:r>
      <w:r>
        <w:rPr>
          <w:rFonts w:ascii="Arial" w:hAnsi="Arial" w:cs="Arial"/>
          <w:noProof/>
          <w:sz w:val="20"/>
          <w:szCs w:val="20"/>
        </w:rPr>
        <w:t>on rental right and lending right and on certain rights related to copyright in the field of intellectual property</w:t>
      </w:r>
      <w:r>
        <w:rPr>
          <w:rStyle w:val="FootnoteReference"/>
          <w:rFonts w:ascii="Arial" w:hAnsi="Arial" w:cs="Arial"/>
          <w:noProof/>
          <w:sz w:val="20"/>
          <w:szCs w:val="20"/>
          <w:lang w:bidi="en-US"/>
        </w:rPr>
        <w:footnoteReference w:id="262"/>
      </w:r>
      <w:r>
        <w:rPr>
          <w:rFonts w:ascii="Arial" w:hAnsi="Arial" w:cs="Arial"/>
          <w:noProof/>
          <w:sz w:val="20"/>
          <w:szCs w:val="20"/>
          <w:lang w:bidi="en-US"/>
        </w:rPr>
        <w:t>;</w:t>
      </w:r>
    </w:p>
    <w:p>
      <w:pPr>
        <w:pStyle w:val="ListParagraph"/>
        <w:numPr>
          <w:ilvl w:val="0"/>
          <w:numId w:val="135"/>
        </w:numPr>
        <w:spacing w:after="120"/>
        <w:jc w:val="both"/>
        <w:rPr>
          <w:rFonts w:ascii="Arial" w:hAnsi="Arial" w:cs="Arial"/>
          <w:noProof/>
          <w:sz w:val="20"/>
        </w:rPr>
      </w:pPr>
      <w:r>
        <w:rPr>
          <w:rFonts w:ascii="Arial" w:hAnsi="Arial" w:cs="Arial"/>
          <w:noProof/>
          <w:sz w:val="20"/>
          <w:szCs w:val="20"/>
        </w:rPr>
        <w:t>discriminatory and excessive requirements for participation in public procurement of ambulance services</w:t>
      </w:r>
      <w:r>
        <w:rPr>
          <w:rStyle w:val="FootnoteReference"/>
          <w:rFonts w:ascii="Arial" w:hAnsi="Arial" w:cs="Arial"/>
          <w:noProof/>
          <w:sz w:val="20"/>
          <w:szCs w:val="20"/>
        </w:rPr>
        <w:footnoteReference w:id="263"/>
      </w:r>
      <w:r>
        <w:rPr>
          <w:rFonts w:ascii="Arial" w:hAnsi="Arial" w:cs="Arial"/>
          <w:noProof/>
          <w:sz w:val="20"/>
          <w:szCs w:val="20"/>
        </w:rPr>
        <w:t>;</w:t>
      </w:r>
    </w:p>
    <w:p>
      <w:pPr>
        <w:pStyle w:val="ListParagraph"/>
        <w:numPr>
          <w:ilvl w:val="0"/>
          <w:numId w:val="135"/>
        </w:numPr>
        <w:spacing w:after="120"/>
        <w:jc w:val="both"/>
        <w:rPr>
          <w:rFonts w:ascii="Arial" w:hAnsi="Arial" w:cs="Arial"/>
          <w:noProof/>
          <w:sz w:val="20"/>
          <w:szCs w:val="20"/>
        </w:rPr>
      </w:pPr>
      <w:r>
        <w:rPr>
          <w:rFonts w:ascii="Arial" w:hAnsi="Arial" w:cs="Arial"/>
          <w:noProof/>
          <w:sz w:val="20"/>
          <w:szCs w:val="20"/>
        </w:rPr>
        <w:t>a project to upgrade maritime access to the Port of Seville by dredging the Guadalquivir River, in breach of the Habitats Directive</w:t>
      </w:r>
      <w:r>
        <w:rPr>
          <w:rStyle w:val="FootnoteReference"/>
          <w:rFonts w:ascii="Arial" w:hAnsi="Arial" w:cs="Arial"/>
          <w:noProof/>
          <w:sz w:val="20"/>
          <w:szCs w:val="20"/>
        </w:rPr>
        <w:footnoteReference w:id="264"/>
      </w:r>
      <w:r>
        <w:rPr>
          <w:rFonts w:ascii="Arial" w:hAnsi="Arial" w:cs="Arial"/>
          <w:noProof/>
          <w:sz w:val="20"/>
          <w:szCs w:val="20"/>
        </w:rPr>
        <w:t>;non-communication of national measures transposing the:</w:t>
      </w:r>
    </w:p>
    <w:p>
      <w:pPr>
        <w:pStyle w:val="ListParagraph"/>
        <w:numPr>
          <w:ilvl w:val="1"/>
          <w:numId w:val="135"/>
        </w:numPr>
        <w:spacing w:after="120"/>
        <w:jc w:val="both"/>
        <w:rPr>
          <w:rFonts w:ascii="Arial" w:hAnsi="Arial" w:cs="Arial"/>
          <w:noProof/>
          <w:sz w:val="20"/>
          <w:szCs w:val="20"/>
        </w:rPr>
      </w:pPr>
      <w:r>
        <w:rPr>
          <w:rFonts w:ascii="Arial" w:hAnsi="Arial" w:cs="Arial"/>
          <w:noProof/>
          <w:sz w:val="20"/>
          <w:szCs w:val="20"/>
        </w:rPr>
        <w:t>Directive on fuel quality reporting requirements and calculation methods</w:t>
      </w:r>
      <w:r>
        <w:rPr>
          <w:rStyle w:val="FootnoteReference"/>
          <w:rFonts w:ascii="Arial" w:hAnsi="Arial" w:cs="Arial"/>
          <w:noProof/>
          <w:sz w:val="20"/>
          <w:szCs w:val="20"/>
        </w:rPr>
        <w:footnoteReference w:id="265"/>
      </w:r>
      <w:r>
        <w:rPr>
          <w:rFonts w:ascii="Arial" w:hAnsi="Arial" w:cs="Arial"/>
          <w:noProof/>
          <w:sz w:val="20"/>
          <w:szCs w:val="20"/>
        </w:rPr>
        <w:t>;</w:t>
      </w:r>
    </w:p>
    <w:p>
      <w:pPr>
        <w:pStyle w:val="ListParagraph"/>
        <w:numPr>
          <w:ilvl w:val="1"/>
          <w:numId w:val="135"/>
        </w:numPr>
        <w:spacing w:after="120"/>
        <w:jc w:val="both"/>
        <w:rPr>
          <w:rFonts w:ascii="Arial" w:hAnsi="Arial" w:cs="Arial"/>
          <w:noProof/>
          <w:sz w:val="20"/>
          <w:szCs w:val="20"/>
        </w:rPr>
      </w:pPr>
      <w:r>
        <w:rPr>
          <w:rFonts w:ascii="Arial" w:eastAsia="Calibri" w:hAnsi="Arial" w:cs="Arial"/>
          <w:noProof/>
          <w:kern w:val="20"/>
          <w:sz w:val="20"/>
          <w:szCs w:val="20"/>
          <w:lang w:eastAsia="en-GB"/>
        </w:rPr>
        <w:t>Commission Directive amending the Directive on quality system standards and specifications for blood establishments</w:t>
      </w:r>
      <w:r>
        <w:rPr>
          <w:noProof/>
          <w:vertAlign w:val="superscript"/>
          <w:lang w:val="nl-NL" w:eastAsia="en-GB"/>
        </w:rPr>
        <w:footnoteReference w:id="266"/>
      </w:r>
      <w:r>
        <w:rPr>
          <w:rFonts w:ascii="Arial" w:eastAsia="Calibri" w:hAnsi="Arial" w:cs="Arial"/>
          <w:noProof/>
          <w:kern w:val="20"/>
          <w:sz w:val="20"/>
          <w:szCs w:val="20"/>
          <w:lang w:eastAsia="en-GB"/>
        </w:rPr>
        <w:t>;</w:t>
      </w:r>
    </w:p>
    <w:p>
      <w:pPr>
        <w:pStyle w:val="ListParagraph"/>
        <w:numPr>
          <w:ilvl w:val="1"/>
          <w:numId w:val="135"/>
        </w:numPr>
        <w:spacing w:after="120"/>
        <w:jc w:val="both"/>
        <w:rPr>
          <w:rFonts w:ascii="Arial" w:hAnsi="Arial" w:cs="Arial"/>
          <w:noProof/>
          <w:sz w:val="20"/>
          <w:szCs w:val="20"/>
        </w:rPr>
      </w:pPr>
      <w:r>
        <w:rPr>
          <w:rFonts w:ascii="Arial" w:hAnsi="Arial" w:cs="Arial"/>
          <w:noProof/>
          <w:sz w:val="20"/>
          <w:szCs w:val="20"/>
        </w:rPr>
        <w:t>Directive on alternative dispute resolution for consumers disputes</w:t>
      </w:r>
      <w:r>
        <w:rPr>
          <w:rStyle w:val="FootnoteReference"/>
          <w:rFonts w:ascii="Arial" w:hAnsi="Arial" w:cs="Arial"/>
          <w:noProof/>
          <w:sz w:val="20"/>
          <w:szCs w:val="20"/>
        </w:rPr>
        <w:footnoteReference w:id="267"/>
      </w:r>
      <w:r>
        <w:rPr>
          <w:rFonts w:ascii="Arial" w:hAnsi="Arial" w:cs="Arial"/>
          <w:noProof/>
          <w:sz w:val="20"/>
          <w:szCs w:val="20"/>
        </w:rPr>
        <w:t>;</w:t>
      </w:r>
    </w:p>
    <w:p>
      <w:pPr>
        <w:pStyle w:val="ListParagraph"/>
        <w:numPr>
          <w:ilvl w:val="1"/>
          <w:numId w:val="135"/>
        </w:numPr>
        <w:spacing w:after="120"/>
        <w:jc w:val="both"/>
        <w:rPr>
          <w:rFonts w:ascii="Arial" w:hAnsi="Arial" w:cs="Arial"/>
          <w:noProof/>
          <w:sz w:val="20"/>
          <w:szCs w:val="20"/>
        </w:rPr>
      </w:pPr>
      <w:r>
        <w:rPr>
          <w:rFonts w:ascii="Arial" w:hAnsi="Arial" w:cs="Arial"/>
          <w:noProof/>
          <w:sz w:val="20"/>
          <w:szCs w:val="20"/>
        </w:rPr>
        <w:t>Antitrust Damages Directive</w:t>
      </w:r>
      <w:r>
        <w:rPr>
          <w:rStyle w:val="FootnoteReference"/>
          <w:rFonts w:ascii="Arial" w:hAnsi="Arial" w:cs="Arial"/>
          <w:noProof/>
          <w:sz w:val="20"/>
          <w:szCs w:val="20"/>
        </w:rPr>
        <w:footnoteReference w:id="268"/>
      </w:r>
      <w:r>
        <w:rPr>
          <w:rFonts w:ascii="Arial" w:hAnsi="Arial" w:cs="Arial"/>
          <w:noProof/>
          <w:sz w:val="20"/>
          <w:szCs w:val="20"/>
        </w:rPr>
        <w:t>;</w:t>
      </w:r>
    </w:p>
    <w:p>
      <w:pPr>
        <w:pStyle w:val="ListParagraph"/>
        <w:numPr>
          <w:ilvl w:val="1"/>
          <w:numId w:val="135"/>
        </w:numPr>
        <w:spacing w:after="120"/>
        <w:jc w:val="both"/>
        <w:rPr>
          <w:rFonts w:ascii="Arial" w:hAnsi="Arial" w:cs="Arial"/>
          <w:noProof/>
          <w:sz w:val="20"/>
          <w:szCs w:val="20"/>
        </w:rPr>
      </w:pPr>
      <w:r>
        <w:rPr>
          <w:rFonts w:ascii="Arial" w:hAnsi="Arial" w:cs="Arial"/>
          <w:noProof/>
          <w:sz w:val="20"/>
          <w:szCs w:val="20"/>
        </w:rPr>
        <w:t>Directive on reducing the consumption of lightweight plastic carrier bags</w:t>
      </w:r>
      <w:r>
        <w:rPr>
          <w:rStyle w:val="FootnoteReference"/>
          <w:rFonts w:ascii="Arial" w:hAnsi="Arial" w:cs="Arial"/>
          <w:noProof/>
          <w:sz w:val="20"/>
          <w:szCs w:val="20"/>
        </w:rPr>
        <w:footnoteReference w:id="269"/>
      </w:r>
      <w:r>
        <w:rPr>
          <w:rFonts w:ascii="Arial" w:hAnsi="Arial" w:cs="Arial"/>
          <w:noProof/>
          <w:sz w:val="20"/>
          <w:szCs w:val="20"/>
        </w:rPr>
        <w:t>.</w:t>
      </w:r>
    </w:p>
    <w:p>
      <w:pPr>
        <w:spacing w:after="0" w:line="240"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96"/>
        </w:numPr>
        <w:rPr>
          <w:noProof/>
        </w:rPr>
      </w:pPr>
      <w:r>
        <w:rPr>
          <w:noProof/>
        </w:rPr>
        <w:t>Court rulings</w:t>
      </w:r>
      <w:r>
        <w:rPr>
          <w:rStyle w:val="FootnoteReference"/>
          <w:noProof/>
        </w:rPr>
        <w:footnoteReference w:id="270"/>
      </w:r>
    </w:p>
    <w:p>
      <w:pPr>
        <w:spacing w:after="120"/>
        <w:ind w:firstLine="709"/>
        <w:jc w:val="both"/>
        <w:rPr>
          <w:rFonts w:ascii="Arial" w:hAnsi="Arial" w:cs="Arial"/>
          <w:noProof/>
          <w:sz w:val="20"/>
        </w:rPr>
      </w:pPr>
      <w:r>
        <w:rPr>
          <w:rFonts w:ascii="Arial" w:hAnsi="Arial" w:cs="Arial"/>
          <w:noProof/>
          <w:sz w:val="20"/>
        </w:rPr>
        <w:t>The Court gave the following rulings:</w:t>
      </w:r>
    </w:p>
    <w:p>
      <w:pPr>
        <w:pStyle w:val="ListParagraph"/>
        <w:numPr>
          <w:ilvl w:val="0"/>
          <w:numId w:val="15"/>
        </w:numPr>
        <w:spacing w:after="120"/>
        <w:jc w:val="both"/>
        <w:rPr>
          <w:rFonts w:ascii="Arial" w:hAnsi="Arial" w:cs="Arial"/>
          <w:noProof/>
          <w:sz w:val="20"/>
        </w:rPr>
      </w:pPr>
      <w:r>
        <w:rPr>
          <w:rFonts w:ascii="Arial" w:eastAsia="Calibri" w:hAnsi="Arial" w:cs="Arial"/>
          <w:noProof/>
          <w:kern w:val="20"/>
          <w:sz w:val="20"/>
          <w:lang w:eastAsia="en-GB"/>
        </w:rPr>
        <w:t>Spain has not fulfilled its obligations as it failed to take the necessary measures to implement the ‘Whistleblowing’ Directive</w:t>
      </w:r>
      <w:r>
        <w:rPr>
          <w:rStyle w:val="FootnoteReference"/>
          <w:rFonts w:ascii="Arial" w:eastAsia="Calibri" w:hAnsi="Arial" w:cs="Arial"/>
          <w:noProof/>
          <w:kern w:val="20"/>
          <w:sz w:val="20"/>
          <w:lang w:eastAsia="en-GB"/>
        </w:rPr>
        <w:footnoteReference w:id="271"/>
      </w:r>
      <w:r>
        <w:rPr>
          <w:rFonts w:ascii="Arial" w:eastAsia="Calibri" w:hAnsi="Arial" w:cs="Arial"/>
          <w:noProof/>
          <w:kern w:val="20"/>
          <w:sz w:val="20"/>
          <w:lang w:eastAsia="en-GB"/>
        </w:rPr>
        <w:t xml:space="preserve"> into national legislation on time</w:t>
      </w:r>
      <w:r>
        <w:rPr>
          <w:rStyle w:val="FootnoteReference"/>
          <w:rFonts w:ascii="Arial" w:eastAsia="Calibri" w:hAnsi="Arial" w:cs="Arial"/>
          <w:noProof/>
          <w:kern w:val="20"/>
          <w:sz w:val="20"/>
          <w:lang w:eastAsia="en-GB"/>
        </w:rPr>
        <w:footnoteReference w:id="272"/>
      </w:r>
      <w:r>
        <w:rPr>
          <w:rFonts w:ascii="Arial" w:eastAsia="Calibri" w:hAnsi="Arial" w:cs="Arial"/>
          <w:noProof/>
          <w:kern w:val="20"/>
          <w:sz w:val="20"/>
          <w:lang w:eastAsia="en-GB"/>
        </w:rPr>
        <w:t>.</w:t>
      </w:r>
    </w:p>
    <w:p>
      <w:pPr>
        <w:pStyle w:val="ListParagraph"/>
        <w:numPr>
          <w:ilvl w:val="0"/>
          <w:numId w:val="15"/>
        </w:numPr>
        <w:spacing w:after="120"/>
        <w:jc w:val="both"/>
        <w:rPr>
          <w:rFonts w:ascii="Arial" w:hAnsi="Arial" w:cs="Arial"/>
          <w:noProof/>
          <w:sz w:val="20"/>
        </w:rPr>
      </w:pPr>
      <w:r>
        <w:rPr>
          <w:rFonts w:ascii="Arial" w:eastAsia="Calibri" w:hAnsi="Arial" w:cs="Arial"/>
          <w:noProof/>
          <w:kern w:val="20"/>
          <w:sz w:val="20"/>
          <w:lang w:eastAsia="en-GB"/>
        </w:rPr>
        <w:t>Spain</w:t>
      </w:r>
      <w:r>
        <w:rPr>
          <w:rFonts w:ascii="Arial" w:hAnsi="Arial" w:cs="Arial"/>
          <w:noProof/>
          <w:sz w:val="20"/>
          <w:szCs w:val="20"/>
        </w:rPr>
        <w:t xml:space="preserve"> discriminated against small hauliers, excluding them from the road transport market, by requiring hauliers to </w:t>
      </w:r>
      <w:r>
        <w:rPr>
          <w:rFonts w:ascii="Arial" w:hAnsi="Arial" w:cs="Arial"/>
          <w:bCs/>
          <w:noProof/>
          <w:sz w:val="20"/>
          <w:szCs w:val="20"/>
        </w:rPr>
        <w:t>own a minimum number of vehicles in order to obtain a public transport authorisation</w:t>
      </w:r>
      <w:r>
        <w:rPr>
          <w:rStyle w:val="FootnoteReference"/>
          <w:rFonts w:ascii="Arial" w:hAnsi="Arial" w:cs="Arial"/>
          <w:noProof/>
          <w:sz w:val="20"/>
          <w:szCs w:val="20"/>
        </w:rPr>
        <w:footnoteReference w:id="273"/>
      </w:r>
      <w:r>
        <w:rPr>
          <w:rFonts w:ascii="Arial" w:hAnsi="Arial" w:cs="Arial"/>
          <w:bCs/>
          <w:noProof/>
          <w:sz w:val="20"/>
          <w:szCs w:val="20"/>
        </w:rPr>
        <w:t>.</w:t>
      </w:r>
    </w:p>
    <w:p>
      <w:pPr>
        <w:pStyle w:val="ListParagraph"/>
        <w:numPr>
          <w:ilvl w:val="0"/>
          <w:numId w:val="15"/>
        </w:numPr>
        <w:spacing w:after="120"/>
        <w:jc w:val="both"/>
        <w:rPr>
          <w:rFonts w:ascii="Arial" w:hAnsi="Arial" w:cs="Arial"/>
          <w:noProof/>
          <w:sz w:val="20"/>
          <w:szCs w:val="20"/>
        </w:rPr>
      </w:pPr>
      <w:r>
        <w:rPr>
          <w:rFonts w:ascii="Arial" w:hAnsi="Arial" w:cs="Arial"/>
          <w:noProof/>
          <w:sz w:val="20"/>
          <w:szCs w:val="20"/>
        </w:rPr>
        <w:t>Spain has failed to comply with an earlier Court judgment</w:t>
      </w:r>
      <w:r>
        <w:rPr>
          <w:rStyle w:val="FootnoteReference"/>
          <w:rFonts w:ascii="Arial" w:hAnsi="Arial" w:cs="Arial"/>
          <w:noProof/>
          <w:sz w:val="20"/>
          <w:szCs w:val="20"/>
        </w:rPr>
        <w:footnoteReference w:id="274"/>
      </w:r>
      <w:r>
        <w:rPr>
          <w:rFonts w:ascii="Arial" w:hAnsi="Arial" w:cs="Arial"/>
          <w:noProof/>
          <w:sz w:val="20"/>
          <w:szCs w:val="20"/>
        </w:rPr>
        <w:t xml:space="preserve"> as 17 of the 43 agglomerations of over 15 000 population equivalent concerned by the first judgment had still not been equipped with systems for collecting or treating urban waste water. The Court ordered Spain to pay a lump sum of EUR 12 million and a penalty payment of EUR 10 950 000 per six-month period of delay until full compliance is achieved</w:t>
      </w:r>
      <w:r>
        <w:rPr>
          <w:rStyle w:val="FootnoteReference"/>
          <w:rFonts w:ascii="Arial" w:hAnsi="Arial" w:cs="Arial"/>
          <w:noProof/>
          <w:sz w:val="20"/>
          <w:szCs w:val="20"/>
        </w:rPr>
        <w:footnoteReference w:id="275"/>
      </w:r>
      <w:r>
        <w:rPr>
          <w:rFonts w:ascii="Arial" w:hAnsi="Arial" w:cs="Arial"/>
          <w:noProof/>
          <w:sz w:val="20"/>
          <w:szCs w:val="20"/>
        </w:rPr>
        <w:t>.</w:t>
      </w:r>
    </w:p>
    <w:p>
      <w:pPr>
        <w:pStyle w:val="AnnualReport2"/>
        <w:numPr>
          <w:ilvl w:val="0"/>
          <w:numId w:val="96"/>
        </w:numPr>
        <w:rPr>
          <w:rFonts w:eastAsia="MS Gothic"/>
          <w:noProof/>
        </w:rPr>
      </w:pPr>
      <w:r>
        <w:rPr>
          <w:rFonts w:eastAsia="MS Gothic"/>
          <w:noProof/>
        </w:rPr>
        <w:t>Preliminary rulings</w:t>
      </w:r>
    </w:p>
    <w:p>
      <w:pPr>
        <w:spacing w:after="120"/>
        <w:ind w:left="426" w:firstLine="294"/>
        <w:jc w:val="both"/>
        <w:rPr>
          <w:rFonts w:ascii="Arial" w:hAnsi="Arial" w:cs="Arial"/>
          <w:noProof/>
          <w:sz w:val="20"/>
        </w:rPr>
      </w:pPr>
      <w:r>
        <w:rPr>
          <w:rFonts w:ascii="Arial" w:hAnsi="Arial" w:cs="Arial"/>
          <w:noProof/>
          <w:sz w:val="20"/>
        </w:rPr>
        <w:t xml:space="preserve">The Court addressed the following preliminary rulings to the Spanish judiciary. </w:t>
      </w:r>
    </w:p>
    <w:p>
      <w:pPr>
        <w:pStyle w:val="ListParagraph"/>
        <w:numPr>
          <w:ilvl w:val="0"/>
          <w:numId w:val="106"/>
        </w:numPr>
        <w:spacing w:line="240" w:lineRule="auto"/>
        <w:ind w:left="1418"/>
        <w:jc w:val="both"/>
        <w:rPr>
          <w:rFonts w:ascii="Arial" w:hAnsi="Arial" w:cs="Arial"/>
          <w:b/>
          <w:noProof/>
          <w:sz w:val="20"/>
          <w:szCs w:val="20"/>
        </w:rPr>
      </w:pPr>
      <w:r>
        <w:rPr>
          <w:rFonts w:ascii="Arial" w:hAnsi="Arial" w:cs="Arial"/>
          <w:noProof/>
          <w:sz w:val="20"/>
          <w:szCs w:val="20"/>
        </w:rPr>
        <w:t>Access, by the police, to data for the purpose of identifying the owners of SIM cards activated with a stolen mobile telephone cannot be defined as ‘serious’ interference with the fundamental rights. Such data do not allow precise conclusions to be drawn about their private lives and such interference may be justified by the objective of preventing, investigating, detecting and prosecuting ‘criminal offences’</w:t>
      </w:r>
      <w:r>
        <w:rPr>
          <w:rStyle w:val="FootnoteReference"/>
          <w:rFonts w:ascii="Arial" w:hAnsi="Arial" w:cs="Arial"/>
          <w:noProof/>
          <w:sz w:val="20"/>
          <w:szCs w:val="20"/>
        </w:rPr>
        <w:footnoteReference w:id="276"/>
      </w:r>
      <w:r>
        <w:rPr>
          <w:rFonts w:ascii="Arial" w:hAnsi="Arial" w:cs="Arial"/>
          <w:noProof/>
          <w:sz w:val="20"/>
          <w:szCs w:val="20"/>
        </w:rPr>
        <w:t>.</w:t>
      </w:r>
    </w:p>
    <w:p>
      <w:pPr>
        <w:pStyle w:val="ListParagraph"/>
        <w:numPr>
          <w:ilvl w:val="0"/>
          <w:numId w:val="106"/>
        </w:numPr>
        <w:spacing w:after="120"/>
        <w:ind w:left="1418"/>
        <w:jc w:val="both"/>
        <w:rPr>
          <w:rFonts w:ascii="Arial" w:hAnsi="Arial" w:cs="Arial"/>
          <w:noProof/>
          <w:sz w:val="20"/>
          <w:szCs w:val="20"/>
        </w:rPr>
      </w:pPr>
      <w:r>
        <w:rPr>
          <w:rFonts w:ascii="Arial" w:hAnsi="Arial" w:cs="Arial"/>
          <w:noProof/>
          <w:sz w:val="20"/>
          <w:szCs w:val="20"/>
        </w:rPr>
        <w:t>The two types of termination of the employment relationship (dismissal under objective reasons and termination of fixed-term contract) are not comparable and, therefore, different levels of compensation can be granted</w:t>
      </w:r>
      <w:r>
        <w:rPr>
          <w:rStyle w:val="FootnoteReference"/>
          <w:rFonts w:ascii="Arial" w:hAnsi="Arial" w:cs="Arial"/>
          <w:noProof/>
          <w:sz w:val="20"/>
          <w:szCs w:val="20"/>
        </w:rPr>
        <w:footnoteReference w:id="277"/>
      </w:r>
      <w:r>
        <w:rPr>
          <w:rFonts w:ascii="Arial" w:hAnsi="Arial" w:cs="Arial"/>
          <w:noProof/>
          <w:sz w:val="20"/>
          <w:szCs w:val="20"/>
        </w:rPr>
        <w:t>.</w:t>
      </w:r>
    </w:p>
    <w:p>
      <w:pPr>
        <w:pStyle w:val="ListParagraph"/>
        <w:numPr>
          <w:ilvl w:val="0"/>
          <w:numId w:val="106"/>
        </w:numPr>
        <w:spacing w:after="120"/>
        <w:ind w:left="1418"/>
        <w:jc w:val="both"/>
        <w:rPr>
          <w:rFonts w:ascii="Arial" w:hAnsi="Arial" w:cs="Arial"/>
          <w:noProof/>
          <w:sz w:val="20"/>
          <w:szCs w:val="20"/>
        </w:rPr>
      </w:pPr>
      <w:r>
        <w:rPr>
          <w:rFonts w:ascii="Arial" w:hAnsi="Arial" w:cs="Arial"/>
          <w:noProof/>
          <w:sz w:val="20"/>
          <w:szCs w:val="20"/>
        </w:rPr>
        <w:t>EU directives apply to a female security agent who does shift work, including night shifts which entail a risk for the agent to breastfeed her baby</w:t>
      </w:r>
      <w:r>
        <w:rPr>
          <w:rFonts w:ascii="Arial" w:hAnsi="Arial" w:cs="Arial"/>
          <w:noProof/>
          <w:sz w:val="20"/>
          <w:szCs w:val="20"/>
          <w:vertAlign w:val="superscript"/>
        </w:rPr>
        <w:footnoteReference w:id="278"/>
      </w:r>
      <w:r>
        <w:rPr>
          <w:rFonts w:ascii="Arial" w:hAnsi="Arial" w:cs="Arial"/>
          <w:noProof/>
          <w:sz w:val="20"/>
          <w:szCs w:val="20"/>
        </w:rPr>
        <w:t xml:space="preserve">. </w:t>
      </w:r>
    </w:p>
    <w:p>
      <w:pPr>
        <w:pStyle w:val="ListParagraph"/>
        <w:numPr>
          <w:ilvl w:val="0"/>
          <w:numId w:val="106"/>
        </w:numPr>
        <w:spacing w:after="120"/>
        <w:ind w:left="1418"/>
        <w:jc w:val="both"/>
        <w:rPr>
          <w:rFonts w:ascii="Arial" w:hAnsi="Arial" w:cs="Arial"/>
          <w:noProof/>
          <w:sz w:val="20"/>
          <w:szCs w:val="20"/>
        </w:rPr>
      </w:pPr>
      <w:r>
        <w:rPr>
          <w:rFonts w:ascii="Arial" w:hAnsi="Arial" w:cs="Arial"/>
          <w:noProof/>
          <w:sz w:val="20"/>
          <w:szCs w:val="20"/>
        </w:rPr>
        <w:t>National legislation may allow an employer to dismiss a pregnant worker in the context of a collective redundancy, on condition that the employer provides the dismissed pregnant worker with the reasons justifying the redundancy</w:t>
      </w:r>
      <w:r>
        <w:rPr>
          <w:rStyle w:val="FootnoteReference"/>
          <w:rFonts w:ascii="Arial" w:hAnsi="Arial" w:cs="Arial"/>
          <w:noProof/>
          <w:sz w:val="20"/>
          <w:szCs w:val="20"/>
        </w:rPr>
        <w:footnoteReference w:id="279"/>
      </w:r>
      <w:r>
        <w:rPr>
          <w:rFonts w:ascii="Arial" w:hAnsi="Arial" w:cs="Arial"/>
          <w:noProof/>
          <w:sz w:val="20"/>
          <w:szCs w:val="20"/>
        </w:rPr>
        <w:t>.</w:t>
      </w:r>
    </w:p>
    <w:p>
      <w:pPr>
        <w:pStyle w:val="ListParagraph"/>
        <w:numPr>
          <w:ilvl w:val="0"/>
          <w:numId w:val="106"/>
        </w:numPr>
        <w:spacing w:after="120"/>
        <w:ind w:left="1418"/>
        <w:jc w:val="both"/>
        <w:rPr>
          <w:rFonts w:ascii="Arial" w:hAnsi="Arial" w:cs="Arial"/>
          <w:noProof/>
          <w:sz w:val="20"/>
          <w:szCs w:val="20"/>
        </w:rPr>
      </w:pPr>
      <w:r>
        <w:rPr>
          <w:rFonts w:ascii="Arial" w:hAnsi="Arial" w:cs="Arial"/>
          <w:noProof/>
          <w:sz w:val="20"/>
          <w:szCs w:val="20"/>
        </w:rPr>
        <w:t>A fine for not declaring cash upon entering or leaving the EU which may be up to double the undeclared amount is contrary to EU law, including the Cash Control Regulation</w:t>
      </w:r>
      <w:r>
        <w:rPr>
          <w:rStyle w:val="FootnoteReference"/>
          <w:rFonts w:ascii="Arial" w:hAnsi="Arial" w:cs="Arial"/>
          <w:noProof/>
          <w:sz w:val="20"/>
          <w:szCs w:val="20"/>
        </w:rPr>
        <w:footnoteReference w:id="280"/>
      </w:r>
    </w:p>
    <w:p>
      <w:pPr>
        <w:pStyle w:val="ListParagraph"/>
        <w:numPr>
          <w:ilvl w:val="0"/>
          <w:numId w:val="106"/>
        </w:numPr>
        <w:spacing w:after="120"/>
        <w:ind w:left="1418"/>
        <w:jc w:val="both"/>
        <w:rPr>
          <w:rFonts w:ascii="Arial" w:hAnsi="Arial" w:cs="Arial"/>
          <w:noProof/>
          <w:sz w:val="20"/>
          <w:szCs w:val="20"/>
        </w:rPr>
      </w:pPr>
      <w:r>
        <w:rPr>
          <w:rFonts w:ascii="Arial" w:hAnsi="Arial" w:cs="Arial"/>
          <w:noProof/>
          <w:sz w:val="20"/>
          <w:szCs w:val="20"/>
        </w:rPr>
        <w:t>Spain’s national legislation may limit the sales designation ‘ibérico de cebo’ to pork products complying with certain conditions imposed by that legislation. This is because it permits the importation and marketing of products from other Member States under the designations they bear pursuant to the rules of the Member State of origin, even if they are similar, comparable or identical to the designations provided for in the respective national legislation</w:t>
      </w:r>
      <w:r>
        <w:rPr>
          <w:rFonts w:ascii="Arial" w:hAnsi="Arial" w:cs="Arial"/>
          <w:noProof/>
          <w:sz w:val="20"/>
          <w:szCs w:val="20"/>
          <w:vertAlign w:val="superscript"/>
        </w:rPr>
        <w:footnoteReference w:id="281"/>
      </w:r>
      <w:r>
        <w:rPr>
          <w:rFonts w:ascii="Arial" w:hAnsi="Arial" w:cs="Arial"/>
          <w:noProof/>
          <w:sz w:val="20"/>
          <w:szCs w:val="20"/>
        </w:rPr>
        <w:t>.</w:t>
      </w:r>
    </w:p>
    <w:p>
      <w:pPr>
        <w:pStyle w:val="ListParagraph"/>
        <w:numPr>
          <w:ilvl w:val="0"/>
          <w:numId w:val="106"/>
        </w:numPr>
        <w:spacing w:after="120"/>
        <w:ind w:left="1418"/>
        <w:jc w:val="both"/>
        <w:rPr>
          <w:rFonts w:ascii="Arial" w:hAnsi="Arial" w:cs="Arial"/>
          <w:noProof/>
          <w:sz w:val="20"/>
          <w:szCs w:val="20"/>
        </w:rPr>
      </w:pPr>
      <w:r>
        <w:rPr>
          <w:rFonts w:ascii="Arial" w:hAnsi="Arial" w:cs="Arial"/>
          <w:noProof/>
          <w:sz w:val="20"/>
          <w:szCs w:val="20"/>
        </w:rPr>
        <w:t>Member States may require a contribution to an energy efficiency fund from energy undertakings designated on the basis of explicitly stated, objective and non-discriminatory criteria. This obligation, which substitutes an energy efficiency obligation scheme, should nonetheless comply with all the requirements of the Energy Efficiency Directive and reach the same level of savings</w:t>
      </w:r>
      <w:r>
        <w:rPr>
          <w:rStyle w:val="FootnoteReference"/>
          <w:rFonts w:ascii="Arial" w:hAnsi="Arial" w:cs="Arial"/>
          <w:noProof/>
          <w:sz w:val="20"/>
          <w:szCs w:val="20"/>
        </w:rPr>
        <w:footnoteReference w:id="282"/>
      </w:r>
      <w:r>
        <w:rPr>
          <w:rFonts w:ascii="Arial" w:hAnsi="Arial" w:cs="Arial"/>
          <w:noProof/>
          <w:sz w:val="20"/>
          <w:szCs w:val="20"/>
        </w:rPr>
        <w:t>.</w:t>
      </w:r>
    </w:p>
    <w:p>
      <w:pPr>
        <w:rPr>
          <w:rFonts w:ascii="Arial" w:hAnsi="Arial" w:cs="Arial"/>
          <w:noProof/>
        </w:rPr>
      </w:pPr>
    </w:p>
    <w:p>
      <w:pPr>
        <w:rPr>
          <w:noProof/>
        </w:rPr>
        <w:sectPr>
          <w:headerReference w:type="even" r:id="rId168"/>
          <w:headerReference w:type="default" r:id="rId169"/>
          <w:footerReference w:type="even" r:id="rId170"/>
          <w:footerReference w:type="default" r:id="rId171"/>
          <w:headerReference w:type="first" r:id="rId172"/>
          <w:footerReference w:type="first" r:id="rId173"/>
          <w:footnotePr>
            <w:numRestart w:val="eachSect"/>
          </w:footnotePr>
          <w:pgSz w:w="11906" w:h="16838"/>
          <w:pgMar w:top="1843" w:right="1417" w:bottom="1134" w:left="1417" w:header="567" w:footer="351" w:gutter="0"/>
          <w:cols w:space="708"/>
          <w:titlePg/>
          <w:docGrid w:linePitch="360"/>
        </w:sectPr>
      </w:pPr>
    </w:p>
    <w:p>
      <w:pPr>
        <w:pStyle w:val="Heading1"/>
        <w:rPr>
          <w:noProof/>
          <w:szCs w:val="24"/>
        </w:rPr>
      </w:pPr>
      <w:bookmarkStart w:id="85" w:name="_Toc484622326"/>
      <w:bookmarkStart w:id="86" w:name="_Toc5788364"/>
      <w:r>
        <w:rPr>
          <w:noProof/>
          <w:szCs w:val="24"/>
        </w:rPr>
        <w:t>France</w:t>
      </w:r>
      <w:bookmarkEnd w:id="73"/>
      <w:bookmarkEnd w:id="74"/>
      <w:bookmarkEnd w:id="75"/>
      <w:bookmarkEnd w:id="76"/>
      <w:bookmarkEnd w:id="77"/>
      <w:bookmarkEnd w:id="78"/>
      <w:bookmarkEnd w:id="79"/>
      <w:bookmarkEnd w:id="85"/>
      <w:bookmarkEnd w:id="86"/>
    </w:p>
    <w:p>
      <w:pPr>
        <w:pStyle w:val="kop2"/>
        <w:numPr>
          <w:ilvl w:val="0"/>
          <w:numId w:val="11"/>
        </w:numPr>
        <w:spacing w:before="360" w:after="240"/>
        <w:ind w:left="709" w:hanging="425"/>
        <w:rPr>
          <w:noProof/>
        </w:rPr>
      </w:pPr>
      <w:r>
        <w:rPr>
          <w:noProof/>
        </w:rPr>
        <w:t>COMPLAINTS</w:t>
      </w:r>
    </w:p>
    <w:p>
      <w:pPr>
        <w:pStyle w:val="AnnualReport2"/>
        <w:numPr>
          <w:ilvl w:val="0"/>
          <w:numId w:val="31"/>
        </w:numPr>
        <w:rPr>
          <w:noProof/>
        </w:rPr>
      </w:pPr>
      <w:r>
        <w:rPr>
          <w:noProof/>
        </w:rPr>
        <w:t>New complaints made against France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0255" cy="2067560"/>
            <wp:effectExtent l="0" t="0" r="10795" b="27940"/>
            <wp:docPr id="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AnnualReport2"/>
        <w:numPr>
          <w:ilvl w:val="0"/>
          <w:numId w:val="31"/>
        </w:numPr>
        <w:ind w:left="709" w:hanging="425"/>
        <w:rPr>
          <w:noProof/>
        </w:rPr>
      </w:pPr>
      <w:r>
        <w:rPr>
          <w:noProof/>
        </w:rPr>
        <w:t>Public complaints against France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313</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316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347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282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31"/>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337435"/>
            <wp:effectExtent l="0" t="0" r="1270" b="5715"/>
            <wp:docPr id="50"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spacing w:after="200" w:line="276" w:lineRule="auto"/>
        <w:rPr>
          <w:rFonts w:ascii="Arial" w:hAnsi="Arial" w:cs="Arial"/>
          <w:noProof/>
          <w:sz w:val="20"/>
        </w:rPr>
      </w:pPr>
      <w:r>
        <w:rPr>
          <w:noProof/>
        </w:rPr>
        <w:br w:type="page"/>
      </w:r>
    </w:p>
    <w:p>
      <w:pPr>
        <w:pStyle w:val="kop2"/>
        <w:numPr>
          <w:ilvl w:val="0"/>
          <w:numId w:val="11"/>
        </w:numPr>
        <w:spacing w:before="360" w:after="240"/>
        <w:ind w:left="709" w:hanging="425"/>
        <w:rPr>
          <w:caps w:val="0"/>
          <w:noProof/>
        </w:rPr>
      </w:pPr>
      <w:r>
        <w:rPr>
          <w:caps w:val="0"/>
          <w:noProof/>
        </w:rPr>
        <w:t>EU PILOT</w:t>
      </w:r>
    </w:p>
    <w:p>
      <w:pPr>
        <w:pStyle w:val="AnnualReport2"/>
        <w:numPr>
          <w:ilvl w:val="0"/>
          <w:numId w:val="113"/>
        </w:numPr>
        <w:rPr>
          <w:noProof/>
        </w:rPr>
      </w:pPr>
      <w:r>
        <w:rPr>
          <w:noProof/>
        </w:rPr>
        <w:t>New EU Pilot files opened against France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12005" cy="2059305"/>
            <wp:effectExtent l="0" t="0" r="17145" b="17145"/>
            <wp:docPr id="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AnnualReport2"/>
        <w:numPr>
          <w:ilvl w:val="0"/>
          <w:numId w:val="113"/>
        </w:numPr>
        <w:rPr>
          <w:noProof/>
        </w:rPr>
      </w:pPr>
      <w:r>
        <w:rPr>
          <w:noProof/>
        </w:rPr>
        <w:t>Files relating to France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059305"/>
            <wp:effectExtent l="0" t="0" r="17145" b="17145"/>
            <wp:docPr id="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AnnualReport2"/>
        <w:numPr>
          <w:ilvl w:val="0"/>
          <w:numId w:val="113"/>
        </w:numPr>
        <w:rPr>
          <w:noProof/>
        </w:rPr>
      </w:pPr>
      <w:r>
        <w:rPr>
          <w:noProof/>
        </w:rPr>
        <w:t>New EU Pilot files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273300"/>
            <wp:effectExtent l="0" t="0" r="4445" b="12700"/>
            <wp:docPr id="47"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spacing w:after="200" w:line="276" w:lineRule="auto"/>
        <w:rPr>
          <w:rFonts w:ascii="Arial" w:hAnsi="Arial" w:cs="Arial"/>
          <w:noProof/>
          <w:sz w:val="20"/>
        </w:rPr>
      </w:pPr>
      <w:r>
        <w:rPr>
          <w:noProof/>
        </w:rPr>
        <w:br w:type="page"/>
      </w:r>
    </w:p>
    <w:p>
      <w:pPr>
        <w:pStyle w:val="AnnualReport2"/>
        <w:numPr>
          <w:ilvl w:val="0"/>
          <w:numId w:val="113"/>
        </w:numPr>
        <w:rPr>
          <w:noProof/>
        </w:rPr>
      </w:pPr>
      <w:r>
        <w:rPr>
          <w:noProof/>
        </w:rPr>
        <w:t>EU Pilot files: France’s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82190"/>
            <wp:effectExtent l="0" t="0" r="17145" b="3810"/>
            <wp:docPr id="4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kop2"/>
        <w:numPr>
          <w:ilvl w:val="0"/>
          <w:numId w:val="11"/>
        </w:numPr>
        <w:spacing w:before="360" w:after="240"/>
        <w:ind w:left="709" w:hanging="425"/>
        <w:rPr>
          <w:caps w:val="0"/>
          <w:noProof/>
        </w:rPr>
      </w:pPr>
      <w:r>
        <w:rPr>
          <w:noProof/>
        </w:rPr>
        <w:t>INFRINGEMENT</w:t>
      </w:r>
      <w:r>
        <w:rPr>
          <w:caps w:val="0"/>
          <w:noProof/>
        </w:rPr>
        <w:t xml:space="preserve"> CASES</w:t>
      </w:r>
    </w:p>
    <w:p>
      <w:pPr>
        <w:pStyle w:val="AnnualReport2"/>
        <w:numPr>
          <w:ilvl w:val="0"/>
          <w:numId w:val="103"/>
        </w:numPr>
        <w:rPr>
          <w:noProof/>
        </w:rPr>
      </w:pPr>
      <w:r>
        <w:rPr>
          <w:noProof/>
        </w:rPr>
        <w:t>Infringement cases against France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234565"/>
            <wp:effectExtent l="0" t="0" r="13970" b="13335"/>
            <wp:docPr id="4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AnnualReport2"/>
        <w:numPr>
          <w:ilvl w:val="0"/>
          <w:numId w:val="103"/>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49140" cy="2314575"/>
            <wp:effectExtent l="0" t="0" r="3810" b="9525"/>
            <wp:docPr id="44" name="Objec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spacing w:after="0"/>
        <w:rPr>
          <w:rFonts w:ascii="Arial" w:hAnsi="Arial"/>
          <w:noProof/>
          <w:color w:val="002060"/>
        </w:rPr>
      </w:pPr>
      <w:r>
        <w:rPr>
          <w:noProof/>
        </w:rPr>
        <w:br w:type="page"/>
      </w:r>
    </w:p>
    <w:p>
      <w:pPr>
        <w:pStyle w:val="AnnualReport2"/>
        <w:numPr>
          <w:ilvl w:val="0"/>
          <w:numId w:val="103"/>
        </w:numPr>
        <w:rPr>
          <w:noProof/>
        </w:rPr>
      </w:pPr>
      <w:r>
        <w:rPr>
          <w:noProof/>
        </w:rPr>
        <w:t>Key infringement cases and referrals to the Court</w:t>
      </w:r>
    </w:p>
    <w:p>
      <w:pPr>
        <w:numPr>
          <w:ilvl w:val="0"/>
          <w:numId w:val="87"/>
        </w:numPr>
        <w:ind w:left="1276" w:hanging="425"/>
        <w:jc w:val="both"/>
        <w:rPr>
          <w:rFonts w:ascii="Arial" w:hAnsi="Arial" w:cs="Arial"/>
          <w:noProof/>
          <w:sz w:val="20"/>
          <w:szCs w:val="20"/>
        </w:rPr>
      </w:pPr>
      <w:r>
        <w:rPr>
          <w:rFonts w:ascii="Arial" w:hAnsi="Arial" w:cs="Arial"/>
          <w:noProof/>
          <w:sz w:val="20"/>
          <w:szCs w:val="20"/>
        </w:rPr>
        <w:t>The Commission opened 20 new infringement cases against France in 2018. These, and other major ongoing infringement cases, include:</w:t>
      </w:r>
    </w:p>
    <w:p>
      <w:pPr>
        <w:pStyle w:val="ListParagraph"/>
        <w:numPr>
          <w:ilvl w:val="0"/>
          <w:numId w:val="106"/>
        </w:numPr>
        <w:ind w:left="1701"/>
        <w:jc w:val="both"/>
        <w:rPr>
          <w:noProof/>
        </w:rPr>
      </w:pPr>
      <w:r>
        <w:rPr>
          <w:rFonts w:ascii="Arial" w:hAnsi="Arial" w:cs="Arial"/>
          <w:noProof/>
          <w:sz w:val="20"/>
          <w:szCs w:val="20"/>
        </w:rPr>
        <w:t>exceedances of PM</w:t>
      </w:r>
      <w:r>
        <w:rPr>
          <w:rFonts w:ascii="Arial" w:hAnsi="Arial" w:cs="Arial"/>
          <w:noProof/>
          <w:sz w:val="20"/>
          <w:szCs w:val="20"/>
          <w:vertAlign w:val="superscript"/>
        </w:rPr>
        <w:t>10</w:t>
      </w:r>
      <w:r>
        <w:rPr>
          <w:rFonts w:ascii="Arial" w:hAnsi="Arial" w:cs="Arial"/>
          <w:noProof/>
          <w:sz w:val="20"/>
          <w:szCs w:val="20"/>
        </w:rPr>
        <w:t xml:space="preserve"> emission limits, in breach of the Directive on ambient air quality and cleaner air for Europe</w:t>
      </w:r>
      <w:r>
        <w:rPr>
          <w:rStyle w:val="FootnoteReference"/>
          <w:rFonts w:ascii="Arial" w:hAnsi="Arial" w:cs="Arial"/>
          <w:noProof/>
          <w:sz w:val="20"/>
          <w:szCs w:val="20"/>
        </w:rPr>
        <w:footnoteReference w:id="283"/>
      </w:r>
      <w:r>
        <w:rPr>
          <w:rFonts w:ascii="Arial" w:hAnsi="Arial" w:cs="Arial"/>
          <w:noProof/>
          <w:sz w:val="20"/>
          <w:szCs w:val="20"/>
        </w:rPr>
        <w:t>;</w:t>
      </w:r>
    </w:p>
    <w:p>
      <w:pPr>
        <w:pStyle w:val="ListParagraph"/>
        <w:numPr>
          <w:ilvl w:val="0"/>
          <w:numId w:val="106"/>
        </w:numPr>
        <w:ind w:left="1701"/>
        <w:jc w:val="both"/>
        <w:rPr>
          <w:rFonts w:ascii="Arial" w:hAnsi="Arial" w:cs="Arial"/>
          <w:noProof/>
          <w:sz w:val="20"/>
          <w:szCs w:val="20"/>
        </w:rPr>
      </w:pPr>
      <w:r>
        <w:rPr>
          <w:rFonts w:ascii="Arial" w:hAnsi="Arial" w:cs="Arial"/>
          <w:noProof/>
          <w:sz w:val="20"/>
          <w:szCs w:val="20"/>
        </w:rPr>
        <w:t>failure to adopt and update waste management plans, in breach of the Waste Framework Directive</w:t>
      </w:r>
      <w:r>
        <w:rPr>
          <w:rStyle w:val="FootnoteReference"/>
          <w:rFonts w:ascii="Arial" w:hAnsi="Arial" w:cs="Arial"/>
          <w:noProof/>
          <w:sz w:val="20"/>
          <w:szCs w:val="20"/>
        </w:rPr>
        <w:footnoteReference w:id="284"/>
      </w:r>
      <w:r>
        <w:rPr>
          <w:rFonts w:ascii="Arial" w:hAnsi="Arial" w:cs="Arial"/>
          <w:noProof/>
          <w:sz w:val="20"/>
          <w:szCs w:val="20"/>
        </w:rPr>
        <w:t>;</w:t>
      </w:r>
    </w:p>
    <w:p>
      <w:pPr>
        <w:pStyle w:val="ListParagraph"/>
        <w:numPr>
          <w:ilvl w:val="0"/>
          <w:numId w:val="106"/>
        </w:numPr>
        <w:ind w:left="1701"/>
        <w:jc w:val="both"/>
        <w:rPr>
          <w:rFonts w:ascii="Arial" w:hAnsi="Arial" w:cs="Arial"/>
          <w:noProof/>
          <w:sz w:val="20"/>
          <w:szCs w:val="20"/>
        </w:rPr>
      </w:pPr>
      <w:r>
        <w:rPr>
          <w:rFonts w:ascii="Arial" w:hAnsi="Arial" w:cs="Arial"/>
          <w:noProof/>
          <w:sz w:val="20"/>
          <w:szCs w:val="20"/>
        </w:rPr>
        <w:t>failure to adopt noise maps and action plans as required by the Noise Directive</w:t>
      </w:r>
      <w:r>
        <w:rPr>
          <w:rStyle w:val="FootnoteReference"/>
          <w:rFonts w:ascii="Arial" w:hAnsi="Arial" w:cs="Arial"/>
          <w:noProof/>
          <w:sz w:val="20"/>
          <w:szCs w:val="20"/>
        </w:rPr>
        <w:footnoteReference w:id="285"/>
      </w:r>
      <w:r>
        <w:rPr>
          <w:rFonts w:ascii="Arial" w:hAnsi="Arial" w:cs="Arial"/>
          <w:noProof/>
          <w:sz w:val="20"/>
          <w:szCs w:val="20"/>
        </w:rPr>
        <w:t>;noise directive;</w:t>
      </w:r>
      <w:r>
        <w:rPr>
          <w:rStyle w:val="FootnoteReference"/>
          <w:rFonts w:ascii="Arial" w:hAnsi="Arial" w:cs="Arial"/>
          <w:noProof/>
          <w:sz w:val="20"/>
          <w:szCs w:val="20"/>
        </w:rPr>
        <w:footnoteReference w:id="286"/>
      </w:r>
      <w:r>
        <w:rPr>
          <w:rFonts w:ascii="Arial" w:hAnsi="Arial" w:cs="Arial"/>
          <w:noProof/>
          <w:sz w:val="20"/>
          <w:szCs w:val="20"/>
        </w:rPr>
        <w:t xml:space="preserve"> </w:t>
      </w:r>
    </w:p>
    <w:p>
      <w:pPr>
        <w:pStyle w:val="ListParagraph"/>
        <w:numPr>
          <w:ilvl w:val="0"/>
          <w:numId w:val="106"/>
        </w:numPr>
        <w:ind w:left="1701"/>
        <w:jc w:val="both"/>
        <w:rPr>
          <w:rFonts w:ascii="Arial" w:hAnsi="Arial" w:cs="Arial"/>
          <w:noProof/>
          <w:sz w:val="20"/>
          <w:szCs w:val="20"/>
        </w:rPr>
      </w:pPr>
      <w:r>
        <w:rPr>
          <w:rFonts w:ascii="Arial" w:hAnsi="Arial" w:cs="Arial"/>
          <w:noProof/>
          <w:sz w:val="20"/>
          <w:szCs w:val="20"/>
        </w:rPr>
        <w:t>failure to comply with the obligations regarding treatment of waste water as regards 373 agglomerations;</w:t>
      </w:r>
      <w:r>
        <w:rPr>
          <w:rStyle w:val="FootnoteReference"/>
          <w:rFonts w:ascii="Arial" w:hAnsi="Arial" w:cs="Arial"/>
          <w:noProof/>
          <w:sz w:val="20"/>
          <w:szCs w:val="20"/>
        </w:rPr>
        <w:footnoteReference w:id="287"/>
      </w:r>
      <w:r>
        <w:rPr>
          <w:rFonts w:ascii="Arial" w:hAnsi="Arial" w:cs="Arial"/>
          <w:noProof/>
          <w:sz w:val="20"/>
          <w:szCs w:val="20"/>
        </w:rPr>
        <w:t>;</w:t>
      </w:r>
    </w:p>
    <w:p>
      <w:pPr>
        <w:pStyle w:val="ListParagraph"/>
        <w:numPr>
          <w:ilvl w:val="0"/>
          <w:numId w:val="106"/>
        </w:numPr>
        <w:ind w:left="1701"/>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288"/>
      </w:r>
    </w:p>
    <w:p>
      <w:pPr>
        <w:pStyle w:val="ListParagraph"/>
        <w:numPr>
          <w:ilvl w:val="0"/>
          <w:numId w:val="106"/>
        </w:numPr>
        <w:ind w:left="1701"/>
        <w:jc w:val="both"/>
        <w:rPr>
          <w:rFonts w:ascii="Arial" w:eastAsia="Calibri" w:hAnsi="Arial" w:cs="Arial"/>
          <w:noProof/>
          <w:sz w:val="20"/>
          <w:szCs w:val="20"/>
        </w:rPr>
      </w:pPr>
      <w:r>
        <w:rPr>
          <w:rFonts w:ascii="Arial" w:eastAsia="Calibri" w:hAnsi="Arial" w:cs="Arial"/>
          <w:noProof/>
          <w:sz w:val="20"/>
          <w:szCs w:val="20"/>
        </w:rPr>
        <w:t>non-communication of national measures transposing the</w:t>
      </w:r>
    </w:p>
    <w:p>
      <w:pPr>
        <w:pStyle w:val="ListParagraph"/>
        <w:numPr>
          <w:ilvl w:val="1"/>
          <w:numId w:val="106"/>
        </w:numPr>
        <w:ind w:left="2268" w:hanging="284"/>
        <w:jc w:val="both"/>
        <w:rPr>
          <w:rFonts w:ascii="Arial" w:eastAsia="Calibri" w:hAnsi="Arial" w:cs="Arial"/>
          <w:noProof/>
          <w:sz w:val="20"/>
          <w:szCs w:val="20"/>
        </w:rPr>
      </w:pPr>
      <w:r>
        <w:rPr>
          <w:rFonts w:ascii="Arial" w:eastAsia="Calibri" w:hAnsi="Arial" w:cs="Arial"/>
          <w:noProof/>
          <w:sz w:val="20"/>
          <w:szCs w:val="20"/>
        </w:rPr>
        <w:t>Directive on the limitation of emissions of certain pollutants into the air from medium combustion plants</w:t>
      </w:r>
      <w:r>
        <w:rPr>
          <w:rStyle w:val="FootnoteReference"/>
          <w:rFonts w:ascii="Arial" w:eastAsia="Calibri" w:hAnsi="Arial" w:cs="Arial"/>
          <w:noProof/>
          <w:sz w:val="20"/>
          <w:szCs w:val="20"/>
        </w:rPr>
        <w:footnoteReference w:id="289"/>
      </w:r>
      <w:r>
        <w:rPr>
          <w:rFonts w:ascii="Arial" w:eastAsia="Calibri" w:hAnsi="Arial" w:cs="Arial"/>
          <w:noProof/>
          <w:sz w:val="20"/>
          <w:szCs w:val="20"/>
        </w:rPr>
        <w:t xml:space="preserve">; </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rPr>
        <w:footnoteReference w:id="290"/>
      </w:r>
      <w:r>
        <w:rPr>
          <w:rFonts w:ascii="Arial" w:hAnsi="Arial" w:cs="Arial"/>
          <w:noProof/>
          <w:sz w:val="20"/>
          <w:szCs w:val="20"/>
        </w:rPr>
        <w:t>;</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Insurance Distribution Directive</w:t>
      </w:r>
      <w:r>
        <w:rPr>
          <w:rFonts w:ascii="Arial" w:hAnsi="Arial" w:cs="Arial"/>
          <w:noProof/>
          <w:sz w:val="20"/>
          <w:szCs w:val="20"/>
          <w:vertAlign w:val="superscript"/>
        </w:rPr>
        <w:footnoteReference w:id="291"/>
      </w:r>
      <w:r>
        <w:rPr>
          <w:rFonts w:ascii="Arial" w:hAnsi="Arial" w:cs="Arial"/>
          <w:noProof/>
          <w:sz w:val="20"/>
          <w:szCs w:val="20"/>
        </w:rPr>
        <w:t>;</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292"/>
      </w:r>
      <w:r>
        <w:rPr>
          <w:rFonts w:ascii="Arial" w:hAnsi="Arial" w:cs="Arial"/>
          <w:noProof/>
          <w:sz w:val="20"/>
          <w:szCs w:val="20"/>
        </w:rPr>
        <w:t>;</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293"/>
      </w:r>
      <w:r>
        <w:rPr>
          <w:rFonts w:ascii="Arial" w:hAnsi="Arial" w:cs="Arial"/>
          <w:noProof/>
          <w:sz w:val="20"/>
          <w:szCs w:val="20"/>
        </w:rPr>
        <w:t>;</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294"/>
      </w:r>
      <w:r>
        <w:rPr>
          <w:rFonts w:ascii="Arial" w:hAnsi="Arial" w:cs="Arial"/>
          <w:noProof/>
          <w:sz w:val="20"/>
          <w:szCs w:val="20"/>
        </w:rPr>
        <w:t>;</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fourth Anti-Money Laundering Directive</w:t>
      </w:r>
      <w:r>
        <w:rPr>
          <w:rStyle w:val="FootnoteReference"/>
          <w:rFonts w:ascii="Arial" w:hAnsi="Arial" w:cs="Arial"/>
          <w:noProof/>
          <w:sz w:val="20"/>
          <w:szCs w:val="20"/>
        </w:rPr>
        <w:footnoteReference w:id="295"/>
      </w:r>
      <w:r>
        <w:rPr>
          <w:rFonts w:ascii="Arial" w:hAnsi="Arial" w:cs="Arial"/>
          <w:noProof/>
          <w:sz w:val="20"/>
          <w:szCs w:val="20"/>
        </w:rPr>
        <w:t>;</w:t>
      </w:r>
    </w:p>
    <w:p>
      <w:pPr>
        <w:pStyle w:val="ListParagraph"/>
        <w:numPr>
          <w:ilvl w:val="1"/>
          <w:numId w:val="106"/>
        </w:numPr>
        <w:ind w:left="2268" w:hanging="284"/>
        <w:jc w:val="both"/>
        <w:rPr>
          <w:rFonts w:ascii="Arial" w:hAnsi="Arial" w:cs="Arial"/>
          <w:noProof/>
          <w:sz w:val="20"/>
          <w:szCs w:val="20"/>
        </w:rPr>
      </w:pPr>
      <w:r>
        <w:rPr>
          <w:rFonts w:ascii="Arial" w:hAnsi="Arial" w:cs="Arial"/>
          <w:noProof/>
          <w:sz w:val="20"/>
          <w:szCs w:val="20"/>
        </w:rPr>
        <w:t>Directive establishing a fourth list of indicative occupational exposure limit values to protect workers from risks arising from exposure to hazardous chemicals</w:t>
      </w:r>
      <w:r>
        <w:rPr>
          <w:rStyle w:val="FootnoteReference"/>
          <w:rFonts w:ascii="Arial" w:hAnsi="Arial" w:cs="Arial"/>
          <w:noProof/>
          <w:sz w:val="20"/>
          <w:szCs w:val="20"/>
        </w:rPr>
        <w:footnoteReference w:id="296"/>
      </w:r>
      <w:r>
        <w:rPr>
          <w:rFonts w:ascii="Arial" w:hAnsi="Arial" w:cs="Arial"/>
          <w:noProof/>
          <w:sz w:val="20"/>
          <w:szCs w:val="20"/>
        </w:rPr>
        <w:t>.</w:t>
      </w:r>
    </w:p>
    <w:p>
      <w:pPr>
        <w:numPr>
          <w:ilvl w:val="0"/>
          <w:numId w:val="87"/>
        </w:numPr>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258 TFEU. It concerns:</w:t>
      </w:r>
    </w:p>
    <w:p>
      <w:pPr>
        <w:pStyle w:val="ListParagraph"/>
        <w:numPr>
          <w:ilvl w:val="0"/>
          <w:numId w:val="15"/>
        </w:numPr>
        <w:ind w:left="1701"/>
        <w:jc w:val="both"/>
        <w:rPr>
          <w:rFonts w:ascii="Arial" w:hAnsi="Arial" w:cs="Arial"/>
          <w:noProof/>
          <w:sz w:val="20"/>
          <w:szCs w:val="20"/>
        </w:rPr>
      </w:pPr>
      <w:r>
        <w:rPr>
          <w:rFonts w:ascii="Arial" w:hAnsi="Arial" w:cs="Arial"/>
          <w:noProof/>
          <w:sz w:val="20"/>
          <w:szCs w:val="20"/>
        </w:rPr>
        <w:t>exceedance of the nitrogen dioxide (NO</w:t>
      </w:r>
      <w:r>
        <w:rPr>
          <w:rFonts w:ascii="Arial" w:hAnsi="Arial" w:cs="Arial"/>
          <w:noProof/>
          <w:sz w:val="20"/>
          <w:szCs w:val="20"/>
          <w:vertAlign w:val="subscript"/>
        </w:rPr>
        <w:t>2</w:t>
      </w:r>
      <w:r>
        <w:rPr>
          <w:rFonts w:ascii="Arial" w:hAnsi="Arial" w:cs="Arial"/>
          <w:noProof/>
          <w:sz w:val="20"/>
          <w:szCs w:val="20"/>
        </w:rPr>
        <w:t>) limit values set by the Air Quality Directive</w:t>
      </w:r>
      <w:r>
        <w:rPr>
          <w:rStyle w:val="FootnoteReference"/>
          <w:rFonts w:ascii="Arial" w:hAnsi="Arial" w:cs="Arial"/>
          <w:noProof/>
          <w:sz w:val="20"/>
          <w:szCs w:val="20"/>
        </w:rPr>
        <w:footnoteReference w:id="297"/>
      </w:r>
      <w:r>
        <w:rPr>
          <w:rFonts w:ascii="Arial" w:hAnsi="Arial" w:cs="Arial"/>
          <w:noProof/>
          <w:sz w:val="20"/>
          <w:szCs w:val="20"/>
        </w:rPr>
        <w:t>.</w:t>
      </w:r>
    </w:p>
    <w:p>
      <w:pPr>
        <w:numPr>
          <w:ilvl w:val="0"/>
          <w:numId w:val="87"/>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noProof/>
        </w:rPr>
        <w:br w:type="page"/>
      </w:r>
    </w:p>
    <w:p>
      <w:pPr>
        <w:pStyle w:val="kop2"/>
        <w:numPr>
          <w:ilvl w:val="0"/>
          <w:numId w:val="11"/>
        </w:numPr>
        <w:spacing w:before="360" w:after="240"/>
        <w:ind w:left="709" w:hanging="425"/>
        <w:rPr>
          <w:caps w:val="0"/>
          <w:noProof/>
        </w:rPr>
      </w:pPr>
      <w:r>
        <w:rPr>
          <w:noProof/>
        </w:rPr>
        <w:t>TRANSPOSITION</w:t>
      </w:r>
      <w:r>
        <w:rPr>
          <w:caps w:val="0"/>
          <w:noProof/>
        </w:rPr>
        <w:t xml:space="preserve"> OF DIRECTIVES</w:t>
      </w:r>
    </w:p>
    <w:p>
      <w:pPr>
        <w:pStyle w:val="AnnualReport2"/>
        <w:numPr>
          <w:ilvl w:val="0"/>
          <w:numId w:val="104"/>
        </w:numPr>
        <w:rPr>
          <w:noProof/>
        </w:rPr>
      </w:pPr>
      <w:r>
        <w:rPr>
          <w:noProof/>
        </w:rPr>
        <w:t>Late transposition infringement cases against France open on 31 December (2014-2018)</w:t>
      </w:r>
    </w:p>
    <w:p>
      <w:pPr>
        <w:ind w:left="426" w:firstLine="283"/>
        <w:rPr>
          <w:noProof/>
        </w:rPr>
      </w:pPr>
      <w:r>
        <w:rPr>
          <w:noProof/>
          <w:lang w:eastAsia="en-GB"/>
        </w:rPr>
        <w:drawing>
          <wp:inline distT="0" distB="0" distL="0" distR="0">
            <wp:extent cx="4587875" cy="2099310"/>
            <wp:effectExtent l="0" t="0" r="22225" b="15240"/>
            <wp:docPr id="4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AnnualReport2"/>
        <w:numPr>
          <w:ilvl w:val="0"/>
          <w:numId w:val="104"/>
        </w:numPr>
        <w:rPr>
          <w:noProof/>
        </w:rPr>
      </w:pPr>
      <w:r>
        <w:rPr>
          <w:noProof/>
        </w:rPr>
        <w:t>New late transposition infringement cases against France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258060"/>
            <wp:effectExtent l="0" t="0" r="13970" b="8890"/>
            <wp:docPr id="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AnnualReport2"/>
        <w:numPr>
          <w:ilvl w:val="0"/>
          <w:numId w:val="104"/>
        </w:numPr>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369185"/>
            <wp:effectExtent l="0" t="0" r="10795" b="12065"/>
            <wp:docPr id="959" name="Objec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spacing w:after="0" w:line="240" w:lineRule="auto"/>
        <w:rPr>
          <w:rFonts w:ascii="Arial" w:hAnsi="Arial"/>
          <w:noProof/>
          <w:color w:val="002060"/>
        </w:rPr>
      </w:pPr>
      <w:r>
        <w:rPr>
          <w:noProof/>
        </w:rPr>
        <w:br w:type="page"/>
      </w:r>
    </w:p>
    <w:p>
      <w:pPr>
        <w:pStyle w:val="AnnualReport2"/>
        <w:numPr>
          <w:ilvl w:val="0"/>
          <w:numId w:val="104"/>
        </w:numPr>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kop2"/>
        <w:numPr>
          <w:ilvl w:val="0"/>
          <w:numId w:val="11"/>
        </w:numPr>
        <w:spacing w:before="360" w:after="240"/>
        <w:ind w:left="709" w:hanging="425"/>
        <w:rPr>
          <w:caps w:val="0"/>
          <w:noProof/>
        </w:rPr>
      </w:pPr>
      <w:r>
        <w:rPr>
          <w:caps w:val="0"/>
          <w:noProof/>
        </w:rPr>
        <w:t>EARLY RESOLUTION OF INFRINGEMENT CASES</w:t>
      </w:r>
    </w:p>
    <w:p>
      <w:pPr>
        <w:pStyle w:val="ListParagraph"/>
        <w:spacing w:before="240"/>
        <w:ind w:left="709"/>
        <w:outlineLvl w:val="1"/>
        <w:rPr>
          <w:rFonts w:ascii="Arial" w:hAnsi="Arial"/>
          <w:noProof/>
          <w:color w:val="002060"/>
        </w:rPr>
      </w:pPr>
      <w:r>
        <w:rPr>
          <w:rFonts w:ascii="Arial" w:hAnsi="Arial"/>
          <w:noProof/>
          <w:color w:val="002060"/>
        </w:rPr>
        <w:t>Major cases closed without a Court judgment in 2018</w:t>
      </w:r>
    </w:p>
    <w:p>
      <w:pPr>
        <w:spacing w:after="200"/>
        <w:ind w:firstLine="709"/>
        <w:contextualSpacing/>
        <w:rPr>
          <w:rFonts w:ascii="Arial" w:hAnsi="Arial" w:cs="Arial"/>
          <w:noProof/>
          <w:sz w:val="20"/>
        </w:rPr>
      </w:pPr>
      <w:r>
        <w:rPr>
          <w:rFonts w:ascii="Arial" w:hAnsi="Arial" w:cs="Arial"/>
          <w:noProof/>
          <w:sz w:val="20"/>
        </w:rPr>
        <w:t>These concerned:</w:t>
      </w:r>
    </w:p>
    <w:p>
      <w:pPr>
        <w:pStyle w:val="ListParagraph"/>
        <w:numPr>
          <w:ilvl w:val="0"/>
          <w:numId w:val="15"/>
        </w:numPr>
        <w:jc w:val="both"/>
        <w:rPr>
          <w:rFonts w:ascii="Arial" w:eastAsia="Calibri" w:hAnsi="Arial" w:cs="Arial"/>
          <w:noProof/>
          <w:sz w:val="20"/>
          <w:szCs w:val="20"/>
        </w:rPr>
      </w:pPr>
      <w:r>
        <w:rPr>
          <w:rFonts w:ascii="Arial" w:hAnsi="Arial" w:cs="Arial"/>
          <w:noProof/>
          <w:sz w:val="20"/>
        </w:rPr>
        <w:t>incorrect application of VAT rules on aesthetic medicine and surgery procedures;</w:t>
      </w:r>
    </w:p>
    <w:p>
      <w:pPr>
        <w:pStyle w:val="ListParagraph"/>
        <w:numPr>
          <w:ilvl w:val="0"/>
          <w:numId w:val="15"/>
        </w:numPr>
        <w:jc w:val="both"/>
        <w:rPr>
          <w:rFonts w:ascii="Arial" w:eastAsia="Calibri" w:hAnsi="Arial" w:cs="Arial"/>
          <w:noProof/>
          <w:sz w:val="20"/>
          <w:szCs w:val="20"/>
        </w:rPr>
      </w:pPr>
      <w:r>
        <w:rPr>
          <w:rFonts w:ascii="Arial" w:hAnsi="Arial" w:cs="Arial"/>
          <w:noProof/>
          <w:sz w:val="20"/>
        </w:rPr>
        <w:t>incorrect implementation of the Directive on the reduction of national emissions of certain atmospheric pollutants</w:t>
      </w:r>
      <w:r>
        <w:rPr>
          <w:rStyle w:val="FootnoteReference"/>
          <w:rFonts w:ascii="Arial" w:hAnsi="Arial" w:cs="Arial"/>
          <w:noProof/>
          <w:sz w:val="20"/>
        </w:rPr>
        <w:footnoteReference w:id="298"/>
      </w:r>
      <w:r>
        <w:rPr>
          <w:rFonts w:ascii="Arial" w:hAnsi="Arial" w:cs="Arial"/>
          <w:noProof/>
          <w:sz w:val="20"/>
        </w:rPr>
        <w:t>;</w:t>
      </w:r>
    </w:p>
    <w:p>
      <w:pPr>
        <w:pStyle w:val="ListParagraph"/>
        <w:numPr>
          <w:ilvl w:val="0"/>
          <w:numId w:val="15"/>
        </w:numPr>
        <w:jc w:val="both"/>
        <w:rPr>
          <w:rFonts w:ascii="Arial" w:hAnsi="Arial" w:cs="Arial"/>
          <w:noProof/>
          <w:szCs w:val="20"/>
        </w:rPr>
      </w:pPr>
      <w:r>
        <w:rPr>
          <w:rFonts w:ascii="Arial" w:hAnsi="Arial" w:cs="Arial"/>
          <w:noProof/>
          <w:sz w:val="20"/>
          <w:szCs w:val="20"/>
        </w:rPr>
        <w:t>incorrect transposition of the Third Energy Package Directives</w:t>
      </w:r>
      <w:r>
        <w:rPr>
          <w:rStyle w:val="FootnoteReference"/>
          <w:rFonts w:ascii="Arial" w:hAnsi="Arial" w:cs="Arial"/>
          <w:noProof/>
          <w:sz w:val="20"/>
          <w:szCs w:val="20"/>
        </w:rPr>
        <w:footnoteReference w:id="299"/>
      </w:r>
      <w:r>
        <w:rPr>
          <w:rFonts w:ascii="Arial" w:hAnsi="Arial" w:cs="Arial"/>
          <w:noProof/>
          <w:sz w:val="20"/>
          <w:szCs w:val="20"/>
        </w:rPr>
        <w:t>;</w:t>
      </w:r>
    </w:p>
    <w:p>
      <w:pPr>
        <w:pStyle w:val="ListParagraph"/>
        <w:numPr>
          <w:ilvl w:val="0"/>
          <w:numId w:val="15"/>
        </w:numPr>
        <w:jc w:val="both"/>
        <w:rPr>
          <w:rFonts w:ascii="Arial" w:hAnsi="Arial" w:cs="Arial"/>
          <w:noProof/>
          <w:szCs w:val="20"/>
        </w:rPr>
      </w:pPr>
      <w:r>
        <w:rPr>
          <w:rFonts w:ascii="Arial" w:hAnsi="Arial" w:cs="Arial"/>
          <w:noProof/>
          <w:sz w:val="20"/>
          <w:szCs w:val="20"/>
        </w:rPr>
        <w:t>import of second-hand cars which were previously registered in another Member State;</w:t>
      </w:r>
    </w:p>
    <w:p>
      <w:pPr>
        <w:pStyle w:val="ListParagraph"/>
        <w:numPr>
          <w:ilvl w:val="0"/>
          <w:numId w:val="15"/>
        </w:numPr>
        <w:jc w:val="both"/>
        <w:rPr>
          <w:rFonts w:ascii="Arial" w:eastAsia="Calibri" w:hAnsi="Arial" w:cs="Arial"/>
          <w:noProof/>
          <w:sz w:val="20"/>
          <w:szCs w:val="20"/>
        </w:rPr>
      </w:pPr>
      <w:r>
        <w:rPr>
          <w:rFonts w:ascii="Arial" w:eastAsia="Calibri" w:hAnsi="Arial" w:cs="Arial"/>
          <w:noProof/>
          <w:sz w:val="20"/>
          <w:szCs w:val="20"/>
        </w:rPr>
        <w:t>non-communication of national measures transposing the</w:t>
      </w:r>
    </w:p>
    <w:p>
      <w:pPr>
        <w:pStyle w:val="ListParagraph"/>
        <w:numPr>
          <w:ilvl w:val="1"/>
          <w:numId w:val="15"/>
        </w:numPr>
        <w:spacing w:after="200"/>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300"/>
      </w:r>
      <w:r>
        <w:rPr>
          <w:rFonts w:ascii="Arial" w:eastAsia="Calibri" w:hAnsi="Arial" w:cs="Arial"/>
          <w:noProof/>
          <w:sz w:val="20"/>
          <w:szCs w:val="20"/>
          <w:lang w:eastAsia="en-GB"/>
        </w:rPr>
        <w:t>;</w:t>
      </w:r>
    </w:p>
    <w:p>
      <w:pPr>
        <w:pStyle w:val="ListParagraph"/>
        <w:numPr>
          <w:ilvl w:val="1"/>
          <w:numId w:val="15"/>
        </w:numPr>
        <w:spacing w:after="200"/>
        <w:jc w:val="both"/>
        <w:rPr>
          <w:rFonts w:ascii="Arial" w:hAnsi="Arial" w:cs="Arial"/>
          <w:noProof/>
          <w:sz w:val="20"/>
        </w:rPr>
      </w:pPr>
      <w:r>
        <w:rPr>
          <w:rFonts w:ascii="Arial" w:hAnsi="Arial" w:cs="Arial"/>
          <w:noProof/>
          <w:sz w:val="20"/>
        </w:rPr>
        <w:t>Directive on collective management of copyright and related rights</w:t>
      </w:r>
      <w:r>
        <w:rPr>
          <w:rStyle w:val="FootnoteReference"/>
          <w:rFonts w:ascii="Arial" w:hAnsi="Arial" w:cs="Arial"/>
          <w:noProof/>
          <w:sz w:val="20"/>
        </w:rPr>
        <w:footnoteReference w:id="301"/>
      </w:r>
      <w:r>
        <w:rPr>
          <w:rFonts w:ascii="Arial" w:hAnsi="Arial" w:cs="Arial"/>
          <w:noProof/>
          <w:sz w:val="20"/>
        </w:rPr>
        <w:t xml:space="preserve">; </w:t>
      </w:r>
    </w:p>
    <w:p>
      <w:pPr>
        <w:pStyle w:val="ListParagraph"/>
        <w:numPr>
          <w:ilvl w:val="1"/>
          <w:numId w:val="15"/>
        </w:numPr>
        <w:spacing w:after="200"/>
        <w:jc w:val="both"/>
        <w:rPr>
          <w:rFonts w:ascii="Arial" w:hAnsi="Arial" w:cs="Arial"/>
          <w:noProof/>
          <w:sz w:val="20"/>
        </w:rPr>
      </w:pPr>
      <w:r>
        <w:rPr>
          <w:rFonts w:ascii="Arial" w:hAnsi="Arial" w:cs="Arial"/>
          <w:noProof/>
          <w:sz w:val="20"/>
        </w:rPr>
        <w:t>Directive on fuel quality reporting requirements and calculation methods</w:t>
      </w:r>
      <w:r>
        <w:rPr>
          <w:rStyle w:val="FootnoteReference"/>
          <w:rFonts w:ascii="Arial" w:hAnsi="Arial" w:cs="Arial"/>
          <w:noProof/>
          <w:sz w:val="20"/>
        </w:rPr>
        <w:footnoteReference w:id="302"/>
      </w:r>
      <w:r>
        <w:rPr>
          <w:rFonts w:ascii="Arial" w:hAnsi="Arial" w:cs="Arial"/>
          <w:noProof/>
          <w:sz w:val="20"/>
        </w:rPr>
        <w:t>;</w:t>
      </w:r>
    </w:p>
    <w:p>
      <w:pPr>
        <w:pStyle w:val="ListParagraph"/>
        <w:numPr>
          <w:ilvl w:val="1"/>
          <w:numId w:val="15"/>
        </w:numPr>
        <w:spacing w:after="200"/>
        <w:jc w:val="both"/>
        <w:rPr>
          <w:rFonts w:ascii="Arial" w:hAnsi="Arial" w:cs="Arial"/>
          <w:noProof/>
          <w:sz w:val="20"/>
        </w:rPr>
      </w:pPr>
      <w:r>
        <w:rPr>
          <w:rFonts w:ascii="Arial" w:hAnsi="Arial" w:cs="Arial"/>
          <w:noProof/>
          <w:sz w:val="20"/>
        </w:rPr>
        <w:t>Directive on tobacco products</w:t>
      </w:r>
      <w:r>
        <w:rPr>
          <w:rFonts w:ascii="Arial" w:hAnsi="Arial" w:cs="Arial"/>
          <w:noProof/>
          <w:sz w:val="20"/>
          <w:vertAlign w:val="superscript"/>
          <w:lang w:val="nl-NL"/>
        </w:rPr>
        <w:footnoteReference w:id="303"/>
      </w:r>
      <w:r>
        <w:rPr>
          <w:rFonts w:ascii="Arial" w:hAnsi="Arial" w:cs="Arial"/>
          <w:noProof/>
          <w:sz w:val="20"/>
        </w:rPr>
        <w:t>;</w:t>
      </w:r>
    </w:p>
    <w:p>
      <w:pPr>
        <w:pStyle w:val="ListParagraph"/>
        <w:numPr>
          <w:ilvl w:val="1"/>
          <w:numId w:val="15"/>
        </w:numPr>
        <w:spacing w:after="200"/>
        <w:jc w:val="both"/>
        <w:rPr>
          <w:rFonts w:ascii="Arial" w:hAnsi="Arial" w:cs="Arial"/>
          <w:noProof/>
          <w:sz w:val="20"/>
        </w:rPr>
      </w:pPr>
      <w:r>
        <w:rPr>
          <w:rFonts w:ascii="Arial" w:hAnsi="Arial" w:cs="Arial"/>
          <w:noProof/>
          <w:sz w:val="20"/>
        </w:rPr>
        <w:t>Commission Directive amending the Directive on quality system standards and specifications for blood establishments.</w:t>
      </w:r>
      <w:r>
        <w:rPr>
          <w:rFonts w:ascii="Arial" w:hAnsi="Arial" w:cs="Arial"/>
          <w:noProof/>
          <w:sz w:val="20"/>
          <w:vertAlign w:val="superscript"/>
          <w:lang w:val="nl-NL"/>
        </w:rPr>
        <w:footnoteReference w:id="304"/>
      </w:r>
      <w:r>
        <w:rPr>
          <w:rFonts w:ascii="Arial" w:hAnsi="Arial" w:cs="Arial"/>
          <w:noProof/>
          <w:sz w:val="20"/>
        </w:rPr>
        <w:t>.</w:t>
      </w:r>
    </w:p>
    <w:p>
      <w:pPr>
        <w:pStyle w:val="kop2"/>
        <w:numPr>
          <w:ilvl w:val="0"/>
          <w:numId w:val="11"/>
        </w:numPr>
        <w:spacing w:before="360" w:after="240"/>
        <w:ind w:left="709" w:hanging="425"/>
        <w:rPr>
          <w:caps w:val="0"/>
          <w:noProof/>
        </w:rPr>
      </w:pPr>
      <w:r>
        <w:rPr>
          <w:noProof/>
        </w:rPr>
        <w:t>IMPORTANT</w:t>
      </w:r>
      <w:r>
        <w:rPr>
          <w:caps w:val="0"/>
          <w:noProof/>
        </w:rPr>
        <w:t xml:space="preserve"> JUDGMENTS</w:t>
      </w:r>
    </w:p>
    <w:p>
      <w:pPr>
        <w:pStyle w:val="AnnualReport2"/>
        <w:numPr>
          <w:ilvl w:val="0"/>
          <w:numId w:val="30"/>
        </w:numPr>
        <w:ind w:left="709" w:hanging="425"/>
        <w:rPr>
          <w:noProof/>
        </w:rPr>
      </w:pPr>
      <w:r>
        <w:rPr>
          <w:noProof/>
        </w:rPr>
        <w:t>Court rulings</w:t>
      </w:r>
    </w:p>
    <w:p>
      <w:pPr>
        <w:spacing w:after="120"/>
        <w:ind w:firstLine="709"/>
        <w:rPr>
          <w:rFonts w:ascii="Arial" w:hAnsi="Arial" w:cs="Arial"/>
          <w:noProof/>
          <w:sz w:val="20"/>
        </w:rPr>
      </w:pPr>
      <w:r>
        <w:rPr>
          <w:rFonts w:ascii="Arial" w:hAnsi="Arial" w:cs="Arial"/>
          <w:noProof/>
          <w:sz w:val="20"/>
        </w:rPr>
        <w:t>The Court ruled that:</w:t>
      </w:r>
    </w:p>
    <w:p>
      <w:pPr>
        <w:pStyle w:val="ListParagraph"/>
        <w:numPr>
          <w:ilvl w:val="0"/>
          <w:numId w:val="119"/>
        </w:numPr>
        <w:spacing w:after="120"/>
        <w:jc w:val="both"/>
        <w:rPr>
          <w:rFonts w:ascii="Arial" w:hAnsi="Arial"/>
          <w:noProof/>
          <w:color w:val="002060"/>
        </w:rPr>
      </w:pPr>
      <w:r>
        <w:rPr>
          <w:rFonts w:ascii="Arial" w:hAnsi="Arial" w:cs="Arial"/>
          <w:noProof/>
          <w:sz w:val="20"/>
        </w:rPr>
        <w:t>France has failed to fulfil its obligations under EU law over the way it applied the mechanism for the avoidance of economic double taxation of distributed foreign dividends</w:t>
      </w:r>
      <w:r>
        <w:rPr>
          <w:rStyle w:val="FootnoteReference"/>
          <w:rFonts w:ascii="Arial" w:hAnsi="Arial" w:cs="Arial"/>
          <w:noProof/>
          <w:sz w:val="20"/>
        </w:rPr>
        <w:footnoteReference w:id="305"/>
      </w:r>
      <w:r>
        <w:rPr>
          <w:rFonts w:ascii="Arial" w:hAnsi="Arial" w:cs="Arial"/>
          <w:noProof/>
          <w:sz w:val="20"/>
        </w:rPr>
        <w:t>.</w:t>
      </w:r>
      <w:r>
        <w:rPr>
          <w:rStyle w:val="FootnoteReference"/>
          <w:rFonts w:ascii="Arial" w:eastAsia="Calibri" w:hAnsi="Arial" w:cs="Arial"/>
          <w:noProof/>
          <w:kern w:val="20"/>
          <w:sz w:val="20"/>
        </w:rPr>
        <w:t xml:space="preserve"> </w:t>
      </w:r>
    </w:p>
    <w:p>
      <w:pPr>
        <w:pStyle w:val="AnnualReport2"/>
        <w:numPr>
          <w:ilvl w:val="0"/>
          <w:numId w:val="30"/>
        </w:numPr>
        <w:ind w:left="709" w:hanging="425"/>
        <w:rPr>
          <w:noProof/>
        </w:rPr>
      </w:pPr>
      <w:r>
        <w:rPr>
          <w:noProof/>
        </w:rPr>
        <w:t>Preliminary rulings</w:t>
      </w:r>
    </w:p>
    <w:p>
      <w:pPr>
        <w:spacing w:after="120"/>
        <w:ind w:left="426" w:firstLine="294"/>
        <w:jc w:val="both"/>
        <w:rPr>
          <w:rFonts w:ascii="Arial" w:hAnsi="Arial" w:cs="Arial"/>
          <w:noProof/>
          <w:sz w:val="20"/>
          <w:szCs w:val="20"/>
        </w:rPr>
      </w:pPr>
      <w:r>
        <w:rPr>
          <w:rFonts w:ascii="Arial" w:hAnsi="Arial" w:cs="Arial"/>
          <w:noProof/>
          <w:sz w:val="20"/>
          <w:szCs w:val="20"/>
        </w:rPr>
        <w:t xml:space="preserve">The Court addressed the following preliminary rulings to the French judiciary. </w:t>
      </w:r>
    </w:p>
    <w:p>
      <w:pPr>
        <w:pStyle w:val="ListParagraph"/>
        <w:numPr>
          <w:ilvl w:val="0"/>
          <w:numId w:val="119"/>
        </w:numPr>
        <w:spacing w:after="120"/>
        <w:jc w:val="both"/>
        <w:rPr>
          <w:rFonts w:ascii="Arial" w:eastAsia="Calibri" w:hAnsi="Arial" w:cs="Arial"/>
          <w:noProof/>
          <w:kern w:val="20"/>
          <w:sz w:val="20"/>
          <w:szCs w:val="20"/>
        </w:rPr>
      </w:pPr>
      <w:r>
        <w:rPr>
          <w:rFonts w:ascii="Arial" w:hAnsi="Arial" w:cs="Arial"/>
          <w:noProof/>
          <w:sz w:val="20"/>
          <w:szCs w:val="20"/>
        </w:rPr>
        <w:t>Only part of the French public electricity service tax (CSPE) may be considered as another indirect tax for specific purposes, namely its environmental objective (and in the proportion in which revenue raised from the tax was allocated to this objective). The taxable persons concerned are entitled to a reimbursement of the other part of the tax, provided that they did not directly pass on that tax to their own consumers</w:t>
      </w:r>
      <w:r>
        <w:rPr>
          <w:rStyle w:val="FootnoteReference"/>
          <w:rFonts w:ascii="Arial" w:hAnsi="Arial" w:cs="Arial"/>
          <w:noProof/>
          <w:sz w:val="20"/>
          <w:szCs w:val="20"/>
          <w:lang w:val="fr-BE"/>
        </w:rPr>
        <w:footnoteReference w:id="306"/>
      </w:r>
      <w:r>
        <w:rPr>
          <w:noProof/>
        </w:rPr>
        <w:t>.</w:t>
      </w:r>
    </w:p>
    <w:p>
      <w:pPr>
        <w:pStyle w:val="ListParagraph"/>
        <w:numPr>
          <w:ilvl w:val="0"/>
          <w:numId w:val="119"/>
        </w:numPr>
        <w:spacing w:after="120"/>
        <w:jc w:val="both"/>
        <w:rPr>
          <w:rFonts w:ascii="Arial" w:eastAsia="Calibri" w:hAnsi="Arial" w:cs="Arial"/>
          <w:noProof/>
          <w:kern w:val="20"/>
          <w:sz w:val="20"/>
          <w:szCs w:val="20"/>
        </w:rPr>
      </w:pPr>
      <w:r>
        <w:rPr>
          <w:rFonts w:ascii="Arial" w:hAnsi="Arial" w:cs="Arial"/>
          <w:noProof/>
          <w:sz w:val="20"/>
          <w:szCs w:val="20"/>
        </w:rPr>
        <w:t>French withholding tax on dividends received by loss-making non-resident companies is incompatible with free movement of capital. The Court ruled that different ways to collect taxes between resident and non-resident taxpayers are allowed only if they do not result in heavier taxation of the latter</w:t>
      </w:r>
      <w:r>
        <w:rPr>
          <w:rStyle w:val="FootnoteReference"/>
          <w:rFonts w:ascii="Arial" w:hAnsi="Arial" w:cs="Arial"/>
          <w:noProof/>
          <w:sz w:val="20"/>
          <w:szCs w:val="20"/>
        </w:rPr>
        <w:footnoteReference w:id="307"/>
      </w:r>
      <w:r>
        <w:rPr>
          <w:rFonts w:ascii="Arial" w:eastAsia="Calibri" w:hAnsi="Arial" w:cs="Arial"/>
          <w:noProof/>
          <w:kern w:val="20"/>
          <w:sz w:val="20"/>
          <w:szCs w:val="20"/>
        </w:rPr>
        <w:t>.</w:t>
      </w:r>
      <w:r>
        <w:rPr>
          <w:rFonts w:ascii="Arial" w:hAnsi="Arial" w:cs="Arial"/>
          <w:noProof/>
          <w:sz w:val="20"/>
          <w:szCs w:val="20"/>
        </w:rPr>
        <w:t xml:space="preserve"> </w:t>
      </w:r>
    </w:p>
    <w:p>
      <w:pPr>
        <w:pStyle w:val="ListParagraph"/>
        <w:numPr>
          <w:ilvl w:val="0"/>
          <w:numId w:val="119"/>
        </w:numPr>
        <w:spacing w:after="120"/>
        <w:jc w:val="both"/>
        <w:rPr>
          <w:noProof/>
        </w:rPr>
      </w:pPr>
      <w:r>
        <w:rPr>
          <w:rFonts w:ascii="Arial" w:hAnsi="Arial" w:cs="Arial"/>
          <w:bCs/>
          <w:noProof/>
          <w:sz w:val="20"/>
          <w:szCs w:val="20"/>
        </w:rPr>
        <w:t>Member States may prohibit and punish as a matter of criminal law the illegal exercise of transport activities by the UberPop service, without notifying the Commission in advance of the draft legislation laying down criminal penalties for the exercise of such activities;</w:t>
      </w:r>
      <w:r>
        <w:rPr>
          <w:rStyle w:val="FootnoteReference"/>
          <w:rFonts w:ascii="Arial" w:hAnsi="Arial" w:cs="Arial"/>
          <w:noProof/>
          <w:sz w:val="20"/>
          <w:szCs w:val="20"/>
        </w:rPr>
        <w:footnoteReference w:id="308"/>
      </w:r>
    </w:p>
    <w:p>
      <w:pPr>
        <w:pStyle w:val="ListParagraph"/>
        <w:numPr>
          <w:ilvl w:val="0"/>
          <w:numId w:val="119"/>
        </w:numPr>
        <w:spacing w:after="120"/>
        <w:jc w:val="both"/>
        <w:rPr>
          <w:noProof/>
        </w:rPr>
      </w:pPr>
      <w:r>
        <w:rPr>
          <w:rFonts w:ascii="Arial" w:hAnsi="Arial" w:cs="Arial"/>
          <w:noProof/>
          <w:sz w:val="20"/>
          <w:szCs w:val="20"/>
        </w:rPr>
        <w:t>An applicant for international protetion who moves to another Member State after lodging their application cannot be returned to the first Member State before the second Member State has agreed to the request to take that person back, explicitly or implicitly</w:t>
      </w:r>
      <w:r>
        <w:rPr>
          <w:rStyle w:val="FootnoteReference"/>
          <w:rFonts w:ascii="Arial" w:hAnsi="Arial" w:cs="Arial"/>
          <w:noProof/>
          <w:sz w:val="20"/>
          <w:szCs w:val="20"/>
        </w:rPr>
        <w:footnoteReference w:id="309"/>
      </w:r>
      <w:r>
        <w:rPr>
          <w:rFonts w:ascii="Arial" w:hAnsi="Arial" w:cs="Arial"/>
          <w:noProof/>
          <w:sz w:val="20"/>
          <w:szCs w:val="20"/>
        </w:rPr>
        <w:t>.</w:t>
      </w:r>
    </w:p>
    <w:p>
      <w:pPr>
        <w:pStyle w:val="ListParagraph"/>
        <w:numPr>
          <w:ilvl w:val="0"/>
          <w:numId w:val="102"/>
        </w:numPr>
        <w:spacing w:after="200"/>
        <w:jc w:val="both"/>
        <w:rPr>
          <w:rFonts w:ascii="Arial" w:hAnsi="Arial" w:cs="Arial"/>
          <w:noProof/>
          <w:sz w:val="20"/>
          <w:szCs w:val="20"/>
        </w:rPr>
      </w:pPr>
      <w:r>
        <w:rPr>
          <w:rFonts w:ascii="Arial" w:hAnsi="Arial" w:cs="Arial"/>
          <w:noProof/>
          <w:sz w:val="20"/>
          <w:szCs w:val="20"/>
        </w:rPr>
        <w:t>Under the EU rules on the common organisation of the market in wine, the fact that an on-the-spot check can be carried out unannounced means at the very most that it can take place at any time, without the control official having given notice of his visit. However, officials carrying out on-the-spot checks cannot enter agricultural land without having obtained the vine grower’s permission;</w:t>
      </w:r>
      <w:r>
        <w:rPr>
          <w:rFonts w:ascii="Arial" w:hAnsi="Arial" w:cs="Arial"/>
          <w:noProof/>
          <w:sz w:val="20"/>
          <w:szCs w:val="20"/>
          <w:vertAlign w:val="superscript"/>
        </w:rPr>
        <w:footnoteReference w:id="310"/>
      </w:r>
      <w:r>
        <w:rPr>
          <w:rFonts w:ascii="Arial" w:hAnsi="Arial" w:cs="Arial"/>
          <w:noProof/>
          <w:sz w:val="20"/>
          <w:szCs w:val="20"/>
        </w:rPr>
        <w:t>. </w:t>
      </w:r>
    </w:p>
    <w:p>
      <w:pPr>
        <w:pStyle w:val="ListParagraph"/>
        <w:numPr>
          <w:ilvl w:val="0"/>
          <w:numId w:val="102"/>
        </w:numPr>
        <w:spacing w:after="200"/>
        <w:jc w:val="both"/>
        <w:rPr>
          <w:rFonts w:ascii="Arial" w:hAnsi="Arial" w:cs="Arial"/>
          <w:noProof/>
          <w:sz w:val="20"/>
          <w:szCs w:val="20"/>
        </w:rPr>
      </w:pPr>
      <w:r>
        <w:rPr>
          <w:rFonts w:ascii="Arial" w:hAnsi="Arial" w:cs="Arial"/>
          <w:noProof/>
          <w:sz w:val="20"/>
          <w:szCs w:val="20"/>
        </w:rPr>
        <w:t>Organisms obtained by mutagenesis are genetically modified organisms and are, in principle, subject to the obligations laid down by the GMO Directive</w:t>
      </w:r>
      <w:r>
        <w:rPr>
          <w:rStyle w:val="FootnoteReference"/>
          <w:rFonts w:ascii="Arial" w:hAnsi="Arial" w:cs="Arial"/>
          <w:noProof/>
          <w:sz w:val="20"/>
          <w:szCs w:val="20"/>
        </w:rPr>
        <w:footnoteReference w:id="311"/>
      </w:r>
      <w:r>
        <w:rPr>
          <w:rFonts w:ascii="Arial" w:hAnsi="Arial" w:cs="Arial"/>
          <w:noProof/>
          <w:sz w:val="20"/>
          <w:szCs w:val="20"/>
        </w:rPr>
        <w:t>. However, organisms obtained by mutagenesis techniques that have conventionally been used in a number of applications and have a long safety record are exempt from those obligations. Member States are neverthless free to subject them, in compliance with EU law, to the obligations laid down by the Directive or to other obligations</w:t>
      </w:r>
      <w:r>
        <w:rPr>
          <w:rFonts w:ascii="Arial" w:hAnsi="Arial" w:cs="Arial"/>
          <w:noProof/>
          <w:sz w:val="20"/>
          <w:szCs w:val="20"/>
          <w:vertAlign w:val="superscript"/>
        </w:rPr>
        <w:footnoteReference w:id="312"/>
      </w:r>
      <w:r>
        <w:rPr>
          <w:rFonts w:ascii="Arial" w:hAnsi="Arial" w:cs="Arial"/>
          <w:noProof/>
          <w:sz w:val="20"/>
          <w:szCs w:val="20"/>
        </w:rPr>
        <w:t>.</w:t>
      </w:r>
    </w:p>
    <w:p>
      <w:pPr>
        <w:rPr>
          <w:rFonts w:ascii="Arial" w:hAnsi="Arial" w:cs="Arial"/>
          <w:i/>
          <w:noProof/>
        </w:rPr>
      </w:pPr>
    </w:p>
    <w:p>
      <w:pPr>
        <w:rPr>
          <w:rFonts w:ascii="Arial" w:hAnsi="Arial" w:cs="Arial"/>
          <w:noProof/>
        </w:rPr>
        <w:sectPr>
          <w:headerReference w:type="even" r:id="rId185"/>
          <w:headerReference w:type="default" r:id="rId186"/>
          <w:footerReference w:type="even" r:id="rId187"/>
          <w:footerReference w:type="default" r:id="rId188"/>
          <w:headerReference w:type="first" r:id="rId189"/>
          <w:footerReference w:type="first" r:id="rId190"/>
          <w:footnotePr>
            <w:numRestart w:val="eachSect"/>
          </w:footnotePr>
          <w:pgSz w:w="11906" w:h="16838"/>
          <w:pgMar w:top="1701" w:right="1417" w:bottom="1134" w:left="1417" w:header="567" w:footer="351" w:gutter="0"/>
          <w:cols w:space="708"/>
          <w:titlePg/>
          <w:docGrid w:linePitch="360"/>
        </w:sectPr>
      </w:pPr>
    </w:p>
    <w:p>
      <w:pPr>
        <w:pStyle w:val="Heading1"/>
        <w:rPr>
          <w:noProof/>
          <w:szCs w:val="24"/>
        </w:rPr>
      </w:pPr>
      <w:bookmarkStart w:id="87" w:name="_Toc444769587"/>
      <w:bookmarkStart w:id="88" w:name="_Toc444772043"/>
      <w:bookmarkStart w:id="89" w:name="_Toc444773362"/>
      <w:bookmarkStart w:id="90" w:name="_Toc444776734"/>
      <w:bookmarkStart w:id="91" w:name="_Toc475974641"/>
      <w:bookmarkStart w:id="92" w:name="_Toc475980137"/>
      <w:bookmarkStart w:id="93" w:name="_Toc475981386"/>
      <w:bookmarkStart w:id="94" w:name="_Toc484622327"/>
      <w:bookmarkStart w:id="95" w:name="_Toc5788365"/>
      <w:bookmarkStart w:id="96" w:name="_Toc444769594"/>
      <w:bookmarkStart w:id="97" w:name="_Toc444772050"/>
      <w:bookmarkStart w:id="98" w:name="_Toc444773369"/>
      <w:bookmarkStart w:id="99" w:name="_Toc444776741"/>
      <w:bookmarkStart w:id="100" w:name="_Toc475974648"/>
      <w:bookmarkStart w:id="101" w:name="_Toc475980144"/>
      <w:bookmarkStart w:id="102" w:name="_Toc475981393"/>
      <w:r>
        <w:rPr>
          <w:noProof/>
          <w:szCs w:val="24"/>
        </w:rPr>
        <w:t>Croatia</w:t>
      </w:r>
      <w:bookmarkEnd w:id="87"/>
      <w:bookmarkEnd w:id="88"/>
      <w:bookmarkEnd w:id="89"/>
      <w:bookmarkEnd w:id="90"/>
      <w:bookmarkEnd w:id="91"/>
      <w:bookmarkEnd w:id="92"/>
      <w:bookmarkEnd w:id="93"/>
      <w:bookmarkEnd w:id="94"/>
      <w:bookmarkEnd w:id="95"/>
    </w:p>
    <w:p>
      <w:pPr>
        <w:pStyle w:val="kop2"/>
        <w:numPr>
          <w:ilvl w:val="0"/>
          <w:numId w:val="9"/>
        </w:numPr>
        <w:spacing w:before="360" w:after="240"/>
        <w:ind w:left="709" w:hanging="425"/>
        <w:rPr>
          <w:noProof/>
        </w:rPr>
      </w:pPr>
      <w:r>
        <w:rPr>
          <w:noProof/>
        </w:rPr>
        <w:t>COMPLAINTS</w:t>
      </w:r>
    </w:p>
    <w:p>
      <w:pPr>
        <w:pStyle w:val="AnnualReport2"/>
        <w:numPr>
          <w:ilvl w:val="0"/>
          <w:numId w:val="25"/>
        </w:numPr>
        <w:ind w:left="709" w:hanging="425"/>
        <w:rPr>
          <w:noProof/>
        </w:rPr>
      </w:pPr>
      <w:r>
        <w:rPr>
          <w:noProof/>
        </w:rPr>
        <w:t>New complaints made against Croatia by members of the public (2014-2018)</w:t>
      </w:r>
      <w:r>
        <w:rPr>
          <w:rStyle w:val="FootnoteReference"/>
          <w:noProof/>
        </w:rPr>
        <w:footnoteReference w:id="313"/>
      </w:r>
    </w:p>
    <w:p>
      <w:pPr>
        <w:ind w:firstLine="709"/>
        <w:rPr>
          <w:rFonts w:ascii="Arial" w:hAnsi="Arial" w:cs="Arial"/>
          <w:noProof/>
          <w:sz w:val="20"/>
        </w:rPr>
      </w:pPr>
      <w:r>
        <w:rPr>
          <w:rFonts w:ascii="Arial" w:hAnsi="Arial" w:cs="Arial"/>
          <w:noProof/>
          <w:sz w:val="20"/>
          <w:lang w:eastAsia="en-GB"/>
        </w:rPr>
        <w:drawing>
          <wp:inline distT="0" distB="0" distL="0" distR="0">
            <wp:extent cx="4612005" cy="2234565"/>
            <wp:effectExtent l="0" t="0" r="0" b="0"/>
            <wp:docPr id="9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AnnualReport2"/>
        <w:numPr>
          <w:ilvl w:val="0"/>
          <w:numId w:val="25"/>
        </w:numPr>
        <w:ind w:left="709" w:hanging="425"/>
        <w:rPr>
          <w:noProof/>
        </w:rPr>
      </w:pPr>
      <w:r>
        <w:rPr>
          <w:noProof/>
        </w:rPr>
        <w:t>Public complaints against Croatia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69</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60</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75</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54</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25"/>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28850"/>
            <wp:effectExtent l="0" t="0" r="1270" b="0"/>
            <wp:docPr id="1073"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26"/>
        </w:numPr>
        <w:ind w:left="709" w:hanging="425"/>
        <w:rPr>
          <w:noProof/>
        </w:rPr>
      </w:pPr>
      <w:r>
        <w:rPr>
          <w:noProof/>
        </w:rPr>
        <w:t>New EU Pilot files opened against Croatia (2014-2018)</w:t>
      </w:r>
    </w:p>
    <w:p>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0" b="0"/>
            <wp:docPr id="95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AnnualReport2"/>
        <w:numPr>
          <w:ilvl w:val="0"/>
          <w:numId w:val="26"/>
        </w:numPr>
        <w:ind w:left="709" w:hanging="425"/>
        <w:rPr>
          <w:noProof/>
        </w:rPr>
      </w:pPr>
      <w:r>
        <w:rPr>
          <w:noProof/>
        </w:rPr>
        <w:t>Files relating to Croatia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0" b="0"/>
            <wp:docPr id="11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AnnualReport2"/>
        <w:numPr>
          <w:ilvl w:val="0"/>
          <w:numId w:val="26"/>
        </w:numPr>
        <w:ind w:left="709" w:hanging="425"/>
        <w:rPr>
          <w:noProof/>
        </w:rPr>
      </w:pPr>
      <w:r>
        <w:rPr>
          <w:noProof/>
        </w:rPr>
        <w:t>New EU Pilot files opened in 2018: main policy areas</w:t>
      </w:r>
    </w:p>
    <w:p>
      <w:pPr>
        <w:spacing w:after="120"/>
        <w:ind w:left="709"/>
        <w:rPr>
          <w:rFonts w:ascii="Arial" w:hAnsi="Arial" w:cs="Arial"/>
          <w:noProof/>
          <w:sz w:val="20"/>
        </w:rPr>
      </w:pPr>
      <w:r>
        <w:rPr>
          <w:rFonts w:ascii="Arial" w:hAnsi="Arial" w:cs="Arial"/>
          <w:noProof/>
          <w:sz w:val="20"/>
          <w:lang w:eastAsia="en-GB"/>
        </w:rPr>
        <w:drawing>
          <wp:inline distT="0" distB="0" distL="0" distR="0">
            <wp:extent cx="4627880" cy="2311400"/>
            <wp:effectExtent l="0" t="0" r="1270" b="12700"/>
            <wp:docPr id="992"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AnnualReport2"/>
        <w:numPr>
          <w:ilvl w:val="0"/>
          <w:numId w:val="26"/>
        </w:numPr>
        <w:ind w:left="709" w:hanging="425"/>
        <w:rPr>
          <w:noProof/>
        </w:rPr>
      </w:pPr>
      <w:r>
        <w:rPr>
          <w:noProof/>
        </w:rPr>
        <w:t>EU Pilot files: Croatia’s resolution rate in 2014-2018</w:t>
      </w:r>
      <w:r>
        <w:rPr>
          <w:rStyle w:val="FootnoteReference"/>
          <w:noProof/>
        </w:rPr>
        <w:footnoteReference w:id="314"/>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46935"/>
            <wp:effectExtent l="0" t="0" r="3175" b="5715"/>
            <wp:docPr id="11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23"/>
        </w:numPr>
        <w:ind w:left="709" w:hanging="425"/>
        <w:rPr>
          <w:noProof/>
        </w:rPr>
      </w:pPr>
      <w:r>
        <w:rPr>
          <w:noProof/>
        </w:rPr>
        <w:t>Infringement cases against Croatia open on 31 December (2014-2018)</w:t>
      </w:r>
    </w:p>
    <w:p>
      <w:pPr>
        <w:spacing w:after="120"/>
        <w:ind w:left="709"/>
        <w:rPr>
          <w:rFonts w:ascii="Arial" w:hAnsi="Arial" w:cs="Arial"/>
          <w:noProof/>
          <w:sz w:val="20"/>
        </w:rPr>
      </w:pPr>
      <w:r>
        <w:rPr>
          <w:rFonts w:ascii="Arial" w:hAnsi="Arial" w:cs="Arial"/>
          <w:noProof/>
          <w:sz w:val="20"/>
          <w:lang w:eastAsia="en-GB"/>
        </w:rPr>
        <w:drawing>
          <wp:inline distT="0" distB="0" distL="0" distR="0">
            <wp:extent cx="4612005" cy="2116455"/>
            <wp:effectExtent l="0" t="0" r="17145" b="17145"/>
            <wp:docPr id="118"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AnnualReport2"/>
        <w:numPr>
          <w:ilvl w:val="0"/>
          <w:numId w:val="23"/>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385695"/>
            <wp:effectExtent l="0" t="0" r="17145" b="14605"/>
            <wp:docPr id="119" name="Object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AnnualReport2"/>
        <w:numPr>
          <w:ilvl w:val="0"/>
          <w:numId w:val="23"/>
        </w:numPr>
        <w:ind w:left="709" w:hanging="425"/>
        <w:rPr>
          <w:noProof/>
        </w:rPr>
      </w:pPr>
      <w:r>
        <w:rPr>
          <w:noProof/>
        </w:rPr>
        <w:t>Key infringement cases and referrals to the Court</w:t>
      </w:r>
    </w:p>
    <w:p>
      <w:pPr>
        <w:numPr>
          <w:ilvl w:val="0"/>
          <w:numId w:val="88"/>
        </w:numPr>
        <w:ind w:left="1276" w:hanging="425"/>
        <w:jc w:val="both"/>
        <w:rPr>
          <w:rFonts w:ascii="Arial" w:hAnsi="Arial" w:cs="Arial"/>
          <w:noProof/>
          <w:sz w:val="20"/>
          <w:szCs w:val="20"/>
        </w:rPr>
      </w:pPr>
      <w:r>
        <w:rPr>
          <w:rFonts w:ascii="Arial" w:hAnsi="Arial" w:cs="Arial"/>
          <w:noProof/>
          <w:sz w:val="20"/>
          <w:szCs w:val="20"/>
        </w:rPr>
        <w:t>The Commission opened 14 new infringement cases against Croatia in 2018. These, and other major ongoing infringement cases, include:</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non-conformity with the Habitats Directive</w:t>
      </w:r>
      <w:r>
        <w:rPr>
          <w:rStyle w:val="FootnoteReference"/>
          <w:rFonts w:ascii="Arial" w:hAnsi="Arial" w:cs="Arial"/>
          <w:noProof/>
          <w:sz w:val="20"/>
          <w:szCs w:val="20"/>
        </w:rPr>
        <w:footnoteReference w:id="315"/>
      </w:r>
      <w:r>
        <w:rPr>
          <w:rFonts w:ascii="Arial" w:hAnsi="Arial" w:cs="Arial"/>
          <w:noProof/>
          <w:sz w:val="20"/>
          <w:szCs w:val="20"/>
        </w:rPr>
        <w:t>, the Birds Directive</w:t>
      </w:r>
      <w:r>
        <w:rPr>
          <w:rStyle w:val="FootnoteReference"/>
          <w:rFonts w:ascii="Arial" w:hAnsi="Arial" w:cs="Arial"/>
          <w:noProof/>
          <w:sz w:val="20"/>
          <w:szCs w:val="20"/>
        </w:rPr>
        <w:footnoteReference w:id="316"/>
      </w:r>
      <w:r>
        <w:rPr>
          <w:rFonts w:ascii="Arial" w:hAnsi="Arial" w:cs="Arial"/>
          <w:noProof/>
          <w:sz w:val="20"/>
          <w:szCs w:val="20"/>
        </w:rPr>
        <w:t xml:space="preserve"> and the Environmental Impact Assessment Directive</w:t>
      </w:r>
      <w:r>
        <w:rPr>
          <w:rStyle w:val="FootnoteReference"/>
          <w:rFonts w:ascii="Arial" w:hAnsi="Arial" w:cs="Arial"/>
          <w:noProof/>
          <w:sz w:val="20"/>
          <w:szCs w:val="20"/>
        </w:rPr>
        <w:footnoteReference w:id="317"/>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failure to comply with EU legislation on Flag State requirements</w:t>
      </w:r>
      <w:r>
        <w:rPr>
          <w:rStyle w:val="FootnoteReference"/>
          <w:rFonts w:ascii="Arial" w:hAnsi="Arial" w:cs="Arial"/>
          <w:noProof/>
          <w:sz w:val="20"/>
          <w:szCs w:val="20"/>
        </w:rPr>
        <w:footnoteReference w:id="318"/>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319"/>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 xml:space="preserve">non-compliance with </w:t>
      </w:r>
      <w:r>
        <w:rPr>
          <w:rFonts w:ascii="Arial" w:hAnsi="Arial" w:cs="Arial"/>
          <w:bCs/>
          <w:noProof/>
          <w:sz w:val="20"/>
          <w:szCs w:val="20"/>
        </w:rPr>
        <w:t xml:space="preserve">EU rules on the spectrum </w:t>
      </w:r>
      <w:r>
        <w:rPr>
          <w:rFonts w:ascii="Arial" w:hAnsi="Arial" w:cs="Arial"/>
          <w:noProof/>
          <w:sz w:val="20"/>
          <w:szCs w:val="20"/>
        </w:rPr>
        <w:t>Decision</w:t>
      </w:r>
      <w:r>
        <w:rPr>
          <w:rStyle w:val="FootnoteReference"/>
          <w:rFonts w:ascii="Arial" w:hAnsi="Arial" w:cs="Arial"/>
          <w:noProof/>
          <w:sz w:val="20"/>
          <w:szCs w:val="20"/>
        </w:rPr>
        <w:footnoteReference w:id="320"/>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 xml:space="preserve">non-conformity of national transposition measures with the Directive on the recognition of professional qualifications </w:t>
      </w:r>
      <w:r>
        <w:rPr>
          <w:rStyle w:val="FootnoteReference"/>
          <w:rFonts w:ascii="Arial" w:hAnsi="Arial" w:cs="Arial"/>
          <w:noProof/>
          <w:sz w:val="20"/>
          <w:szCs w:val="20"/>
        </w:rPr>
        <w:footnoteReference w:id="321"/>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Payment Services Directive</w:t>
      </w:r>
      <w:r>
        <w:rPr>
          <w:rFonts w:ascii="Arial" w:hAnsi="Arial" w:cs="Arial"/>
          <w:noProof/>
          <w:sz w:val="20"/>
          <w:szCs w:val="20"/>
          <w:vertAlign w:val="superscript"/>
        </w:rPr>
        <w:footnoteReference w:id="322"/>
      </w:r>
      <w:r>
        <w:rPr>
          <w:rFonts w:ascii="Arial" w:hAnsi="Arial" w:cs="Arial"/>
          <w:noProof/>
          <w:sz w:val="20"/>
          <w:szCs w:val="20"/>
        </w:rPr>
        <w:t>;</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Insurance Distribution Directive</w:t>
      </w:r>
      <w:r>
        <w:rPr>
          <w:rFonts w:ascii="Arial" w:hAnsi="Arial" w:cs="Arial"/>
          <w:noProof/>
          <w:sz w:val="20"/>
          <w:szCs w:val="20"/>
          <w:vertAlign w:val="superscript"/>
        </w:rPr>
        <w:footnoteReference w:id="323"/>
      </w:r>
      <w:r>
        <w:rPr>
          <w:rFonts w:ascii="Arial" w:hAnsi="Arial" w:cs="Arial"/>
          <w:noProof/>
          <w:sz w:val="20"/>
          <w:szCs w:val="20"/>
        </w:rPr>
        <w:t>;</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rPr>
        <w:footnoteReference w:id="324"/>
      </w:r>
      <w:r>
        <w:rPr>
          <w:rFonts w:ascii="Arial" w:hAnsi="Arial" w:cs="Arial"/>
          <w:noProof/>
          <w:sz w:val="20"/>
          <w:szCs w:val="20"/>
        </w:rPr>
        <w:t>;</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325"/>
      </w:r>
      <w:r>
        <w:rPr>
          <w:rFonts w:ascii="Arial" w:hAnsi="Arial" w:cs="Arial"/>
          <w:noProof/>
          <w:sz w:val="20"/>
          <w:szCs w:val="20"/>
        </w:rPr>
        <w:t>;</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326"/>
      </w:r>
      <w:r>
        <w:rPr>
          <w:rFonts w:ascii="Arial" w:hAnsi="Arial" w:cs="Arial"/>
          <w:noProof/>
          <w:sz w:val="20"/>
          <w:szCs w:val="20"/>
        </w:rPr>
        <w:t>;</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327"/>
      </w:r>
      <w:r>
        <w:rPr>
          <w:rFonts w:ascii="Arial" w:hAnsi="Arial" w:cs="Arial"/>
          <w:noProof/>
          <w:sz w:val="20"/>
          <w:szCs w:val="20"/>
        </w:rPr>
        <w:t>;</w:t>
      </w:r>
    </w:p>
    <w:p>
      <w:pPr>
        <w:pStyle w:val="ListParagraph"/>
        <w:numPr>
          <w:ilvl w:val="1"/>
          <w:numId w:val="102"/>
        </w:numPr>
        <w:ind w:left="2268"/>
        <w:jc w:val="both"/>
        <w:rPr>
          <w:rFonts w:ascii="Arial" w:hAnsi="Arial" w:cs="Arial"/>
          <w:noProof/>
          <w:sz w:val="20"/>
          <w:szCs w:val="20"/>
        </w:rPr>
      </w:pPr>
      <w:r>
        <w:rPr>
          <w:rFonts w:ascii="Arial" w:hAnsi="Arial" w:cs="Arial"/>
          <w:noProof/>
          <w:sz w:val="20"/>
          <w:szCs w:val="20"/>
        </w:rPr>
        <w:t>Directive on the presumption of innocence</w:t>
      </w:r>
      <w:r>
        <w:rPr>
          <w:rStyle w:val="FootnoteReference"/>
          <w:rFonts w:ascii="Arial" w:hAnsi="Arial" w:cs="Arial"/>
          <w:noProof/>
          <w:sz w:val="20"/>
          <w:szCs w:val="20"/>
        </w:rPr>
        <w:footnoteReference w:id="328"/>
      </w:r>
      <w:r>
        <w:rPr>
          <w:rFonts w:ascii="Arial" w:hAnsi="Arial" w:cs="Arial"/>
          <w:noProof/>
          <w:sz w:val="20"/>
          <w:szCs w:val="20"/>
        </w:rPr>
        <w:t>.</w:t>
      </w:r>
    </w:p>
    <w:p>
      <w:pPr>
        <w:numPr>
          <w:ilvl w:val="0"/>
          <w:numId w:val="88"/>
        </w:numPr>
        <w:ind w:left="1276" w:hanging="425"/>
        <w:jc w:val="both"/>
        <w:rPr>
          <w:rFonts w:ascii="Arial" w:hAnsi="Arial" w:cs="Arial"/>
          <w:noProof/>
          <w:sz w:val="20"/>
          <w:szCs w:val="20"/>
        </w:rPr>
      </w:pPr>
      <w:r>
        <w:rPr>
          <w:rFonts w:ascii="Arial" w:hAnsi="Arial" w:cs="Arial"/>
          <w:noProof/>
          <w:sz w:val="20"/>
          <w:szCs w:val="20"/>
        </w:rPr>
        <w:t>The Commission referred two cases to the Court under Article 258 TFEU. They concern</w:t>
      </w:r>
    </w:p>
    <w:p>
      <w:pPr>
        <w:pStyle w:val="ListParagraph"/>
        <w:numPr>
          <w:ilvl w:val="0"/>
          <w:numId w:val="120"/>
        </w:numPr>
        <w:ind w:left="1701"/>
        <w:jc w:val="both"/>
        <w:rPr>
          <w:rFonts w:ascii="Arial" w:hAnsi="Arial" w:cs="Arial"/>
          <w:noProof/>
          <w:sz w:val="20"/>
          <w:szCs w:val="20"/>
        </w:rPr>
      </w:pPr>
      <w:r>
        <w:rPr>
          <w:rFonts w:ascii="Arial" w:hAnsi="Arial" w:cs="Arial"/>
          <w:noProof/>
          <w:sz w:val="20"/>
          <w:szCs w:val="20"/>
        </w:rPr>
        <w:t>failure to ensure adequate protection of human health and the environment from industrial waste in Biljane Donje</w:t>
      </w:r>
      <w:r>
        <w:rPr>
          <w:rStyle w:val="FootnoteReference"/>
          <w:rFonts w:ascii="Arial" w:hAnsi="Arial" w:cs="Arial"/>
          <w:noProof/>
          <w:sz w:val="20"/>
          <w:szCs w:val="20"/>
        </w:rPr>
        <w:footnoteReference w:id="329"/>
      </w:r>
      <w:r>
        <w:rPr>
          <w:rFonts w:ascii="Arial" w:hAnsi="Arial" w:cs="Arial"/>
          <w:noProof/>
          <w:sz w:val="20"/>
          <w:szCs w:val="20"/>
        </w:rPr>
        <w:t>;</w:t>
      </w:r>
    </w:p>
    <w:p>
      <w:pPr>
        <w:pStyle w:val="Lijstje2"/>
        <w:numPr>
          <w:ilvl w:val="0"/>
          <w:numId w:val="120"/>
        </w:numPr>
        <w:spacing w:after="200" w:line="240" w:lineRule="auto"/>
        <w:ind w:left="1701"/>
        <w:jc w:val="both"/>
        <w:rPr>
          <w:rFonts w:ascii="Arial" w:hAnsi="Arial" w:cs="Arial"/>
          <w:noProof/>
          <w:lang w:val="en-GB"/>
        </w:rPr>
      </w:pPr>
      <w:r>
        <w:rPr>
          <w:rFonts w:ascii="Arial" w:hAnsi="Arial" w:cs="Arial"/>
          <w:noProof/>
          <w:lang w:val="en-GB"/>
        </w:rPr>
        <w:t>failure to notify the national programme for the implementation of a spent fuel and radioactive waste management policy</w:t>
      </w:r>
      <w:r>
        <w:rPr>
          <w:rStyle w:val="FootnoteReference"/>
          <w:rFonts w:ascii="Arial" w:hAnsi="Arial" w:cs="Arial"/>
          <w:noProof/>
          <w:lang w:val="en-GB"/>
        </w:rPr>
        <w:footnoteReference w:id="330"/>
      </w:r>
      <w:r>
        <w:rPr>
          <w:rFonts w:ascii="Arial" w:hAnsi="Arial" w:cs="Arial"/>
          <w:noProof/>
          <w:lang w:val="en-GB"/>
        </w:rPr>
        <w:t>.</w:t>
      </w:r>
    </w:p>
    <w:p>
      <w:pPr>
        <w:numPr>
          <w:ilvl w:val="0"/>
          <w:numId w:val="88"/>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spacing w:after="0" w:line="240"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24"/>
        </w:numPr>
        <w:ind w:left="709" w:hanging="425"/>
        <w:rPr>
          <w:noProof/>
        </w:rPr>
      </w:pPr>
      <w:r>
        <w:rPr>
          <w:noProof/>
        </w:rPr>
        <w:t>Late transposition infringement cases against Croatia open on 31 December (2014-2018)</w:t>
      </w:r>
    </w:p>
    <w:p>
      <w:pPr>
        <w:ind w:left="426" w:firstLine="283"/>
        <w:rPr>
          <w:rFonts w:ascii="Arial" w:hAnsi="Arial"/>
          <w:noProof/>
          <w:color w:val="002060"/>
        </w:rPr>
      </w:pPr>
      <w:r>
        <w:rPr>
          <w:noProof/>
          <w:lang w:eastAsia="en-GB"/>
        </w:rPr>
        <w:drawing>
          <wp:inline distT="0" distB="0" distL="0" distR="0">
            <wp:extent cx="4612005" cy="2067560"/>
            <wp:effectExtent l="0" t="0" r="0" b="0"/>
            <wp:docPr id="120"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AnnualReport2"/>
        <w:numPr>
          <w:ilvl w:val="0"/>
          <w:numId w:val="24"/>
        </w:numPr>
        <w:ind w:left="709" w:hanging="425"/>
        <w:rPr>
          <w:noProof/>
        </w:rPr>
      </w:pPr>
      <w:r>
        <w:rPr>
          <w:noProof/>
        </w:rPr>
        <w:t>New late transposition infringement cases against Croatia (2014-2018)</w:t>
      </w:r>
    </w:p>
    <w:p>
      <w:pPr>
        <w:spacing w:after="120"/>
        <w:ind w:left="709"/>
        <w:rPr>
          <w:rFonts w:ascii="Arial" w:hAnsi="Arial" w:cs="Arial"/>
          <w:noProof/>
          <w:sz w:val="20"/>
        </w:rPr>
      </w:pPr>
      <w:r>
        <w:rPr>
          <w:noProof/>
          <w:lang w:eastAsia="en-GB"/>
        </w:rPr>
        <w:drawing>
          <wp:inline distT="0" distB="0" distL="0" distR="0">
            <wp:extent cx="4612005" cy="2242185"/>
            <wp:effectExtent l="0" t="0" r="0" b="0"/>
            <wp:docPr id="121"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AnnualReport2"/>
        <w:numPr>
          <w:ilvl w:val="0"/>
          <w:numId w:val="24"/>
        </w:numPr>
        <w:spacing w:before="0"/>
        <w:ind w:left="709" w:hanging="425"/>
        <w:rPr>
          <w:noProof/>
        </w:rPr>
      </w:pPr>
      <w:r>
        <w:rPr>
          <w:noProof/>
        </w:rPr>
        <w:t>New late transposition infringement cases opened in 2018: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250440"/>
            <wp:effectExtent l="0" t="0" r="10795" b="16510"/>
            <wp:docPr id="122" name="Object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spacing w:after="0" w:line="240" w:lineRule="auto"/>
        <w:rPr>
          <w:rFonts w:ascii="Arial" w:hAnsi="Arial"/>
          <w:noProof/>
          <w:color w:val="002060"/>
        </w:rPr>
      </w:pPr>
      <w:r>
        <w:rPr>
          <w:noProof/>
        </w:rPr>
        <w:br w:type="page"/>
      </w:r>
    </w:p>
    <w:p>
      <w:pPr>
        <w:pStyle w:val="AnnualReport2"/>
        <w:numPr>
          <w:ilvl w:val="0"/>
          <w:numId w:val="24"/>
        </w:numPr>
        <w:ind w:left="709" w:hanging="425"/>
        <w:rPr>
          <w:noProof/>
        </w:rPr>
      </w:pPr>
      <w:r>
        <w:rPr>
          <w:noProof/>
        </w:rPr>
        <w:t>Referrals to the Court</w:t>
      </w:r>
    </w:p>
    <w:p>
      <w:pPr>
        <w:spacing w:after="120"/>
        <w:ind w:left="709"/>
        <w:jc w:val="both"/>
        <w:rPr>
          <w:rFonts w:ascii="Arial" w:eastAsia="Calibri" w:hAnsi="Arial" w:cs="Arial"/>
          <w:noProof/>
          <w:kern w:val="20"/>
          <w:sz w:val="20"/>
          <w:szCs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pStyle w:val="AnnualReport2"/>
        <w:spacing w:after="0"/>
        <w:ind w:left="709"/>
        <w:rPr>
          <w:noProof/>
        </w:rPr>
      </w:pPr>
      <w:r>
        <w:rPr>
          <w:noProof/>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121"/>
        </w:numPr>
        <w:jc w:val="both"/>
        <w:rPr>
          <w:rFonts w:ascii="Arial" w:eastAsia="Calibri" w:hAnsi="Arial" w:cs="Arial"/>
          <w:noProof/>
          <w:sz w:val="20"/>
          <w:szCs w:val="20"/>
        </w:rPr>
      </w:pPr>
      <w:r>
        <w:rPr>
          <w:rFonts w:ascii="Arial" w:hAnsi="Arial" w:cs="Arial"/>
          <w:noProof/>
          <w:sz w:val="20"/>
          <w:szCs w:val="20"/>
          <w:shd w:val="clear" w:color="auto" w:fill="FFFFFF" w:themeFill="background1"/>
        </w:rPr>
        <w:t>incorrect implementation of EU common rules on civil aviation security</w:t>
      </w:r>
      <w:r>
        <w:rPr>
          <w:rStyle w:val="Ancredenotedebasdepage"/>
          <w:rFonts w:ascii="Arial" w:hAnsi="Arial" w:cs="Arial"/>
          <w:noProof/>
          <w:sz w:val="20"/>
          <w:szCs w:val="20"/>
          <w:shd w:val="clear" w:color="auto" w:fill="FFFFFF" w:themeFill="background1"/>
        </w:rPr>
        <w:footnoteReference w:id="331"/>
      </w:r>
      <w:r>
        <w:rPr>
          <w:rFonts w:ascii="Arial" w:hAnsi="Arial" w:cs="Arial"/>
          <w:noProof/>
          <w:sz w:val="20"/>
          <w:szCs w:val="20"/>
          <w:shd w:val="clear" w:color="auto" w:fill="FFFFFF" w:themeFill="background1"/>
        </w:rPr>
        <w:t>;</w:t>
      </w:r>
    </w:p>
    <w:p>
      <w:pPr>
        <w:pStyle w:val="ListParagraph"/>
        <w:numPr>
          <w:ilvl w:val="0"/>
          <w:numId w:val="121"/>
        </w:numPr>
        <w:jc w:val="both"/>
        <w:rPr>
          <w:rFonts w:ascii="Arial" w:eastAsia="Calibri" w:hAnsi="Arial" w:cs="Arial"/>
          <w:noProof/>
          <w:sz w:val="20"/>
          <w:szCs w:val="20"/>
        </w:rPr>
      </w:pPr>
      <w:r>
        <w:rPr>
          <w:rFonts w:ascii="Arial" w:hAnsi="Arial" w:cs="Arial"/>
          <w:noProof/>
          <w:sz w:val="20"/>
          <w:szCs w:val="20"/>
        </w:rPr>
        <w:t>discriminatory prices of fishing licences for non-residents;</w:t>
      </w:r>
    </w:p>
    <w:p>
      <w:pPr>
        <w:pStyle w:val="ListParagraph"/>
        <w:numPr>
          <w:ilvl w:val="0"/>
          <w:numId w:val="121"/>
        </w:numPr>
        <w:jc w:val="both"/>
        <w:rPr>
          <w:rFonts w:ascii="Arial" w:eastAsia="Calibri" w:hAnsi="Arial" w:cs="Arial"/>
          <w:noProof/>
          <w:sz w:val="20"/>
          <w:szCs w:val="20"/>
        </w:rPr>
      </w:pPr>
      <w:r>
        <w:rPr>
          <w:rFonts w:ascii="Arial" w:eastAsia="Calibri" w:hAnsi="Arial" w:cs="Arial"/>
          <w:noProof/>
          <w:sz w:val="20"/>
          <w:szCs w:val="20"/>
        </w:rPr>
        <w:t>failure to designate competent authorities responsible for the application of EU rules for users from the Nagoya Protocol on Access to Genetic Resources</w:t>
      </w:r>
      <w:r>
        <w:rPr>
          <w:rStyle w:val="FootnoteReference"/>
          <w:rFonts w:ascii="Arial" w:eastAsia="Calibri" w:hAnsi="Arial" w:cs="Arial"/>
          <w:noProof/>
          <w:sz w:val="20"/>
          <w:szCs w:val="20"/>
        </w:rPr>
        <w:footnoteReference w:id="332"/>
      </w:r>
      <w:r>
        <w:rPr>
          <w:rFonts w:ascii="Arial" w:eastAsia="Calibri" w:hAnsi="Arial" w:cs="Arial"/>
          <w:noProof/>
          <w:sz w:val="20"/>
          <w:szCs w:val="20"/>
        </w:rPr>
        <w:t>;</w:t>
      </w:r>
    </w:p>
    <w:p>
      <w:pPr>
        <w:pStyle w:val="ListParagraph"/>
        <w:numPr>
          <w:ilvl w:val="0"/>
          <w:numId w:val="121"/>
        </w:numPr>
        <w:jc w:val="both"/>
        <w:rPr>
          <w:rFonts w:ascii="Arial" w:eastAsia="Calibri" w:hAnsi="Arial" w:cs="Arial"/>
          <w:noProof/>
          <w:sz w:val="20"/>
          <w:szCs w:val="20"/>
        </w:rPr>
      </w:pPr>
      <w:r>
        <w:rPr>
          <w:rFonts w:ascii="Arial" w:eastAsia="Calibri" w:hAnsi="Arial" w:cs="Arial"/>
          <w:noProof/>
          <w:sz w:val="20"/>
          <w:szCs w:val="20"/>
        </w:rPr>
        <w:t>non-conformity with the Directive on waste</w:t>
      </w:r>
      <w:r>
        <w:rPr>
          <w:rStyle w:val="FootnoteReference"/>
          <w:rFonts w:ascii="Arial" w:eastAsia="Calibri" w:hAnsi="Arial" w:cs="Arial"/>
          <w:noProof/>
          <w:sz w:val="20"/>
          <w:szCs w:val="20"/>
        </w:rPr>
        <w:footnoteReference w:id="333"/>
      </w:r>
      <w:r>
        <w:rPr>
          <w:rFonts w:ascii="Arial" w:eastAsia="Calibri" w:hAnsi="Arial" w:cs="Arial"/>
          <w:noProof/>
          <w:sz w:val="20"/>
          <w:szCs w:val="20"/>
        </w:rPr>
        <w:t>;</w:t>
      </w:r>
    </w:p>
    <w:p>
      <w:pPr>
        <w:pStyle w:val="ListParagraph"/>
        <w:numPr>
          <w:ilvl w:val="0"/>
          <w:numId w:val="121"/>
        </w:numPr>
        <w:jc w:val="both"/>
        <w:rPr>
          <w:rFonts w:ascii="Arial" w:eastAsia="Calibri" w:hAnsi="Arial" w:cs="Arial"/>
          <w:noProof/>
          <w:sz w:val="20"/>
          <w:szCs w:val="20"/>
        </w:rPr>
      </w:pPr>
      <w:r>
        <w:rPr>
          <w:rFonts w:ascii="Arial" w:eastAsia="Calibri" w:hAnsi="Arial" w:cs="Arial"/>
          <w:noProof/>
          <w:sz w:val="20"/>
          <w:szCs w:val="20"/>
        </w:rPr>
        <w:t>failure to adopt and communicate noise maps and action plans</w:t>
      </w:r>
      <w:r>
        <w:rPr>
          <w:rStyle w:val="FootnoteReference"/>
          <w:rFonts w:ascii="Arial" w:eastAsia="Calibri" w:hAnsi="Arial" w:cs="Arial"/>
          <w:noProof/>
          <w:sz w:val="20"/>
          <w:szCs w:val="20"/>
        </w:rPr>
        <w:footnoteReference w:id="334"/>
      </w:r>
      <w:r>
        <w:rPr>
          <w:rFonts w:ascii="Arial" w:eastAsia="Calibri" w:hAnsi="Arial" w:cs="Arial"/>
          <w:noProof/>
          <w:sz w:val="20"/>
          <w:szCs w:val="20"/>
        </w:rPr>
        <w:t>;</w:t>
      </w:r>
    </w:p>
    <w:p>
      <w:pPr>
        <w:pStyle w:val="ListParagraph"/>
        <w:numPr>
          <w:ilvl w:val="0"/>
          <w:numId w:val="121"/>
        </w:numPr>
        <w:jc w:val="both"/>
        <w:rPr>
          <w:rFonts w:ascii="Arial" w:eastAsia="Calibri" w:hAnsi="Arial" w:cs="Arial"/>
          <w:noProof/>
          <w:sz w:val="20"/>
          <w:szCs w:val="20"/>
        </w:rPr>
      </w:pPr>
      <w:r>
        <w:rPr>
          <w:rFonts w:ascii="Arial" w:hAnsi="Arial" w:cs="Arial"/>
          <w:noProof/>
          <w:sz w:val="20"/>
          <w:szCs w:val="20"/>
        </w:rPr>
        <w:t>failure to report the programmes of measures under the Marine Strategy Framework Directive</w:t>
      </w:r>
      <w:r>
        <w:rPr>
          <w:rStyle w:val="FootnoteReference"/>
          <w:rFonts w:ascii="Arial" w:hAnsi="Arial" w:cs="Arial"/>
          <w:noProof/>
          <w:sz w:val="20"/>
          <w:szCs w:val="20"/>
        </w:rPr>
        <w:footnoteReference w:id="335"/>
      </w:r>
      <w:r>
        <w:rPr>
          <w:rFonts w:ascii="Arial" w:hAnsi="Arial" w:cs="Arial"/>
          <w:noProof/>
          <w:sz w:val="20"/>
          <w:szCs w:val="20"/>
        </w:rPr>
        <w:t>;</w:t>
      </w:r>
    </w:p>
    <w:p>
      <w:pPr>
        <w:pStyle w:val="ListParagraph"/>
        <w:numPr>
          <w:ilvl w:val="0"/>
          <w:numId w:val="121"/>
        </w:numPr>
        <w:jc w:val="both"/>
        <w:rPr>
          <w:rFonts w:ascii="Arial" w:eastAsia="Calibri" w:hAnsi="Arial" w:cs="Arial"/>
          <w:noProof/>
          <w:sz w:val="20"/>
          <w:szCs w:val="20"/>
        </w:rPr>
      </w:pPr>
      <w:r>
        <w:rPr>
          <w:rFonts w:ascii="Arial" w:eastAsia="Calibri" w:hAnsi="Arial" w:cs="Arial"/>
          <w:noProof/>
          <w:sz w:val="20"/>
          <w:szCs w:val="20"/>
        </w:rPr>
        <w:t>non-communication of national measures transposing the</w:t>
      </w:r>
    </w:p>
    <w:p>
      <w:pPr>
        <w:pStyle w:val="ListParagraph"/>
        <w:numPr>
          <w:ilvl w:val="1"/>
          <w:numId w:val="121"/>
        </w:numPr>
        <w:spacing w:after="200"/>
        <w:ind w:left="2268"/>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336"/>
      </w:r>
      <w:r>
        <w:rPr>
          <w:rFonts w:ascii="Arial" w:eastAsia="Calibri" w:hAnsi="Arial" w:cs="Arial"/>
          <w:noProof/>
          <w:sz w:val="20"/>
          <w:szCs w:val="20"/>
          <w:lang w:eastAsia="en-GB"/>
        </w:rPr>
        <w:t>;</w:t>
      </w:r>
    </w:p>
    <w:p>
      <w:pPr>
        <w:pStyle w:val="ListParagraph"/>
        <w:numPr>
          <w:ilvl w:val="1"/>
          <w:numId w:val="121"/>
        </w:numPr>
        <w:spacing w:after="200"/>
        <w:ind w:left="2268"/>
        <w:jc w:val="both"/>
        <w:rPr>
          <w:rFonts w:ascii="Arial" w:hAnsi="Arial" w:cs="Arial"/>
          <w:noProof/>
          <w:sz w:val="20"/>
        </w:rPr>
      </w:pPr>
      <w:r>
        <w:rPr>
          <w:rFonts w:ascii="Arial" w:eastAsia="Times New Roman" w:hAnsi="Arial" w:cs="Arial"/>
          <w:noProof/>
          <w:sz w:val="20"/>
          <w:szCs w:val="20"/>
          <w:lang w:eastAsia="en-GB"/>
        </w:rPr>
        <w:t>Mortgage Credit Directive</w:t>
      </w:r>
      <w:r>
        <w:rPr>
          <w:rFonts w:ascii="Arial" w:eastAsia="Times New Roman" w:hAnsi="Arial" w:cs="Arial"/>
          <w:noProof/>
          <w:sz w:val="20"/>
          <w:szCs w:val="20"/>
          <w:vertAlign w:val="superscript"/>
          <w:lang w:eastAsia="en-GB"/>
        </w:rPr>
        <w:footnoteReference w:id="337"/>
      </w:r>
      <w:r>
        <w:rPr>
          <w:rFonts w:ascii="Arial" w:eastAsia="Times New Roman" w:hAnsi="Arial" w:cs="Arial"/>
          <w:noProof/>
          <w:sz w:val="20"/>
          <w:szCs w:val="20"/>
          <w:lang w:eastAsia="en-GB"/>
        </w:rPr>
        <w:t>;</w:t>
      </w:r>
    </w:p>
    <w:p>
      <w:pPr>
        <w:pStyle w:val="ListParagraph"/>
        <w:numPr>
          <w:ilvl w:val="1"/>
          <w:numId w:val="121"/>
        </w:numPr>
        <w:spacing w:after="200"/>
        <w:ind w:left="2268"/>
        <w:jc w:val="both"/>
        <w:rPr>
          <w:rFonts w:ascii="Arial" w:hAnsi="Arial" w:cs="Arial"/>
          <w:noProof/>
          <w:sz w:val="20"/>
        </w:rPr>
      </w:pPr>
      <w:r>
        <w:rPr>
          <w:rFonts w:ascii="Arial" w:hAnsi="Arial" w:cs="Arial"/>
          <w:noProof/>
          <w:sz w:val="20"/>
          <w:szCs w:val="20"/>
        </w:rPr>
        <w:t>Offshore Safety Directive</w:t>
      </w:r>
      <w:r>
        <w:rPr>
          <w:rStyle w:val="FootnoteReference"/>
          <w:rFonts w:ascii="Arial" w:hAnsi="Arial" w:cs="Arial"/>
          <w:noProof/>
          <w:sz w:val="20"/>
          <w:szCs w:val="20"/>
        </w:rPr>
        <w:footnoteReference w:id="338"/>
      </w:r>
      <w:r>
        <w:rPr>
          <w:rFonts w:ascii="Arial" w:hAnsi="Arial" w:cs="Arial"/>
          <w:noProof/>
          <w:sz w:val="20"/>
          <w:szCs w:val="20"/>
        </w:rPr>
        <w:t>;</w:t>
      </w:r>
    </w:p>
    <w:p>
      <w:pPr>
        <w:pStyle w:val="ListParagraph"/>
        <w:numPr>
          <w:ilvl w:val="1"/>
          <w:numId w:val="121"/>
        </w:numPr>
        <w:spacing w:after="200"/>
        <w:ind w:left="2268"/>
        <w:jc w:val="both"/>
        <w:rPr>
          <w:rFonts w:ascii="Arial" w:hAnsi="Arial" w:cs="Arial"/>
          <w:noProof/>
          <w:sz w:val="20"/>
        </w:rPr>
      </w:pPr>
      <w:r>
        <w:rPr>
          <w:rFonts w:ascii="Arial" w:eastAsia="Times New Roman" w:hAnsi="Arial" w:cs="Arial"/>
          <w:noProof/>
          <w:sz w:val="20"/>
          <w:szCs w:val="20"/>
          <w:lang w:eastAsia="en-GB"/>
        </w:rPr>
        <w:t>Directive on alternative dispute resolution for consumers disputes</w:t>
      </w:r>
      <w:r>
        <w:rPr>
          <w:rStyle w:val="FootnoteReference"/>
          <w:rFonts w:ascii="Arial" w:eastAsia="Times New Roman" w:hAnsi="Arial" w:cs="Arial"/>
          <w:noProof/>
          <w:sz w:val="20"/>
          <w:szCs w:val="20"/>
          <w:lang w:eastAsia="en-GB"/>
        </w:rPr>
        <w:footnoteReference w:id="339"/>
      </w:r>
      <w:r>
        <w:rPr>
          <w:rFonts w:ascii="Arial" w:eastAsia="Times New Roman" w:hAnsi="Arial" w:cs="Arial"/>
          <w:noProof/>
          <w:sz w:val="20"/>
          <w:szCs w:val="20"/>
          <w:lang w:eastAsia="en-GB"/>
        </w:rPr>
        <w:t>;</w:t>
      </w:r>
    </w:p>
    <w:p>
      <w:pPr>
        <w:pStyle w:val="ListParagraph"/>
        <w:numPr>
          <w:ilvl w:val="1"/>
          <w:numId w:val="121"/>
        </w:numPr>
        <w:spacing w:after="200"/>
        <w:ind w:left="2268"/>
        <w:jc w:val="both"/>
        <w:rPr>
          <w:rFonts w:ascii="Arial" w:hAnsi="Arial" w:cs="Arial"/>
          <w:noProof/>
          <w:sz w:val="20"/>
        </w:rPr>
      </w:pPr>
      <w:r>
        <w:rPr>
          <w:rFonts w:ascii="Arial" w:hAnsi="Arial" w:cs="Arial"/>
          <w:bCs/>
          <w:noProof/>
          <w:sz w:val="20"/>
        </w:rPr>
        <w:t>Directive on intra-corporate transfer</w:t>
      </w:r>
      <w:r>
        <w:rPr>
          <w:rFonts w:ascii="Arial" w:hAnsi="Arial" w:cs="Arial"/>
          <w:bCs/>
          <w:noProof/>
          <w:sz w:val="20"/>
          <w:vertAlign w:val="superscript"/>
        </w:rPr>
        <w:footnoteReference w:id="340"/>
      </w:r>
      <w:r>
        <w:rPr>
          <w:rFonts w:ascii="Arial" w:hAnsi="Arial" w:cs="Arial"/>
          <w:bCs/>
          <w:noProof/>
          <w:sz w:val="20"/>
        </w:rPr>
        <w:t>;</w:t>
      </w:r>
    </w:p>
    <w:p>
      <w:pPr>
        <w:pStyle w:val="ListParagraph"/>
        <w:numPr>
          <w:ilvl w:val="1"/>
          <w:numId w:val="121"/>
        </w:numPr>
        <w:spacing w:after="200"/>
        <w:ind w:left="2268"/>
        <w:jc w:val="both"/>
        <w:rPr>
          <w:rFonts w:ascii="Arial" w:hAnsi="Arial" w:cs="Arial"/>
          <w:noProof/>
          <w:sz w:val="20"/>
        </w:rPr>
      </w:pPr>
      <w:r>
        <w:rPr>
          <w:rFonts w:ascii="Arial" w:hAnsi="Arial" w:cs="Arial"/>
          <w:noProof/>
          <w:sz w:val="20"/>
          <w:szCs w:val="20"/>
        </w:rPr>
        <w:t>Directive on reducing the consumption of lightweight plastic carrier bags</w:t>
      </w:r>
      <w:r>
        <w:rPr>
          <w:rStyle w:val="FootnoteReference"/>
          <w:rFonts w:ascii="Arial" w:hAnsi="Arial" w:cs="Arial"/>
          <w:noProof/>
          <w:sz w:val="20"/>
          <w:szCs w:val="20"/>
        </w:rPr>
        <w:footnoteReference w:id="341"/>
      </w:r>
      <w:r>
        <w:rPr>
          <w:rFonts w:ascii="Arial" w:hAnsi="Arial" w:cs="Arial"/>
          <w:noProof/>
          <w:sz w:val="20"/>
          <w:szCs w:val="20"/>
        </w:rPr>
        <w:t>.</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143"/>
        </w:numPr>
        <w:rPr>
          <w:noProof/>
        </w:rPr>
      </w:pPr>
      <w:r>
        <w:rPr>
          <w:noProof/>
        </w:rPr>
        <w:t>Court rulings</w:t>
      </w:r>
    </w:p>
    <w:p>
      <w:pPr>
        <w:ind w:firstLine="709"/>
        <w:jc w:val="both"/>
        <w:rPr>
          <w:rFonts w:ascii="Arial" w:hAnsi="Arial" w:cs="Arial"/>
          <w:noProof/>
        </w:rPr>
      </w:pPr>
      <w:r>
        <w:rPr>
          <w:rFonts w:ascii="Arial" w:hAnsi="Arial" w:cs="Arial"/>
          <w:noProof/>
          <w:sz w:val="20"/>
          <w:lang w:val="en-US"/>
        </w:rPr>
        <w:t>There were no major Court rulings in 2018.</w:t>
      </w:r>
    </w:p>
    <w:p>
      <w:pPr>
        <w:pStyle w:val="AnnualReport2"/>
        <w:numPr>
          <w:ilvl w:val="0"/>
          <w:numId w:val="143"/>
        </w:numPr>
        <w:rPr>
          <w:noProof/>
        </w:rPr>
      </w:pPr>
      <w:r>
        <w:rPr>
          <w:noProof/>
        </w:rPr>
        <w:t>Preliminary rulings</w:t>
      </w:r>
    </w:p>
    <w:p>
      <w:pPr>
        <w:pStyle w:val="Body"/>
        <w:ind w:left="426" w:firstLine="294"/>
        <w:jc w:val="both"/>
        <w:rPr>
          <w:noProof/>
          <w:highlight w:val="yellow"/>
          <w:lang w:val="en-GB"/>
        </w:rPr>
      </w:pPr>
      <w:r>
        <w:rPr>
          <w:noProof/>
        </w:rPr>
        <w:t xml:space="preserve">No major preliminary rulings were addressed to the </w:t>
      </w:r>
      <w:r>
        <w:rPr>
          <w:noProof/>
          <w:lang w:val="en-GB"/>
        </w:rPr>
        <w:t xml:space="preserve">Croatian </w:t>
      </w:r>
      <w:r>
        <w:rPr>
          <w:noProof/>
        </w:rPr>
        <w:t>judiciary in 2018.</w:t>
      </w:r>
    </w:p>
    <w:p>
      <w:pPr>
        <w:spacing w:after="120"/>
        <w:contextualSpacing/>
        <w:rPr>
          <w:rFonts w:ascii="Verdana" w:eastAsia="Calibri" w:hAnsi="Verdana"/>
          <w:noProof/>
          <w:kern w:val="20"/>
          <w:sz w:val="20"/>
        </w:rPr>
      </w:pPr>
    </w:p>
    <w:p>
      <w:pPr>
        <w:spacing w:after="0"/>
        <w:rPr>
          <w:noProof/>
        </w:rPr>
        <w:sectPr>
          <w:headerReference w:type="even" r:id="rId202"/>
          <w:headerReference w:type="default" r:id="rId203"/>
          <w:footerReference w:type="even" r:id="rId204"/>
          <w:footerReference w:type="default" r:id="rId205"/>
          <w:headerReference w:type="first" r:id="rId206"/>
          <w:footerReference w:type="first" r:id="rId207"/>
          <w:footnotePr>
            <w:numRestart w:val="eachSect"/>
          </w:footnotePr>
          <w:pgSz w:w="11906" w:h="16838"/>
          <w:pgMar w:top="1701" w:right="1417" w:bottom="1134" w:left="1417" w:header="567" w:footer="351" w:gutter="0"/>
          <w:cols w:space="708"/>
          <w:titlePg/>
          <w:docGrid w:linePitch="360"/>
        </w:sectPr>
      </w:pPr>
    </w:p>
    <w:p>
      <w:pPr>
        <w:pStyle w:val="Heading1"/>
        <w:rPr>
          <w:noProof/>
          <w:szCs w:val="24"/>
        </w:rPr>
      </w:pPr>
      <w:bookmarkStart w:id="103" w:name="_Toc475974652"/>
      <w:bookmarkStart w:id="104" w:name="_Toc475980148"/>
      <w:bookmarkStart w:id="105" w:name="_Toc475981397"/>
      <w:bookmarkStart w:id="106" w:name="_Toc484622328"/>
      <w:bookmarkStart w:id="107" w:name="_Toc5788366"/>
      <w:bookmarkEnd w:id="96"/>
      <w:bookmarkEnd w:id="97"/>
      <w:bookmarkEnd w:id="98"/>
      <w:bookmarkEnd w:id="99"/>
      <w:bookmarkEnd w:id="100"/>
      <w:bookmarkEnd w:id="101"/>
      <w:bookmarkEnd w:id="102"/>
      <w:r>
        <w:rPr>
          <w:noProof/>
          <w:szCs w:val="24"/>
        </w:rPr>
        <w:t>Italy</w:t>
      </w:r>
      <w:bookmarkEnd w:id="103"/>
      <w:bookmarkEnd w:id="104"/>
      <w:bookmarkEnd w:id="105"/>
      <w:bookmarkEnd w:id="106"/>
      <w:bookmarkEnd w:id="107"/>
    </w:p>
    <w:p>
      <w:pPr>
        <w:pStyle w:val="kop2"/>
        <w:numPr>
          <w:ilvl w:val="0"/>
          <w:numId w:val="4"/>
        </w:numPr>
        <w:spacing w:before="360" w:after="240"/>
        <w:ind w:left="709" w:hanging="425"/>
        <w:rPr>
          <w:noProof/>
        </w:rPr>
      </w:pPr>
      <w:r>
        <w:rPr>
          <w:noProof/>
        </w:rPr>
        <w:t>COMPLAINTS</w:t>
      </w:r>
    </w:p>
    <w:p>
      <w:pPr>
        <w:pStyle w:val="AnnualReport2"/>
        <w:numPr>
          <w:ilvl w:val="0"/>
          <w:numId w:val="37"/>
        </w:numPr>
        <w:ind w:left="709" w:hanging="425"/>
        <w:rPr>
          <w:noProof/>
        </w:rPr>
      </w:pPr>
      <w:r>
        <w:rPr>
          <w:noProof/>
        </w:rPr>
        <w:t>New complaints made against Italy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369185"/>
            <wp:effectExtent l="0" t="0" r="3175" b="12065"/>
            <wp:docPr id="12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AnnualReport2"/>
        <w:numPr>
          <w:ilvl w:val="0"/>
          <w:numId w:val="37"/>
        </w:numPr>
        <w:ind w:left="709" w:hanging="425"/>
        <w:rPr>
          <w:noProof/>
        </w:rPr>
      </w:pPr>
      <w:r>
        <w:rPr>
          <w:noProof/>
        </w:rPr>
        <w:t>Public complaints against Italy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582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633</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488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727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37"/>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09800"/>
            <wp:effectExtent l="0" t="0" r="1270" b="0"/>
            <wp:docPr id="124"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38"/>
        </w:numPr>
        <w:ind w:left="709" w:hanging="425"/>
        <w:rPr>
          <w:noProof/>
        </w:rPr>
      </w:pPr>
      <w:r>
        <w:rPr>
          <w:noProof/>
        </w:rPr>
        <w:t>New EU Pilot files opened against Italy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03750" cy="2218690"/>
            <wp:effectExtent l="0" t="0" r="6350" b="10160"/>
            <wp:docPr id="12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AnnualReport2"/>
        <w:numPr>
          <w:ilvl w:val="0"/>
          <w:numId w:val="38"/>
        </w:numPr>
        <w:ind w:left="709" w:hanging="425"/>
        <w:rPr>
          <w:noProof/>
        </w:rPr>
      </w:pPr>
      <w:r>
        <w:rPr>
          <w:noProof/>
        </w:rPr>
        <w:t>Files relating to Italy open in EU Pilot at year-end</w:t>
      </w:r>
    </w:p>
    <w:p>
      <w:pPr>
        <w:spacing w:after="0"/>
        <w:ind w:firstLine="709"/>
        <w:rPr>
          <w:rFonts w:ascii="Arial" w:hAnsi="Arial" w:cs="Arial"/>
          <w:noProof/>
          <w:sz w:val="20"/>
        </w:rPr>
      </w:pPr>
      <w:r>
        <w:rPr>
          <w:rFonts w:ascii="Arial" w:hAnsi="Arial" w:cs="Arial"/>
          <w:noProof/>
          <w:sz w:val="20"/>
          <w:lang w:eastAsia="en-GB"/>
        </w:rPr>
        <w:drawing>
          <wp:inline distT="0" distB="0" distL="0" distR="0">
            <wp:extent cx="4603750" cy="2218690"/>
            <wp:effectExtent l="0" t="0" r="6350" b="10160"/>
            <wp:docPr id="95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AnnualReport2"/>
        <w:numPr>
          <w:ilvl w:val="0"/>
          <w:numId w:val="38"/>
        </w:numPr>
        <w:ind w:left="709" w:hanging="425"/>
        <w:rPr>
          <w:noProof/>
        </w:rPr>
      </w:pPr>
      <w:r>
        <w:rPr>
          <w:noProof/>
        </w:rPr>
        <w:t>New EU Pilot files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330450"/>
            <wp:effectExtent l="0" t="0" r="4445" b="12700"/>
            <wp:docPr id="954"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spacing w:after="0" w:line="240" w:lineRule="auto"/>
        <w:rPr>
          <w:rFonts w:ascii="Arial" w:hAnsi="Arial"/>
          <w:noProof/>
          <w:color w:val="002060"/>
        </w:rPr>
      </w:pPr>
      <w:r>
        <w:rPr>
          <w:noProof/>
        </w:rPr>
        <w:br w:type="page"/>
      </w:r>
    </w:p>
    <w:p>
      <w:pPr>
        <w:pStyle w:val="AnnualReport2"/>
        <w:numPr>
          <w:ilvl w:val="0"/>
          <w:numId w:val="38"/>
        </w:numPr>
        <w:ind w:left="709" w:hanging="425"/>
        <w:rPr>
          <w:noProof/>
        </w:rPr>
      </w:pPr>
      <w:r>
        <w:rPr>
          <w:noProof/>
        </w:rPr>
        <w:t>EU Pilot files: Italy’s resolution rate in 2014-2018</w:t>
      </w:r>
    </w:p>
    <w:p>
      <w:pPr>
        <w:pStyle w:val="Body"/>
        <w:rPr>
          <w:rFonts w:eastAsia="MS Gothic"/>
          <w:caps/>
          <w:noProof/>
          <w:color w:val="4F81BD"/>
          <w:kern w:val="20"/>
          <w:lang w:val="en-GB"/>
        </w:rPr>
      </w:pPr>
      <w:r>
        <w:rPr>
          <w:noProof/>
          <w:lang w:val="en-GB" w:eastAsia="en-GB"/>
        </w:rPr>
        <w:drawing>
          <wp:inline distT="0" distB="0" distL="0" distR="0">
            <wp:extent cx="4587875" cy="2178685"/>
            <wp:effectExtent l="0" t="0" r="3175" b="12065"/>
            <wp:docPr id="953"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39"/>
        </w:numPr>
        <w:ind w:left="709" w:hanging="425"/>
        <w:rPr>
          <w:noProof/>
        </w:rPr>
      </w:pPr>
      <w:r>
        <w:rPr>
          <w:noProof/>
        </w:rPr>
        <w:t>Infringement cases against Italy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1932305"/>
            <wp:effectExtent l="0" t="0" r="0" b="0"/>
            <wp:docPr id="95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pStyle w:val="AnnualReport2"/>
        <w:numPr>
          <w:ilvl w:val="0"/>
          <w:numId w:val="39"/>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222500"/>
            <wp:effectExtent l="0" t="0" r="3175" b="6350"/>
            <wp:docPr id="130"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Pr>
          <w:rFonts w:ascii="Arial" w:hAnsi="Arial" w:cs="Arial"/>
          <w:noProof/>
          <w:sz w:val="20"/>
        </w:rPr>
        <w:br w:type="page"/>
      </w:r>
    </w:p>
    <w:p>
      <w:pPr>
        <w:pStyle w:val="AnnualReport2"/>
        <w:numPr>
          <w:ilvl w:val="0"/>
          <w:numId w:val="39"/>
        </w:numPr>
        <w:ind w:left="709" w:hanging="425"/>
        <w:rPr>
          <w:noProof/>
        </w:rPr>
      </w:pPr>
      <w:r>
        <w:rPr>
          <w:noProof/>
        </w:rPr>
        <w:t>Key infringement cases and referrals to the Court</w:t>
      </w:r>
    </w:p>
    <w:p>
      <w:pPr>
        <w:numPr>
          <w:ilvl w:val="0"/>
          <w:numId w:val="89"/>
        </w:numPr>
        <w:spacing w:after="120"/>
        <w:ind w:left="1276" w:hanging="425"/>
        <w:jc w:val="both"/>
        <w:rPr>
          <w:rFonts w:ascii="Arial" w:hAnsi="Arial" w:cs="Arial"/>
          <w:noProof/>
          <w:sz w:val="20"/>
          <w:szCs w:val="20"/>
        </w:rPr>
      </w:pPr>
      <w:r>
        <w:rPr>
          <w:rFonts w:ascii="Arial" w:hAnsi="Arial" w:cs="Arial"/>
          <w:noProof/>
          <w:sz w:val="20"/>
          <w:szCs w:val="20"/>
        </w:rPr>
        <w:t>The Commission opened 26 new infringement cases against Italy in 2018. These, and other major ongoing infringement cases, include:</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 xml:space="preserve">incorrect application of the </w:t>
      </w:r>
      <w:r>
        <w:rPr>
          <w:rFonts w:ascii="Arial" w:hAnsi="Arial" w:cs="Arial"/>
          <w:noProof/>
          <w:color w:val="000000"/>
          <w:sz w:val="20"/>
          <w:szCs w:val="20"/>
        </w:rPr>
        <w:t xml:space="preserve">VAT rules on the lease of </w:t>
      </w:r>
      <w:r>
        <w:rPr>
          <w:rFonts w:ascii="Arial" w:hAnsi="Arial" w:cs="Arial"/>
          <w:noProof/>
          <w:sz w:val="20"/>
          <w:szCs w:val="20"/>
        </w:rPr>
        <w:t>yachts</w:t>
      </w:r>
      <w:r>
        <w:rPr>
          <w:rStyle w:val="FootnoteReference"/>
          <w:rFonts w:ascii="Arial" w:hAnsi="Arial" w:cs="Arial"/>
          <w:noProof/>
          <w:color w:val="000000"/>
          <w:sz w:val="20"/>
          <w:szCs w:val="20"/>
        </w:rPr>
        <w:footnoteReference w:id="342"/>
      </w:r>
      <w:r>
        <w:rPr>
          <w:rFonts w:ascii="Arial" w:hAnsi="Arial" w:cs="Arial"/>
          <w:noProof/>
          <w:color w:val="000000"/>
          <w:sz w:val="20"/>
          <w:szCs w:val="20"/>
        </w:rPr>
        <w:t>;</w:t>
      </w:r>
      <w:r>
        <w:rPr>
          <w:rFonts w:ascii="Arial" w:hAnsi="Arial" w:cs="Arial"/>
          <w:noProof/>
        </w:rPr>
        <w:t xml:space="preserve"> </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illegal excise duty exemption for fuel used by private pleasure craft</w:t>
      </w:r>
      <w:r>
        <w:rPr>
          <w:rStyle w:val="FootnoteReference"/>
          <w:rFonts w:ascii="Arial" w:hAnsi="Arial" w:cs="Arial"/>
          <w:noProof/>
          <w:sz w:val="20"/>
          <w:szCs w:val="20"/>
          <w:lang w:eastAsia="en-GB"/>
        </w:rPr>
        <w:footnoteReference w:id="343"/>
      </w:r>
      <w:r>
        <w:rPr>
          <w:rFonts w:ascii="Arial" w:hAnsi="Arial" w:cs="Arial"/>
          <w:noProof/>
          <w:sz w:val="20"/>
          <w:szCs w:val="20"/>
          <w:lang w:eastAsia="en-GB"/>
        </w:rPr>
        <w:t>;</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lang w:eastAsia="en-GB"/>
        </w:rPr>
        <w:t xml:space="preserve">use of ‘fast corridors’ to move goods long distances without presentation to customs authorities upon arrival and assigning the goods to a customs procedure at the customs office of entry; </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failure to comply with EU rules on the minimum level of training of seafarers</w:t>
      </w:r>
      <w:r>
        <w:rPr>
          <w:rStyle w:val="FootnoteReference"/>
          <w:rFonts w:ascii="Arial" w:hAnsi="Arial" w:cs="Arial"/>
          <w:noProof/>
          <w:sz w:val="20"/>
          <w:szCs w:val="20"/>
        </w:rPr>
        <w:footnoteReference w:id="344"/>
      </w:r>
      <w:r>
        <w:rPr>
          <w:rFonts w:ascii="Arial" w:hAnsi="Arial" w:cs="Arial"/>
          <w:noProof/>
          <w:sz w:val="20"/>
          <w:szCs w:val="20"/>
        </w:rPr>
        <w:t xml:space="preserve"> ;</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lang w:eastAsia="en-GB"/>
        </w:rPr>
        <w:t>direct award of a number of defence contracts to national suppliers in breach of the Defence Procurement Directive</w:t>
      </w:r>
      <w:r>
        <w:rPr>
          <w:rStyle w:val="FootnoteReference"/>
          <w:rFonts w:ascii="Arial" w:hAnsi="Arial" w:cs="Arial"/>
          <w:noProof/>
          <w:sz w:val="20"/>
          <w:szCs w:val="20"/>
          <w:lang w:eastAsia="en-GB"/>
        </w:rPr>
        <w:footnoteReference w:id="345"/>
      </w:r>
      <w:r>
        <w:rPr>
          <w:rFonts w:ascii="Arial" w:hAnsi="Arial" w:cs="Arial"/>
          <w:noProof/>
          <w:sz w:val="20"/>
          <w:szCs w:val="20"/>
          <w:lang w:eastAsia="en-GB"/>
        </w:rPr>
        <w:t xml:space="preserve">; </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346"/>
      </w:r>
      <w:r>
        <w:rPr>
          <w:rFonts w:ascii="Arial" w:hAnsi="Arial" w:cs="Arial"/>
          <w:noProof/>
          <w:sz w:val="20"/>
          <w:szCs w:val="20"/>
        </w:rPr>
        <w:t>;</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347"/>
      </w:r>
      <w:r>
        <w:rPr>
          <w:rFonts w:ascii="Arial" w:hAnsi="Arial" w:cs="Arial"/>
          <w:noProof/>
          <w:sz w:val="20"/>
          <w:szCs w:val="20"/>
        </w:rPr>
        <w:t>;</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failure to submit reports on time under the Marine Strategy Framework Directive</w:t>
      </w:r>
      <w:r>
        <w:rPr>
          <w:rStyle w:val="FootnoteReference"/>
          <w:rFonts w:ascii="Arial" w:hAnsi="Arial" w:cs="Arial"/>
          <w:noProof/>
          <w:sz w:val="20"/>
          <w:szCs w:val="20"/>
        </w:rPr>
        <w:footnoteReference w:id="348"/>
      </w:r>
      <w:r>
        <w:rPr>
          <w:rFonts w:ascii="Arial" w:hAnsi="Arial" w:cs="Arial"/>
          <w:noProof/>
          <w:sz w:val="20"/>
          <w:szCs w:val="20"/>
        </w:rPr>
        <w:t>;</w:t>
      </w:r>
    </w:p>
    <w:p>
      <w:pPr>
        <w:pStyle w:val="ListParagraph"/>
        <w:numPr>
          <w:ilvl w:val="0"/>
          <w:numId w:val="122"/>
        </w:numPr>
        <w:jc w:val="both"/>
        <w:rPr>
          <w:rFonts w:ascii="Arial" w:hAnsi="Arial" w:cs="Arial"/>
          <w:noProof/>
          <w:sz w:val="20"/>
          <w:szCs w:val="20"/>
        </w:rPr>
      </w:pPr>
      <w:r>
        <w:rPr>
          <w:rFonts w:ascii="Arial" w:hAnsi="Arial" w:cs="Arial"/>
          <w:noProof/>
          <w:sz w:val="20"/>
          <w:szCs w:val="20"/>
        </w:rPr>
        <w:t>insufficient protection of waters against pollution caused by nitrates from agricultural sources</w:t>
      </w:r>
      <w:r>
        <w:rPr>
          <w:rStyle w:val="FootnoteReference"/>
          <w:rFonts w:ascii="Arial" w:hAnsi="Arial" w:cs="Arial"/>
          <w:noProof/>
          <w:sz w:val="20"/>
          <w:szCs w:val="20"/>
        </w:rPr>
        <w:footnoteReference w:id="349"/>
      </w:r>
      <w:r>
        <w:rPr>
          <w:rFonts w:ascii="Arial" w:hAnsi="Arial" w:cs="Arial"/>
          <w:noProof/>
          <w:sz w:val="20"/>
          <w:szCs w:val="20"/>
        </w:rPr>
        <w:t>;</w:t>
      </w:r>
    </w:p>
    <w:p>
      <w:pPr>
        <w:pStyle w:val="ListParagraph"/>
        <w:numPr>
          <w:ilvl w:val="0"/>
          <w:numId w:val="122"/>
        </w:numPr>
        <w:jc w:val="both"/>
        <w:rPr>
          <w:rFonts w:ascii="Arial" w:hAnsi="Arial" w:cs="Arial"/>
          <w:noProof/>
          <w:sz w:val="20"/>
          <w:szCs w:val="20"/>
        </w:rPr>
      </w:pPr>
      <w:r>
        <w:rPr>
          <w:rFonts w:ascii="Arial" w:hAnsi="Arial" w:cs="Arial"/>
          <w:noProof/>
          <w:sz w:val="20"/>
          <w:szCs w:val="20"/>
        </w:rPr>
        <w:t>failure to ensure that urban waste water is adequately treated</w:t>
      </w:r>
      <w:r>
        <w:rPr>
          <w:rStyle w:val="FootnoteReference"/>
          <w:rFonts w:ascii="Arial" w:hAnsi="Arial" w:cs="Arial"/>
          <w:noProof/>
          <w:sz w:val="20"/>
          <w:szCs w:val="20"/>
        </w:rPr>
        <w:footnoteReference w:id="350"/>
      </w:r>
      <w:r>
        <w:rPr>
          <w:rFonts w:ascii="Arial" w:hAnsi="Arial" w:cs="Arial"/>
          <w:noProof/>
          <w:sz w:val="20"/>
          <w:szCs w:val="20"/>
        </w:rPr>
        <w:t>;</w:t>
      </w:r>
    </w:p>
    <w:p>
      <w:pPr>
        <w:pStyle w:val="ListParagraph"/>
        <w:numPr>
          <w:ilvl w:val="0"/>
          <w:numId w:val="122"/>
        </w:numPr>
        <w:jc w:val="both"/>
        <w:rPr>
          <w:rFonts w:ascii="Arial" w:hAnsi="Arial" w:cs="Arial"/>
          <w:noProof/>
          <w:sz w:val="20"/>
          <w:szCs w:val="20"/>
        </w:rPr>
      </w:pPr>
      <w:r>
        <w:rPr>
          <w:rFonts w:ascii="Arial" w:hAnsi="Arial" w:cs="Arial"/>
          <w:noProof/>
          <w:sz w:val="20"/>
          <w:szCs w:val="20"/>
        </w:rPr>
        <w:t>failure to comply with a</w:t>
      </w:r>
      <w:r>
        <w:rPr>
          <w:rFonts w:ascii="Arial" w:hAnsi="Arial" w:cs="Arial"/>
          <w:noProof/>
          <w:color w:val="000000"/>
          <w:sz w:val="20"/>
          <w:szCs w:val="20"/>
        </w:rPr>
        <w:t xml:space="preserve"> Court judgment </w:t>
      </w:r>
      <w:r>
        <w:rPr>
          <w:rFonts w:ascii="Arial" w:hAnsi="Arial" w:cs="Arial"/>
          <w:noProof/>
          <w:sz w:val="20"/>
          <w:szCs w:val="20"/>
        </w:rPr>
        <w:t>finding that urban waste water is not adequately collected and treated</w:t>
      </w:r>
      <w:r>
        <w:rPr>
          <w:rStyle w:val="FootnoteReference"/>
          <w:rFonts w:ascii="Arial" w:hAnsi="Arial" w:cs="Arial"/>
          <w:noProof/>
          <w:sz w:val="20"/>
          <w:szCs w:val="20"/>
        </w:rPr>
        <w:footnoteReference w:id="351"/>
      </w:r>
      <w:r>
        <w:rPr>
          <w:rFonts w:ascii="Arial" w:hAnsi="Arial" w:cs="Arial"/>
          <w:noProof/>
          <w:sz w:val="20"/>
          <w:szCs w:val="20"/>
        </w:rPr>
        <w:t>;</w:t>
      </w:r>
    </w:p>
    <w:p>
      <w:pPr>
        <w:pStyle w:val="ListParagraph"/>
        <w:numPr>
          <w:ilvl w:val="0"/>
          <w:numId w:val="122"/>
        </w:numPr>
        <w:spacing w:after="200"/>
        <w:jc w:val="both"/>
        <w:rPr>
          <w:rFonts w:ascii="Arial" w:hAnsi="Arial" w:cs="Arial"/>
          <w:noProof/>
          <w:sz w:val="20"/>
          <w:szCs w:val="20"/>
          <w:lang w:eastAsia="en-GB"/>
        </w:rPr>
      </w:pPr>
      <w:r>
        <w:rPr>
          <w:rFonts w:ascii="Arial" w:hAnsi="Arial" w:cs="Arial"/>
          <w:noProof/>
          <w:sz w:val="20"/>
          <w:szCs w:val="20"/>
        </w:rPr>
        <w:t xml:space="preserve">non-communication of national measures transposing the </w:t>
      </w:r>
    </w:p>
    <w:p>
      <w:pPr>
        <w:pStyle w:val="ListParagraph"/>
        <w:numPr>
          <w:ilvl w:val="1"/>
          <w:numId w:val="122"/>
        </w:numPr>
        <w:spacing w:after="200"/>
        <w:jc w:val="both"/>
        <w:rPr>
          <w:rFonts w:ascii="Arial" w:hAnsi="Arial" w:cs="Arial"/>
          <w:noProof/>
          <w:sz w:val="20"/>
          <w:szCs w:val="20"/>
        </w:rPr>
      </w:pPr>
      <w:r>
        <w:rPr>
          <w:rFonts w:ascii="Arial" w:hAnsi="Arial" w:cs="Arial"/>
          <w:noProof/>
          <w:sz w:val="20"/>
          <w:szCs w:val="20"/>
        </w:rPr>
        <w:t>Directive on end-of-life vehicles</w:t>
      </w:r>
      <w:r>
        <w:rPr>
          <w:rStyle w:val="FootnoteReference"/>
          <w:rFonts w:ascii="Arial" w:hAnsi="Arial" w:cs="Arial"/>
          <w:noProof/>
          <w:sz w:val="20"/>
          <w:szCs w:val="20"/>
        </w:rPr>
        <w:footnoteReference w:id="352"/>
      </w:r>
      <w:r>
        <w:rPr>
          <w:rFonts w:ascii="Arial" w:hAnsi="Arial" w:cs="Arial"/>
          <w:noProof/>
          <w:sz w:val="20"/>
          <w:szCs w:val="20"/>
        </w:rPr>
        <w:t xml:space="preserve">; </w:t>
      </w:r>
    </w:p>
    <w:p>
      <w:pPr>
        <w:pStyle w:val="ListParagraph"/>
        <w:numPr>
          <w:ilvl w:val="1"/>
          <w:numId w:val="122"/>
        </w:numPr>
        <w:spacing w:after="200"/>
        <w:jc w:val="both"/>
        <w:rPr>
          <w:rFonts w:ascii="Arial" w:hAnsi="Arial" w:cs="Arial"/>
          <w:noProof/>
          <w:sz w:val="20"/>
          <w:szCs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rPr>
        <w:footnoteReference w:id="353"/>
      </w:r>
      <w:r>
        <w:rPr>
          <w:rFonts w:ascii="Arial" w:hAnsi="Arial" w:cs="Arial"/>
          <w:noProof/>
          <w:sz w:val="20"/>
          <w:szCs w:val="20"/>
        </w:rPr>
        <w:t>;</w:t>
      </w:r>
    </w:p>
    <w:p>
      <w:pPr>
        <w:pStyle w:val="ListParagraph"/>
        <w:numPr>
          <w:ilvl w:val="1"/>
          <w:numId w:val="122"/>
        </w:numPr>
        <w:spacing w:after="200"/>
        <w:jc w:val="both"/>
        <w:rPr>
          <w:rFonts w:ascii="Arial" w:hAnsi="Arial" w:cs="Arial"/>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354"/>
      </w:r>
      <w:r>
        <w:rPr>
          <w:rFonts w:ascii="Arial" w:hAnsi="Arial" w:cs="Arial"/>
          <w:noProof/>
          <w:sz w:val="20"/>
          <w:szCs w:val="20"/>
        </w:rPr>
        <w:t xml:space="preserve">; </w:t>
      </w:r>
    </w:p>
    <w:p>
      <w:pPr>
        <w:pStyle w:val="ListParagraph"/>
        <w:numPr>
          <w:ilvl w:val="1"/>
          <w:numId w:val="122"/>
        </w:numPr>
        <w:spacing w:after="200"/>
        <w:jc w:val="both"/>
        <w:rPr>
          <w:rFonts w:ascii="Arial" w:hAnsi="Arial" w:cs="Arial"/>
          <w:noProof/>
          <w:sz w:val="20"/>
          <w:szCs w:val="20"/>
        </w:rPr>
      </w:pPr>
      <w:r>
        <w:rPr>
          <w:rFonts w:ascii="Arial" w:hAnsi="Arial" w:cs="Arial"/>
          <w:noProof/>
          <w:sz w:val="20"/>
          <w:szCs w:val="20"/>
        </w:rPr>
        <w:t>Basic Safety Standards Directive</w:t>
      </w:r>
      <w:r>
        <w:rPr>
          <w:rFonts w:ascii="Arial" w:hAnsi="Arial" w:cs="Arial"/>
          <w:noProof/>
          <w:sz w:val="20"/>
          <w:szCs w:val="20"/>
          <w:vertAlign w:val="superscript"/>
        </w:rPr>
        <w:footnoteReference w:id="355"/>
      </w:r>
      <w:r>
        <w:rPr>
          <w:rFonts w:ascii="Arial" w:hAnsi="Arial" w:cs="Arial"/>
          <w:noProof/>
          <w:sz w:val="20"/>
          <w:szCs w:val="20"/>
        </w:rPr>
        <w:t>;</w:t>
      </w:r>
    </w:p>
    <w:p>
      <w:pPr>
        <w:pStyle w:val="ListParagraph"/>
        <w:numPr>
          <w:ilvl w:val="1"/>
          <w:numId w:val="122"/>
        </w:numPr>
        <w:spacing w:after="200"/>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356"/>
      </w:r>
      <w:r>
        <w:rPr>
          <w:rFonts w:ascii="Arial" w:hAnsi="Arial" w:cs="Arial"/>
          <w:noProof/>
          <w:sz w:val="20"/>
          <w:szCs w:val="20"/>
        </w:rPr>
        <w:t>;</w:t>
      </w:r>
    </w:p>
    <w:p>
      <w:pPr>
        <w:pStyle w:val="ListParagraph"/>
        <w:numPr>
          <w:ilvl w:val="1"/>
          <w:numId w:val="122"/>
        </w:numPr>
        <w:spacing w:after="200"/>
        <w:jc w:val="both"/>
        <w:rPr>
          <w:rFonts w:ascii="Arial" w:hAnsi="Arial" w:cs="Arial"/>
          <w:noProof/>
          <w:sz w:val="20"/>
          <w:szCs w:val="20"/>
        </w:rPr>
      </w:pPr>
      <w:r>
        <w:rPr>
          <w:rFonts w:ascii="Arial" w:hAnsi="Arial" w:cs="Arial"/>
          <w:noProof/>
          <w:sz w:val="20"/>
          <w:szCs w:val="20"/>
        </w:rPr>
        <w:t>Directive on working conditions of seafarers</w:t>
      </w:r>
      <w:r>
        <w:rPr>
          <w:rStyle w:val="FootnoteReference"/>
          <w:rFonts w:ascii="Arial" w:hAnsi="Arial" w:cs="Arial"/>
          <w:noProof/>
          <w:sz w:val="20"/>
          <w:szCs w:val="20"/>
        </w:rPr>
        <w:footnoteReference w:id="357"/>
      </w:r>
      <w:r>
        <w:rPr>
          <w:rFonts w:ascii="Arial" w:hAnsi="Arial" w:cs="Arial"/>
          <w:noProof/>
          <w:sz w:val="20"/>
          <w:szCs w:val="20"/>
        </w:rPr>
        <w:t>;</w:t>
      </w:r>
    </w:p>
    <w:p>
      <w:pPr>
        <w:pStyle w:val="ListParagraph"/>
        <w:numPr>
          <w:ilvl w:val="1"/>
          <w:numId w:val="122"/>
        </w:numPr>
        <w:spacing w:after="120"/>
        <w:ind w:left="2852" w:hanging="357"/>
        <w:jc w:val="both"/>
        <w:rPr>
          <w:rFonts w:ascii="Arial" w:hAnsi="Arial" w:cs="Arial"/>
          <w:noProof/>
          <w:sz w:val="20"/>
          <w:szCs w:val="20"/>
        </w:rPr>
      </w:pPr>
      <w:r>
        <w:rPr>
          <w:rFonts w:ascii="Arial" w:hAnsi="Arial" w:cs="Arial"/>
          <w:noProof/>
          <w:sz w:val="20"/>
          <w:szCs w:val="20"/>
          <w:lang w:val="fr-BE"/>
        </w:rPr>
        <w:t>Package Travel Directive</w:t>
      </w:r>
      <w:r>
        <w:rPr>
          <w:rStyle w:val="FootnoteReference"/>
          <w:rFonts w:ascii="Arial" w:hAnsi="Arial" w:cs="Arial"/>
          <w:noProof/>
          <w:sz w:val="20"/>
          <w:szCs w:val="20"/>
        </w:rPr>
        <w:footnoteReference w:id="358"/>
      </w:r>
      <w:r>
        <w:rPr>
          <w:rFonts w:ascii="Arial" w:hAnsi="Arial" w:cs="Arial"/>
          <w:noProof/>
          <w:sz w:val="20"/>
          <w:szCs w:val="20"/>
        </w:rPr>
        <w:t>;</w:t>
      </w:r>
    </w:p>
    <w:p>
      <w:pPr>
        <w:pStyle w:val="ListParagraph"/>
        <w:numPr>
          <w:ilvl w:val="1"/>
          <w:numId w:val="122"/>
        </w:numPr>
        <w:spacing w:after="120"/>
        <w:ind w:left="2852" w:hanging="357"/>
        <w:jc w:val="both"/>
        <w:rPr>
          <w:rFonts w:ascii="Arial" w:hAnsi="Arial" w:cs="Arial"/>
          <w:noProof/>
          <w:sz w:val="20"/>
          <w:szCs w:val="20"/>
        </w:rPr>
      </w:pPr>
      <w:r>
        <w:rPr>
          <w:rFonts w:ascii="Arial" w:hAnsi="Arial" w:cs="Arial"/>
          <w:noProof/>
          <w:sz w:val="20"/>
          <w:szCs w:val="20"/>
        </w:rPr>
        <w:t>Directive establishing a fourth list of indicative occupational exposure limit values to protect workers from risks arising from exposure to hazardous chemicals</w:t>
      </w:r>
      <w:r>
        <w:rPr>
          <w:rStyle w:val="FootnoteReference"/>
          <w:rFonts w:ascii="Arial" w:hAnsi="Arial" w:cs="Arial"/>
          <w:noProof/>
          <w:sz w:val="20"/>
          <w:szCs w:val="20"/>
        </w:rPr>
        <w:footnoteReference w:id="359"/>
      </w:r>
    </w:p>
    <w:p>
      <w:pPr>
        <w:numPr>
          <w:ilvl w:val="0"/>
          <w:numId w:val="89"/>
        </w:numPr>
        <w:ind w:left="1276" w:hanging="425"/>
        <w:jc w:val="both"/>
        <w:rPr>
          <w:rFonts w:ascii="Arial" w:hAnsi="Arial" w:cs="Arial"/>
          <w:noProof/>
          <w:sz w:val="20"/>
          <w:szCs w:val="20"/>
        </w:rPr>
      </w:pPr>
      <w:r>
        <w:rPr>
          <w:rFonts w:ascii="Arial" w:hAnsi="Arial" w:cs="Arial"/>
          <w:noProof/>
          <w:sz w:val="20"/>
          <w:szCs w:val="20"/>
        </w:rPr>
        <w:t>The Commission referred six cases to the Court under Article 258 TFEU. They concern</w:t>
      </w:r>
    </w:p>
    <w:p>
      <w:pPr>
        <w:pStyle w:val="Lijstje2"/>
        <w:numPr>
          <w:ilvl w:val="0"/>
          <w:numId w:val="2"/>
        </w:numPr>
        <w:spacing w:after="200" w:line="240" w:lineRule="auto"/>
        <w:ind w:left="1800"/>
        <w:jc w:val="both"/>
        <w:rPr>
          <w:rFonts w:ascii="Arial" w:hAnsi="Arial" w:cs="Arial"/>
          <w:noProof/>
          <w:lang w:val="en-GB"/>
        </w:rPr>
      </w:pPr>
      <w:r>
        <w:rPr>
          <w:rFonts w:ascii="Arial" w:hAnsi="Arial" w:cs="Arial"/>
          <w:noProof/>
          <w:lang w:val="en-GB"/>
        </w:rPr>
        <w:t>failure to notify the national programme for the implementation of a spent fuel and radioactive waste management policy</w:t>
      </w:r>
      <w:r>
        <w:rPr>
          <w:rStyle w:val="FootnoteReference"/>
          <w:rFonts w:ascii="Arial" w:hAnsi="Arial" w:cs="Arial"/>
          <w:noProof/>
          <w:lang w:val="en-GB"/>
        </w:rPr>
        <w:footnoteReference w:id="360"/>
      </w:r>
      <w:r>
        <w:rPr>
          <w:rFonts w:ascii="Arial" w:hAnsi="Arial" w:cs="Arial"/>
          <w:noProof/>
          <w:lang w:val="en-GB"/>
        </w:rPr>
        <w:t>;</w:t>
      </w:r>
    </w:p>
    <w:p>
      <w:pPr>
        <w:pStyle w:val="Lijstje2"/>
        <w:numPr>
          <w:ilvl w:val="0"/>
          <w:numId w:val="2"/>
        </w:numPr>
        <w:spacing w:after="200" w:line="240" w:lineRule="auto"/>
        <w:ind w:left="1800"/>
        <w:jc w:val="both"/>
        <w:rPr>
          <w:rFonts w:ascii="Arial" w:hAnsi="Arial" w:cs="Arial"/>
          <w:noProof/>
          <w:szCs w:val="20"/>
          <w:lang w:val="en-US"/>
        </w:rPr>
      </w:pPr>
      <w:r>
        <w:rPr>
          <w:rFonts w:ascii="Arial" w:hAnsi="Arial" w:cs="Arial"/>
          <w:noProof/>
          <w:szCs w:val="20"/>
          <w:lang w:val="en-US"/>
        </w:rPr>
        <w:t>exceedance of the PM</w:t>
      </w:r>
      <w:r>
        <w:rPr>
          <w:rFonts w:ascii="Arial" w:hAnsi="Arial" w:cs="Arial"/>
          <w:noProof/>
          <w:szCs w:val="20"/>
          <w:vertAlign w:val="subscript"/>
          <w:lang w:val="en-US"/>
        </w:rPr>
        <w:t>10</w:t>
      </w:r>
      <w:r>
        <w:rPr>
          <w:rStyle w:val="FootnoteReference"/>
          <w:rFonts w:ascii="Arial" w:hAnsi="Arial" w:cs="Arial"/>
          <w:noProof/>
          <w:szCs w:val="20"/>
        </w:rPr>
        <w:footnoteReference w:id="361"/>
      </w:r>
      <w:r>
        <w:rPr>
          <w:rFonts w:ascii="Arial" w:hAnsi="Arial" w:cs="Arial"/>
          <w:noProof/>
          <w:szCs w:val="20"/>
          <w:lang w:val="en-US"/>
        </w:rPr>
        <w:t xml:space="preserve"> limit values set by the Air Quality Directive</w:t>
      </w:r>
      <w:r>
        <w:rPr>
          <w:rStyle w:val="FootnoteReference"/>
          <w:rFonts w:ascii="Arial" w:hAnsi="Arial" w:cs="Arial"/>
          <w:noProof/>
          <w:szCs w:val="20"/>
        </w:rPr>
        <w:footnoteReference w:id="362"/>
      </w:r>
      <w:r>
        <w:rPr>
          <w:rFonts w:ascii="Arial" w:hAnsi="Arial" w:cs="Arial"/>
          <w:noProof/>
          <w:szCs w:val="20"/>
          <w:lang w:val="en-US"/>
        </w:rPr>
        <w:t>;</w:t>
      </w:r>
    </w:p>
    <w:p>
      <w:pPr>
        <w:pStyle w:val="Lijstje2"/>
        <w:numPr>
          <w:ilvl w:val="0"/>
          <w:numId w:val="2"/>
        </w:numPr>
        <w:spacing w:after="200" w:line="240" w:lineRule="auto"/>
        <w:ind w:left="1800"/>
        <w:jc w:val="both"/>
        <w:rPr>
          <w:rFonts w:ascii="Arial" w:hAnsi="Arial" w:cs="Arial"/>
          <w:noProof/>
          <w:szCs w:val="20"/>
          <w:lang w:val="en-GB"/>
        </w:rPr>
      </w:pPr>
      <w:r>
        <w:rPr>
          <w:rFonts w:ascii="Arial" w:hAnsi="Arial" w:cs="Arial"/>
          <w:noProof/>
          <w:szCs w:val="20"/>
          <w:lang w:val="en-US"/>
        </w:rPr>
        <w:t>non-communication of national measures transposing certain technical requirements on testing of human tissues and cells</w:t>
      </w:r>
      <w:r>
        <w:rPr>
          <w:rStyle w:val="FootnoteReference"/>
          <w:rFonts w:ascii="Arial" w:hAnsi="Arial" w:cs="Arial"/>
          <w:noProof/>
          <w:szCs w:val="20"/>
        </w:rPr>
        <w:footnoteReference w:id="363"/>
      </w:r>
      <w:r>
        <w:rPr>
          <w:rFonts w:ascii="Arial" w:hAnsi="Arial" w:cs="Arial"/>
          <w:noProof/>
          <w:szCs w:val="20"/>
          <w:lang w:val="en-US"/>
        </w:rPr>
        <w:t>;</w:t>
      </w:r>
    </w:p>
    <w:p>
      <w:pPr>
        <w:pStyle w:val="Lijstje2"/>
        <w:numPr>
          <w:ilvl w:val="0"/>
          <w:numId w:val="2"/>
        </w:numPr>
        <w:spacing w:after="200" w:line="240" w:lineRule="auto"/>
        <w:ind w:left="1800"/>
        <w:jc w:val="both"/>
        <w:rPr>
          <w:rFonts w:ascii="Arial" w:hAnsi="Arial" w:cs="Arial"/>
          <w:noProof/>
          <w:szCs w:val="20"/>
          <w:lang w:val="en-GB"/>
        </w:rPr>
      </w:pPr>
      <w:r>
        <w:rPr>
          <w:rFonts w:ascii="Arial" w:hAnsi="Arial" w:cs="Arial"/>
          <w:noProof/>
          <w:szCs w:val="20"/>
          <w:lang w:val="en-US"/>
        </w:rPr>
        <w:t xml:space="preserve">failure to adequately prevent further spread of the quarantine harmful organism </w:t>
      </w:r>
      <w:r>
        <w:rPr>
          <w:rFonts w:ascii="Arial" w:hAnsi="Arial"/>
          <w:i/>
          <w:noProof/>
          <w:lang w:val="en-US"/>
        </w:rPr>
        <w:t>Xylella fastidiosa</w:t>
      </w:r>
      <w:r>
        <w:rPr>
          <w:rFonts w:ascii="Arial" w:hAnsi="Arial" w:cs="Arial"/>
          <w:noProof/>
          <w:szCs w:val="20"/>
          <w:lang w:val="en-US"/>
        </w:rPr>
        <w:t xml:space="preserve"> in Apulia</w:t>
      </w:r>
      <w:r>
        <w:rPr>
          <w:rStyle w:val="FootnoteReference"/>
          <w:rFonts w:ascii="Arial" w:hAnsi="Arial" w:cs="Arial"/>
          <w:noProof/>
          <w:szCs w:val="20"/>
        </w:rPr>
        <w:footnoteReference w:id="364"/>
      </w:r>
      <w:r>
        <w:rPr>
          <w:rFonts w:ascii="Arial" w:hAnsi="Arial" w:cs="Arial"/>
          <w:noProof/>
          <w:szCs w:val="20"/>
          <w:lang w:val="en-US"/>
        </w:rPr>
        <w:t>;</w:t>
      </w:r>
    </w:p>
    <w:p>
      <w:pPr>
        <w:pStyle w:val="Lijstje2"/>
        <w:numPr>
          <w:ilvl w:val="0"/>
          <w:numId w:val="2"/>
        </w:numPr>
        <w:spacing w:after="200" w:line="240" w:lineRule="auto"/>
        <w:ind w:left="1800"/>
        <w:jc w:val="both"/>
        <w:rPr>
          <w:rFonts w:ascii="Arial" w:hAnsi="Arial" w:cs="Arial"/>
          <w:noProof/>
          <w:szCs w:val="20"/>
          <w:lang w:val="en-GB"/>
        </w:rPr>
      </w:pPr>
      <w:r>
        <w:rPr>
          <w:rFonts w:ascii="Arial" w:hAnsi="Arial" w:cs="Arial"/>
          <w:noProof/>
          <w:szCs w:val="20"/>
          <w:lang w:val="en-GB"/>
        </w:rPr>
        <w:t>delays in payments made by the Italian public authorities to their suppliers, in breach of theDirective on late payment in commercial transactions</w:t>
      </w:r>
      <w:r>
        <w:rPr>
          <w:rStyle w:val="FootnoteReference"/>
          <w:rFonts w:ascii="Arial" w:hAnsi="Arial" w:cs="Arial"/>
          <w:noProof/>
          <w:szCs w:val="20"/>
        </w:rPr>
        <w:footnoteReference w:id="365"/>
      </w:r>
      <w:r>
        <w:rPr>
          <w:rFonts w:ascii="Arial" w:hAnsi="Arial" w:cs="Arial"/>
          <w:noProof/>
          <w:szCs w:val="20"/>
          <w:lang w:val="en-GB"/>
        </w:rPr>
        <w:t>;</w:t>
      </w:r>
    </w:p>
    <w:p>
      <w:pPr>
        <w:pStyle w:val="Lijstje2"/>
        <w:numPr>
          <w:ilvl w:val="0"/>
          <w:numId w:val="2"/>
        </w:numPr>
        <w:spacing w:after="200" w:line="240" w:lineRule="auto"/>
        <w:ind w:left="1800"/>
        <w:jc w:val="both"/>
        <w:rPr>
          <w:rFonts w:ascii="Arial" w:hAnsi="Arial" w:cs="Arial"/>
          <w:noProof/>
          <w:szCs w:val="20"/>
          <w:lang w:val="en-GB"/>
        </w:rPr>
      </w:pPr>
      <w:r>
        <w:rPr>
          <w:rFonts w:ascii="Arial" w:hAnsi="Arial" w:cs="Arial"/>
          <w:noProof/>
          <w:szCs w:val="20"/>
          <w:lang w:val="en-US"/>
        </w:rPr>
        <w:t>refusal to compensate the loss of traditional own resources resulting from failure to properly enforce an amount of customs duties</w:t>
      </w:r>
      <w:r>
        <w:rPr>
          <w:rStyle w:val="FootnoteReference"/>
          <w:rFonts w:ascii="Arial" w:hAnsi="Arial" w:cs="Arial"/>
          <w:noProof/>
          <w:szCs w:val="20"/>
        </w:rPr>
        <w:footnoteReference w:id="366"/>
      </w:r>
      <w:r>
        <w:rPr>
          <w:rStyle w:val="FootnoteReference"/>
          <w:rFonts w:ascii="Arial" w:hAnsi="Arial" w:cs="Arial"/>
          <w:noProof/>
          <w:szCs w:val="20"/>
          <w:lang w:val="en-US"/>
        </w:rPr>
        <w:t>.</w:t>
      </w:r>
    </w:p>
    <w:p>
      <w:pPr>
        <w:numPr>
          <w:ilvl w:val="0"/>
          <w:numId w:val="89"/>
        </w:numPr>
        <w:ind w:left="1276" w:hanging="425"/>
        <w:jc w:val="both"/>
        <w:rPr>
          <w:rFonts w:ascii="Arial" w:hAnsi="Arial" w:cs="Arial"/>
          <w:noProof/>
          <w:sz w:val="20"/>
          <w:szCs w:val="20"/>
        </w:rPr>
      </w:pPr>
      <w:r>
        <w:rPr>
          <w:rFonts w:ascii="Arial" w:hAnsi="Arial" w:cs="Arial"/>
          <w:noProof/>
          <w:sz w:val="20"/>
          <w:szCs w:val="20"/>
        </w:rPr>
        <w:t>The Commission referred one case to the Court under Article 260(2) TFEU. It concerns</w:t>
      </w:r>
    </w:p>
    <w:p>
      <w:pPr>
        <w:pStyle w:val="Lijstje"/>
        <w:numPr>
          <w:ilvl w:val="0"/>
          <w:numId w:val="123"/>
        </w:numPr>
        <w:rPr>
          <w:noProof/>
        </w:rPr>
      </w:pPr>
      <w:r>
        <w:rPr>
          <w:noProof/>
        </w:rPr>
        <w:t>failure to implement the Commission’s decision requiring Italy to recover illegal State aid granted to the hotel industry in Sardinia</w:t>
      </w:r>
      <w:r>
        <w:rPr>
          <w:rStyle w:val="FootnoteReference"/>
          <w:noProof/>
        </w:rPr>
        <w:footnoteReference w:id="367"/>
      </w:r>
      <w:r>
        <w:rPr>
          <w:noProof/>
        </w:rPr>
        <w:t>.</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40"/>
        </w:numPr>
        <w:ind w:left="709" w:hanging="425"/>
        <w:rPr>
          <w:noProof/>
        </w:rPr>
      </w:pPr>
      <w:r>
        <w:rPr>
          <w:noProof/>
        </w:rPr>
        <w:t>Late transposition infringement cases against Italy open on 31 December (2014-2018)</w:t>
      </w:r>
    </w:p>
    <w:p>
      <w:pPr>
        <w:ind w:left="426" w:firstLine="283"/>
        <w:rPr>
          <w:noProof/>
        </w:rPr>
      </w:pPr>
      <w:r>
        <w:rPr>
          <w:noProof/>
          <w:lang w:eastAsia="en-GB"/>
        </w:rPr>
        <w:drawing>
          <wp:inline distT="0" distB="0" distL="0" distR="0">
            <wp:extent cx="4587875" cy="2250440"/>
            <wp:effectExtent l="0" t="0" r="3175" b="16510"/>
            <wp:docPr id="131"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pPr>
        <w:spacing w:after="0" w:line="240" w:lineRule="auto"/>
        <w:rPr>
          <w:rFonts w:ascii="Arial" w:hAnsi="Arial"/>
          <w:noProof/>
          <w:color w:val="002060"/>
        </w:rPr>
      </w:pPr>
      <w:r>
        <w:rPr>
          <w:noProof/>
        </w:rPr>
        <w:br w:type="page"/>
      </w:r>
    </w:p>
    <w:p>
      <w:pPr>
        <w:pStyle w:val="AnnualReport2"/>
        <w:numPr>
          <w:ilvl w:val="0"/>
          <w:numId w:val="40"/>
        </w:numPr>
        <w:ind w:left="709" w:hanging="425"/>
        <w:rPr>
          <w:noProof/>
        </w:rPr>
      </w:pPr>
      <w:r>
        <w:rPr>
          <w:noProof/>
        </w:rPr>
        <w:t>New late transposition infringement cases against Italy (2014-2018)</w:t>
      </w:r>
    </w:p>
    <w:p>
      <w:pPr>
        <w:pStyle w:val="Body"/>
        <w:rPr>
          <w:noProof/>
          <w:lang w:val="en-GB"/>
        </w:rPr>
      </w:pPr>
      <w:r>
        <w:rPr>
          <w:noProof/>
          <w:lang w:val="en-GB" w:eastAsia="en-GB"/>
        </w:rPr>
        <w:drawing>
          <wp:inline distT="0" distB="0" distL="0" distR="0">
            <wp:extent cx="4587875" cy="2345690"/>
            <wp:effectExtent l="0" t="0" r="3175" b="16510"/>
            <wp:docPr id="13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pPr>
        <w:pStyle w:val="AnnualReport2"/>
        <w:numPr>
          <w:ilvl w:val="0"/>
          <w:numId w:val="40"/>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4860" cy="2537460"/>
            <wp:effectExtent l="0" t="0" r="15240" b="15240"/>
            <wp:docPr id="133"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pStyle w:val="AnnualReport2"/>
        <w:numPr>
          <w:ilvl w:val="0"/>
          <w:numId w:val="40"/>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before="240"/>
        <w:ind w:left="284" w:firstLine="425"/>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These concerned:</w:t>
      </w:r>
    </w:p>
    <w:p>
      <w:pPr>
        <w:pStyle w:val="ListParagraph"/>
        <w:numPr>
          <w:ilvl w:val="0"/>
          <w:numId w:val="123"/>
        </w:numPr>
        <w:ind w:left="1418"/>
        <w:jc w:val="both"/>
        <w:rPr>
          <w:rFonts w:ascii="Arial" w:eastAsia="Calibri" w:hAnsi="Arial" w:cs="Arial"/>
          <w:noProof/>
          <w:sz w:val="20"/>
          <w:szCs w:val="20"/>
        </w:rPr>
      </w:pPr>
      <w:r>
        <w:rPr>
          <w:rFonts w:ascii="Arial" w:hAnsi="Arial" w:cs="Arial"/>
          <w:noProof/>
          <w:sz w:val="20"/>
          <w:szCs w:val="20"/>
        </w:rPr>
        <w:t>non-compliance with the provisions of the Directive on waste;</w:t>
      </w:r>
      <w:r>
        <w:rPr>
          <w:rStyle w:val="FootnoteReference"/>
          <w:rFonts w:ascii="Arial" w:hAnsi="Arial" w:cs="Arial"/>
          <w:noProof/>
          <w:sz w:val="20"/>
          <w:szCs w:val="20"/>
        </w:rPr>
        <w:footnoteReference w:id="368"/>
      </w:r>
    </w:p>
    <w:p>
      <w:pPr>
        <w:pStyle w:val="ListParagraph"/>
        <w:numPr>
          <w:ilvl w:val="0"/>
          <w:numId w:val="123"/>
        </w:numPr>
        <w:ind w:left="1418"/>
        <w:jc w:val="both"/>
        <w:rPr>
          <w:rFonts w:ascii="Arial" w:eastAsia="Calibri" w:hAnsi="Arial" w:cs="Arial"/>
          <w:noProof/>
          <w:sz w:val="20"/>
          <w:szCs w:val="20"/>
        </w:rPr>
      </w:pPr>
      <w:r>
        <w:rPr>
          <w:rFonts w:ascii="Arial" w:eastAsia="Calibri" w:hAnsi="Arial" w:cs="Arial"/>
          <w:noProof/>
          <w:sz w:val="20"/>
          <w:szCs w:val="20"/>
        </w:rPr>
        <w:t>unjustified restrictions on VAT reimbursement;</w:t>
      </w:r>
    </w:p>
    <w:p>
      <w:pPr>
        <w:pStyle w:val="ListParagraph"/>
        <w:numPr>
          <w:ilvl w:val="0"/>
          <w:numId w:val="123"/>
        </w:numPr>
        <w:ind w:left="1418"/>
        <w:jc w:val="both"/>
        <w:rPr>
          <w:rFonts w:ascii="Arial" w:eastAsia="Calibri" w:hAnsi="Arial" w:cs="Arial"/>
          <w:noProof/>
          <w:sz w:val="20"/>
          <w:szCs w:val="20"/>
        </w:rPr>
      </w:pPr>
      <w:r>
        <w:rPr>
          <w:rFonts w:ascii="Arial" w:eastAsia="Calibri" w:hAnsi="Arial" w:cs="Arial"/>
          <w:noProof/>
          <w:sz w:val="20"/>
          <w:szCs w:val="20"/>
        </w:rPr>
        <w:t>non-communication of national measures transposing the</w:t>
      </w:r>
    </w:p>
    <w:p>
      <w:pPr>
        <w:pStyle w:val="ListParagraph"/>
        <w:numPr>
          <w:ilvl w:val="1"/>
          <w:numId w:val="123"/>
        </w:numPr>
        <w:spacing w:after="120"/>
        <w:ind w:left="2268"/>
        <w:jc w:val="both"/>
        <w:rPr>
          <w:rFonts w:ascii="Arial" w:hAnsi="Arial" w:cs="Arial"/>
          <w:noProof/>
          <w:sz w:val="20"/>
        </w:rPr>
      </w:pPr>
      <w:r>
        <w:rPr>
          <w:rFonts w:ascii="Arial" w:eastAsia="Calibri" w:hAnsi="Arial" w:cs="Arial"/>
          <w:noProof/>
          <w:sz w:val="20"/>
          <w:szCs w:val="20"/>
          <w:lang w:eastAsia="en-GB"/>
        </w:rPr>
        <w:t>Antitrust Damages Directive;</w:t>
      </w:r>
      <w:r>
        <w:rPr>
          <w:rStyle w:val="FootnoteReference"/>
          <w:rFonts w:ascii="Arial" w:eastAsia="Calibri" w:hAnsi="Arial" w:cs="Arial"/>
          <w:noProof/>
          <w:sz w:val="20"/>
          <w:szCs w:val="20"/>
          <w:lang w:eastAsia="en-GB"/>
        </w:rPr>
        <w:footnoteReference w:id="369"/>
      </w:r>
    </w:p>
    <w:p>
      <w:pPr>
        <w:pStyle w:val="ListParagraph"/>
        <w:numPr>
          <w:ilvl w:val="1"/>
          <w:numId w:val="123"/>
        </w:numPr>
        <w:spacing w:after="120"/>
        <w:ind w:left="2268"/>
        <w:jc w:val="both"/>
        <w:rPr>
          <w:rFonts w:ascii="Arial" w:hAnsi="Arial" w:cs="Arial"/>
          <w:noProof/>
          <w:sz w:val="20"/>
        </w:rPr>
      </w:pPr>
      <w:r>
        <w:rPr>
          <w:rFonts w:ascii="Arial" w:eastAsia="Calibri" w:hAnsi="Arial" w:cs="Arial"/>
          <w:noProof/>
          <w:kern w:val="20"/>
          <w:sz w:val="20"/>
          <w:szCs w:val="20"/>
          <w:lang w:eastAsia="en-GB"/>
        </w:rPr>
        <w:t>Commission Directive amending the Directive on quality system standards and specifications for blood establishments</w:t>
      </w:r>
      <w:r>
        <w:rPr>
          <w:rFonts w:ascii="Arial" w:eastAsia="Calibri" w:hAnsi="Arial" w:cs="Arial"/>
          <w:noProof/>
          <w:kern w:val="20"/>
          <w:sz w:val="20"/>
          <w:szCs w:val="20"/>
          <w:vertAlign w:val="superscript"/>
          <w:lang w:val="nl-NL" w:eastAsia="en-GB"/>
        </w:rPr>
        <w:footnoteReference w:id="370"/>
      </w:r>
      <w:r>
        <w:rPr>
          <w:rFonts w:ascii="Arial" w:eastAsia="Calibri" w:hAnsi="Arial" w:cs="Arial"/>
          <w:noProof/>
          <w:kern w:val="20"/>
          <w:sz w:val="20"/>
          <w:szCs w:val="20"/>
          <w:lang w:eastAsia="en-GB"/>
        </w:rPr>
        <w:t>;</w:t>
      </w:r>
    </w:p>
    <w:p>
      <w:pPr>
        <w:pStyle w:val="ListParagraph"/>
        <w:numPr>
          <w:ilvl w:val="1"/>
          <w:numId w:val="123"/>
        </w:numPr>
        <w:spacing w:after="120"/>
        <w:ind w:left="2268"/>
        <w:jc w:val="both"/>
        <w:rPr>
          <w:rFonts w:ascii="Arial" w:hAnsi="Arial" w:cs="Arial"/>
          <w:noProof/>
          <w:sz w:val="20"/>
        </w:rPr>
      </w:pPr>
      <w:r>
        <w:rPr>
          <w:rFonts w:ascii="Arial" w:eastAsia="Times New Roman" w:hAnsi="Arial" w:cs="Arial"/>
          <w:noProof/>
          <w:sz w:val="20"/>
          <w:szCs w:val="20"/>
          <w:lang w:eastAsia="en-GB"/>
        </w:rPr>
        <w:t>Directive on caseins and caseinates</w:t>
      </w:r>
      <w:r>
        <w:rPr>
          <w:rStyle w:val="FootnoteReference"/>
          <w:rFonts w:ascii="Arial" w:eastAsia="Times New Roman" w:hAnsi="Arial" w:cs="Arial"/>
          <w:noProof/>
          <w:sz w:val="20"/>
          <w:szCs w:val="20"/>
          <w:lang w:eastAsia="en-GB"/>
        </w:rPr>
        <w:footnoteReference w:id="371"/>
      </w:r>
      <w:r>
        <w:rPr>
          <w:rFonts w:ascii="Arial" w:eastAsia="Times New Roman" w:hAnsi="Arial" w:cs="Arial"/>
          <w:noProof/>
          <w:sz w:val="20"/>
          <w:szCs w:val="20"/>
          <w:lang w:eastAsia="en-GB"/>
        </w:rPr>
        <w:t>;</w:t>
      </w:r>
    </w:p>
    <w:p>
      <w:pPr>
        <w:pStyle w:val="ListParagraph"/>
        <w:numPr>
          <w:ilvl w:val="1"/>
          <w:numId w:val="123"/>
        </w:numPr>
        <w:spacing w:after="120"/>
        <w:ind w:left="2268"/>
        <w:jc w:val="both"/>
        <w:rPr>
          <w:rFonts w:ascii="Arial" w:hAnsi="Arial" w:cs="Arial"/>
          <w:noProof/>
          <w:sz w:val="20"/>
        </w:rPr>
      </w:pPr>
      <w:r>
        <w:rPr>
          <w:rFonts w:ascii="Arial" w:eastAsia="Calibri" w:hAnsi="Arial" w:cs="Arial"/>
          <w:noProof/>
          <w:kern w:val="20"/>
          <w:sz w:val="20"/>
          <w:szCs w:val="20"/>
          <w:lang w:eastAsia="en-GB"/>
        </w:rPr>
        <w:t>Directive on protective measures against the introduction into the Community of organisms harmful to plants</w:t>
      </w:r>
      <w:r>
        <w:rPr>
          <w:rFonts w:ascii="Arial" w:eastAsia="Calibri" w:hAnsi="Arial" w:cs="Arial"/>
          <w:noProof/>
          <w:kern w:val="20"/>
          <w:sz w:val="20"/>
          <w:szCs w:val="20"/>
          <w:vertAlign w:val="superscript"/>
          <w:lang w:val="nl-NL" w:eastAsia="en-GB"/>
        </w:rPr>
        <w:footnoteReference w:id="372"/>
      </w:r>
      <w:r>
        <w:rPr>
          <w:rFonts w:ascii="Arial" w:eastAsia="Calibri" w:hAnsi="Arial" w:cs="Arial"/>
          <w:noProof/>
          <w:kern w:val="20"/>
          <w:sz w:val="20"/>
          <w:szCs w:val="20"/>
          <w:lang w:eastAsia="en-GB"/>
        </w:rPr>
        <w:t xml:space="preserve">. </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41"/>
        </w:numPr>
        <w:ind w:left="709" w:hanging="425"/>
        <w:rPr>
          <w:noProof/>
        </w:rPr>
      </w:pPr>
      <w:r>
        <w:rPr>
          <w:noProof/>
        </w:rPr>
        <w:t>Court rulings</w:t>
      </w:r>
    </w:p>
    <w:p>
      <w:pPr>
        <w:spacing w:after="120"/>
        <w:ind w:firstLine="709"/>
        <w:jc w:val="both"/>
        <w:rPr>
          <w:rFonts w:ascii="Arial" w:hAnsi="Arial" w:cs="Arial"/>
          <w:noProof/>
          <w:sz w:val="20"/>
        </w:rPr>
      </w:pPr>
      <w:r>
        <w:rPr>
          <w:rFonts w:ascii="Arial" w:hAnsi="Arial" w:cs="Arial"/>
          <w:noProof/>
          <w:sz w:val="20"/>
        </w:rPr>
        <w:t>The Court made the following rulings.</w:t>
      </w:r>
    </w:p>
    <w:p>
      <w:pPr>
        <w:pStyle w:val="ListParagraph"/>
        <w:numPr>
          <w:ilvl w:val="0"/>
          <w:numId w:val="124"/>
        </w:numPr>
        <w:spacing w:after="120"/>
        <w:jc w:val="both"/>
        <w:rPr>
          <w:rFonts w:ascii="Arial" w:eastAsia="Calibri" w:hAnsi="Arial" w:cs="Arial"/>
          <w:noProof/>
          <w:kern w:val="20"/>
          <w:sz w:val="20"/>
          <w:szCs w:val="20"/>
        </w:rPr>
      </w:pPr>
      <w:r>
        <w:rPr>
          <w:rFonts w:ascii="Arial" w:hAnsi="Arial" w:cs="Arial"/>
          <w:noProof/>
          <w:sz w:val="20"/>
          <w:szCs w:val="20"/>
        </w:rPr>
        <w:t>Italy failed to recover milk surplus levies from Italian milk producers which exceeded their production quotas for the marketing years from 1995/1996 to 2008/2009</w:t>
      </w:r>
      <w:r>
        <w:rPr>
          <w:rStyle w:val="FootnoteReference"/>
          <w:rFonts w:ascii="Arial" w:hAnsi="Arial" w:cs="Arial"/>
          <w:noProof/>
          <w:sz w:val="20"/>
          <w:szCs w:val="20"/>
        </w:rPr>
        <w:footnoteReference w:id="373"/>
      </w:r>
      <w:r>
        <w:rPr>
          <w:rFonts w:ascii="Arial" w:hAnsi="Arial" w:cs="Arial"/>
          <w:noProof/>
          <w:sz w:val="20"/>
          <w:szCs w:val="20"/>
        </w:rPr>
        <w:t>.</w:t>
      </w:r>
    </w:p>
    <w:p>
      <w:pPr>
        <w:pStyle w:val="ListParagraph"/>
        <w:numPr>
          <w:ilvl w:val="0"/>
          <w:numId w:val="124"/>
        </w:numPr>
        <w:spacing w:after="120"/>
        <w:jc w:val="both"/>
        <w:rPr>
          <w:rFonts w:ascii="Arial" w:hAnsi="Arial"/>
          <w:noProof/>
          <w:sz w:val="20"/>
          <w:szCs w:val="20"/>
        </w:rPr>
      </w:pPr>
      <w:r>
        <w:rPr>
          <w:rFonts w:ascii="Arial" w:hAnsi="Arial" w:cs="Arial"/>
          <w:noProof/>
          <w:sz w:val="20"/>
          <w:szCs w:val="20"/>
        </w:rPr>
        <w:t>Italy</w:t>
      </w:r>
      <w:r>
        <w:rPr>
          <w:rFonts w:ascii="Arial" w:hAnsi="Arial"/>
          <w:noProof/>
          <w:sz w:val="20"/>
          <w:szCs w:val="20"/>
        </w:rPr>
        <w:t xml:space="preserve"> has failed to comply in full with an earlier Court judgment</w:t>
      </w:r>
      <w:r>
        <w:rPr>
          <w:rStyle w:val="FootnoteReference"/>
          <w:rFonts w:ascii="Arial" w:hAnsi="Arial"/>
          <w:noProof/>
          <w:sz w:val="20"/>
          <w:szCs w:val="20"/>
        </w:rPr>
        <w:footnoteReference w:id="374"/>
      </w:r>
      <w:r>
        <w:rPr>
          <w:rFonts w:ascii="Arial" w:hAnsi="Arial"/>
          <w:noProof/>
          <w:sz w:val="20"/>
          <w:szCs w:val="20"/>
        </w:rPr>
        <w:t xml:space="preserve"> since no proof has been provided of the existence of appropriate urban waste water </w:t>
      </w:r>
      <w:r>
        <w:rPr>
          <w:rFonts w:ascii="Arial" w:hAnsi="Arial" w:cs="Arial"/>
          <w:noProof/>
          <w:sz w:val="20"/>
          <w:szCs w:val="20"/>
        </w:rPr>
        <w:t>collection</w:t>
      </w:r>
      <w:r>
        <w:rPr>
          <w:rFonts w:ascii="Arial" w:hAnsi="Arial"/>
          <w:noProof/>
          <w:sz w:val="20"/>
          <w:szCs w:val="20"/>
        </w:rPr>
        <w:t xml:space="preserve"> and treatment systems in 74 of the 109 agglomerations concerned by the first judgment. The Court found that Italy’s failure to fulfil its obligations is particularly serious in so far as the lack of, or inadequacy of urban waste water </w:t>
      </w:r>
      <w:r>
        <w:rPr>
          <w:rFonts w:ascii="Arial" w:hAnsi="Arial" w:cs="Arial"/>
          <w:noProof/>
          <w:sz w:val="20"/>
          <w:szCs w:val="20"/>
        </w:rPr>
        <w:t>collection</w:t>
      </w:r>
      <w:r>
        <w:rPr>
          <w:rFonts w:ascii="Arial" w:hAnsi="Arial"/>
          <w:noProof/>
          <w:sz w:val="20"/>
          <w:szCs w:val="20"/>
        </w:rPr>
        <w:t xml:space="preserve"> or treatment systems could harm the environment. The Court ordered Italy to pay a lump sum of EUR 25 million and a penalty payment of EUR 30 112 500 for every </w:t>
      </w:r>
      <w:r>
        <w:rPr>
          <w:rFonts w:ascii="Arial" w:hAnsi="Arial" w:cs="Arial"/>
          <w:noProof/>
          <w:sz w:val="20"/>
          <w:szCs w:val="20"/>
        </w:rPr>
        <w:t>6</w:t>
      </w:r>
      <w:r>
        <w:rPr>
          <w:rFonts w:ascii="Arial" w:hAnsi="Arial"/>
          <w:noProof/>
          <w:sz w:val="20"/>
          <w:szCs w:val="20"/>
        </w:rPr>
        <w:t xml:space="preserve"> months of delay until full compliance is achieved</w:t>
      </w:r>
      <w:r>
        <w:rPr>
          <w:rStyle w:val="FootnoteReference"/>
          <w:rFonts w:ascii="Arial" w:hAnsi="Arial"/>
          <w:noProof/>
          <w:sz w:val="20"/>
          <w:szCs w:val="20"/>
        </w:rPr>
        <w:footnoteReference w:id="375"/>
      </w:r>
      <w:r>
        <w:rPr>
          <w:rFonts w:ascii="Arial" w:hAnsi="Arial"/>
          <w:noProof/>
          <w:sz w:val="20"/>
          <w:szCs w:val="20"/>
        </w:rPr>
        <w:t>.</w:t>
      </w:r>
    </w:p>
    <w:p>
      <w:pPr>
        <w:pStyle w:val="AnnualReport2"/>
        <w:numPr>
          <w:ilvl w:val="0"/>
          <w:numId w:val="41"/>
        </w:numPr>
        <w:ind w:left="709" w:hanging="425"/>
        <w:rPr>
          <w:noProof/>
        </w:rPr>
      </w:pPr>
      <w:r>
        <w:rPr>
          <w:noProof/>
        </w:rPr>
        <w:t>Preliminary rulings</w:t>
      </w:r>
    </w:p>
    <w:p>
      <w:pPr>
        <w:spacing w:after="120"/>
        <w:ind w:left="426" w:firstLine="294"/>
        <w:jc w:val="both"/>
        <w:rPr>
          <w:rFonts w:ascii="Arial" w:hAnsi="Arial" w:cs="Arial"/>
          <w:noProof/>
          <w:sz w:val="20"/>
        </w:rPr>
      </w:pPr>
      <w:r>
        <w:rPr>
          <w:rFonts w:ascii="Arial" w:hAnsi="Arial" w:cs="Arial"/>
          <w:noProof/>
          <w:sz w:val="20"/>
        </w:rPr>
        <w:t xml:space="preserve">The Court addressed the following preliminary rulings to the Italian judiciary. </w:t>
      </w:r>
    </w:p>
    <w:p>
      <w:pPr>
        <w:pStyle w:val="ListParagraph"/>
        <w:numPr>
          <w:ilvl w:val="0"/>
          <w:numId w:val="125"/>
        </w:numPr>
        <w:spacing w:after="120"/>
        <w:jc w:val="both"/>
        <w:rPr>
          <w:rFonts w:ascii="Arial" w:hAnsi="Arial" w:cs="Arial"/>
          <w:noProof/>
          <w:sz w:val="20"/>
          <w:szCs w:val="20"/>
        </w:rPr>
      </w:pPr>
      <w:r>
        <w:rPr>
          <w:rFonts w:ascii="Arial" w:hAnsi="Arial" w:cs="Arial"/>
          <w:noProof/>
          <w:sz w:val="20"/>
          <w:szCs w:val="20"/>
        </w:rPr>
        <w:t xml:space="preserve">The </w:t>
      </w:r>
      <w:r>
        <w:rPr>
          <w:rFonts w:ascii="Arial" w:hAnsi="Arial" w:cs="Arial"/>
          <w:i/>
          <w:noProof/>
          <w:sz w:val="20"/>
          <w:szCs w:val="20"/>
        </w:rPr>
        <w:t>ne bis in idem</w:t>
      </w:r>
      <w:r>
        <w:rPr>
          <w:rFonts w:ascii="Arial" w:hAnsi="Arial" w:cs="Arial"/>
          <w:noProof/>
          <w:sz w:val="20"/>
          <w:szCs w:val="20"/>
        </w:rPr>
        <w:t xml:space="preserve"> principle may be limited for the purpose of protecting the financial interests of the EU. The objective of ensuring the collection of all the VAT due in the territories of Member States can justify a duplication of proceedings and penalties of a criminal nature. However, such a limitation on the principle must not exceed what is strictly necessary to achieve those objectives</w:t>
      </w:r>
      <w:r>
        <w:rPr>
          <w:rStyle w:val="FootnoteReference"/>
          <w:rFonts w:ascii="Arial" w:hAnsi="Arial" w:cs="Arial"/>
          <w:noProof/>
          <w:sz w:val="20"/>
          <w:szCs w:val="20"/>
        </w:rPr>
        <w:footnoteReference w:id="376"/>
      </w:r>
      <w:r>
        <w:rPr>
          <w:rFonts w:ascii="Arial" w:hAnsi="Arial" w:cs="Arial"/>
          <w:noProof/>
          <w:sz w:val="20"/>
          <w:szCs w:val="20"/>
        </w:rPr>
        <w:t>.</w:t>
      </w:r>
    </w:p>
    <w:p>
      <w:pPr>
        <w:pStyle w:val="ListParagraph"/>
        <w:numPr>
          <w:ilvl w:val="0"/>
          <w:numId w:val="125"/>
        </w:numPr>
        <w:spacing w:after="120"/>
        <w:jc w:val="both"/>
        <w:rPr>
          <w:rFonts w:ascii="Arial" w:hAnsi="Arial" w:cs="Arial"/>
          <w:noProof/>
          <w:sz w:val="20"/>
          <w:szCs w:val="20"/>
        </w:rPr>
      </w:pPr>
      <w:r>
        <w:rPr>
          <w:rFonts w:ascii="Arial" w:hAnsi="Arial" w:cs="Arial"/>
          <w:noProof/>
          <w:sz w:val="20"/>
          <w:szCs w:val="20"/>
        </w:rPr>
        <w:t>Workers who have been on abusive successive fixed-term contracts are entitled to two types of compensation for the past abuse they have faced: (a) a lump sum compensation and (b) an additional possibility to obtain full compensation for the harm suffered. This harm is presumed to have occurred unless the employer can prove otherwise</w:t>
      </w:r>
      <w:r>
        <w:rPr>
          <w:rStyle w:val="FootnoteReference"/>
          <w:rFonts w:ascii="Arial" w:hAnsi="Arial" w:cs="Arial"/>
          <w:noProof/>
          <w:sz w:val="20"/>
          <w:szCs w:val="20"/>
        </w:rPr>
        <w:footnoteReference w:id="377"/>
      </w:r>
      <w:r>
        <w:rPr>
          <w:rFonts w:ascii="Arial" w:hAnsi="Arial" w:cs="Arial"/>
          <w:noProof/>
          <w:sz w:val="20"/>
          <w:szCs w:val="20"/>
        </w:rPr>
        <w:t>National legislation which excludes certain sectors from effective sanction in case of misuse of successive fixed-term contracts is not compliant with the EU rules on the framework agreement on fixed-term work</w:t>
      </w:r>
      <w:r>
        <w:rPr>
          <w:rFonts w:ascii="Arial" w:hAnsi="Arial" w:cs="Arial"/>
          <w:noProof/>
          <w:sz w:val="20"/>
          <w:szCs w:val="20"/>
        </w:rPr>
        <w:footnoteReference w:id="378"/>
      </w:r>
      <w:r>
        <w:rPr>
          <w:rFonts w:ascii="Arial" w:hAnsi="Arial" w:cs="Arial"/>
          <w:noProof/>
          <w:sz w:val="20"/>
          <w:szCs w:val="20"/>
        </w:rPr>
        <w:t>.</w:t>
      </w:r>
    </w:p>
    <w:p>
      <w:pPr>
        <w:pStyle w:val="ListParagraph"/>
        <w:numPr>
          <w:ilvl w:val="0"/>
          <w:numId w:val="125"/>
        </w:numPr>
        <w:spacing w:after="120"/>
        <w:jc w:val="both"/>
        <w:rPr>
          <w:rFonts w:ascii="Arial" w:hAnsi="Arial" w:cs="Arial"/>
          <w:noProof/>
          <w:sz w:val="20"/>
          <w:szCs w:val="20"/>
        </w:rPr>
      </w:pPr>
      <w:r>
        <w:rPr>
          <w:rFonts w:ascii="Arial" w:hAnsi="Arial" w:cs="Arial"/>
          <w:noProof/>
          <w:sz w:val="20"/>
          <w:szCs w:val="20"/>
        </w:rPr>
        <w:t>Any period of full-time or part-time specialist medical training begun in 1982 and continued up to 1990 must be subject to appropriate remuneration</w:t>
      </w:r>
      <w:r>
        <w:rPr>
          <w:rFonts w:ascii="Arial" w:hAnsi="Arial" w:cs="Arial"/>
          <w:noProof/>
          <w:sz w:val="20"/>
          <w:szCs w:val="20"/>
        </w:rPr>
        <w:footnoteReference w:id="379"/>
      </w:r>
      <w:r>
        <w:rPr>
          <w:rFonts w:ascii="Arial" w:hAnsi="Arial" w:cs="Arial"/>
          <w:noProof/>
          <w:sz w:val="20"/>
          <w:szCs w:val="20"/>
        </w:rPr>
        <w:t>.</w:t>
      </w:r>
    </w:p>
    <w:p>
      <w:pPr>
        <w:pStyle w:val="ListParagraph"/>
        <w:numPr>
          <w:ilvl w:val="0"/>
          <w:numId w:val="125"/>
        </w:numPr>
        <w:spacing w:after="120"/>
        <w:jc w:val="both"/>
        <w:rPr>
          <w:rFonts w:ascii="Arial" w:hAnsi="Arial" w:cs="Arial"/>
          <w:noProof/>
          <w:sz w:val="20"/>
          <w:szCs w:val="20"/>
        </w:rPr>
      </w:pPr>
      <w:r>
        <w:rPr>
          <w:rFonts w:ascii="Arial" w:hAnsi="Arial" w:cs="Arial"/>
          <w:noProof/>
          <w:sz w:val="20"/>
          <w:szCs w:val="20"/>
        </w:rPr>
        <w:t>Member States whose legislation creates a requirement to pursue full-time training and a prohibition on being enrolled in two courses at the same time, must automatically, recognise qualifications issued by another Member State on the completion of partially concurrent training</w:t>
      </w:r>
      <w:r>
        <w:rPr>
          <w:rFonts w:ascii="Arial" w:hAnsi="Arial" w:cs="Arial"/>
          <w:noProof/>
          <w:sz w:val="20"/>
          <w:szCs w:val="20"/>
          <w:vertAlign w:val="superscript"/>
        </w:rPr>
        <w:footnoteReference w:id="380"/>
      </w:r>
      <w:r>
        <w:rPr>
          <w:rFonts w:ascii="Arial" w:hAnsi="Arial" w:cs="Arial"/>
          <w:noProof/>
          <w:sz w:val="20"/>
          <w:szCs w:val="20"/>
        </w:rPr>
        <w:t>.</w:t>
      </w:r>
    </w:p>
    <w:p>
      <w:pPr>
        <w:pStyle w:val="ListParagraph"/>
        <w:numPr>
          <w:ilvl w:val="0"/>
          <w:numId w:val="125"/>
        </w:numPr>
        <w:spacing w:after="120"/>
        <w:jc w:val="both"/>
        <w:rPr>
          <w:rFonts w:ascii="Arial" w:hAnsi="Arial" w:cs="Arial"/>
          <w:noProof/>
          <w:sz w:val="20"/>
          <w:szCs w:val="20"/>
        </w:rPr>
      </w:pPr>
      <w:r>
        <w:rPr>
          <w:rFonts w:ascii="Arial" w:hAnsi="Arial" w:cs="Arial"/>
          <w:noProof/>
          <w:sz w:val="20"/>
          <w:szCs w:val="20"/>
        </w:rPr>
        <w:t>The organisation and management of health services are the responsibility of the Member States, as regards setting the prices of medicinal products and their inclusion in the scope of the national healthcare insurance system. In exercising those powers the Member States must comply with EU law</w:t>
      </w:r>
      <w:r>
        <w:rPr>
          <w:rFonts w:ascii="Arial" w:hAnsi="Arial" w:cs="Arial"/>
          <w:noProof/>
          <w:sz w:val="20"/>
          <w:szCs w:val="20"/>
          <w:vertAlign w:val="superscript"/>
        </w:rPr>
        <w:footnoteReference w:id="381"/>
      </w:r>
      <w:r>
        <w:rPr>
          <w:rFonts w:ascii="Arial" w:hAnsi="Arial" w:cs="Arial"/>
          <w:noProof/>
          <w:sz w:val="20"/>
          <w:szCs w:val="20"/>
        </w:rPr>
        <w:t>.</w:t>
      </w:r>
    </w:p>
    <w:p>
      <w:pPr>
        <w:pStyle w:val="ListParagraph"/>
        <w:numPr>
          <w:ilvl w:val="0"/>
          <w:numId w:val="125"/>
        </w:numPr>
        <w:spacing w:after="120"/>
        <w:jc w:val="both"/>
        <w:rPr>
          <w:rFonts w:ascii="Arial" w:hAnsi="Arial" w:cs="Arial"/>
          <w:noProof/>
          <w:sz w:val="20"/>
          <w:szCs w:val="20"/>
        </w:rPr>
      </w:pPr>
      <w:r>
        <w:rPr>
          <w:rFonts w:ascii="Arial" w:hAnsi="Arial" w:cs="Arial"/>
          <w:noProof/>
          <w:sz w:val="20"/>
          <w:szCs w:val="20"/>
        </w:rPr>
        <w:t>The Court ruled on the compatibility with the freedom to provide services, the freedom of establishment and the principles of non-discrimination, transparency and proportionality of certain national rules imposing limits as regards the concession granted for the management of the national lottery Lotto. The Court establishes that imposing a sole concessionaire model, a high basic contract value, as well as providing for the withdrawal of the concession in case of certain criminal or fraudulent activities can be justified on public policy grounds if they fulfil the principles of proportionality and transparency</w:t>
      </w:r>
      <w:r>
        <w:rPr>
          <w:rStyle w:val="FootnoteReference"/>
          <w:rFonts w:ascii="Arial" w:hAnsi="Arial" w:cs="Arial"/>
          <w:noProof/>
          <w:sz w:val="20"/>
          <w:szCs w:val="20"/>
        </w:rPr>
        <w:footnoteReference w:id="382"/>
      </w:r>
      <w:r>
        <w:rPr>
          <w:rFonts w:ascii="Arial" w:hAnsi="Arial" w:cs="Arial"/>
          <w:noProof/>
          <w:sz w:val="20"/>
          <w:szCs w:val="20"/>
        </w:rPr>
        <w:t>.</w:t>
      </w:r>
    </w:p>
    <w:p>
      <w:pPr>
        <w:rPr>
          <w:noProof/>
        </w:rPr>
      </w:pPr>
    </w:p>
    <w:p>
      <w:pPr>
        <w:spacing w:after="0"/>
        <w:rPr>
          <w:rFonts w:ascii="Arial" w:hAnsi="Arial" w:cs="Arial"/>
          <w:noProof/>
          <w:sz w:val="20"/>
        </w:rPr>
        <w:sectPr>
          <w:headerReference w:type="even" r:id="rId219"/>
          <w:headerReference w:type="default" r:id="rId220"/>
          <w:footerReference w:type="even" r:id="rId221"/>
          <w:footerReference w:type="default" r:id="rId222"/>
          <w:headerReference w:type="first" r:id="rId223"/>
          <w:footerReference w:type="first" r:id="rId224"/>
          <w:footnotePr>
            <w:numRestart w:val="eachSect"/>
          </w:footnotePr>
          <w:pgSz w:w="11906" w:h="16838"/>
          <w:pgMar w:top="1843" w:right="1417" w:bottom="1134" w:left="1417" w:header="567" w:footer="351" w:gutter="0"/>
          <w:cols w:space="708"/>
          <w:titlePg/>
          <w:docGrid w:linePitch="360"/>
        </w:sectPr>
      </w:pPr>
    </w:p>
    <w:p>
      <w:pPr>
        <w:pStyle w:val="Heading1"/>
        <w:rPr>
          <w:rFonts w:cs="Arial"/>
          <w:i/>
          <w:noProof/>
          <w:szCs w:val="24"/>
        </w:rPr>
      </w:pPr>
      <w:bookmarkStart w:id="108" w:name="_Toc444769588"/>
      <w:bookmarkStart w:id="109" w:name="_Toc444772044"/>
      <w:bookmarkStart w:id="110" w:name="_Toc444773363"/>
      <w:bookmarkStart w:id="111" w:name="_Toc444776735"/>
      <w:bookmarkStart w:id="112" w:name="_Toc475974642"/>
      <w:bookmarkStart w:id="113" w:name="_Toc475980138"/>
      <w:bookmarkStart w:id="114" w:name="_Toc475981387"/>
      <w:bookmarkStart w:id="115" w:name="_Toc484622329"/>
      <w:bookmarkStart w:id="116" w:name="_Toc5788367"/>
      <w:bookmarkStart w:id="117" w:name="_Toc475974653"/>
      <w:bookmarkStart w:id="118" w:name="_Toc475980149"/>
      <w:bookmarkStart w:id="119" w:name="_Toc475981398"/>
      <w:r>
        <w:rPr>
          <w:noProof/>
          <w:szCs w:val="24"/>
        </w:rPr>
        <w:t>Cyprus</w:t>
      </w:r>
      <w:bookmarkEnd w:id="108"/>
      <w:bookmarkEnd w:id="109"/>
      <w:bookmarkEnd w:id="110"/>
      <w:bookmarkEnd w:id="111"/>
      <w:bookmarkEnd w:id="112"/>
      <w:bookmarkEnd w:id="113"/>
      <w:bookmarkEnd w:id="114"/>
      <w:bookmarkEnd w:id="115"/>
      <w:bookmarkEnd w:id="116"/>
    </w:p>
    <w:p>
      <w:pPr>
        <w:pStyle w:val="kop2"/>
        <w:numPr>
          <w:ilvl w:val="0"/>
          <w:numId w:val="10"/>
        </w:numPr>
        <w:spacing w:before="360" w:after="240"/>
        <w:ind w:left="709" w:hanging="425"/>
        <w:rPr>
          <w:noProof/>
        </w:rPr>
      </w:pPr>
      <w:r>
        <w:rPr>
          <w:noProof/>
        </w:rPr>
        <w:t>COMPLAINTS</w:t>
      </w:r>
    </w:p>
    <w:p>
      <w:pPr>
        <w:pStyle w:val="AnnualReport2"/>
        <w:numPr>
          <w:ilvl w:val="0"/>
          <w:numId w:val="32"/>
        </w:numPr>
        <w:ind w:left="709" w:hanging="425"/>
        <w:rPr>
          <w:noProof/>
        </w:rPr>
      </w:pPr>
      <w:r>
        <w:rPr>
          <w:noProof/>
        </w:rPr>
        <w:t>New complaints made against Cyprus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234565"/>
            <wp:effectExtent l="0" t="0" r="17145" b="13335"/>
            <wp:docPr id="134"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pPr>
        <w:pStyle w:val="AnnualReport2"/>
        <w:numPr>
          <w:ilvl w:val="0"/>
          <w:numId w:val="32"/>
        </w:numPr>
        <w:ind w:left="709" w:hanging="425"/>
        <w:rPr>
          <w:noProof/>
        </w:rPr>
      </w:pPr>
      <w:r>
        <w:rPr>
          <w:noProof/>
        </w:rPr>
        <w:t>Public complaints against Cyprus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57</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60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55</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32"/>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858385" cy="2480945"/>
            <wp:effectExtent l="0" t="0" r="18415" b="14605"/>
            <wp:docPr id="135" name="Object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pPr>
        <w:spacing w:after="200" w:line="276" w:lineRule="auto"/>
        <w:rPr>
          <w:rFonts w:ascii="Arial" w:hAnsi="Arial" w:cs="Arial"/>
          <w:noProof/>
          <w:sz w:val="20"/>
        </w:rPr>
      </w:pPr>
      <w:r>
        <w:rPr>
          <w:noProof/>
        </w:rPr>
        <w:br w:type="page"/>
      </w:r>
    </w:p>
    <w:p>
      <w:pPr>
        <w:keepNext/>
        <w:keepLines/>
        <w:numPr>
          <w:ilvl w:val="0"/>
          <w:numId w:val="1"/>
        </w:numPr>
        <w:spacing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33"/>
        </w:numPr>
        <w:ind w:left="709" w:hanging="425"/>
        <w:rPr>
          <w:noProof/>
        </w:rPr>
      </w:pPr>
      <w:r>
        <w:rPr>
          <w:noProof/>
        </w:rPr>
        <w:t>New EU Pilot files opened against Cyprus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6350" b="16510"/>
            <wp:docPr id="13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pPr>
        <w:pStyle w:val="AnnualReport2"/>
        <w:numPr>
          <w:ilvl w:val="0"/>
          <w:numId w:val="33"/>
        </w:numPr>
        <w:ind w:left="709" w:hanging="425"/>
        <w:rPr>
          <w:noProof/>
        </w:rPr>
      </w:pPr>
      <w:r>
        <w:rPr>
          <w:noProof/>
        </w:rPr>
        <w:t>Files relating to Cyprus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250440"/>
            <wp:effectExtent l="0" t="0" r="6350" b="16510"/>
            <wp:docPr id="13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pPr>
        <w:pStyle w:val="AnnualReport2"/>
        <w:numPr>
          <w:ilvl w:val="0"/>
          <w:numId w:val="33"/>
        </w:numPr>
        <w:ind w:left="709" w:hanging="425"/>
        <w:rPr>
          <w:noProof/>
        </w:rPr>
      </w:pPr>
      <w:r>
        <w:rPr>
          <w:noProof/>
        </w:rPr>
        <w:t>New EU Pilot files opened in 2018: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43755" cy="2311400"/>
            <wp:effectExtent l="0" t="0" r="4445" b="12700"/>
            <wp:docPr id="361" name="Grafie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pPr>
        <w:spacing w:after="0" w:line="240" w:lineRule="auto"/>
        <w:rPr>
          <w:rFonts w:ascii="Arial" w:hAnsi="Arial"/>
          <w:noProof/>
          <w:color w:val="002060"/>
        </w:rPr>
      </w:pPr>
      <w:r>
        <w:rPr>
          <w:noProof/>
        </w:rPr>
        <w:br w:type="page"/>
      </w:r>
    </w:p>
    <w:p>
      <w:pPr>
        <w:pStyle w:val="AnnualReport2"/>
        <w:numPr>
          <w:ilvl w:val="0"/>
          <w:numId w:val="33"/>
        </w:numPr>
        <w:ind w:left="709" w:hanging="425"/>
        <w:rPr>
          <w:noProof/>
        </w:rPr>
      </w:pPr>
      <w:r>
        <w:rPr>
          <w:noProof/>
        </w:rPr>
        <w:t>EU Pilot files: Cyprus’s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313940"/>
            <wp:effectExtent l="0" t="0" r="13970" b="10160"/>
            <wp:docPr id="95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34"/>
        </w:numPr>
        <w:ind w:left="709" w:hanging="425"/>
        <w:rPr>
          <w:noProof/>
        </w:rPr>
      </w:pPr>
      <w:r>
        <w:rPr>
          <w:noProof/>
        </w:rPr>
        <w:t>Infringement cases against Cyprus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298065"/>
            <wp:effectExtent l="0" t="0" r="13970" b="6985"/>
            <wp:docPr id="950"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pPr>
        <w:pStyle w:val="AnnualReport2"/>
        <w:numPr>
          <w:ilvl w:val="0"/>
          <w:numId w:val="34"/>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381250"/>
            <wp:effectExtent l="0" t="0" r="3175" b="0"/>
            <wp:docPr id="949"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pPr>
        <w:pStyle w:val="AnnualReport2"/>
        <w:numPr>
          <w:ilvl w:val="0"/>
          <w:numId w:val="34"/>
        </w:numPr>
        <w:ind w:left="709" w:hanging="425"/>
        <w:rPr>
          <w:noProof/>
        </w:rPr>
      </w:pPr>
      <w:r>
        <w:rPr>
          <w:noProof/>
        </w:rPr>
        <w:t>Key infringement cases and referrals to the Court</w:t>
      </w:r>
    </w:p>
    <w:p>
      <w:pPr>
        <w:numPr>
          <w:ilvl w:val="0"/>
          <w:numId w:val="90"/>
        </w:numPr>
        <w:ind w:left="1276" w:hanging="425"/>
        <w:jc w:val="both"/>
        <w:rPr>
          <w:rFonts w:ascii="Arial" w:hAnsi="Arial" w:cs="Arial"/>
          <w:noProof/>
          <w:sz w:val="20"/>
          <w:szCs w:val="20"/>
        </w:rPr>
      </w:pPr>
      <w:r>
        <w:rPr>
          <w:rFonts w:ascii="Arial" w:hAnsi="Arial" w:cs="Arial"/>
          <w:noProof/>
          <w:sz w:val="20"/>
          <w:szCs w:val="20"/>
        </w:rPr>
        <w:t>The Commission opened 37 new infringement cases against Cyprus in 2018. These, and other major ongoing infringement cases, include:</w:t>
      </w:r>
    </w:p>
    <w:p>
      <w:pPr>
        <w:pStyle w:val="ListParagraph"/>
        <w:numPr>
          <w:ilvl w:val="0"/>
          <w:numId w:val="102"/>
        </w:numPr>
        <w:ind w:left="1701"/>
        <w:jc w:val="both"/>
        <w:rPr>
          <w:noProof/>
        </w:rPr>
      </w:pPr>
      <w:r>
        <w:rPr>
          <w:rFonts w:ascii="Arial" w:hAnsi="Arial" w:cs="Arial"/>
          <w:noProof/>
          <w:sz w:val="20"/>
        </w:rPr>
        <w:t>incorrect application of the Investor Compensation Schemes Directive</w:t>
      </w:r>
      <w:r>
        <w:rPr>
          <w:rStyle w:val="FootnoteReference"/>
          <w:rFonts w:ascii="Arial" w:hAnsi="Arial" w:cs="Arial"/>
          <w:noProof/>
          <w:sz w:val="20"/>
        </w:rPr>
        <w:footnoteReference w:id="383"/>
      </w:r>
      <w:r>
        <w:rPr>
          <w:rFonts w:ascii="Arial" w:hAnsi="Arial" w:cs="Arial"/>
          <w:noProof/>
          <w:sz w:val="20"/>
        </w:rPr>
        <w:t>;</w:t>
      </w:r>
    </w:p>
    <w:p>
      <w:pPr>
        <w:pStyle w:val="ListParagraph"/>
        <w:numPr>
          <w:ilvl w:val="0"/>
          <w:numId w:val="102"/>
        </w:numPr>
        <w:ind w:left="1701"/>
        <w:jc w:val="both"/>
        <w:rPr>
          <w:noProof/>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384"/>
      </w:r>
      <w:r>
        <w:rPr>
          <w:rFonts w:ascii="Arial" w:hAnsi="Arial" w:cs="Arial"/>
          <w:noProof/>
          <w:sz w:val="20"/>
          <w:szCs w:val="20"/>
        </w:rPr>
        <w:t>;</w:t>
      </w:r>
    </w:p>
    <w:p>
      <w:pPr>
        <w:pStyle w:val="ListParagraph"/>
        <w:numPr>
          <w:ilvl w:val="0"/>
          <w:numId w:val="102"/>
        </w:numPr>
        <w:ind w:left="1701"/>
        <w:jc w:val="both"/>
        <w:rPr>
          <w:noProof/>
        </w:rPr>
      </w:pPr>
      <w:r>
        <w:rPr>
          <w:rFonts w:ascii="Arial" w:hAnsi="Arial" w:cs="Arial"/>
          <w:noProof/>
          <w:sz w:val="20"/>
          <w:szCs w:val="20"/>
        </w:rPr>
        <w:t>failure to comply with EU legislation on Flag State requirements</w:t>
      </w:r>
      <w:r>
        <w:rPr>
          <w:rStyle w:val="FootnoteReference"/>
          <w:rFonts w:ascii="Arial" w:hAnsi="Arial" w:cs="Arial"/>
          <w:noProof/>
          <w:sz w:val="20"/>
          <w:szCs w:val="20"/>
        </w:rPr>
        <w:footnoteReference w:id="385"/>
      </w:r>
      <w:r>
        <w:rPr>
          <w:rFonts w:ascii="Arial" w:hAnsi="Arial" w:cs="Arial"/>
          <w:noProof/>
          <w:sz w:val="20"/>
          <w:szCs w:val="20"/>
        </w:rPr>
        <w:t>;</w:t>
      </w:r>
    </w:p>
    <w:p>
      <w:pPr>
        <w:pStyle w:val="ListParagraph"/>
        <w:numPr>
          <w:ilvl w:val="0"/>
          <w:numId w:val="102"/>
        </w:numPr>
        <w:ind w:left="1701"/>
        <w:jc w:val="both"/>
        <w:rPr>
          <w:noProof/>
        </w:rPr>
      </w:pPr>
      <w:r>
        <w:rPr>
          <w:rFonts w:ascii="Arial" w:hAnsi="Arial" w:cs="Arial"/>
          <w:noProof/>
          <w:sz w:val="20"/>
          <w:szCs w:val="20"/>
        </w:rPr>
        <w:t xml:space="preserve">incorrect application of the </w:t>
      </w:r>
      <w:r>
        <w:rPr>
          <w:rFonts w:ascii="Arial" w:hAnsi="Arial" w:cs="Arial"/>
          <w:noProof/>
          <w:color w:val="000000"/>
          <w:sz w:val="20"/>
          <w:szCs w:val="20"/>
        </w:rPr>
        <w:t>VAT rules on</w:t>
      </w:r>
      <w:r>
        <w:rPr>
          <w:rFonts w:ascii="Arial" w:hAnsi="Arial" w:cs="Arial"/>
          <w:noProof/>
          <w:sz w:val="20"/>
          <w:szCs w:val="20"/>
        </w:rPr>
        <w:t xml:space="preserve"> the lease of yachts and the incorrect taxation of purchases of yachts</w:t>
      </w:r>
      <w:r>
        <w:rPr>
          <w:rStyle w:val="FootnoteReference"/>
          <w:rFonts w:ascii="Arial" w:hAnsi="Arial" w:cs="Arial"/>
          <w:noProof/>
          <w:sz w:val="20"/>
          <w:szCs w:val="20"/>
        </w:rPr>
        <w:footnoteReference w:id="386"/>
      </w:r>
      <w:r>
        <w:rPr>
          <w:rFonts w:ascii="Arial" w:hAnsi="Arial" w:cs="Arial"/>
          <w:noProof/>
          <w:sz w:val="20"/>
          <w:szCs w:val="20"/>
        </w:rPr>
        <w:t>;</w:t>
      </w:r>
    </w:p>
    <w:p>
      <w:pPr>
        <w:pStyle w:val="ListParagraph"/>
        <w:numPr>
          <w:ilvl w:val="0"/>
          <w:numId w:val="102"/>
        </w:numPr>
        <w:ind w:left="1701"/>
        <w:jc w:val="both"/>
        <w:rPr>
          <w:rFonts w:ascii="Arial" w:hAnsi="Arial" w:cs="Arial"/>
          <w:noProof/>
          <w:szCs w:val="20"/>
        </w:rPr>
      </w:pPr>
      <w:r>
        <w:rPr>
          <w:rFonts w:ascii="Arial" w:hAnsi="Arial" w:cs="Arial"/>
          <w:noProof/>
          <w:sz w:val="20"/>
          <w:szCs w:val="20"/>
        </w:rPr>
        <w:t>non-compliance with the requirements of the Energy Efficiency Directive</w:t>
      </w:r>
      <w:r>
        <w:rPr>
          <w:rStyle w:val="FootnoteReference"/>
          <w:rFonts w:ascii="Arial" w:hAnsi="Arial" w:cs="Arial"/>
          <w:noProof/>
          <w:sz w:val="20"/>
          <w:szCs w:val="20"/>
        </w:rPr>
        <w:footnoteReference w:id="387"/>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failure to ensure adequate protection of indigenous habitats and species by designating Sites of Community Importance under the Habitats Directive</w:t>
      </w:r>
      <w:r>
        <w:rPr>
          <w:rStyle w:val="FootnoteReference"/>
          <w:rFonts w:ascii="Arial" w:hAnsi="Arial" w:cs="Arial"/>
          <w:noProof/>
          <w:sz w:val="20"/>
          <w:szCs w:val="20"/>
        </w:rPr>
        <w:footnoteReference w:id="388"/>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failure to ensure that urban waste water is adequately treated</w:t>
      </w:r>
      <w:r>
        <w:rPr>
          <w:rStyle w:val="FootnoteReference"/>
          <w:rFonts w:ascii="Arial" w:hAnsi="Arial" w:cs="Arial"/>
          <w:noProof/>
          <w:sz w:val="20"/>
          <w:szCs w:val="20"/>
        </w:rPr>
        <w:footnoteReference w:id="389"/>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129"/>
        </w:numPr>
        <w:ind w:left="2268"/>
        <w:jc w:val="both"/>
        <w:rPr>
          <w:noProof/>
        </w:rPr>
      </w:pPr>
      <w:r>
        <w:rPr>
          <w:rFonts w:ascii="Arial" w:hAnsi="Arial" w:cs="Arial"/>
          <w:noProof/>
          <w:sz w:val="20"/>
          <w:szCs w:val="20"/>
        </w:rPr>
        <w:t>Payment Services Directive</w:t>
      </w:r>
      <w:r>
        <w:rPr>
          <w:rStyle w:val="FootnoteReference"/>
          <w:rFonts w:ascii="Arial" w:hAnsi="Arial" w:cs="Arial"/>
          <w:noProof/>
          <w:sz w:val="20"/>
          <w:szCs w:val="20"/>
        </w:rPr>
        <w:footnoteReference w:id="390"/>
      </w:r>
      <w:r>
        <w:rPr>
          <w:rFonts w:ascii="Arial" w:hAnsi="Arial" w:cs="Arial"/>
          <w:noProof/>
          <w:sz w:val="20"/>
          <w:szCs w:val="20"/>
        </w:rPr>
        <w:t>;</w:t>
      </w:r>
    </w:p>
    <w:p>
      <w:pPr>
        <w:pStyle w:val="ListParagraph"/>
        <w:numPr>
          <w:ilvl w:val="0"/>
          <w:numId w:val="129"/>
        </w:numPr>
        <w:ind w:left="2268"/>
        <w:jc w:val="both"/>
        <w:rPr>
          <w:noProof/>
        </w:rPr>
      </w:pPr>
      <w:r>
        <w:rPr>
          <w:rFonts w:ascii="Arial" w:hAnsi="Arial" w:cs="Arial"/>
          <w:noProof/>
          <w:sz w:val="20"/>
          <w:szCs w:val="20"/>
        </w:rPr>
        <w:t>Insurance Distribution Directive</w:t>
      </w:r>
      <w:r>
        <w:rPr>
          <w:rStyle w:val="FootnoteReference"/>
          <w:rFonts w:ascii="Arial" w:hAnsi="Arial" w:cs="Arial"/>
          <w:noProof/>
          <w:sz w:val="20"/>
          <w:szCs w:val="20"/>
        </w:rPr>
        <w:footnoteReference w:id="391"/>
      </w:r>
      <w:r>
        <w:rPr>
          <w:rFonts w:ascii="Arial" w:hAnsi="Arial" w:cs="Arial"/>
          <w:noProof/>
          <w:sz w:val="20"/>
          <w:szCs w:val="20"/>
        </w:rPr>
        <w:t>;</w:t>
      </w:r>
    </w:p>
    <w:p>
      <w:pPr>
        <w:pStyle w:val="ListParagraph"/>
        <w:numPr>
          <w:ilvl w:val="0"/>
          <w:numId w:val="129"/>
        </w:numPr>
        <w:ind w:left="2268"/>
        <w:jc w:val="both"/>
        <w:rPr>
          <w:noProof/>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rPr>
        <w:footnoteReference w:id="392"/>
      </w:r>
      <w:r>
        <w:rPr>
          <w:rFonts w:ascii="Arial" w:hAnsi="Arial" w:cs="Arial"/>
          <w:noProof/>
          <w:sz w:val="20"/>
          <w:szCs w:val="20"/>
        </w:rPr>
        <w:t>;</w:t>
      </w:r>
    </w:p>
    <w:p>
      <w:pPr>
        <w:pStyle w:val="ListParagraph"/>
        <w:numPr>
          <w:ilvl w:val="0"/>
          <w:numId w:val="129"/>
        </w:numPr>
        <w:ind w:left="2268"/>
        <w:jc w:val="both"/>
        <w:rPr>
          <w:noProof/>
        </w:rPr>
      </w:pPr>
      <w:r>
        <w:rPr>
          <w:rFonts w:ascii="Arial" w:hAnsi="Arial" w:cs="Arial"/>
          <w:noProof/>
          <w:sz w:val="20"/>
          <w:szCs w:val="20"/>
        </w:rPr>
        <w:t>Directive concerning the characteristics to be covered as a minimum by the examination and the minimum conditions for examining certain varieties of agricultural plant species and vegetable species</w:t>
      </w:r>
      <w:r>
        <w:rPr>
          <w:rFonts w:ascii="Arial" w:hAnsi="Arial" w:cs="Arial"/>
          <w:noProof/>
          <w:sz w:val="20"/>
          <w:szCs w:val="20"/>
          <w:vertAlign w:val="superscript"/>
        </w:rPr>
        <w:footnoteReference w:id="393"/>
      </w:r>
      <w:r>
        <w:rPr>
          <w:rFonts w:ascii="Arial" w:hAnsi="Arial" w:cs="Arial"/>
          <w:noProof/>
          <w:sz w:val="20"/>
          <w:szCs w:val="20"/>
        </w:rPr>
        <w:t>;</w:t>
      </w:r>
    </w:p>
    <w:p>
      <w:pPr>
        <w:pStyle w:val="ListParagraph"/>
        <w:numPr>
          <w:ilvl w:val="0"/>
          <w:numId w:val="129"/>
        </w:numPr>
        <w:ind w:left="2268"/>
        <w:jc w:val="both"/>
        <w:rPr>
          <w:noProof/>
          <w:sz w:val="20"/>
          <w:szCs w:val="20"/>
        </w:rPr>
      </w:pPr>
      <w:r>
        <w:rPr>
          <w:rFonts w:ascii="Arial" w:hAnsi="Arial" w:cs="Arial"/>
          <w:noProof/>
          <w:sz w:val="20"/>
          <w:szCs w:val="20"/>
        </w:rPr>
        <w:t>Basic Safety Standards Directive</w:t>
      </w:r>
      <w:r>
        <w:rPr>
          <w:rStyle w:val="FootnoteReference"/>
          <w:rFonts w:ascii="Arial" w:hAnsi="Arial" w:cs="Arial"/>
          <w:noProof/>
          <w:sz w:val="20"/>
          <w:szCs w:val="20"/>
        </w:rPr>
        <w:footnoteReference w:id="394"/>
      </w:r>
      <w:r>
        <w:rPr>
          <w:rFonts w:ascii="Arial" w:hAnsi="Arial" w:cs="Arial"/>
          <w:noProof/>
          <w:sz w:val="20"/>
          <w:szCs w:val="20"/>
        </w:rPr>
        <w:t>;</w:t>
      </w:r>
    </w:p>
    <w:p>
      <w:pPr>
        <w:pStyle w:val="ListParagraph"/>
        <w:numPr>
          <w:ilvl w:val="0"/>
          <w:numId w:val="129"/>
        </w:numPr>
        <w:ind w:left="2268"/>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395"/>
      </w:r>
      <w:r>
        <w:rPr>
          <w:rFonts w:ascii="Arial" w:hAnsi="Arial" w:cs="Arial"/>
          <w:noProof/>
          <w:sz w:val="20"/>
          <w:szCs w:val="20"/>
        </w:rPr>
        <w:t>;</w:t>
      </w:r>
    </w:p>
    <w:p>
      <w:pPr>
        <w:pStyle w:val="ListParagraph"/>
        <w:numPr>
          <w:ilvl w:val="0"/>
          <w:numId w:val="129"/>
        </w:numPr>
        <w:ind w:left="2268"/>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396"/>
      </w:r>
      <w:r>
        <w:rPr>
          <w:rFonts w:ascii="Arial" w:hAnsi="Arial" w:cs="Arial"/>
          <w:noProof/>
          <w:sz w:val="20"/>
          <w:szCs w:val="20"/>
        </w:rPr>
        <w:t>;</w:t>
      </w:r>
    </w:p>
    <w:p>
      <w:pPr>
        <w:pStyle w:val="ListParagraph"/>
        <w:numPr>
          <w:ilvl w:val="0"/>
          <w:numId w:val="129"/>
        </w:numPr>
        <w:ind w:left="2268"/>
        <w:jc w:val="both"/>
        <w:rPr>
          <w:rFonts w:ascii="Arial" w:hAnsi="Arial" w:cs="Arial"/>
          <w:noProof/>
          <w:sz w:val="20"/>
          <w:szCs w:val="20"/>
        </w:rPr>
      </w:pPr>
      <w:r>
        <w:rPr>
          <w:rFonts w:ascii="Arial" w:hAnsi="Arial" w:cs="Arial"/>
          <w:noProof/>
          <w:sz w:val="20"/>
          <w:szCs w:val="20"/>
        </w:rPr>
        <w:t>Directive on the presumption of innocence</w:t>
      </w:r>
      <w:r>
        <w:rPr>
          <w:rStyle w:val="FootnoteReference"/>
          <w:rFonts w:ascii="Arial" w:hAnsi="Arial" w:cs="Arial"/>
          <w:noProof/>
          <w:sz w:val="20"/>
          <w:szCs w:val="20"/>
        </w:rPr>
        <w:footnoteReference w:id="397"/>
      </w:r>
      <w:r>
        <w:rPr>
          <w:rFonts w:ascii="Arial" w:hAnsi="Arial" w:cs="Arial"/>
          <w:noProof/>
          <w:sz w:val="20"/>
          <w:szCs w:val="20"/>
        </w:rPr>
        <w:t>;</w:t>
      </w:r>
    </w:p>
    <w:p>
      <w:pPr>
        <w:pStyle w:val="ListParagraph"/>
        <w:numPr>
          <w:ilvl w:val="0"/>
          <w:numId w:val="129"/>
        </w:numPr>
        <w:ind w:left="2268"/>
        <w:jc w:val="both"/>
        <w:rPr>
          <w:rFonts w:ascii="Arial" w:hAnsi="Arial" w:cs="Arial"/>
          <w:noProof/>
          <w:sz w:val="20"/>
          <w:szCs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398"/>
      </w:r>
      <w:r>
        <w:rPr>
          <w:rFonts w:ascii="Arial" w:hAnsi="Arial" w:cs="Arial"/>
          <w:noProof/>
          <w:sz w:val="20"/>
          <w:szCs w:val="20"/>
        </w:rPr>
        <w:t>.</w:t>
      </w:r>
    </w:p>
    <w:p>
      <w:pPr>
        <w:numPr>
          <w:ilvl w:val="0"/>
          <w:numId w:val="90"/>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90"/>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35"/>
        </w:numPr>
        <w:ind w:left="709" w:hanging="425"/>
        <w:rPr>
          <w:noProof/>
        </w:rPr>
      </w:pPr>
      <w:r>
        <w:rPr>
          <w:noProof/>
        </w:rPr>
        <w:t>Late transposition infringement cases against Cyprus open on 31 December (2014-2018)</w:t>
      </w:r>
    </w:p>
    <w:p>
      <w:pPr>
        <w:ind w:left="426" w:firstLine="283"/>
        <w:rPr>
          <w:noProof/>
        </w:rPr>
      </w:pPr>
      <w:r>
        <w:rPr>
          <w:noProof/>
          <w:lang w:eastAsia="en-GB"/>
        </w:rPr>
        <w:drawing>
          <wp:inline distT="0" distB="0" distL="0" distR="0">
            <wp:extent cx="4612005" cy="2011680"/>
            <wp:effectExtent l="0" t="0" r="17145" b="26670"/>
            <wp:docPr id="948"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pPr>
        <w:pStyle w:val="AnnualReport2"/>
        <w:numPr>
          <w:ilvl w:val="0"/>
          <w:numId w:val="35"/>
        </w:numPr>
        <w:ind w:left="709" w:hanging="425"/>
        <w:rPr>
          <w:noProof/>
        </w:rPr>
      </w:pPr>
      <w:r>
        <w:rPr>
          <w:noProof/>
        </w:rPr>
        <w:t>New late transposition infringement cases against Cyprus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011680"/>
            <wp:effectExtent l="0" t="0" r="0" b="0"/>
            <wp:docPr id="947"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pPr>
        <w:pStyle w:val="AnnualReport2"/>
        <w:numPr>
          <w:ilvl w:val="0"/>
          <w:numId w:val="35"/>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305050"/>
            <wp:effectExtent l="0" t="0" r="17145" b="0"/>
            <wp:docPr id="946" name="Grafie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pPr>
        <w:pStyle w:val="AnnualReport2"/>
        <w:numPr>
          <w:ilvl w:val="0"/>
          <w:numId w:val="35"/>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left="284" w:firstLine="425"/>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130"/>
        </w:numPr>
        <w:spacing w:after="120"/>
        <w:ind w:left="1560" w:hanging="425"/>
        <w:jc w:val="both"/>
        <w:rPr>
          <w:rFonts w:ascii="Arial" w:hAnsi="Arial" w:cs="Arial"/>
          <w:noProof/>
          <w:sz w:val="20"/>
        </w:rPr>
      </w:pPr>
      <w:r>
        <w:rPr>
          <w:rFonts w:ascii="Arial" w:hAnsi="Arial" w:cs="Arial"/>
          <w:noProof/>
          <w:sz w:val="20"/>
          <w:szCs w:val="20"/>
        </w:rPr>
        <w:t>operation of the Port State Control system</w:t>
      </w:r>
      <w:r>
        <w:rPr>
          <w:rStyle w:val="FootnoteReference"/>
          <w:rFonts w:ascii="Arial" w:hAnsi="Arial" w:cs="Arial"/>
          <w:noProof/>
          <w:sz w:val="20"/>
          <w:szCs w:val="20"/>
        </w:rPr>
        <w:footnoteReference w:id="399"/>
      </w:r>
      <w:r>
        <w:rPr>
          <w:rFonts w:ascii="Arial" w:hAnsi="Arial" w:cs="Arial"/>
          <w:noProof/>
          <w:sz w:val="20"/>
          <w:szCs w:val="20"/>
        </w:rPr>
        <w:t>;</w:t>
      </w:r>
    </w:p>
    <w:p>
      <w:pPr>
        <w:pStyle w:val="ListParagraph"/>
        <w:numPr>
          <w:ilvl w:val="0"/>
          <w:numId w:val="130"/>
        </w:numPr>
        <w:spacing w:after="120"/>
        <w:ind w:left="1560" w:hanging="425"/>
        <w:rPr>
          <w:rFonts w:ascii="Arial" w:hAnsi="Arial" w:cs="Arial"/>
          <w:noProof/>
          <w:sz w:val="20"/>
        </w:rPr>
      </w:pPr>
      <w:r>
        <w:rPr>
          <w:rFonts w:ascii="Arial" w:hAnsi="Arial" w:cs="Arial"/>
          <w:noProof/>
          <w:sz w:val="20"/>
        </w:rPr>
        <w:t>insufficient designation of Akamas as a Site of Community Importance under the Habitats Directive</w:t>
      </w:r>
      <w:r>
        <w:rPr>
          <w:rStyle w:val="FootnoteReference"/>
          <w:rFonts w:ascii="Arial" w:hAnsi="Arial" w:cs="Arial"/>
          <w:noProof/>
          <w:sz w:val="20"/>
        </w:rPr>
        <w:footnoteReference w:id="400"/>
      </w:r>
      <w:r>
        <w:rPr>
          <w:rFonts w:ascii="Arial" w:hAnsi="Arial" w:cs="Arial"/>
          <w:noProof/>
          <w:sz w:val="20"/>
        </w:rPr>
        <w:t>;</w:t>
      </w:r>
    </w:p>
    <w:p>
      <w:pPr>
        <w:pStyle w:val="ListParagraph"/>
        <w:numPr>
          <w:ilvl w:val="0"/>
          <w:numId w:val="130"/>
        </w:numPr>
        <w:spacing w:after="120"/>
        <w:ind w:left="1560" w:hanging="425"/>
        <w:jc w:val="both"/>
        <w:rPr>
          <w:rFonts w:ascii="Arial" w:hAnsi="Arial" w:cs="Arial"/>
          <w:noProof/>
          <w:sz w:val="20"/>
        </w:rPr>
      </w:pPr>
      <w:r>
        <w:rPr>
          <w:rFonts w:ascii="Arial" w:hAnsi="Arial" w:cs="Arial"/>
          <w:noProof/>
          <w:sz w:val="20"/>
          <w:szCs w:val="20"/>
        </w:rPr>
        <w:t>failure to communicate national measures transposing the</w:t>
      </w:r>
    </w:p>
    <w:p>
      <w:pPr>
        <w:pStyle w:val="ListParagraph"/>
        <w:numPr>
          <w:ilvl w:val="1"/>
          <w:numId w:val="130"/>
        </w:numPr>
        <w:spacing w:after="120"/>
        <w:ind w:left="2268"/>
        <w:jc w:val="both"/>
        <w:rPr>
          <w:rFonts w:ascii="Arial" w:hAnsi="Arial" w:cs="Arial"/>
          <w:noProof/>
          <w:sz w:val="20"/>
        </w:rPr>
      </w:pPr>
      <w:r>
        <w:rPr>
          <w:rFonts w:ascii="Arial" w:eastAsia="Times New Roman" w:hAnsi="Arial" w:cs="Arial"/>
          <w:noProof/>
          <w:sz w:val="20"/>
          <w:szCs w:val="20"/>
          <w:lang w:eastAsia="en-GB"/>
        </w:rPr>
        <w:t>Solvency II Directive</w:t>
      </w:r>
      <w:r>
        <w:rPr>
          <w:rStyle w:val="FootnoteReference"/>
          <w:rFonts w:ascii="Arial" w:eastAsia="Times New Roman" w:hAnsi="Arial" w:cs="Arial"/>
          <w:noProof/>
          <w:sz w:val="20"/>
          <w:szCs w:val="20"/>
          <w:lang w:eastAsia="en-GB"/>
        </w:rPr>
        <w:footnoteReference w:id="401"/>
      </w:r>
      <w:r>
        <w:rPr>
          <w:rFonts w:ascii="Arial" w:eastAsia="Times New Roman" w:hAnsi="Arial" w:cs="Arial"/>
          <w:noProof/>
          <w:sz w:val="20"/>
          <w:szCs w:val="20"/>
          <w:lang w:eastAsia="en-GB"/>
        </w:rPr>
        <w:t>;</w:t>
      </w:r>
    </w:p>
    <w:p>
      <w:pPr>
        <w:pStyle w:val="ListParagraph"/>
        <w:numPr>
          <w:ilvl w:val="1"/>
          <w:numId w:val="130"/>
        </w:numPr>
        <w:spacing w:after="120"/>
        <w:ind w:left="2268"/>
        <w:jc w:val="both"/>
        <w:rPr>
          <w:rFonts w:ascii="Arial" w:hAnsi="Arial" w:cs="Arial"/>
          <w:noProof/>
          <w:sz w:val="20"/>
        </w:rPr>
      </w:pPr>
      <w:r>
        <w:rPr>
          <w:rFonts w:ascii="Arial" w:hAnsi="Arial" w:cs="Arial"/>
          <w:noProof/>
          <w:sz w:val="20"/>
          <w:szCs w:val="20"/>
        </w:rPr>
        <w:t>Commission Directive amending the Directive on quality system standards and specifications for blood establishments</w:t>
      </w:r>
      <w:r>
        <w:rPr>
          <w:rFonts w:ascii="Arial" w:hAnsi="Arial" w:cs="Arial"/>
          <w:noProof/>
          <w:sz w:val="20"/>
          <w:szCs w:val="20"/>
          <w:vertAlign w:val="superscript"/>
          <w:lang w:val="nl-NL"/>
        </w:rPr>
        <w:footnoteReference w:id="402"/>
      </w:r>
      <w:r>
        <w:rPr>
          <w:rFonts w:ascii="Arial" w:hAnsi="Arial" w:cs="Arial"/>
          <w:noProof/>
          <w:sz w:val="20"/>
          <w:szCs w:val="20"/>
        </w:rPr>
        <w:t>;</w:t>
      </w:r>
    </w:p>
    <w:p>
      <w:pPr>
        <w:pStyle w:val="ListParagraph"/>
        <w:numPr>
          <w:ilvl w:val="1"/>
          <w:numId w:val="130"/>
        </w:numPr>
        <w:spacing w:after="120"/>
        <w:ind w:left="2268"/>
        <w:jc w:val="both"/>
        <w:rPr>
          <w:rFonts w:ascii="Arial" w:hAnsi="Arial" w:cs="Arial"/>
          <w:noProof/>
          <w:sz w:val="20"/>
        </w:rPr>
      </w:pPr>
      <w:r>
        <w:rPr>
          <w:rFonts w:ascii="Arial" w:eastAsia="Times New Roman" w:hAnsi="Arial" w:cs="Arial"/>
          <w:noProof/>
          <w:sz w:val="20"/>
          <w:szCs w:val="20"/>
          <w:lang w:eastAsia="en-GB"/>
        </w:rPr>
        <w:t>Directive on caseins and caseinates</w:t>
      </w:r>
      <w:r>
        <w:rPr>
          <w:rStyle w:val="FootnoteReference"/>
          <w:rFonts w:ascii="Arial" w:eastAsia="Times New Roman" w:hAnsi="Arial" w:cs="Arial"/>
          <w:noProof/>
          <w:sz w:val="20"/>
          <w:szCs w:val="20"/>
          <w:lang w:eastAsia="en-GB"/>
        </w:rPr>
        <w:footnoteReference w:id="403"/>
      </w:r>
      <w:r>
        <w:rPr>
          <w:rFonts w:ascii="Arial" w:eastAsia="Times New Roman" w:hAnsi="Arial" w:cs="Arial"/>
          <w:noProof/>
          <w:sz w:val="20"/>
          <w:szCs w:val="20"/>
          <w:lang w:eastAsia="en-GB"/>
        </w:rPr>
        <w:t>;</w:t>
      </w:r>
    </w:p>
    <w:p>
      <w:pPr>
        <w:pStyle w:val="ListParagraph"/>
        <w:numPr>
          <w:ilvl w:val="1"/>
          <w:numId w:val="130"/>
        </w:numPr>
        <w:spacing w:after="120"/>
        <w:ind w:left="2268"/>
        <w:jc w:val="both"/>
        <w:rPr>
          <w:rFonts w:ascii="Arial" w:hAnsi="Arial" w:cs="Arial"/>
          <w:noProof/>
          <w:sz w:val="20"/>
        </w:rPr>
      </w:pPr>
      <w:r>
        <w:rPr>
          <w:rFonts w:ascii="Arial" w:hAnsi="Arial" w:cs="Arial"/>
          <w:noProof/>
          <w:sz w:val="20"/>
        </w:rPr>
        <w:t>Antitrust Damages Directive</w:t>
      </w:r>
      <w:r>
        <w:rPr>
          <w:rStyle w:val="FootnoteReference"/>
          <w:rFonts w:ascii="Arial" w:hAnsi="Arial" w:cs="Arial"/>
          <w:noProof/>
          <w:sz w:val="20"/>
        </w:rPr>
        <w:footnoteReference w:id="404"/>
      </w:r>
      <w:r>
        <w:rPr>
          <w:rFonts w:ascii="Arial" w:hAnsi="Arial" w:cs="Arial"/>
          <w:noProof/>
          <w:sz w:val="20"/>
        </w:rPr>
        <w:t>;</w:t>
      </w:r>
    </w:p>
    <w:p>
      <w:pPr>
        <w:pStyle w:val="ListParagraph"/>
        <w:numPr>
          <w:ilvl w:val="1"/>
          <w:numId w:val="130"/>
        </w:numPr>
        <w:spacing w:after="120"/>
        <w:ind w:left="2268"/>
        <w:jc w:val="both"/>
        <w:rPr>
          <w:rFonts w:ascii="Arial" w:hAnsi="Arial" w:cs="Arial"/>
          <w:noProof/>
          <w:sz w:val="20"/>
        </w:rPr>
      </w:pPr>
      <w:r>
        <w:rPr>
          <w:rFonts w:ascii="Arial" w:hAnsi="Arial" w:cs="Arial"/>
          <w:bCs/>
          <w:noProof/>
          <w:sz w:val="20"/>
        </w:rPr>
        <w:t>Directive on seasonal workers</w:t>
      </w:r>
      <w:r>
        <w:rPr>
          <w:rStyle w:val="FootnoteReference"/>
          <w:rFonts w:ascii="Arial" w:hAnsi="Arial" w:cs="Arial"/>
          <w:bCs/>
          <w:noProof/>
          <w:sz w:val="20"/>
        </w:rPr>
        <w:footnoteReference w:id="405"/>
      </w:r>
      <w:r>
        <w:rPr>
          <w:rFonts w:ascii="Arial" w:hAnsi="Arial" w:cs="Arial"/>
          <w:bCs/>
          <w:noProof/>
          <w:sz w:val="20"/>
        </w:rPr>
        <w:t>;</w:t>
      </w:r>
    </w:p>
    <w:p>
      <w:pPr>
        <w:pStyle w:val="ListParagraph"/>
        <w:numPr>
          <w:ilvl w:val="1"/>
          <w:numId w:val="130"/>
        </w:numPr>
        <w:spacing w:after="120"/>
        <w:ind w:left="2268"/>
        <w:jc w:val="both"/>
        <w:rPr>
          <w:rFonts w:ascii="Arial" w:hAnsi="Arial" w:cs="Arial"/>
          <w:noProof/>
          <w:sz w:val="20"/>
        </w:rPr>
      </w:pPr>
      <w:r>
        <w:rPr>
          <w:rFonts w:ascii="Arial" w:hAnsi="Arial" w:cs="Arial"/>
          <w:noProof/>
          <w:sz w:val="20"/>
        </w:rPr>
        <w:t>Directive on reducing the consumption of lightweight plastic carrier bags</w:t>
      </w:r>
      <w:r>
        <w:rPr>
          <w:rStyle w:val="FootnoteReference"/>
          <w:rFonts w:ascii="Arial" w:hAnsi="Arial" w:cs="Arial"/>
          <w:noProof/>
          <w:sz w:val="20"/>
        </w:rPr>
        <w:footnoteReference w:id="406"/>
      </w:r>
      <w:r>
        <w:rPr>
          <w:rFonts w:ascii="Arial" w:hAnsi="Arial" w:cs="Arial"/>
          <w:noProof/>
          <w:sz w:val="20"/>
        </w:rPr>
        <w:t>;</w:t>
      </w:r>
    </w:p>
    <w:p>
      <w:pPr>
        <w:pStyle w:val="ListParagraph"/>
        <w:numPr>
          <w:ilvl w:val="1"/>
          <w:numId w:val="130"/>
        </w:numPr>
        <w:spacing w:after="120"/>
        <w:ind w:left="2268"/>
        <w:jc w:val="both"/>
        <w:rPr>
          <w:rFonts w:ascii="Arial" w:hAnsi="Arial" w:cs="Arial"/>
          <w:noProof/>
          <w:sz w:val="20"/>
        </w:rPr>
      </w:pPr>
      <w:r>
        <w:rPr>
          <w:rFonts w:ascii="Arial" w:hAnsi="Arial" w:cs="Arial"/>
          <w:noProof/>
          <w:sz w:val="20"/>
          <w:szCs w:val="20"/>
        </w:rPr>
        <w:t>Directive on fuel quality reporting requirements and calculation methods</w:t>
      </w:r>
      <w:r>
        <w:rPr>
          <w:rStyle w:val="FootnoteReference"/>
          <w:rFonts w:ascii="Arial" w:hAnsi="Arial" w:cs="Arial"/>
          <w:noProof/>
          <w:sz w:val="20"/>
          <w:szCs w:val="20"/>
        </w:rPr>
        <w:footnoteReference w:id="407"/>
      </w:r>
      <w:r>
        <w:rPr>
          <w:rFonts w:ascii="Arial" w:hAnsi="Arial" w:cs="Arial"/>
          <w:noProof/>
          <w:sz w:val="20"/>
          <w:szCs w:val="20"/>
        </w:rPr>
        <w:t>.</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36"/>
        </w:numPr>
        <w:ind w:left="709" w:hanging="425"/>
        <w:rPr>
          <w:noProof/>
        </w:rPr>
      </w:pPr>
      <w:r>
        <w:rPr>
          <w:noProof/>
        </w:rPr>
        <w:t>Court rulings</w:t>
      </w:r>
    </w:p>
    <w:p>
      <w:pPr>
        <w:ind w:firstLine="709"/>
        <w:jc w:val="both"/>
        <w:rPr>
          <w:rFonts w:ascii="Arial" w:hAnsi="Arial" w:cs="Arial"/>
          <w:noProof/>
          <w:sz w:val="20"/>
          <w:szCs w:val="20"/>
        </w:rPr>
      </w:pPr>
      <w:r>
        <w:rPr>
          <w:rFonts w:ascii="Arial" w:hAnsi="Arial" w:cs="Arial"/>
          <w:noProof/>
          <w:sz w:val="20"/>
          <w:szCs w:val="20"/>
        </w:rPr>
        <w:t>There were no major Court rulings in 2018.</w:t>
      </w:r>
    </w:p>
    <w:p>
      <w:pPr>
        <w:pStyle w:val="AnnualReport2"/>
        <w:numPr>
          <w:ilvl w:val="0"/>
          <w:numId w:val="36"/>
        </w:numPr>
        <w:ind w:left="709" w:hanging="425"/>
        <w:rPr>
          <w:noProof/>
        </w:rPr>
      </w:pPr>
      <w:r>
        <w:rPr>
          <w:noProof/>
        </w:rPr>
        <w:t>Preliminary rulings</w:t>
      </w:r>
    </w:p>
    <w:p>
      <w:pPr>
        <w:pStyle w:val="Body"/>
        <w:ind w:left="426" w:firstLine="294"/>
        <w:jc w:val="both"/>
        <w:rPr>
          <w:noProof/>
          <w:highlight w:val="yellow"/>
          <w:lang w:val="en-GB"/>
        </w:rPr>
      </w:pPr>
      <w:r>
        <w:rPr>
          <w:noProof/>
        </w:rPr>
        <w:t>No major preliminary rulings were addressed to the Cyprus judiciary in 2018.</w:t>
      </w:r>
    </w:p>
    <w:p>
      <w:pPr>
        <w:spacing w:after="0"/>
        <w:rPr>
          <w:noProof/>
        </w:rPr>
      </w:pPr>
    </w:p>
    <w:p>
      <w:pPr>
        <w:spacing w:after="0"/>
        <w:rPr>
          <w:noProof/>
        </w:rPr>
        <w:sectPr>
          <w:headerReference w:type="even" r:id="rId236"/>
          <w:headerReference w:type="default" r:id="rId237"/>
          <w:footerReference w:type="even" r:id="rId238"/>
          <w:footerReference w:type="default" r:id="rId239"/>
          <w:headerReference w:type="first" r:id="rId240"/>
          <w:footerReference w:type="first" r:id="rId241"/>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120" w:name="_Toc484622330"/>
      <w:bookmarkStart w:id="121" w:name="_Toc5788368"/>
      <w:r>
        <w:rPr>
          <w:noProof/>
        </w:rPr>
        <w:t>Latvia</w:t>
      </w:r>
      <w:bookmarkEnd w:id="117"/>
      <w:bookmarkEnd w:id="118"/>
      <w:bookmarkEnd w:id="119"/>
      <w:bookmarkEnd w:id="120"/>
      <w:bookmarkEnd w:id="121"/>
    </w:p>
    <w:p>
      <w:pPr>
        <w:pStyle w:val="kop2"/>
        <w:numPr>
          <w:ilvl w:val="0"/>
          <w:numId w:val="5"/>
        </w:numPr>
        <w:spacing w:before="360" w:after="240"/>
        <w:ind w:left="709" w:hanging="425"/>
        <w:rPr>
          <w:noProof/>
        </w:rPr>
      </w:pPr>
      <w:r>
        <w:rPr>
          <w:noProof/>
        </w:rPr>
        <w:t>COMPLAINTS</w:t>
      </w:r>
    </w:p>
    <w:p>
      <w:pPr>
        <w:pStyle w:val="AnnualReport2"/>
        <w:numPr>
          <w:ilvl w:val="0"/>
          <w:numId w:val="42"/>
        </w:numPr>
        <w:ind w:left="709" w:hanging="425"/>
        <w:rPr>
          <w:noProof/>
        </w:rPr>
      </w:pPr>
      <w:r>
        <w:rPr>
          <w:noProof/>
        </w:rPr>
        <w:t>New complaints made against Latvia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075180"/>
            <wp:effectExtent l="0" t="0" r="0" b="0"/>
            <wp:docPr id="945"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pPr>
        <w:pStyle w:val="AnnualReport2"/>
        <w:numPr>
          <w:ilvl w:val="0"/>
          <w:numId w:val="42"/>
        </w:numPr>
        <w:ind w:left="709" w:hanging="425"/>
        <w:rPr>
          <w:noProof/>
        </w:rPr>
      </w:pPr>
      <w:r>
        <w:rPr>
          <w:noProof/>
        </w:rPr>
        <w:t>Public complaints against Latvia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23</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24</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19</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42"/>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858385" cy="2289810"/>
            <wp:effectExtent l="0" t="0" r="18415" b="15240"/>
            <wp:docPr id="944" name="Object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pPr>
        <w:spacing w:after="200" w:line="276" w:lineRule="auto"/>
        <w:rPr>
          <w:rFonts w:ascii="Arial" w:hAnsi="Arial" w:cs="Arial"/>
          <w:noProof/>
          <w:sz w:val="20"/>
        </w:rPr>
      </w:pPr>
      <w:r>
        <w:rPr>
          <w:noProof/>
        </w:rPr>
        <w:br w:type="page"/>
      </w:r>
    </w:p>
    <w:p>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43"/>
        </w:numPr>
        <w:ind w:left="709" w:hanging="425"/>
        <w:rPr>
          <w:noProof/>
        </w:rPr>
      </w:pPr>
      <w:r>
        <w:rPr>
          <w:noProof/>
        </w:rPr>
        <w:t>New EU Pilot files opened against Latvia (2014-2018)</w:t>
      </w:r>
    </w:p>
    <w:p>
      <w:pPr>
        <w:tabs>
          <w:tab w:val="left" w:pos="0"/>
        </w:tabs>
        <w:spacing w:after="120"/>
        <w:ind w:firstLine="709"/>
        <w:rPr>
          <w:rFonts w:ascii="Arial" w:hAnsi="Arial" w:cs="Arial"/>
          <w:noProof/>
          <w:sz w:val="20"/>
        </w:rPr>
      </w:pPr>
      <w:r>
        <w:rPr>
          <w:rFonts w:ascii="Arial" w:hAnsi="Arial" w:cs="Arial"/>
          <w:noProof/>
          <w:sz w:val="20"/>
          <w:lang w:eastAsia="en-GB"/>
        </w:rPr>
        <w:drawing>
          <wp:inline distT="0" distB="0" distL="0" distR="0">
            <wp:extent cx="4603750" cy="2123440"/>
            <wp:effectExtent l="0" t="0" r="6350" b="10160"/>
            <wp:docPr id="14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pPr>
        <w:pStyle w:val="AnnualReport2"/>
        <w:numPr>
          <w:ilvl w:val="0"/>
          <w:numId w:val="43"/>
        </w:numPr>
        <w:ind w:left="709" w:hanging="425"/>
        <w:rPr>
          <w:noProof/>
        </w:rPr>
      </w:pPr>
      <w:r>
        <w:rPr>
          <w:noProof/>
        </w:rPr>
        <w:t>Files relating to Latvia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3750" cy="2056765"/>
            <wp:effectExtent l="0" t="0" r="6350" b="635"/>
            <wp:docPr id="14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pPr>
        <w:pStyle w:val="AnnualReport2"/>
        <w:numPr>
          <w:ilvl w:val="0"/>
          <w:numId w:val="43"/>
        </w:numPr>
        <w:ind w:left="709" w:hanging="425"/>
        <w:rPr>
          <w:noProof/>
        </w:rPr>
      </w:pPr>
      <w:r>
        <w:rPr>
          <w:noProof/>
        </w:rPr>
        <w:t>New EU Pilot files opened in 2018: main policy areas</w:t>
      </w:r>
    </w:p>
    <w:p>
      <w:pPr>
        <w:pStyle w:val="Body"/>
        <w:ind w:left="786" w:firstLine="0"/>
        <w:jc w:val="both"/>
        <w:rPr>
          <w:noProof/>
        </w:rPr>
      </w:pPr>
      <w:r>
        <w:rPr>
          <w:noProof/>
        </w:rPr>
        <w:t>In 2018, the Commission opened two EU Pilot files against Latvia: one in the area of energy and one in the area of taxation and customs.</w:t>
      </w:r>
    </w:p>
    <w:p>
      <w:pPr>
        <w:pStyle w:val="AnnualReport2"/>
        <w:numPr>
          <w:ilvl w:val="0"/>
          <w:numId w:val="43"/>
        </w:numPr>
        <w:ind w:left="709" w:hanging="425"/>
        <w:rPr>
          <w:noProof/>
        </w:rPr>
      </w:pPr>
      <w:r>
        <w:rPr>
          <w:noProof/>
        </w:rPr>
        <w:t>EU Pilot files: Latvia’s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367915"/>
            <wp:effectExtent l="0" t="0" r="3175" b="13335"/>
            <wp:docPr id="15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44"/>
        </w:numPr>
        <w:ind w:left="709" w:hanging="425"/>
        <w:rPr>
          <w:noProof/>
        </w:rPr>
      </w:pPr>
      <w:r>
        <w:rPr>
          <w:noProof/>
        </w:rPr>
        <w:t>Infringement cases against Latvia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266315"/>
            <wp:effectExtent l="0" t="0" r="0" b="0"/>
            <wp:docPr id="151"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pPr>
        <w:pStyle w:val="AnnualReport2"/>
        <w:numPr>
          <w:ilvl w:val="0"/>
          <w:numId w:val="44"/>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32960" cy="2484120"/>
            <wp:effectExtent l="0" t="0" r="15240" b="11430"/>
            <wp:docPr id="152" name="Objec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pPr>
        <w:pStyle w:val="AnnualReport2"/>
        <w:numPr>
          <w:ilvl w:val="0"/>
          <w:numId w:val="44"/>
        </w:numPr>
        <w:ind w:left="709" w:hanging="425"/>
        <w:rPr>
          <w:noProof/>
        </w:rPr>
      </w:pPr>
      <w:r>
        <w:rPr>
          <w:noProof/>
        </w:rPr>
        <w:t>Key infringement cases and referrals to the Court</w:t>
      </w:r>
    </w:p>
    <w:p>
      <w:pPr>
        <w:numPr>
          <w:ilvl w:val="0"/>
          <w:numId w:val="91"/>
        </w:numPr>
        <w:ind w:left="1276" w:hanging="425"/>
        <w:jc w:val="both"/>
        <w:rPr>
          <w:rFonts w:ascii="Arial" w:hAnsi="Arial" w:cs="Arial"/>
          <w:noProof/>
          <w:sz w:val="20"/>
          <w:szCs w:val="20"/>
        </w:rPr>
      </w:pPr>
      <w:r>
        <w:rPr>
          <w:rFonts w:ascii="Arial" w:hAnsi="Arial" w:cs="Arial"/>
          <w:noProof/>
          <w:sz w:val="20"/>
          <w:szCs w:val="20"/>
        </w:rPr>
        <w:t>The Commission opened 19 new infringement cases against Latvia in 2018. These, and other major ongoing infringement cases, include:</w:t>
      </w:r>
    </w:p>
    <w:p>
      <w:pPr>
        <w:pStyle w:val="ListParagraph"/>
        <w:numPr>
          <w:ilvl w:val="0"/>
          <w:numId w:val="102"/>
        </w:numPr>
        <w:ind w:left="1701"/>
        <w:jc w:val="both"/>
        <w:rPr>
          <w:noProof/>
        </w:rPr>
      </w:pPr>
      <w:r>
        <w:rPr>
          <w:rFonts w:ascii="Arial" w:hAnsi="Arial" w:cs="Arial"/>
          <w:noProof/>
          <w:sz w:val="20"/>
          <w:szCs w:val="20"/>
        </w:rPr>
        <w:t>failure to comply with EU rules on the minimum level of training of seafarers</w:t>
      </w:r>
      <w:r>
        <w:rPr>
          <w:rStyle w:val="FootnoteReference"/>
          <w:rFonts w:ascii="Arial" w:hAnsi="Arial" w:cs="Arial"/>
          <w:noProof/>
        </w:rPr>
        <w:footnoteReference w:id="408"/>
      </w:r>
      <w:r>
        <w:rPr>
          <w:rFonts w:ascii="Arial" w:hAnsi="Arial" w:cs="Arial"/>
          <w:noProof/>
        </w:rPr>
        <w:t xml:space="preserve"> ;</w:t>
      </w:r>
    </w:p>
    <w:p>
      <w:pPr>
        <w:pStyle w:val="ListParagraph"/>
        <w:numPr>
          <w:ilvl w:val="0"/>
          <w:numId w:val="102"/>
        </w:numPr>
        <w:ind w:left="1701"/>
        <w:jc w:val="both"/>
        <w:rPr>
          <w:noProof/>
        </w:rPr>
      </w:pPr>
      <w:r>
        <w:rPr>
          <w:rFonts w:ascii="Arial" w:hAnsi="Arial" w:cs="Arial"/>
          <w:noProof/>
          <w:sz w:val="20"/>
          <w:szCs w:val="20"/>
          <w:lang w:eastAsia="en-GB"/>
        </w:rPr>
        <w:t>application of a</w:t>
      </w:r>
      <w:r>
        <w:rPr>
          <w:rFonts w:ascii="Arial" w:hAnsi="Arial" w:cs="Arial"/>
          <w:noProof/>
          <w:sz w:val="20"/>
          <w:szCs w:val="20"/>
        </w:rPr>
        <w:t xml:space="preserve"> VAT reverse-charge mechanism </w:t>
      </w:r>
      <w:r>
        <w:rPr>
          <w:rFonts w:ascii="Arial" w:hAnsi="Arial" w:cs="Arial"/>
          <w:noProof/>
          <w:sz w:val="20"/>
          <w:szCs w:val="20"/>
          <w:lang w:eastAsia="en-GB"/>
        </w:rPr>
        <w:t>in breach of EU rules</w:t>
      </w:r>
      <w:r>
        <w:rPr>
          <w:rStyle w:val="FootnoteReference"/>
          <w:rFonts w:ascii="Arial" w:hAnsi="Arial" w:cs="Arial"/>
          <w:noProof/>
          <w:sz w:val="20"/>
          <w:szCs w:val="20"/>
        </w:rPr>
        <w:t xml:space="preserve"> </w:t>
      </w:r>
      <w:r>
        <w:rPr>
          <w:rStyle w:val="FootnoteReference"/>
          <w:rFonts w:ascii="Arial" w:hAnsi="Arial" w:cs="Arial"/>
          <w:noProof/>
          <w:sz w:val="20"/>
          <w:szCs w:val="20"/>
        </w:rPr>
        <w:footnoteReference w:id="409"/>
      </w:r>
      <w:r>
        <w:rPr>
          <w:rFonts w:ascii="Arial" w:hAnsi="Arial" w:cs="Arial"/>
          <w:noProof/>
          <w:sz w:val="20"/>
          <w:szCs w:val="20"/>
        </w:rPr>
        <w:t>;</w:t>
      </w:r>
    </w:p>
    <w:p>
      <w:pPr>
        <w:pStyle w:val="ListParagraph"/>
        <w:numPr>
          <w:ilvl w:val="0"/>
          <w:numId w:val="102"/>
        </w:numPr>
        <w:ind w:left="1701"/>
        <w:jc w:val="both"/>
        <w:rPr>
          <w:noProof/>
          <w:sz w:val="20"/>
          <w:szCs w:val="20"/>
        </w:rPr>
      </w:pPr>
      <w:r>
        <w:rPr>
          <w:rFonts w:ascii="Arial" w:hAnsi="Arial" w:cs="Arial"/>
          <w:noProof/>
          <w:sz w:val="20"/>
          <w:szCs w:val="20"/>
        </w:rPr>
        <w:t>failure to correctly transpose certain requirements of the Radioactive Waste Directive</w:t>
      </w:r>
      <w:r>
        <w:rPr>
          <w:rStyle w:val="FootnoteReference"/>
          <w:rFonts w:ascii="Arial" w:hAnsi="Arial" w:cs="Arial"/>
          <w:noProof/>
          <w:sz w:val="20"/>
          <w:szCs w:val="20"/>
        </w:rPr>
        <w:footnoteReference w:id="410"/>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129"/>
        </w:numPr>
        <w:ind w:left="2410"/>
        <w:jc w:val="both"/>
        <w:rPr>
          <w:noProof/>
        </w:rPr>
      </w:pPr>
      <w:r>
        <w:rPr>
          <w:rFonts w:ascii="Arial" w:hAnsi="Arial" w:cs="Arial"/>
          <w:noProof/>
          <w:sz w:val="20"/>
          <w:szCs w:val="20"/>
        </w:rPr>
        <w:t>Payment Services Directive</w:t>
      </w:r>
      <w:r>
        <w:rPr>
          <w:rStyle w:val="FootnoteReference"/>
          <w:rFonts w:ascii="Arial" w:hAnsi="Arial" w:cs="Arial"/>
          <w:noProof/>
        </w:rPr>
        <w:footnoteReference w:id="411"/>
      </w:r>
      <w:r>
        <w:rPr>
          <w:rFonts w:ascii="Arial" w:hAnsi="Arial" w:cs="Arial"/>
          <w:noProof/>
        </w:rPr>
        <w:t>;</w:t>
      </w:r>
    </w:p>
    <w:p>
      <w:pPr>
        <w:pStyle w:val="ListParagraph"/>
        <w:numPr>
          <w:ilvl w:val="0"/>
          <w:numId w:val="129"/>
        </w:numPr>
        <w:ind w:left="2410"/>
        <w:jc w:val="both"/>
        <w:rPr>
          <w:noProof/>
        </w:rPr>
      </w:pPr>
      <w:r>
        <w:rPr>
          <w:rFonts w:ascii="Arial" w:hAnsi="Arial" w:cs="Arial"/>
          <w:noProof/>
          <w:sz w:val="20"/>
          <w:szCs w:val="20"/>
        </w:rPr>
        <w:t>Insurance Distribution Directive</w:t>
      </w:r>
      <w:r>
        <w:rPr>
          <w:rStyle w:val="FootnoteReference"/>
          <w:rFonts w:ascii="Arial" w:hAnsi="Arial" w:cs="Arial"/>
          <w:noProof/>
          <w:sz w:val="20"/>
          <w:szCs w:val="20"/>
        </w:rPr>
        <w:footnoteReference w:id="412"/>
      </w:r>
      <w:r>
        <w:rPr>
          <w:rFonts w:ascii="Arial" w:hAnsi="Arial" w:cs="Arial"/>
          <w:noProof/>
          <w:sz w:val="20"/>
          <w:szCs w:val="20"/>
        </w:rPr>
        <w:t>;</w:t>
      </w:r>
    </w:p>
    <w:p>
      <w:pPr>
        <w:pStyle w:val="ListParagraph"/>
        <w:numPr>
          <w:ilvl w:val="0"/>
          <w:numId w:val="129"/>
        </w:numPr>
        <w:ind w:left="2410"/>
        <w:jc w:val="both"/>
        <w:rPr>
          <w:noProof/>
        </w:rPr>
      </w:pPr>
      <w:r>
        <w:rPr>
          <w:rFonts w:ascii="Arial" w:hAnsi="Arial" w:cs="Arial"/>
          <w:noProof/>
          <w:sz w:val="20"/>
          <w:szCs w:val="20"/>
        </w:rPr>
        <w:t>revised Markets in Financial Instruments Directive</w:t>
      </w:r>
      <w:r>
        <w:rPr>
          <w:rStyle w:val="FootnoteReference"/>
          <w:rFonts w:ascii="Arial" w:hAnsi="Arial" w:cs="Arial"/>
          <w:noProof/>
        </w:rPr>
        <w:footnoteReference w:id="413"/>
      </w:r>
      <w:r>
        <w:rPr>
          <w:rFonts w:ascii="Arial" w:hAnsi="Arial" w:cs="Arial"/>
          <w:noProof/>
          <w:sz w:val="20"/>
          <w:szCs w:val="20"/>
        </w:rPr>
        <w:t>;</w:t>
      </w:r>
    </w:p>
    <w:p>
      <w:pPr>
        <w:pStyle w:val="ListParagraph"/>
        <w:numPr>
          <w:ilvl w:val="0"/>
          <w:numId w:val="129"/>
        </w:numPr>
        <w:ind w:left="2410"/>
        <w:jc w:val="both"/>
        <w:rPr>
          <w:noProof/>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414"/>
      </w:r>
      <w:r>
        <w:rPr>
          <w:rFonts w:ascii="Arial" w:hAnsi="Arial" w:cs="Arial"/>
          <w:noProof/>
          <w:sz w:val="20"/>
          <w:szCs w:val="20"/>
        </w:rPr>
        <w:t>;</w:t>
      </w:r>
    </w:p>
    <w:p>
      <w:pPr>
        <w:pStyle w:val="ListParagraph"/>
        <w:numPr>
          <w:ilvl w:val="0"/>
          <w:numId w:val="129"/>
        </w:numPr>
        <w:ind w:left="2410"/>
        <w:jc w:val="both"/>
        <w:rPr>
          <w:noProof/>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415"/>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end-of life vehicles</w:t>
      </w:r>
      <w:r>
        <w:rPr>
          <w:rStyle w:val="FootnoteReference"/>
          <w:rFonts w:ascii="Arial" w:hAnsi="Arial" w:cs="Arial"/>
          <w:noProof/>
          <w:sz w:val="20"/>
          <w:szCs w:val="20"/>
        </w:rPr>
        <w:footnoteReference w:id="416"/>
      </w:r>
      <w:r>
        <w:rPr>
          <w:rFonts w:ascii="Arial" w:hAnsi="Arial" w:cs="Arial"/>
          <w:noProof/>
          <w:sz w:val="20"/>
          <w:szCs w:val="20"/>
        </w:rPr>
        <w:t>.</w:t>
      </w:r>
    </w:p>
    <w:p>
      <w:pPr>
        <w:numPr>
          <w:ilvl w:val="0"/>
          <w:numId w:val="91"/>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91"/>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45"/>
        </w:numPr>
        <w:ind w:left="709" w:hanging="425"/>
        <w:rPr>
          <w:noProof/>
        </w:rPr>
      </w:pPr>
      <w:r>
        <w:rPr>
          <w:noProof/>
        </w:rPr>
        <w:t>Late transposition infringement cases against Latvia open on 31 December (2014-2018)</w:t>
      </w:r>
    </w:p>
    <w:p>
      <w:pPr>
        <w:ind w:left="426" w:firstLine="283"/>
        <w:rPr>
          <w:noProof/>
        </w:rPr>
      </w:pPr>
      <w:r>
        <w:rPr>
          <w:noProof/>
          <w:lang w:eastAsia="en-GB"/>
        </w:rPr>
        <w:drawing>
          <wp:inline distT="0" distB="0" distL="0" distR="0">
            <wp:extent cx="4612005" cy="2027555"/>
            <wp:effectExtent l="0" t="0" r="0" b="0"/>
            <wp:docPr id="15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pPr>
        <w:pStyle w:val="AnnualReport2"/>
        <w:numPr>
          <w:ilvl w:val="0"/>
          <w:numId w:val="45"/>
        </w:numPr>
        <w:ind w:left="709" w:hanging="425"/>
        <w:rPr>
          <w:noProof/>
        </w:rPr>
      </w:pPr>
      <w:r>
        <w:rPr>
          <w:noProof/>
        </w:rPr>
        <w:t>New late transposition infringement cases against Latvia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12005" cy="2258060"/>
            <wp:effectExtent l="0" t="0" r="0" b="0"/>
            <wp:docPr id="15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pPr>
        <w:spacing w:after="0" w:line="240" w:lineRule="auto"/>
        <w:rPr>
          <w:rFonts w:ascii="Arial" w:hAnsi="Arial"/>
          <w:noProof/>
          <w:color w:val="002060"/>
        </w:rPr>
      </w:pPr>
      <w:r>
        <w:rPr>
          <w:noProof/>
        </w:rPr>
        <w:br w:type="page"/>
      </w:r>
    </w:p>
    <w:p>
      <w:pPr>
        <w:pStyle w:val="AnnualReport2"/>
        <w:numPr>
          <w:ilvl w:val="0"/>
          <w:numId w:val="45"/>
        </w:numPr>
        <w:ind w:left="709" w:hanging="425"/>
        <w:jc w:val="both"/>
        <w:rPr>
          <w:noProof/>
        </w:rPr>
      </w:pPr>
      <w:r>
        <w:rPr>
          <w:noProof/>
        </w:rPr>
        <w:t>New late transposition infringement cases opened in 2018: main policy areas</w:t>
      </w:r>
    </w:p>
    <w:p>
      <w:pPr>
        <w:pStyle w:val="AnnualReport2"/>
        <w:ind w:left="709"/>
        <w:jc w:val="both"/>
        <w:rPr>
          <w:noProof/>
        </w:rPr>
      </w:pPr>
      <w:r>
        <w:rPr>
          <w:noProof/>
          <w:lang w:eastAsia="en-GB"/>
        </w:rPr>
        <w:drawing>
          <wp:inline distT="0" distB="0" distL="0" distR="0">
            <wp:extent cx="4580255" cy="2440940"/>
            <wp:effectExtent l="0" t="0" r="10795" b="16510"/>
            <wp:docPr id="976" name="Chart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pPr>
        <w:pStyle w:val="AnnualReport2"/>
        <w:numPr>
          <w:ilvl w:val="0"/>
          <w:numId w:val="45"/>
        </w:numPr>
        <w:ind w:left="709" w:hanging="425"/>
        <w:rPr>
          <w:noProof/>
        </w:rPr>
      </w:pPr>
      <w:r>
        <w:rPr>
          <w:noProof/>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left="284" w:firstLine="425"/>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p>
    <w:p>
      <w:pPr>
        <w:pStyle w:val="ListParagraph"/>
        <w:numPr>
          <w:ilvl w:val="0"/>
          <w:numId w:val="102"/>
        </w:numPr>
        <w:spacing w:after="0"/>
        <w:jc w:val="both"/>
        <w:rPr>
          <w:rFonts w:ascii="Arial" w:eastAsia="Calibri" w:hAnsi="Arial" w:cs="Arial"/>
          <w:noProof/>
          <w:kern w:val="20"/>
          <w:sz w:val="20"/>
          <w:szCs w:val="20"/>
          <w:lang w:eastAsia="en-GB"/>
        </w:rPr>
      </w:pPr>
      <w:r>
        <w:rPr>
          <w:rFonts w:ascii="Arial" w:hAnsi="Arial" w:cs="Arial"/>
          <w:noProof/>
          <w:sz w:val="20"/>
          <w:szCs w:val="20"/>
        </w:rPr>
        <w:t>failure to communicate national measures transposing the</w:t>
      </w:r>
      <w:r>
        <w:rPr>
          <w:rFonts w:ascii="Arial" w:eastAsia="Times New Roman" w:hAnsi="Arial" w:cs="Arial"/>
          <w:noProof/>
          <w:sz w:val="20"/>
          <w:szCs w:val="20"/>
          <w:lang w:eastAsia="en-GB"/>
        </w:rPr>
        <w:t xml:space="preserve"> </w:t>
      </w:r>
    </w:p>
    <w:p>
      <w:pPr>
        <w:pStyle w:val="ListParagraph"/>
        <w:numPr>
          <w:ilvl w:val="1"/>
          <w:numId w:val="102"/>
        </w:numPr>
        <w:spacing w:after="0"/>
        <w:jc w:val="both"/>
        <w:rPr>
          <w:rFonts w:ascii="Arial" w:eastAsia="Calibri" w:hAnsi="Arial" w:cs="Arial"/>
          <w:noProof/>
          <w:kern w:val="20"/>
          <w:sz w:val="20"/>
          <w:szCs w:val="20"/>
          <w:lang w:eastAsia="en-GB"/>
        </w:rPr>
      </w:pPr>
      <w:r>
        <w:rPr>
          <w:rFonts w:ascii="Arial" w:eastAsia="Times New Roman" w:hAnsi="Arial" w:cs="Arial"/>
          <w:noProof/>
          <w:sz w:val="20"/>
          <w:szCs w:val="20"/>
          <w:lang w:eastAsia="en-GB"/>
        </w:rPr>
        <w:t>Solvency II Directive</w:t>
      </w:r>
      <w:r>
        <w:rPr>
          <w:rStyle w:val="FootnoteReference"/>
          <w:rFonts w:ascii="Arial" w:eastAsia="Times New Roman" w:hAnsi="Arial" w:cs="Arial"/>
          <w:noProof/>
          <w:sz w:val="20"/>
          <w:szCs w:val="20"/>
          <w:lang w:eastAsia="en-GB"/>
        </w:rPr>
        <w:footnoteReference w:id="417"/>
      </w:r>
      <w:r>
        <w:rPr>
          <w:rFonts w:ascii="Arial" w:eastAsia="Times New Roman" w:hAnsi="Arial" w:cs="Arial"/>
          <w:noProof/>
          <w:color w:val="0000FF"/>
          <w:sz w:val="20"/>
          <w:szCs w:val="20"/>
          <w:u w:val="single"/>
          <w:lang w:eastAsia="en-GB"/>
        </w:rPr>
        <w:t>;</w:t>
      </w:r>
    </w:p>
    <w:p>
      <w:pPr>
        <w:pStyle w:val="ListParagraph"/>
        <w:numPr>
          <w:ilvl w:val="1"/>
          <w:numId w:val="102"/>
        </w:numPr>
        <w:spacing w:after="0"/>
        <w:jc w:val="both"/>
        <w:rPr>
          <w:rFonts w:ascii="Arial" w:eastAsia="Calibri" w:hAnsi="Arial" w:cs="Arial"/>
          <w:noProof/>
          <w:kern w:val="20"/>
          <w:sz w:val="20"/>
          <w:szCs w:val="20"/>
          <w:lang w:eastAsia="en-GB"/>
        </w:rPr>
      </w:pPr>
      <w:r>
        <w:rPr>
          <w:rFonts w:ascii="Arial" w:eastAsia="Times New Roman" w:hAnsi="Arial" w:cs="Arial"/>
          <w:noProof/>
          <w:sz w:val="20"/>
          <w:szCs w:val="20"/>
          <w:lang w:eastAsia="en-GB"/>
        </w:rPr>
        <w:t>Directive concerning undertakings for collective investment in transferable securities</w:t>
      </w:r>
      <w:r>
        <w:rPr>
          <w:rStyle w:val="FootnoteReference"/>
          <w:rFonts w:ascii="Arial" w:eastAsia="Times New Roman" w:hAnsi="Arial" w:cs="Arial"/>
          <w:noProof/>
          <w:sz w:val="20"/>
          <w:szCs w:val="20"/>
          <w:lang w:eastAsia="en-GB"/>
        </w:rPr>
        <w:footnoteReference w:id="418"/>
      </w:r>
      <w:r>
        <w:rPr>
          <w:rFonts w:ascii="Arial" w:eastAsia="Times New Roman" w:hAnsi="Arial" w:cs="Arial"/>
          <w:noProof/>
          <w:sz w:val="20"/>
          <w:szCs w:val="20"/>
          <w:lang w:eastAsia="en-GB"/>
        </w:rPr>
        <w:t>;</w:t>
      </w:r>
    </w:p>
    <w:p>
      <w:pPr>
        <w:pStyle w:val="ListParagraph"/>
        <w:numPr>
          <w:ilvl w:val="1"/>
          <w:numId w:val="102"/>
        </w:numPr>
        <w:spacing w:after="0"/>
        <w:jc w:val="both"/>
        <w:rPr>
          <w:rFonts w:ascii="Arial" w:eastAsia="Calibri" w:hAnsi="Arial" w:cs="Arial"/>
          <w:noProof/>
          <w:kern w:val="20"/>
          <w:sz w:val="20"/>
          <w:szCs w:val="20"/>
          <w:lang w:eastAsia="en-GB"/>
        </w:rPr>
      </w:pPr>
      <w:r>
        <w:rPr>
          <w:rFonts w:ascii="Arial" w:eastAsia="Calibri" w:hAnsi="Arial" w:cs="Arial"/>
          <w:noProof/>
          <w:kern w:val="20"/>
          <w:sz w:val="20"/>
          <w:szCs w:val="20"/>
          <w:lang w:eastAsia="en-GB"/>
        </w:rPr>
        <w:t>Directive on tobacco products;</w:t>
      </w:r>
      <w:r>
        <w:rPr>
          <w:rFonts w:ascii="Arial" w:eastAsia="Calibri" w:hAnsi="Arial" w:cs="Arial"/>
          <w:noProof/>
          <w:kern w:val="20"/>
          <w:sz w:val="20"/>
          <w:szCs w:val="20"/>
          <w:vertAlign w:val="superscript"/>
          <w:lang w:val="nl-NL" w:eastAsia="en-GB"/>
        </w:rPr>
        <w:footnoteReference w:id="419"/>
      </w:r>
    </w:p>
    <w:p>
      <w:pPr>
        <w:pStyle w:val="ListParagraph"/>
        <w:numPr>
          <w:ilvl w:val="1"/>
          <w:numId w:val="102"/>
        </w:numPr>
        <w:spacing w:after="0"/>
        <w:jc w:val="both"/>
        <w:rPr>
          <w:rFonts w:ascii="Arial" w:eastAsia="Calibri" w:hAnsi="Arial" w:cs="Arial"/>
          <w:noProof/>
          <w:kern w:val="20"/>
          <w:sz w:val="20"/>
          <w:szCs w:val="20"/>
          <w:lang w:eastAsia="en-GB"/>
        </w:rPr>
      </w:pPr>
      <w:r>
        <w:rPr>
          <w:rFonts w:ascii="Arial" w:hAnsi="Arial" w:cs="Arial"/>
          <w:noProof/>
          <w:sz w:val="20"/>
          <w:szCs w:val="20"/>
        </w:rPr>
        <w:t>Radioactive Waste Directive</w:t>
      </w:r>
      <w:r>
        <w:rPr>
          <w:rStyle w:val="FootnoteReference"/>
          <w:rFonts w:ascii="Arial" w:hAnsi="Arial" w:cs="Arial"/>
          <w:noProof/>
          <w:sz w:val="20"/>
          <w:szCs w:val="20"/>
        </w:rPr>
        <w:footnoteReference w:id="420"/>
      </w:r>
      <w:r>
        <w:rPr>
          <w:rFonts w:ascii="Arial" w:hAnsi="Arial" w:cs="Arial"/>
          <w:noProof/>
          <w:sz w:val="20"/>
          <w:szCs w:val="20"/>
        </w:rPr>
        <w:t>;</w:t>
      </w:r>
    </w:p>
    <w:p>
      <w:pPr>
        <w:pStyle w:val="ListParagraph"/>
        <w:numPr>
          <w:ilvl w:val="1"/>
          <w:numId w:val="102"/>
        </w:numPr>
        <w:spacing w:after="0"/>
        <w:jc w:val="both"/>
        <w:rPr>
          <w:rFonts w:ascii="Arial" w:eastAsia="Calibri" w:hAnsi="Arial" w:cs="Arial"/>
          <w:noProof/>
          <w:kern w:val="20"/>
          <w:sz w:val="20"/>
          <w:szCs w:val="20"/>
          <w:lang w:eastAsia="en-GB"/>
        </w:rPr>
      </w:pPr>
      <w:r>
        <w:rPr>
          <w:rFonts w:ascii="Arial" w:hAnsi="Arial" w:cs="Arial"/>
          <w:noProof/>
          <w:sz w:val="20"/>
        </w:rPr>
        <w:t>Antitrust Damages Directive</w:t>
      </w:r>
      <w:r>
        <w:rPr>
          <w:rStyle w:val="FootnoteReference"/>
          <w:rFonts w:ascii="Arial" w:hAnsi="Arial" w:cs="Arial"/>
          <w:noProof/>
          <w:sz w:val="20"/>
        </w:rPr>
        <w:footnoteReference w:id="421"/>
      </w:r>
      <w:r>
        <w:rPr>
          <w:rFonts w:ascii="Arial" w:hAnsi="Arial" w:cs="Arial"/>
          <w:noProof/>
          <w:sz w:val="20"/>
        </w:rPr>
        <w:t>.</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46"/>
        </w:numPr>
        <w:ind w:left="709" w:hanging="425"/>
        <w:rPr>
          <w:noProof/>
          <w:color w:val="auto"/>
        </w:rPr>
      </w:pPr>
      <w:r>
        <w:rPr>
          <w:noProof/>
          <w:color w:val="auto"/>
        </w:rPr>
        <w:t>Court ruling</w:t>
      </w:r>
    </w:p>
    <w:p>
      <w:pPr>
        <w:ind w:firstLine="709"/>
        <w:jc w:val="both"/>
        <w:rPr>
          <w:rFonts w:ascii="Arial" w:hAnsi="Arial" w:cs="Arial"/>
          <w:noProof/>
          <w:sz w:val="20"/>
          <w:szCs w:val="20"/>
        </w:rPr>
      </w:pPr>
      <w:r>
        <w:rPr>
          <w:rFonts w:ascii="Arial" w:hAnsi="Arial" w:cs="Arial"/>
          <w:noProof/>
          <w:sz w:val="20"/>
          <w:szCs w:val="20"/>
        </w:rPr>
        <w:t>There were no major Court rulings in 2018.</w:t>
      </w:r>
    </w:p>
    <w:p>
      <w:pPr>
        <w:pStyle w:val="AnnualReport2"/>
        <w:numPr>
          <w:ilvl w:val="0"/>
          <w:numId w:val="46"/>
        </w:numPr>
        <w:ind w:left="709" w:hanging="425"/>
        <w:rPr>
          <w:noProof/>
        </w:rPr>
      </w:pPr>
      <w:r>
        <w:rPr>
          <w:noProof/>
        </w:rPr>
        <w:t>Preliminary ruling</w:t>
      </w:r>
    </w:p>
    <w:p>
      <w:pPr>
        <w:pStyle w:val="Body"/>
        <w:ind w:left="426" w:firstLine="294"/>
        <w:jc w:val="both"/>
        <w:rPr>
          <w:noProof/>
        </w:rPr>
      </w:pPr>
      <w:r>
        <w:rPr>
          <w:noProof/>
        </w:rPr>
        <w:t xml:space="preserve">No major preliminary rulings were addressed to the </w:t>
      </w:r>
      <w:r>
        <w:rPr>
          <w:noProof/>
          <w:lang w:val="en-GB"/>
        </w:rPr>
        <w:t xml:space="preserve">Latvian </w:t>
      </w:r>
      <w:r>
        <w:rPr>
          <w:noProof/>
        </w:rPr>
        <w:t>judiciary in 2018.</w:t>
      </w:r>
    </w:p>
    <w:p>
      <w:pPr>
        <w:spacing w:after="200" w:line="276" w:lineRule="auto"/>
        <w:rPr>
          <w:noProof/>
        </w:rPr>
        <w:sectPr>
          <w:headerReference w:type="even" r:id="rId252"/>
          <w:headerReference w:type="default" r:id="rId253"/>
          <w:footerReference w:type="even" r:id="rId254"/>
          <w:footerReference w:type="default" r:id="rId255"/>
          <w:headerReference w:type="first" r:id="rId256"/>
          <w:footerReference w:type="first" r:id="rId257"/>
          <w:footnotePr>
            <w:numRestart w:val="eachSect"/>
          </w:footnotePr>
          <w:pgSz w:w="11906" w:h="16838"/>
          <w:pgMar w:top="1843" w:right="1418" w:bottom="1134" w:left="1418" w:header="567" w:footer="352" w:gutter="0"/>
          <w:cols w:space="708"/>
          <w:titlePg/>
          <w:docGrid w:linePitch="360"/>
        </w:sectPr>
      </w:pPr>
    </w:p>
    <w:p>
      <w:pPr>
        <w:pStyle w:val="Heading1"/>
        <w:rPr>
          <w:noProof/>
        </w:rPr>
      </w:pPr>
      <w:bookmarkStart w:id="122" w:name="_Toc475974654"/>
      <w:bookmarkStart w:id="123" w:name="_Toc475980150"/>
      <w:bookmarkStart w:id="124" w:name="_Toc475981399"/>
      <w:bookmarkStart w:id="125" w:name="_Toc484622331"/>
      <w:bookmarkStart w:id="126" w:name="_Toc5788369"/>
      <w:r>
        <w:rPr>
          <w:noProof/>
        </w:rPr>
        <w:t>Lithuania</w:t>
      </w:r>
      <w:bookmarkEnd w:id="122"/>
      <w:bookmarkEnd w:id="123"/>
      <w:bookmarkEnd w:id="124"/>
      <w:bookmarkEnd w:id="125"/>
      <w:bookmarkEnd w:id="126"/>
    </w:p>
    <w:p>
      <w:pPr>
        <w:pStyle w:val="AnnualReport1"/>
        <w:numPr>
          <w:ilvl w:val="0"/>
          <w:numId w:val="114"/>
        </w:numPr>
        <w:spacing w:after="240"/>
        <w:rPr>
          <w:noProof/>
        </w:rPr>
      </w:pPr>
      <w:r>
        <w:rPr>
          <w:noProof/>
        </w:rPr>
        <w:t>COMPLAINTS</w:t>
      </w:r>
    </w:p>
    <w:p>
      <w:pPr>
        <w:pStyle w:val="AnnualReport2"/>
        <w:numPr>
          <w:ilvl w:val="0"/>
          <w:numId w:val="47"/>
        </w:numPr>
        <w:ind w:left="709" w:hanging="425"/>
        <w:rPr>
          <w:noProof/>
        </w:rPr>
      </w:pPr>
      <w:r>
        <w:rPr>
          <w:noProof/>
        </w:rPr>
        <w:t>New complaints made against Lithuania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313940"/>
            <wp:effectExtent l="0" t="0" r="0" b="0"/>
            <wp:docPr id="156"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pPr>
        <w:pStyle w:val="AnnualReport2"/>
        <w:numPr>
          <w:ilvl w:val="0"/>
          <w:numId w:val="47"/>
        </w:numPr>
        <w:ind w:left="709" w:hanging="425"/>
        <w:rPr>
          <w:noProof/>
        </w:rPr>
      </w:pPr>
      <w:r>
        <w:rPr>
          <w:noProof/>
        </w:rPr>
        <w:t>Public complaints against Lithuania open at year-end</w:t>
      </w:r>
    </w:p>
    <w:tbl>
      <w:tblPr>
        <w:tblW w:w="0" w:type="auto"/>
        <w:jc w:val="center"/>
        <w:tblLook w:val="04A0" w:firstRow="1" w:lastRow="0" w:firstColumn="1" w:lastColumn="0" w:noHBand="0" w:noVBand="1"/>
      </w:tblPr>
      <w:tblGrid>
        <w:gridCol w:w="1697"/>
        <w:gridCol w:w="355"/>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36</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32</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35</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33</w:t>
            </w:r>
          </w:p>
        </w:tc>
        <w:tc>
          <w:tcPr>
            <w:tcW w:w="355"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pStyle w:val="AnnualReport2"/>
        <w:numPr>
          <w:ilvl w:val="0"/>
          <w:numId w:val="47"/>
        </w:numPr>
        <w:ind w:left="709" w:hanging="425"/>
        <w:rPr>
          <w:noProof/>
        </w:rPr>
      </w:pPr>
      <w:r>
        <w:rPr>
          <w:noProof/>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361565"/>
            <wp:effectExtent l="0" t="0" r="1270" b="635"/>
            <wp:docPr id="157"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pPr>
        <w:spacing w:after="200" w:line="276" w:lineRule="auto"/>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AnnualReport2"/>
        <w:numPr>
          <w:ilvl w:val="0"/>
          <w:numId w:val="48"/>
        </w:numPr>
        <w:ind w:left="709" w:hanging="425"/>
        <w:rPr>
          <w:noProof/>
        </w:rPr>
      </w:pPr>
      <w:r>
        <w:rPr>
          <w:noProof/>
        </w:rPr>
        <w:t>New EU Pilot files opened against Lithuania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80255" cy="2115185"/>
            <wp:effectExtent l="0" t="0" r="0" b="0"/>
            <wp:docPr id="15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pPr>
        <w:pStyle w:val="AnnualReport2"/>
        <w:numPr>
          <w:ilvl w:val="0"/>
          <w:numId w:val="48"/>
        </w:numPr>
        <w:ind w:left="709" w:hanging="425"/>
        <w:rPr>
          <w:noProof/>
        </w:rPr>
      </w:pPr>
      <w:r>
        <w:rPr>
          <w:noProof/>
        </w:rPr>
        <w:t>Files relating to Lithuania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0255" cy="2115185"/>
            <wp:effectExtent l="0" t="0" r="0" b="0"/>
            <wp:docPr id="15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pPr>
        <w:pStyle w:val="AnnualReport2"/>
        <w:numPr>
          <w:ilvl w:val="0"/>
          <w:numId w:val="48"/>
        </w:numPr>
        <w:ind w:left="709" w:hanging="425"/>
        <w:rPr>
          <w:noProof/>
        </w:rPr>
      </w:pPr>
      <w:r>
        <w:rPr>
          <w:noProof/>
        </w:rPr>
        <w:t>New EU Pilot files opened in 2018: main policy areas</w:t>
      </w:r>
    </w:p>
    <w:p>
      <w:pPr>
        <w:pStyle w:val="Body"/>
        <w:ind w:left="786" w:firstLine="0"/>
        <w:rPr>
          <w:noProof/>
        </w:rPr>
      </w:pPr>
      <w:r>
        <w:rPr>
          <w:noProof/>
        </w:rPr>
        <w:t>In 2018, the Commission opened two EU Pilot files against Lithuania in the area of energy.</w:t>
      </w:r>
    </w:p>
    <w:p>
      <w:pPr>
        <w:pStyle w:val="AnnualReport2"/>
        <w:numPr>
          <w:ilvl w:val="0"/>
          <w:numId w:val="48"/>
        </w:numPr>
        <w:ind w:left="709" w:hanging="425"/>
        <w:rPr>
          <w:noProof/>
        </w:rPr>
      </w:pPr>
      <w:r>
        <w:rPr>
          <w:noProof/>
        </w:rPr>
        <w:t>EU Pilot files: Lithuania’s resolution rate in 2014-2018</w:t>
      </w:r>
    </w:p>
    <w:p>
      <w:pPr>
        <w:ind w:firstLine="709"/>
        <w:rPr>
          <w:rFonts w:ascii="Arial" w:hAnsi="Arial" w:cs="Arial"/>
          <w:noProof/>
          <w:sz w:val="20"/>
        </w:rPr>
      </w:pPr>
      <w:r>
        <w:rPr>
          <w:rFonts w:ascii="Arial" w:hAnsi="Arial" w:cs="Arial"/>
          <w:noProof/>
          <w:sz w:val="20"/>
          <w:lang w:eastAsia="en-GB"/>
        </w:rPr>
        <w:drawing>
          <wp:inline distT="0" distB="0" distL="0" distR="0">
            <wp:extent cx="4587875" cy="2352040"/>
            <wp:effectExtent l="0" t="0" r="3175" b="10160"/>
            <wp:docPr id="161"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AnnualReport2"/>
        <w:numPr>
          <w:ilvl w:val="0"/>
          <w:numId w:val="49"/>
        </w:numPr>
        <w:ind w:left="709" w:hanging="425"/>
        <w:rPr>
          <w:noProof/>
        </w:rPr>
      </w:pPr>
      <w:r>
        <w:rPr>
          <w:noProof/>
        </w:rPr>
        <w:t>Infringement cases against Lithuania open on 31 December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27880" cy="2234565"/>
            <wp:effectExtent l="0" t="0" r="1270" b="13335"/>
            <wp:docPr id="16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pPr>
        <w:pStyle w:val="AnnualReport2"/>
        <w:numPr>
          <w:ilvl w:val="0"/>
          <w:numId w:val="49"/>
        </w:numPr>
        <w:ind w:left="709" w:hanging="425"/>
        <w:rPr>
          <w:noProof/>
        </w:rPr>
      </w:pPr>
      <w:r>
        <w:rPr>
          <w:noProof/>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63135" cy="2362200"/>
            <wp:effectExtent l="0" t="0" r="18415" b="0"/>
            <wp:docPr id="779"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pPr>
        <w:pStyle w:val="AnnualReport2"/>
        <w:numPr>
          <w:ilvl w:val="0"/>
          <w:numId w:val="49"/>
        </w:numPr>
        <w:spacing w:after="120"/>
        <w:ind w:left="709" w:hanging="425"/>
        <w:rPr>
          <w:noProof/>
        </w:rPr>
      </w:pPr>
      <w:r>
        <w:rPr>
          <w:noProof/>
        </w:rPr>
        <w:t>Key infringement cases and referrals to the Court</w:t>
      </w:r>
    </w:p>
    <w:p>
      <w:pPr>
        <w:numPr>
          <w:ilvl w:val="0"/>
          <w:numId w:val="92"/>
        </w:numPr>
        <w:spacing w:after="120"/>
        <w:ind w:left="1276" w:hanging="425"/>
        <w:jc w:val="both"/>
        <w:rPr>
          <w:rFonts w:ascii="Arial" w:hAnsi="Arial" w:cs="Arial"/>
          <w:noProof/>
          <w:sz w:val="20"/>
          <w:szCs w:val="20"/>
        </w:rPr>
      </w:pPr>
      <w:r>
        <w:rPr>
          <w:rFonts w:ascii="Arial" w:hAnsi="Arial" w:cs="Arial"/>
          <w:noProof/>
          <w:sz w:val="20"/>
          <w:szCs w:val="20"/>
        </w:rPr>
        <w:t>The Commission opened 18 new infringement cases against Lithuania in 2018. These, and other major ongoing infringement cases, include:</w:t>
      </w:r>
    </w:p>
    <w:p>
      <w:pPr>
        <w:pStyle w:val="ListParagraph"/>
        <w:numPr>
          <w:ilvl w:val="0"/>
          <w:numId w:val="102"/>
        </w:numPr>
        <w:ind w:left="1701"/>
        <w:jc w:val="both"/>
        <w:rPr>
          <w:rFonts w:ascii="Arial" w:hAnsi="Arial" w:cs="Arial"/>
          <w:noProof/>
          <w:szCs w:val="20"/>
        </w:rPr>
      </w:pPr>
      <w:r>
        <w:rPr>
          <w:rFonts w:ascii="Arial" w:hAnsi="Arial" w:cs="Arial"/>
          <w:noProof/>
          <w:sz w:val="20"/>
          <w:szCs w:val="20"/>
        </w:rPr>
        <w:t>failure to adopt a national programme for the implementation of spent fuel and radioactive waste management policy compliant with the requirements of the Radioactive Waste Directive</w:t>
      </w:r>
      <w:r>
        <w:rPr>
          <w:rStyle w:val="FootnoteReference"/>
          <w:rFonts w:ascii="Arial" w:hAnsi="Arial" w:cs="Arial"/>
          <w:noProof/>
          <w:sz w:val="20"/>
          <w:szCs w:val="20"/>
        </w:rPr>
        <w:footnoteReference w:id="422"/>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failure to ensure adequate protection of indigenous habitats and species by designating Sites of Community Importance under the Habitats Directive</w:t>
      </w:r>
      <w:r>
        <w:rPr>
          <w:rStyle w:val="FootnoteReference"/>
          <w:rFonts w:ascii="Arial" w:hAnsi="Arial" w:cs="Arial"/>
          <w:noProof/>
          <w:sz w:val="20"/>
          <w:szCs w:val="20"/>
        </w:rPr>
        <w:footnoteReference w:id="423"/>
      </w:r>
      <w:r>
        <w:rPr>
          <w:rFonts w:ascii="Arial" w:hAnsi="Arial" w:cs="Arial"/>
          <w:noProof/>
          <w:sz w:val="20"/>
          <w:szCs w:val="20"/>
        </w:rPr>
        <w:t>;</w:t>
      </w:r>
    </w:p>
    <w:p>
      <w:pPr>
        <w:pStyle w:val="ListParagraph"/>
        <w:numPr>
          <w:ilvl w:val="0"/>
          <w:numId w:val="102"/>
        </w:numPr>
        <w:ind w:left="1701"/>
        <w:jc w:val="both"/>
        <w:rPr>
          <w:noProof/>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424"/>
      </w:r>
      <w:r>
        <w:rPr>
          <w:rFonts w:ascii="Arial" w:hAnsi="Arial" w:cs="Arial"/>
          <w:noProof/>
          <w:sz w:val="20"/>
          <w:szCs w:val="20"/>
        </w:rPr>
        <w:t>;</w:t>
      </w:r>
    </w:p>
    <w:p>
      <w:pPr>
        <w:pStyle w:val="ListParagraph"/>
        <w:numPr>
          <w:ilvl w:val="0"/>
          <w:numId w:val="102"/>
        </w:numPr>
        <w:ind w:left="1701"/>
        <w:jc w:val="both"/>
        <w:rPr>
          <w:rFonts w:ascii="Arial" w:hAnsi="Arial" w:cs="Arial"/>
          <w:noProof/>
          <w:sz w:val="20"/>
          <w:szCs w:val="20"/>
        </w:rPr>
      </w:pPr>
      <w:r>
        <w:rPr>
          <w:rFonts w:ascii="Arial" w:hAnsi="Arial" w:cs="Arial"/>
          <w:noProof/>
          <w:sz w:val="20"/>
          <w:szCs w:val="20"/>
        </w:rPr>
        <w:t>breach of the right of EU citizens to become members of a political party or to form one in the Member State of residence</w:t>
      </w:r>
      <w:r>
        <w:rPr>
          <w:rStyle w:val="FootnoteReference"/>
          <w:rFonts w:ascii="Arial" w:hAnsi="Arial" w:cs="Arial"/>
          <w:noProof/>
          <w:sz w:val="20"/>
          <w:szCs w:val="20"/>
        </w:rPr>
        <w:footnoteReference w:id="425"/>
      </w:r>
      <w:r>
        <w:rPr>
          <w:rFonts w:ascii="Arial" w:hAnsi="Arial" w:cs="Arial"/>
          <w:noProof/>
          <w:sz w:val="20"/>
          <w:szCs w:val="20"/>
        </w:rPr>
        <w:t>;</w:t>
      </w:r>
    </w:p>
    <w:p>
      <w:pPr>
        <w:pStyle w:val="ListParagraph"/>
        <w:numPr>
          <w:ilvl w:val="0"/>
          <w:numId w:val="102"/>
        </w:numPr>
        <w:ind w:left="1701"/>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0"/>
          <w:numId w:val="129"/>
        </w:numPr>
        <w:ind w:left="2410"/>
        <w:jc w:val="both"/>
        <w:rPr>
          <w:noProof/>
        </w:rPr>
      </w:pPr>
      <w:r>
        <w:rPr>
          <w:rFonts w:ascii="Arial" w:hAnsi="Arial" w:cs="Arial"/>
          <w:noProof/>
          <w:sz w:val="20"/>
          <w:szCs w:val="20"/>
        </w:rPr>
        <w:t>Payment Services Directive</w:t>
      </w:r>
      <w:r>
        <w:rPr>
          <w:rStyle w:val="FootnoteReference"/>
          <w:rFonts w:ascii="Arial" w:hAnsi="Arial" w:cs="Arial"/>
          <w:noProof/>
          <w:sz w:val="20"/>
          <w:szCs w:val="20"/>
        </w:rPr>
        <w:footnoteReference w:id="426"/>
      </w:r>
      <w:r>
        <w:rPr>
          <w:rFonts w:ascii="Arial" w:hAnsi="Arial" w:cs="Arial"/>
          <w:noProof/>
          <w:sz w:val="20"/>
          <w:szCs w:val="20"/>
        </w:rPr>
        <w:t>;</w:t>
      </w:r>
    </w:p>
    <w:p>
      <w:pPr>
        <w:pStyle w:val="ListParagraph"/>
        <w:numPr>
          <w:ilvl w:val="0"/>
          <w:numId w:val="129"/>
        </w:numPr>
        <w:ind w:left="2410"/>
        <w:jc w:val="both"/>
        <w:rPr>
          <w:noProof/>
        </w:rPr>
      </w:pPr>
      <w:r>
        <w:rPr>
          <w:rFonts w:ascii="Arial" w:hAnsi="Arial" w:cs="Arial"/>
          <w:noProof/>
          <w:sz w:val="20"/>
          <w:szCs w:val="20"/>
        </w:rPr>
        <w:t>revised Markets in Financial Instruments Directive</w:t>
      </w:r>
      <w:r>
        <w:rPr>
          <w:rStyle w:val="FootnoteReference"/>
          <w:rFonts w:ascii="Arial" w:hAnsi="Arial" w:cs="Arial"/>
          <w:noProof/>
        </w:rPr>
        <w:footnoteReference w:id="427"/>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428"/>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429"/>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430"/>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rPr>
      </w:pPr>
      <w:r>
        <w:rPr>
          <w:rFonts w:ascii="Arial" w:hAnsi="Arial" w:cs="Arial"/>
          <w:noProof/>
          <w:sz w:val="20"/>
          <w:szCs w:val="20"/>
        </w:rPr>
        <w:t>Data Protection Law Enforcement Directive</w:t>
      </w:r>
      <w:r>
        <w:rPr>
          <w:rStyle w:val="FootnoteReference"/>
          <w:rFonts w:ascii="Arial" w:hAnsi="Arial" w:cs="Arial"/>
          <w:noProof/>
          <w:sz w:val="20"/>
          <w:szCs w:val="20"/>
        </w:rPr>
        <w:footnoteReference w:id="431"/>
      </w:r>
      <w:r>
        <w:rPr>
          <w:rFonts w:ascii="Arial" w:hAnsi="Arial" w:cs="Arial"/>
          <w:noProof/>
          <w:sz w:val="20"/>
          <w:szCs w:val="20"/>
        </w:rPr>
        <w:t>;</w:t>
      </w:r>
    </w:p>
    <w:p>
      <w:pPr>
        <w:pStyle w:val="ListParagraph"/>
        <w:numPr>
          <w:ilvl w:val="0"/>
          <w:numId w:val="129"/>
        </w:numPr>
        <w:ind w:left="2410"/>
        <w:jc w:val="both"/>
        <w:rPr>
          <w:rFonts w:ascii="Arial" w:hAnsi="Arial" w:cs="Arial"/>
          <w:noProof/>
          <w:sz w:val="20"/>
          <w:szCs w:val="20"/>
          <w:lang w:val="fr-BE"/>
        </w:rPr>
      </w:pPr>
      <w:r>
        <w:rPr>
          <w:rFonts w:ascii="Arial" w:hAnsi="Arial" w:cs="Arial"/>
          <w:noProof/>
          <w:sz w:val="20"/>
          <w:szCs w:val="20"/>
          <w:lang w:val="fr-BE"/>
        </w:rPr>
        <w:t>Package Travel Directive</w:t>
      </w:r>
      <w:r>
        <w:rPr>
          <w:rStyle w:val="FootnoteReference"/>
          <w:rFonts w:ascii="Arial" w:hAnsi="Arial" w:cs="Arial"/>
          <w:noProof/>
          <w:sz w:val="20"/>
          <w:szCs w:val="20"/>
          <w:lang w:val="fr-BE"/>
        </w:rPr>
        <w:footnoteReference w:id="432"/>
      </w:r>
      <w:r>
        <w:rPr>
          <w:rFonts w:ascii="Arial" w:hAnsi="Arial" w:cs="Arial"/>
          <w:noProof/>
          <w:sz w:val="20"/>
          <w:szCs w:val="20"/>
          <w:lang w:val="fr-BE"/>
        </w:rPr>
        <w:t>.</w:t>
      </w:r>
    </w:p>
    <w:p>
      <w:pPr>
        <w:numPr>
          <w:ilvl w:val="0"/>
          <w:numId w:val="92"/>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92"/>
        </w:numPr>
        <w:spacing w:after="0"/>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260(2)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AnnualReport2"/>
        <w:numPr>
          <w:ilvl w:val="0"/>
          <w:numId w:val="50"/>
        </w:numPr>
        <w:ind w:left="709" w:hanging="425"/>
        <w:rPr>
          <w:noProof/>
        </w:rPr>
      </w:pPr>
      <w:r>
        <w:rPr>
          <w:noProof/>
        </w:rPr>
        <w:t>Late transposition infringement cases against Lithuania open on 31 December (2014-2018)</w:t>
      </w:r>
    </w:p>
    <w:p>
      <w:pPr>
        <w:ind w:left="426" w:firstLine="283"/>
        <w:rPr>
          <w:noProof/>
        </w:rPr>
      </w:pPr>
      <w:r>
        <w:rPr>
          <w:noProof/>
          <w:lang w:eastAsia="en-GB"/>
        </w:rPr>
        <w:drawing>
          <wp:inline distT="0" distB="0" distL="0" distR="0">
            <wp:extent cx="4587875" cy="2019935"/>
            <wp:effectExtent l="0" t="0" r="3175" b="18415"/>
            <wp:docPr id="164"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pPr>
        <w:spacing w:after="0" w:line="240" w:lineRule="auto"/>
        <w:rPr>
          <w:rFonts w:ascii="Arial" w:hAnsi="Arial"/>
          <w:noProof/>
          <w:color w:val="002060"/>
        </w:rPr>
      </w:pPr>
      <w:r>
        <w:rPr>
          <w:noProof/>
        </w:rPr>
        <w:br w:type="page"/>
      </w:r>
    </w:p>
    <w:p>
      <w:pPr>
        <w:pStyle w:val="AnnualReport2"/>
        <w:numPr>
          <w:ilvl w:val="0"/>
          <w:numId w:val="50"/>
        </w:numPr>
        <w:ind w:left="709" w:hanging="425"/>
        <w:rPr>
          <w:noProof/>
        </w:rPr>
      </w:pPr>
      <w:r>
        <w:rPr>
          <w:noProof/>
        </w:rPr>
        <w:t>New late transposition infringement cases against Lithuania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875" cy="2190750"/>
            <wp:effectExtent l="0" t="0" r="3175" b="0"/>
            <wp:docPr id="165"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pPr>
        <w:pStyle w:val="AnnualReport2"/>
        <w:numPr>
          <w:ilvl w:val="0"/>
          <w:numId w:val="50"/>
        </w:numPr>
        <w:ind w:left="709" w:hanging="425"/>
        <w:rPr>
          <w:noProof/>
        </w:rPr>
      </w:pPr>
      <w:r>
        <w:rPr>
          <w:noProof/>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87240" cy="2407920"/>
            <wp:effectExtent l="0" t="0" r="3810" b="11430"/>
            <wp:docPr id="370"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pPr>
        <w:pStyle w:val="AnnualReport2"/>
        <w:numPr>
          <w:ilvl w:val="0"/>
          <w:numId w:val="50"/>
        </w:numPr>
        <w:ind w:left="709" w:hanging="425"/>
        <w:rPr>
          <w:noProof/>
        </w:rPr>
      </w:pPr>
      <w:r>
        <w:rPr>
          <w:noProof/>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before="240"/>
        <w:ind w:left="284" w:firstLine="425"/>
        <w:outlineLvl w:val="1"/>
        <w:rPr>
          <w:rFonts w:ascii="Arial" w:hAnsi="Arial"/>
          <w:noProof/>
          <w:color w:val="002060"/>
        </w:rPr>
      </w:pPr>
      <w:r>
        <w:rPr>
          <w:rFonts w:ascii="Arial" w:hAnsi="Arial"/>
          <w:noProof/>
          <w:color w:val="002060"/>
        </w:rPr>
        <w:t>Major cases closed without a Court judgment in 2018</w:t>
      </w:r>
    </w:p>
    <w:p>
      <w:pPr>
        <w:spacing w:after="120"/>
        <w:ind w:firstLine="709"/>
        <w:rPr>
          <w:rFonts w:ascii="Arial" w:hAnsi="Arial" w:cs="Arial"/>
          <w:noProof/>
          <w:sz w:val="20"/>
        </w:rPr>
      </w:pPr>
      <w:r>
        <w:rPr>
          <w:rFonts w:ascii="Arial" w:hAnsi="Arial" w:cs="Arial"/>
          <w:noProof/>
          <w:sz w:val="20"/>
        </w:rPr>
        <w:t>These concerned:</w:t>
      </w:r>
      <w:r>
        <w:rPr>
          <w:rFonts w:ascii="Arial" w:hAnsi="Arial" w:cs="Arial"/>
          <w:noProof/>
          <w:szCs w:val="20"/>
        </w:rPr>
        <w:t xml:space="preserve"> </w:t>
      </w:r>
    </w:p>
    <w:p>
      <w:pPr>
        <w:pStyle w:val="Lijstje2"/>
        <w:numPr>
          <w:ilvl w:val="1"/>
          <w:numId w:val="115"/>
        </w:numPr>
        <w:spacing w:after="0" w:line="240" w:lineRule="auto"/>
        <w:jc w:val="both"/>
        <w:rPr>
          <w:rFonts w:ascii="Arial" w:hAnsi="Arial" w:cs="Arial"/>
          <w:noProof/>
          <w:szCs w:val="20"/>
          <w:lang w:val="en-US"/>
        </w:rPr>
      </w:pPr>
      <w:r>
        <w:rPr>
          <w:rFonts w:ascii="Arial" w:hAnsi="Arial" w:cs="Arial"/>
          <w:noProof/>
          <w:szCs w:val="20"/>
          <w:lang w:val="en-US"/>
        </w:rPr>
        <w:t>incorrect application of the EU rules on the investigation of maritime accidents relating to the independent investigation body</w:t>
      </w:r>
      <w:r>
        <w:rPr>
          <w:rStyle w:val="FootnoteReference"/>
          <w:rFonts w:ascii="Arial" w:hAnsi="Arial" w:cs="Arial"/>
          <w:noProof/>
          <w:szCs w:val="20"/>
        </w:rPr>
        <w:footnoteReference w:id="433"/>
      </w:r>
      <w:r>
        <w:rPr>
          <w:rFonts w:ascii="Arial" w:hAnsi="Arial" w:cs="Arial"/>
          <w:noProof/>
          <w:szCs w:val="20"/>
          <w:lang w:val="en-US"/>
        </w:rPr>
        <w:t>;</w:t>
      </w:r>
    </w:p>
    <w:p>
      <w:pPr>
        <w:pStyle w:val="ListParagraph"/>
        <w:numPr>
          <w:ilvl w:val="1"/>
          <w:numId w:val="115"/>
        </w:numPr>
        <w:spacing w:after="0"/>
        <w:jc w:val="both"/>
        <w:rPr>
          <w:rFonts w:ascii="Arial" w:hAnsi="Arial" w:cs="Arial"/>
          <w:noProof/>
          <w:sz w:val="20"/>
          <w:szCs w:val="20"/>
        </w:rPr>
      </w:pPr>
      <w:r>
        <w:rPr>
          <w:rFonts w:ascii="Arial" w:hAnsi="Arial" w:cs="Arial"/>
          <w:noProof/>
          <w:sz w:val="20"/>
          <w:szCs w:val="20"/>
        </w:rPr>
        <w:t>non-respect of the EU rules on freedom to provide port services</w:t>
      </w:r>
      <w:r>
        <w:rPr>
          <w:rStyle w:val="FootnoteReference"/>
          <w:rFonts w:ascii="Arial" w:hAnsi="Arial" w:cs="Arial"/>
          <w:noProof/>
          <w:sz w:val="20"/>
          <w:szCs w:val="20"/>
        </w:rPr>
        <w:footnoteReference w:id="434"/>
      </w:r>
      <w:r>
        <w:rPr>
          <w:rFonts w:ascii="Arial" w:hAnsi="Arial" w:cs="Arial"/>
          <w:noProof/>
          <w:sz w:val="20"/>
          <w:szCs w:val="20"/>
        </w:rPr>
        <w:t>;</w:t>
      </w:r>
    </w:p>
    <w:p>
      <w:pPr>
        <w:pStyle w:val="ListParagraph"/>
        <w:numPr>
          <w:ilvl w:val="1"/>
          <w:numId w:val="115"/>
        </w:numPr>
        <w:spacing w:after="0"/>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2"/>
          <w:numId w:val="115"/>
        </w:numPr>
        <w:spacing w:after="0"/>
        <w:jc w:val="both"/>
        <w:rPr>
          <w:rFonts w:ascii="Arial" w:hAnsi="Arial" w:cs="Arial"/>
          <w:noProof/>
          <w:sz w:val="20"/>
          <w:szCs w:val="20"/>
        </w:rPr>
      </w:pPr>
      <w:r>
        <w:rPr>
          <w:rFonts w:ascii="Arial" w:hAnsi="Arial" w:cs="Arial"/>
          <w:noProof/>
          <w:sz w:val="20"/>
          <w:szCs w:val="20"/>
        </w:rPr>
        <w:t>Directives on the quality and safety of reproductive cells</w:t>
      </w:r>
      <w:r>
        <w:rPr>
          <w:rFonts w:ascii="Arial" w:hAnsi="Arial" w:cs="Arial"/>
          <w:noProof/>
          <w:sz w:val="20"/>
          <w:szCs w:val="20"/>
          <w:vertAlign w:val="superscript"/>
          <w:lang w:val="nl-NL"/>
        </w:rPr>
        <w:footnoteReference w:id="435"/>
      </w:r>
      <w:r>
        <w:rPr>
          <w:rFonts w:ascii="Arial" w:hAnsi="Arial" w:cs="Arial"/>
          <w:noProof/>
          <w:sz w:val="20"/>
          <w:szCs w:val="20"/>
        </w:rPr>
        <w:t>;</w:t>
      </w:r>
    </w:p>
    <w:p>
      <w:pPr>
        <w:pStyle w:val="ListParagraph"/>
        <w:numPr>
          <w:ilvl w:val="2"/>
          <w:numId w:val="115"/>
        </w:numPr>
        <w:spacing w:after="0"/>
        <w:jc w:val="both"/>
        <w:rPr>
          <w:rFonts w:ascii="Arial" w:hAnsi="Arial" w:cs="Arial"/>
          <w:noProof/>
          <w:sz w:val="20"/>
          <w:szCs w:val="20"/>
        </w:rPr>
      </w:pPr>
      <w:r>
        <w:rPr>
          <w:rFonts w:ascii="Arial" w:hAnsi="Arial" w:cs="Arial"/>
          <w:bCs/>
          <w:noProof/>
          <w:sz w:val="20"/>
          <w:szCs w:val="20"/>
        </w:rPr>
        <w:t>Directive on intra-corporate transfer</w:t>
      </w:r>
      <w:r>
        <w:rPr>
          <w:rFonts w:ascii="Arial" w:hAnsi="Arial" w:cs="Arial"/>
          <w:bCs/>
          <w:noProof/>
          <w:sz w:val="20"/>
          <w:szCs w:val="20"/>
          <w:vertAlign w:val="superscript"/>
        </w:rPr>
        <w:footnoteReference w:id="436"/>
      </w:r>
      <w:r>
        <w:rPr>
          <w:rFonts w:ascii="Arial" w:hAnsi="Arial" w:cs="Arial"/>
          <w:bCs/>
          <w:noProof/>
          <w:sz w:val="20"/>
          <w:szCs w:val="20"/>
        </w:rPr>
        <w:t>;</w:t>
      </w:r>
    </w:p>
    <w:p>
      <w:pPr>
        <w:pStyle w:val="ListParagraph"/>
        <w:numPr>
          <w:ilvl w:val="2"/>
          <w:numId w:val="115"/>
        </w:numPr>
        <w:spacing w:after="0"/>
        <w:jc w:val="both"/>
        <w:rPr>
          <w:rFonts w:ascii="Arial" w:hAnsi="Arial" w:cs="Arial"/>
          <w:noProof/>
          <w:sz w:val="20"/>
          <w:szCs w:val="20"/>
        </w:rPr>
      </w:pPr>
      <w:r>
        <w:rPr>
          <w:rFonts w:ascii="Arial" w:hAnsi="Arial" w:cs="Arial"/>
          <w:noProof/>
          <w:sz w:val="20"/>
          <w:szCs w:val="20"/>
        </w:rPr>
        <w:t>Directive</w:t>
      </w:r>
      <w:r>
        <w:rPr>
          <w:rFonts w:ascii="Arial" w:hAnsi="Arial" w:cs="Arial"/>
          <w:bCs/>
          <w:noProof/>
          <w:sz w:val="20"/>
        </w:rPr>
        <w:t xml:space="preserve"> on seasonal workers</w:t>
      </w:r>
      <w:r>
        <w:rPr>
          <w:rStyle w:val="FootnoteReference"/>
          <w:rFonts w:ascii="Arial" w:hAnsi="Arial" w:cs="Arial"/>
          <w:bCs/>
          <w:noProof/>
          <w:sz w:val="20"/>
        </w:rPr>
        <w:footnoteReference w:id="437"/>
      </w:r>
      <w:r>
        <w:rPr>
          <w:rFonts w:ascii="Arial" w:hAnsi="Arial" w:cs="Arial"/>
          <w:bCs/>
          <w:noProof/>
          <w:sz w:val="20"/>
        </w:rPr>
        <w:t>;</w:t>
      </w:r>
    </w:p>
    <w:p>
      <w:pPr>
        <w:pStyle w:val="ListParagraph"/>
        <w:numPr>
          <w:ilvl w:val="2"/>
          <w:numId w:val="115"/>
        </w:numPr>
        <w:spacing w:after="0"/>
        <w:jc w:val="both"/>
        <w:rPr>
          <w:rFonts w:ascii="Arial" w:hAnsi="Arial" w:cs="Arial"/>
          <w:noProof/>
          <w:sz w:val="20"/>
          <w:szCs w:val="20"/>
        </w:rPr>
      </w:pPr>
      <w:r>
        <w:rPr>
          <w:rFonts w:ascii="Arial" w:hAnsi="Arial" w:cs="Arial"/>
          <w:noProof/>
          <w:sz w:val="20"/>
          <w:szCs w:val="20"/>
        </w:rPr>
        <w:t>Procedural Rights Directives (right to interpretation and right to information)</w:t>
      </w:r>
      <w:r>
        <w:rPr>
          <w:rStyle w:val="FootnoteReference"/>
          <w:rFonts w:ascii="Arial" w:hAnsi="Arial" w:cs="Arial"/>
          <w:noProof/>
          <w:sz w:val="20"/>
          <w:szCs w:val="20"/>
        </w:rPr>
        <w:footnoteReference w:id="438"/>
      </w:r>
      <w:r>
        <w:rPr>
          <w:rFonts w:ascii="Arial" w:hAnsi="Arial" w:cs="Arial"/>
          <w:noProof/>
          <w:sz w:val="20"/>
          <w:szCs w:val="20"/>
        </w:rPr>
        <w:t>;</w:t>
      </w:r>
    </w:p>
    <w:p>
      <w:pPr>
        <w:pStyle w:val="ListParagraph"/>
        <w:numPr>
          <w:ilvl w:val="2"/>
          <w:numId w:val="115"/>
        </w:numPr>
        <w:spacing w:after="0"/>
        <w:jc w:val="both"/>
        <w:rPr>
          <w:rFonts w:ascii="Arial" w:hAnsi="Arial" w:cs="Arial"/>
          <w:noProof/>
          <w:sz w:val="20"/>
          <w:szCs w:val="20"/>
        </w:rPr>
      </w:pPr>
      <w:r>
        <w:rPr>
          <w:rFonts w:ascii="Arial" w:hAnsi="Arial" w:cs="Arial"/>
          <w:noProof/>
          <w:sz w:val="20"/>
          <w:szCs w:val="20"/>
        </w:rPr>
        <w:t>Nuclear Safety Directive</w:t>
      </w:r>
      <w:r>
        <w:rPr>
          <w:rStyle w:val="FootnoteReference"/>
          <w:rFonts w:ascii="Arial" w:hAnsi="Arial" w:cs="Arial"/>
          <w:noProof/>
          <w:sz w:val="20"/>
          <w:szCs w:val="20"/>
        </w:rPr>
        <w:footnoteReference w:id="439"/>
      </w:r>
      <w:r>
        <w:rPr>
          <w:rFonts w:ascii="Arial" w:hAnsi="Arial" w:cs="Arial"/>
          <w:noProof/>
          <w:sz w:val="20"/>
          <w:szCs w:val="20"/>
        </w:rPr>
        <w:t>.</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AnnualReport2"/>
        <w:numPr>
          <w:ilvl w:val="0"/>
          <w:numId w:val="51"/>
        </w:numPr>
        <w:ind w:left="709" w:hanging="425"/>
        <w:rPr>
          <w:noProof/>
        </w:rPr>
      </w:pPr>
      <w:r>
        <w:rPr>
          <w:noProof/>
        </w:rPr>
        <w:t>Court rulings</w:t>
      </w:r>
    </w:p>
    <w:p>
      <w:pPr>
        <w:ind w:firstLine="709"/>
        <w:jc w:val="both"/>
        <w:rPr>
          <w:rFonts w:ascii="Arial" w:hAnsi="Arial" w:cs="Arial"/>
          <w:noProof/>
          <w:sz w:val="20"/>
          <w:szCs w:val="20"/>
        </w:rPr>
      </w:pPr>
      <w:r>
        <w:rPr>
          <w:rFonts w:ascii="Arial" w:hAnsi="Arial" w:cs="Arial"/>
          <w:noProof/>
          <w:sz w:val="20"/>
          <w:szCs w:val="20"/>
        </w:rPr>
        <w:t>There were no major Court rulings in 2018.</w:t>
      </w:r>
    </w:p>
    <w:p>
      <w:pPr>
        <w:pStyle w:val="AnnualReport2"/>
        <w:numPr>
          <w:ilvl w:val="0"/>
          <w:numId w:val="51"/>
        </w:numPr>
        <w:ind w:left="709" w:hanging="425"/>
        <w:rPr>
          <w:noProof/>
        </w:rPr>
      </w:pPr>
      <w:r>
        <w:rPr>
          <w:noProof/>
        </w:rPr>
        <w:t>Preliminary rulings</w:t>
      </w:r>
    </w:p>
    <w:p>
      <w:pPr>
        <w:spacing w:after="120"/>
        <w:ind w:left="426" w:firstLine="294"/>
        <w:jc w:val="both"/>
        <w:rPr>
          <w:rFonts w:ascii="Arial" w:hAnsi="Arial" w:cs="Arial"/>
          <w:noProof/>
          <w:sz w:val="20"/>
        </w:rPr>
      </w:pPr>
      <w:r>
        <w:rPr>
          <w:rFonts w:ascii="Arial" w:hAnsi="Arial" w:cs="Arial"/>
          <w:noProof/>
          <w:sz w:val="20"/>
        </w:rPr>
        <w:t>The Court addressed the following preliminary rulings to the Lithuanian judiciary.</w:t>
      </w:r>
    </w:p>
    <w:p>
      <w:pPr>
        <w:pStyle w:val="ListParagraph"/>
        <w:numPr>
          <w:ilvl w:val="1"/>
          <w:numId w:val="115"/>
        </w:numPr>
        <w:spacing w:after="0"/>
        <w:jc w:val="both"/>
        <w:rPr>
          <w:rFonts w:eastAsia="Calibri"/>
          <w:noProof/>
        </w:rPr>
      </w:pPr>
      <w:r>
        <w:rPr>
          <w:rFonts w:ascii="Arial" w:hAnsi="Arial" w:cs="Arial"/>
          <w:noProof/>
          <w:sz w:val="20"/>
          <w:szCs w:val="20"/>
        </w:rPr>
        <w:t>Member States can decide to base the allocation of fishing quotas under the Common Fisheries Policy Regulation</w:t>
      </w:r>
      <w:r>
        <w:rPr>
          <w:rStyle w:val="FootnoteReference"/>
          <w:rFonts w:ascii="Arial" w:hAnsi="Arial" w:cs="Arial"/>
          <w:noProof/>
          <w:sz w:val="20"/>
          <w:szCs w:val="20"/>
        </w:rPr>
        <w:footnoteReference w:id="440"/>
      </w:r>
      <w:r>
        <w:rPr>
          <w:rFonts w:ascii="Arial" w:hAnsi="Arial" w:cs="Arial"/>
          <w:noProof/>
          <w:sz w:val="20"/>
          <w:szCs w:val="20"/>
        </w:rPr>
        <w:t xml:space="preserve"> in connection with the Charter of Fundamental Rights of the EU, on the criterion of historic catches, but not exclusively on that criterion. Such an allocation method is permitted if it pursues one or more general interests recognised by the EU and respects the principle of proportionality</w:t>
      </w:r>
      <w:r>
        <w:rPr>
          <w:rStyle w:val="FootnoteReference"/>
          <w:rFonts w:ascii="Arial" w:hAnsi="Arial" w:cs="Arial"/>
          <w:noProof/>
          <w:sz w:val="20"/>
          <w:szCs w:val="20"/>
        </w:rPr>
        <w:footnoteReference w:id="441"/>
      </w:r>
      <w:r>
        <w:rPr>
          <w:rFonts w:ascii="Arial" w:hAnsi="Arial" w:cs="Arial"/>
          <w:noProof/>
          <w:sz w:val="20"/>
          <w:szCs w:val="20"/>
        </w:rPr>
        <w:t>.</w:t>
      </w:r>
    </w:p>
    <w:p>
      <w:pPr>
        <w:pStyle w:val="ListParagraph"/>
        <w:numPr>
          <w:ilvl w:val="1"/>
          <w:numId w:val="115"/>
        </w:numPr>
        <w:spacing w:after="0"/>
        <w:jc w:val="both"/>
        <w:rPr>
          <w:rFonts w:eastAsia="Calibri"/>
          <w:noProof/>
          <w:sz w:val="20"/>
          <w:szCs w:val="20"/>
        </w:rPr>
      </w:pPr>
      <w:r>
        <w:rPr>
          <w:rFonts w:ascii="Arial" w:hAnsi="Arial" w:cs="Arial"/>
          <w:noProof/>
          <w:sz w:val="20"/>
          <w:szCs w:val="20"/>
        </w:rPr>
        <w:t>The ruling concerns the handling of potential collusion within a public procurement procedure. Although contracting authorities observing indications of potential collusion are obliged to verify them sufficiently, the related tenderers submitting offers in the same procedure are not obliged to spontaneously disclose details of their links</w:t>
      </w:r>
      <w:r>
        <w:rPr>
          <w:rStyle w:val="FootnoteReference"/>
          <w:rFonts w:ascii="Arial" w:hAnsi="Arial" w:cs="Arial"/>
          <w:noProof/>
          <w:sz w:val="20"/>
          <w:szCs w:val="20"/>
        </w:rPr>
        <w:footnoteReference w:id="442"/>
      </w:r>
      <w:r>
        <w:rPr>
          <w:rFonts w:ascii="Arial" w:hAnsi="Arial" w:cs="Arial"/>
          <w:noProof/>
          <w:sz w:val="20"/>
          <w:szCs w:val="20"/>
        </w:rPr>
        <w:t>.</w:t>
      </w:r>
    </w:p>
    <w:p>
      <w:pPr>
        <w:pStyle w:val="ListParagraph"/>
        <w:numPr>
          <w:ilvl w:val="1"/>
          <w:numId w:val="115"/>
        </w:numPr>
        <w:spacing w:after="0"/>
        <w:jc w:val="both"/>
        <w:rPr>
          <w:rFonts w:eastAsia="Calibri"/>
          <w:noProof/>
          <w:sz w:val="20"/>
          <w:szCs w:val="20"/>
        </w:rPr>
      </w:pPr>
      <w:r>
        <w:rPr>
          <w:rFonts w:ascii="Arial" w:hAnsi="Arial" w:cs="Arial"/>
          <w:noProof/>
          <w:sz w:val="20"/>
          <w:szCs w:val="20"/>
        </w:rPr>
        <w:t>Technical specifications in public procurement cannot be tailored to an individual provider. It is up to contracting authorities/entities to assure fair competition, either through a detailed technical description or functional specification, or by defining an outcome, or through a combination of them</w:t>
      </w:r>
      <w:r>
        <w:rPr>
          <w:rStyle w:val="FootnoteReference"/>
          <w:rFonts w:ascii="Arial" w:hAnsi="Arial" w:cs="Arial"/>
          <w:noProof/>
          <w:sz w:val="20"/>
          <w:szCs w:val="20"/>
        </w:rPr>
        <w:footnoteReference w:id="443"/>
      </w:r>
      <w:r>
        <w:rPr>
          <w:rFonts w:ascii="Arial" w:hAnsi="Arial" w:cs="Arial"/>
          <w:noProof/>
          <w:sz w:val="20"/>
          <w:szCs w:val="20"/>
        </w:rPr>
        <w:t>.</w:t>
      </w:r>
    </w:p>
    <w:p>
      <w:pPr>
        <w:spacing w:after="120"/>
        <w:ind w:left="1276" w:hanging="425"/>
        <w:contextualSpacing/>
        <w:rPr>
          <w:rFonts w:ascii="Arial" w:eastAsia="Calibri" w:hAnsi="Arial" w:cs="Arial"/>
          <w:noProof/>
          <w:kern w:val="20"/>
          <w:sz w:val="20"/>
          <w:szCs w:val="20"/>
        </w:rPr>
      </w:pPr>
    </w:p>
    <w:p>
      <w:pPr>
        <w:ind w:left="851"/>
        <w:rPr>
          <w:rFonts w:ascii="Arial" w:hAnsi="Arial" w:cs="Arial"/>
          <w:noProof/>
        </w:rPr>
        <w:sectPr>
          <w:headerReference w:type="even" r:id="rId268"/>
          <w:headerReference w:type="default" r:id="rId269"/>
          <w:footerReference w:type="even" r:id="rId270"/>
          <w:footerReference w:type="default" r:id="rId271"/>
          <w:headerReference w:type="first" r:id="rId272"/>
          <w:footerReference w:type="first" r:id="rId273"/>
          <w:footnotePr>
            <w:numRestart w:val="eachSect"/>
          </w:footnotePr>
          <w:pgSz w:w="11906" w:h="16838"/>
          <w:pgMar w:top="1843" w:right="1418" w:bottom="1134" w:left="1418" w:header="567" w:footer="352" w:gutter="0"/>
          <w:cols w:space="708"/>
          <w:titlePg/>
          <w:docGrid w:linePitch="360"/>
        </w:sectPr>
      </w:pPr>
    </w:p>
    <w:p>
      <w:pPr>
        <w:keepNext/>
        <w:keepLines/>
        <w:jc w:val="center"/>
        <w:outlineLvl w:val="0"/>
        <w:rPr>
          <w:rFonts w:ascii="Arial" w:eastAsia="SimSun" w:hAnsi="Arial"/>
          <w:bCs/>
          <w:noProof/>
          <w:color w:val="A6A6A6"/>
          <w:szCs w:val="28"/>
        </w:rPr>
      </w:pPr>
      <w:bookmarkStart w:id="127" w:name="_Toc475974655"/>
      <w:bookmarkStart w:id="128" w:name="_Toc475980151"/>
      <w:bookmarkStart w:id="129" w:name="_Toc475981400"/>
      <w:bookmarkStart w:id="130" w:name="_Toc484622332"/>
      <w:bookmarkStart w:id="131" w:name="_Toc5788370"/>
      <w:r>
        <w:rPr>
          <w:rFonts w:ascii="Arial" w:eastAsia="SimSun" w:hAnsi="Arial"/>
          <w:bCs/>
          <w:noProof/>
          <w:color w:val="A6A6A6"/>
          <w:szCs w:val="28"/>
        </w:rPr>
        <w:t>Luxembourg</w:t>
      </w:r>
      <w:bookmarkEnd w:id="127"/>
      <w:bookmarkEnd w:id="128"/>
      <w:bookmarkEnd w:id="129"/>
      <w:bookmarkEnd w:id="130"/>
      <w:bookmarkEnd w:id="131"/>
    </w:p>
    <w:p>
      <w:pPr>
        <w:pStyle w:val="AnnualReport1"/>
        <w:numPr>
          <w:ilvl w:val="0"/>
          <w:numId w:val="116"/>
        </w:numPr>
        <w:rPr>
          <w:noProof/>
        </w:rPr>
      </w:pPr>
      <w:r>
        <w:rPr>
          <w:noProof/>
        </w:rPr>
        <w:t>COMPLAINTS</w:t>
      </w:r>
    </w:p>
    <w:p>
      <w:pPr>
        <w:numPr>
          <w:ilvl w:val="2"/>
          <w:numId w:val="1"/>
        </w:numPr>
        <w:spacing w:before="240"/>
        <w:ind w:left="709" w:hanging="425"/>
        <w:outlineLvl w:val="1"/>
        <w:rPr>
          <w:rFonts w:ascii="Arial" w:hAnsi="Arial"/>
          <w:noProof/>
          <w:color w:val="002060"/>
        </w:rPr>
      </w:pPr>
      <w:r>
        <w:rPr>
          <w:rFonts w:ascii="Arial" w:hAnsi="Arial"/>
          <w:noProof/>
          <w:color w:val="002060"/>
        </w:rPr>
        <w:t>New complaints made against Luxembourg by members of the public (2014-2018)</w:t>
      </w:r>
    </w:p>
    <w:p>
      <w:pPr>
        <w:ind w:firstLine="709"/>
        <w:rPr>
          <w:rFonts w:ascii="Arial" w:hAnsi="Arial" w:cs="Arial"/>
          <w:noProof/>
          <w:sz w:val="20"/>
        </w:rPr>
      </w:pPr>
      <w:r>
        <w:rPr>
          <w:rFonts w:ascii="Arial" w:hAnsi="Arial" w:cs="Arial"/>
          <w:noProof/>
          <w:sz w:val="20"/>
          <w:lang w:eastAsia="en-GB"/>
        </w:rPr>
        <w:drawing>
          <wp:inline distT="0" distB="0" distL="0" distR="0">
            <wp:extent cx="4612005" cy="2210435"/>
            <wp:effectExtent l="0" t="0" r="17145" b="18415"/>
            <wp:docPr id="16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Public complaints against Luxembourg open at year-end</w:t>
      </w:r>
    </w:p>
    <w:tbl>
      <w:tblPr>
        <w:tblW w:w="0" w:type="auto"/>
        <w:jc w:val="center"/>
        <w:tblLook w:val="04A0" w:firstRow="1" w:lastRow="0" w:firstColumn="1" w:lastColumn="0" w:noHBand="0" w:noVBand="1"/>
      </w:tblPr>
      <w:tblGrid>
        <w:gridCol w:w="1697"/>
        <w:gridCol w:w="452"/>
        <w:gridCol w:w="5310"/>
      </w:tblGrid>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48</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end-2017</w:t>
            </w:r>
          </w:p>
        </w:tc>
      </w:tr>
      <w:tr>
        <w:trPr>
          <w:trHeight w:val="403"/>
          <w:jc w:val="center"/>
        </w:trPr>
        <w:tc>
          <w:tcPr>
            <w:tcW w:w="1697"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20</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New complaints registered in 2018</w:t>
            </w:r>
          </w:p>
        </w:tc>
      </w:tr>
      <w:tr>
        <w:trPr>
          <w:trHeight w:val="403"/>
          <w:jc w:val="center"/>
        </w:trPr>
        <w:tc>
          <w:tcPr>
            <w:tcW w:w="1697" w:type="dxa"/>
            <w:tcBorders>
              <w:bottom w:val="single" w:sz="24" w:space="0" w:color="548DD4"/>
            </w:tcBorders>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22</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handled in 2018</w:t>
            </w:r>
          </w:p>
        </w:tc>
      </w:tr>
      <w:tr>
        <w:trPr>
          <w:trHeight w:val="403"/>
          <w:jc w:val="center"/>
        </w:trPr>
        <w:tc>
          <w:tcPr>
            <w:tcW w:w="1697" w:type="dxa"/>
            <w:tcBorders>
              <w:top w:val="single" w:sz="24" w:space="0" w:color="548DD4"/>
            </w:tcBorders>
            <w:shd w:val="clear" w:color="auto" w:fill="auto"/>
            <w:vAlign w:val="center"/>
          </w:tcPr>
          <w:p>
            <w:pPr>
              <w:spacing w:after="0"/>
              <w:jc w:val="right"/>
              <w:rPr>
                <w:rFonts w:ascii="Arial" w:hAnsi="Arial" w:cs="Arial"/>
                <w:noProof/>
                <w:color w:val="C00000"/>
                <w:szCs w:val="28"/>
                <w:lang w:eastAsia="en-GB"/>
              </w:rPr>
            </w:pPr>
            <w:r>
              <w:rPr>
                <w:rFonts w:ascii="Arial" w:hAnsi="Arial" w:cs="Arial"/>
                <w:noProof/>
                <w:color w:val="C00000"/>
                <w:szCs w:val="28"/>
                <w:lang w:eastAsia="en-GB"/>
              </w:rPr>
              <w:t>= 46</w:t>
            </w:r>
          </w:p>
        </w:tc>
        <w:tc>
          <w:tcPr>
            <w:tcW w:w="452" w:type="dxa"/>
            <w:shd w:val="clear" w:color="auto" w:fill="auto"/>
            <w:vAlign w:val="center"/>
          </w:tcPr>
          <w:p>
            <w:pPr>
              <w:spacing w:after="0"/>
              <w:jc w:val="right"/>
              <w:rPr>
                <w:rFonts w:ascii="Arial" w:hAnsi="Arial" w:cs="Arial"/>
                <w:noProof/>
                <w:color w:val="548DD4"/>
                <w:szCs w:val="28"/>
                <w:lang w:eastAsia="en-GB"/>
              </w:rPr>
            </w:pPr>
            <w:r>
              <w:rPr>
                <w:rFonts w:ascii="Arial" w:hAnsi="Arial" w:cs="Arial"/>
                <w:noProof/>
                <w:color w:val="548DD4"/>
                <w:szCs w:val="28"/>
                <w:lang w:eastAsia="en-GB"/>
              </w:rPr>
              <w:t>&gt;</w:t>
            </w:r>
          </w:p>
        </w:tc>
        <w:tc>
          <w:tcPr>
            <w:tcW w:w="5310" w:type="dxa"/>
            <w:shd w:val="clear" w:color="auto" w:fill="auto"/>
            <w:vAlign w:val="center"/>
          </w:tcPr>
          <w:p>
            <w:pPr>
              <w:spacing w:after="0"/>
              <w:rPr>
                <w:rFonts w:ascii="Arial" w:hAnsi="Arial" w:cs="Arial"/>
                <w:noProof/>
                <w:color w:val="548DD4"/>
                <w:szCs w:val="28"/>
                <w:lang w:eastAsia="en-GB"/>
              </w:rPr>
            </w:pPr>
            <w:r>
              <w:rPr>
                <w:rFonts w:ascii="Arial" w:hAnsi="Arial" w:cs="Arial"/>
                <w:noProof/>
                <w:color w:val="548DD4"/>
                <w:szCs w:val="28"/>
                <w:lang w:eastAsia="en-GB"/>
              </w:rPr>
              <w:t>Complaints open at end-2018</w:t>
            </w:r>
          </w:p>
        </w:tc>
      </w:tr>
    </w:tbl>
    <w:p>
      <w:pPr>
        <w:numPr>
          <w:ilvl w:val="2"/>
          <w:numId w:val="1"/>
        </w:numPr>
        <w:spacing w:before="240"/>
        <w:ind w:left="709" w:hanging="425"/>
        <w:outlineLvl w:val="1"/>
        <w:rPr>
          <w:rFonts w:ascii="Arial" w:hAnsi="Arial"/>
          <w:noProof/>
          <w:color w:val="002060"/>
        </w:rPr>
      </w:pPr>
      <w:r>
        <w:rPr>
          <w:rFonts w:ascii="Arial" w:hAnsi="Arial"/>
          <w:noProof/>
          <w:color w:val="002060"/>
        </w:rPr>
        <w:t>New complaints registered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39005" cy="2353310"/>
            <wp:effectExtent l="0" t="0" r="4445" b="8890"/>
            <wp:docPr id="168" name="Grafie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pPr>
        <w:spacing w:after="200" w:line="276" w:lineRule="auto"/>
        <w:rPr>
          <w:rFonts w:ascii="Arial" w:hAnsi="Arial" w:cs="Arial"/>
          <w:noProof/>
          <w:sz w:val="20"/>
        </w:rPr>
      </w:pPr>
      <w:r>
        <w:rPr>
          <w:noProof/>
        </w:rPr>
        <w:br w:type="page"/>
      </w:r>
    </w:p>
    <w:p>
      <w:pPr>
        <w:keepNext/>
        <w:keepLines/>
        <w:numPr>
          <w:ilvl w:val="0"/>
          <w:numId w:val="1"/>
        </w:numPr>
        <w:spacing w:after="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numPr>
          <w:ilvl w:val="2"/>
          <w:numId w:val="1"/>
        </w:numPr>
        <w:spacing w:before="240"/>
        <w:ind w:left="709" w:hanging="425"/>
        <w:outlineLvl w:val="1"/>
        <w:rPr>
          <w:rFonts w:ascii="Arial" w:hAnsi="Arial"/>
          <w:noProof/>
          <w:color w:val="002060"/>
        </w:rPr>
      </w:pPr>
      <w:r>
        <w:rPr>
          <w:rFonts w:ascii="Arial" w:hAnsi="Arial"/>
          <w:noProof/>
          <w:color w:val="002060"/>
        </w:rPr>
        <w:t>New EU Pilot files opened against Luxembourg (2014-2018)</w:t>
      </w:r>
    </w:p>
    <w:p>
      <w:pPr>
        <w:tabs>
          <w:tab w:val="left" w:pos="0"/>
        </w:tabs>
        <w:ind w:firstLine="709"/>
        <w:rPr>
          <w:rFonts w:ascii="Arial" w:hAnsi="Arial" w:cs="Arial"/>
          <w:noProof/>
          <w:sz w:val="20"/>
        </w:rPr>
      </w:pPr>
      <w:r>
        <w:rPr>
          <w:rFonts w:ascii="Arial" w:hAnsi="Arial" w:cs="Arial"/>
          <w:noProof/>
          <w:sz w:val="20"/>
          <w:lang w:eastAsia="en-GB"/>
        </w:rPr>
        <w:drawing>
          <wp:inline distT="0" distB="0" distL="0" distR="0">
            <wp:extent cx="4596130" cy="2245360"/>
            <wp:effectExtent l="0" t="0" r="13970" b="2540"/>
            <wp:docPr id="1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Files relating to Luxembourg open in EU Pilot at year-end</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600575" cy="2228850"/>
            <wp:effectExtent l="0" t="0" r="9525" b="0"/>
            <wp:docPr id="170"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New EU Pilot files opened in 2018: main policy areas</w:t>
      </w:r>
    </w:p>
    <w:p>
      <w:pPr>
        <w:pStyle w:val="Body"/>
        <w:ind w:left="709" w:firstLine="0"/>
        <w:jc w:val="both"/>
        <w:rPr>
          <w:noProof/>
        </w:rPr>
      </w:pPr>
      <w:r>
        <w:rPr>
          <w:noProof/>
        </w:rPr>
        <w:t>In 2018, the Commission opened two EU Pilot files against Luxembourg in the area of energy.</w:t>
      </w:r>
    </w:p>
    <w:p>
      <w:pPr>
        <w:numPr>
          <w:ilvl w:val="2"/>
          <w:numId w:val="1"/>
        </w:numPr>
        <w:spacing w:before="240"/>
        <w:ind w:left="709" w:hanging="425"/>
        <w:outlineLvl w:val="1"/>
        <w:rPr>
          <w:rFonts w:ascii="Arial" w:hAnsi="Arial"/>
          <w:noProof/>
          <w:color w:val="002060"/>
        </w:rPr>
      </w:pPr>
      <w:r>
        <w:rPr>
          <w:rFonts w:ascii="Arial" w:hAnsi="Arial"/>
          <w:noProof/>
          <w:color w:val="002060"/>
        </w:rPr>
        <w:t>EU Pilot files: Luxembourg’s resolution rate in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56125" cy="2223135"/>
            <wp:effectExtent l="0" t="0" r="15875" b="5715"/>
            <wp:docPr id="172"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pPr>
        <w:keepNext/>
        <w:keepLines/>
        <w:numPr>
          <w:ilvl w:val="0"/>
          <w:numId w:val="1"/>
        </w:numPr>
        <w:spacing w:before="360"/>
        <w:ind w:left="709"/>
        <w:outlineLvl w:val="1"/>
        <w:rPr>
          <w:rFonts w:ascii="Arial" w:eastAsia="MS Gothic" w:hAnsi="Arial" w:cs="Arial"/>
          <w:noProof/>
          <w:color w:val="4F81BD"/>
          <w:kern w:val="20"/>
          <w:szCs w:val="24"/>
        </w:rPr>
      </w:pPr>
      <w:r>
        <w:rPr>
          <w:rFonts w:ascii="Arial" w:eastAsia="MS Gothic" w:hAnsi="Arial" w:cs="Arial"/>
          <w:caps/>
          <w:noProof/>
          <w:color w:val="4F81BD"/>
          <w:kern w:val="20"/>
          <w:szCs w:val="24"/>
        </w:rPr>
        <w:t>INFRINGEMENT</w:t>
      </w:r>
      <w:r>
        <w:rPr>
          <w:rFonts w:ascii="Arial" w:eastAsia="MS Gothic" w:hAnsi="Arial" w:cs="Arial"/>
          <w:noProof/>
          <w:color w:val="4F81BD"/>
          <w:kern w:val="20"/>
          <w:szCs w:val="24"/>
        </w:rPr>
        <w:t xml:space="preserve"> CASES</w:t>
      </w:r>
    </w:p>
    <w:p>
      <w:pPr>
        <w:numPr>
          <w:ilvl w:val="2"/>
          <w:numId w:val="1"/>
        </w:numPr>
        <w:spacing w:before="240"/>
        <w:ind w:left="709" w:hanging="425"/>
        <w:outlineLvl w:val="1"/>
        <w:rPr>
          <w:rFonts w:ascii="Arial" w:hAnsi="Arial"/>
          <w:noProof/>
          <w:color w:val="002060"/>
        </w:rPr>
      </w:pPr>
      <w:r>
        <w:rPr>
          <w:rFonts w:ascii="Arial" w:hAnsi="Arial"/>
          <w:noProof/>
          <w:color w:val="002060"/>
        </w:rPr>
        <w:t>Infringement cases against Luxembourg open on 31 December (2014-2018)</w:t>
      </w:r>
    </w:p>
    <w:p>
      <w:pPr>
        <w:spacing w:after="120"/>
        <w:ind w:firstLine="709"/>
        <w:rPr>
          <w:rFonts w:ascii="Arial" w:hAnsi="Arial" w:cs="Arial"/>
          <w:noProof/>
          <w:color w:val="002060"/>
        </w:rPr>
      </w:pPr>
      <w:r>
        <w:rPr>
          <w:rFonts w:ascii="Arial" w:hAnsi="Arial" w:cs="Arial"/>
          <w:noProof/>
          <w:sz w:val="20"/>
          <w:lang w:eastAsia="en-GB"/>
        </w:rPr>
        <w:drawing>
          <wp:inline distT="0" distB="0" distL="0" distR="0">
            <wp:extent cx="4587875" cy="2146935"/>
            <wp:effectExtent l="0" t="0" r="0" b="0"/>
            <wp:docPr id="17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New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56760" cy="2368550"/>
            <wp:effectExtent l="0" t="0" r="15240" b="12700"/>
            <wp:docPr id="174" name="Object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pPr>
        <w:numPr>
          <w:ilvl w:val="2"/>
          <w:numId w:val="1"/>
        </w:numPr>
        <w:spacing w:before="240"/>
        <w:ind w:left="709" w:hanging="425"/>
        <w:outlineLvl w:val="1"/>
        <w:rPr>
          <w:rFonts w:ascii="Arial" w:hAnsi="Arial"/>
          <w:noProof/>
          <w:color w:val="002060"/>
        </w:rPr>
      </w:pPr>
      <w:r>
        <w:rPr>
          <w:rFonts w:ascii="Arial" w:hAnsi="Arial"/>
          <w:noProof/>
          <w:color w:val="002060"/>
        </w:rPr>
        <w:t>Key infringement cases and referrals to the Court</w:t>
      </w:r>
    </w:p>
    <w:p>
      <w:pPr>
        <w:numPr>
          <w:ilvl w:val="0"/>
          <w:numId w:val="93"/>
        </w:numPr>
        <w:ind w:left="1276" w:hanging="425"/>
        <w:jc w:val="both"/>
        <w:rPr>
          <w:rFonts w:ascii="Arial" w:hAnsi="Arial" w:cs="Arial"/>
          <w:noProof/>
          <w:sz w:val="20"/>
          <w:szCs w:val="20"/>
        </w:rPr>
      </w:pPr>
      <w:r>
        <w:rPr>
          <w:rFonts w:ascii="Arial" w:hAnsi="Arial" w:cs="Arial"/>
          <w:noProof/>
          <w:sz w:val="20"/>
          <w:szCs w:val="20"/>
        </w:rPr>
        <w:t>The Commission opened 32 new infringement cases against Luxembourg in 2018. These, and other major ongoing infringement cases, include:</w:t>
      </w:r>
    </w:p>
    <w:p>
      <w:pPr>
        <w:pStyle w:val="ListParagraph"/>
        <w:numPr>
          <w:ilvl w:val="0"/>
          <w:numId w:val="126"/>
        </w:numPr>
        <w:ind w:left="1701"/>
        <w:jc w:val="both"/>
        <w:rPr>
          <w:rFonts w:ascii="Arial" w:hAnsi="Arial" w:cs="Arial"/>
          <w:noProof/>
          <w:sz w:val="20"/>
          <w:szCs w:val="20"/>
        </w:rPr>
      </w:pPr>
      <w:r>
        <w:rPr>
          <w:rFonts w:ascii="Arial" w:hAnsi="Arial" w:cs="Arial"/>
          <w:noProof/>
          <w:sz w:val="20"/>
          <w:szCs w:val="20"/>
        </w:rPr>
        <w:t>non-conformity of national transposition measures with the Directive on the recognition of professional qualifications;</w:t>
      </w:r>
      <w:r>
        <w:rPr>
          <w:rStyle w:val="FootnoteReference"/>
          <w:rFonts w:ascii="Arial" w:hAnsi="Arial" w:cs="Arial"/>
          <w:noProof/>
          <w:sz w:val="20"/>
          <w:szCs w:val="20"/>
        </w:rPr>
        <w:footnoteReference w:id="444"/>
      </w:r>
    </w:p>
    <w:p>
      <w:pPr>
        <w:pStyle w:val="ListParagraph"/>
        <w:numPr>
          <w:ilvl w:val="0"/>
          <w:numId w:val="126"/>
        </w:numPr>
        <w:ind w:left="1701"/>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Commision Directive amending the Directive on quality system standards and specifications for blood establishments</w:t>
      </w:r>
      <w:r>
        <w:rPr>
          <w:rFonts w:ascii="Arial" w:hAnsi="Arial" w:cs="Arial"/>
          <w:noProof/>
          <w:sz w:val="20"/>
          <w:szCs w:val="20"/>
          <w:vertAlign w:val="superscript"/>
        </w:rPr>
        <w:footnoteReference w:id="445"/>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Directive on protective measures against the introduction into the Community of organisms harmful to plants</w:t>
      </w:r>
      <w:r>
        <w:rPr>
          <w:rFonts w:ascii="Arial" w:hAnsi="Arial" w:cs="Arial"/>
          <w:noProof/>
          <w:sz w:val="20"/>
          <w:szCs w:val="20"/>
          <w:vertAlign w:val="superscript"/>
        </w:rPr>
        <w:footnoteReference w:id="446"/>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Payment Services Directive</w:t>
      </w:r>
      <w:r>
        <w:rPr>
          <w:rFonts w:ascii="Arial" w:hAnsi="Arial" w:cs="Arial"/>
          <w:noProof/>
          <w:sz w:val="20"/>
          <w:szCs w:val="20"/>
          <w:vertAlign w:val="superscript"/>
        </w:rPr>
        <w:footnoteReference w:id="447"/>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Insurance Distribution Directive</w:t>
      </w:r>
      <w:r>
        <w:rPr>
          <w:rFonts w:ascii="Arial" w:hAnsi="Arial" w:cs="Arial"/>
          <w:noProof/>
          <w:sz w:val="20"/>
          <w:szCs w:val="20"/>
          <w:vertAlign w:val="superscript"/>
        </w:rPr>
        <w:footnoteReference w:id="448"/>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revised Markets in Financial Instruments Directive</w:t>
      </w:r>
      <w:r>
        <w:rPr>
          <w:rStyle w:val="FootnoteReference"/>
          <w:rFonts w:ascii="Arial" w:hAnsi="Arial" w:cs="Arial"/>
          <w:noProof/>
        </w:rPr>
        <w:footnoteReference w:id="449"/>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Basic Safety Standards Directive</w:t>
      </w:r>
      <w:r>
        <w:rPr>
          <w:rFonts w:ascii="Arial" w:hAnsi="Arial" w:cs="Arial"/>
          <w:noProof/>
          <w:sz w:val="20"/>
          <w:szCs w:val="20"/>
          <w:vertAlign w:val="superscript"/>
        </w:rPr>
        <w:footnoteReference w:id="450"/>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Directive on the limitation of emissions of certain pollutants into the air from medium combustion plants</w:t>
      </w:r>
      <w:r>
        <w:rPr>
          <w:rStyle w:val="FootnoteReference"/>
          <w:rFonts w:ascii="Arial" w:hAnsi="Arial" w:cs="Arial"/>
          <w:noProof/>
          <w:sz w:val="20"/>
          <w:szCs w:val="20"/>
        </w:rPr>
        <w:footnoteReference w:id="451"/>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Directive on security of network and information systems</w:t>
      </w:r>
      <w:r>
        <w:rPr>
          <w:rStyle w:val="FootnoteReference"/>
          <w:rFonts w:ascii="Arial" w:hAnsi="Arial" w:cs="Arial"/>
          <w:noProof/>
          <w:sz w:val="20"/>
          <w:szCs w:val="20"/>
        </w:rPr>
        <w:footnoteReference w:id="452"/>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Directive on the accessibility of the websites and mobile applications of public sector bodies</w:t>
      </w:r>
      <w:r>
        <w:rPr>
          <w:rStyle w:val="FootnoteReference"/>
          <w:rFonts w:ascii="Arial" w:hAnsi="Arial" w:cs="Arial"/>
          <w:noProof/>
          <w:sz w:val="20"/>
          <w:szCs w:val="20"/>
        </w:rPr>
        <w:footnoteReference w:id="453"/>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Directive on certain permitted uses of certain works and other subject matter protected by copyright and related rights for the benefit of persons who are blind, visually impaired or otherwise print-disabled</w:t>
      </w:r>
      <w:r>
        <w:rPr>
          <w:rStyle w:val="FootnoteReference"/>
          <w:rFonts w:ascii="Arial" w:hAnsi="Arial" w:cs="Arial"/>
          <w:noProof/>
          <w:sz w:val="20"/>
          <w:szCs w:val="20"/>
        </w:rPr>
        <w:footnoteReference w:id="454"/>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Package Travel Directive</w:t>
      </w:r>
      <w:r>
        <w:rPr>
          <w:rStyle w:val="FootnoteReference"/>
          <w:rFonts w:ascii="Arial" w:hAnsi="Arial" w:cs="Arial"/>
          <w:noProof/>
          <w:sz w:val="20"/>
          <w:szCs w:val="20"/>
        </w:rPr>
        <w:footnoteReference w:id="455"/>
      </w:r>
      <w:r>
        <w:rPr>
          <w:rFonts w:ascii="Arial" w:hAnsi="Arial" w:cs="Arial"/>
          <w:noProof/>
          <w:sz w:val="20"/>
          <w:szCs w:val="20"/>
        </w:rPr>
        <w:t>;</w:t>
      </w:r>
    </w:p>
    <w:p>
      <w:pPr>
        <w:pStyle w:val="ListParagraph"/>
        <w:numPr>
          <w:ilvl w:val="1"/>
          <w:numId w:val="126"/>
        </w:numPr>
        <w:ind w:left="2268"/>
        <w:jc w:val="both"/>
        <w:rPr>
          <w:rFonts w:ascii="Arial" w:hAnsi="Arial" w:cs="Arial"/>
          <w:noProof/>
          <w:sz w:val="20"/>
          <w:szCs w:val="20"/>
        </w:rPr>
      </w:pPr>
      <w:r>
        <w:rPr>
          <w:rFonts w:ascii="Arial" w:hAnsi="Arial" w:cs="Arial"/>
          <w:noProof/>
          <w:sz w:val="20"/>
          <w:szCs w:val="20"/>
        </w:rPr>
        <w:t>Directive on the European Investigation Order</w:t>
      </w:r>
      <w:r>
        <w:rPr>
          <w:rStyle w:val="FootnoteReference"/>
          <w:rFonts w:ascii="Arial" w:hAnsi="Arial" w:cs="Arial"/>
          <w:noProof/>
          <w:sz w:val="20"/>
          <w:szCs w:val="20"/>
        </w:rPr>
        <w:footnoteReference w:id="456"/>
      </w:r>
      <w:r>
        <w:rPr>
          <w:rFonts w:ascii="Arial" w:hAnsi="Arial" w:cs="Arial"/>
          <w:noProof/>
          <w:sz w:val="20"/>
          <w:szCs w:val="20"/>
        </w:rPr>
        <w:t>.</w:t>
      </w:r>
    </w:p>
    <w:p>
      <w:pPr>
        <w:numPr>
          <w:ilvl w:val="0"/>
          <w:numId w:val="93"/>
        </w:numPr>
        <w:ind w:left="1276" w:hanging="425"/>
        <w:jc w:val="both"/>
        <w:rPr>
          <w:rFonts w:ascii="Arial" w:hAnsi="Arial" w:cs="Arial"/>
          <w:noProof/>
          <w:sz w:val="20"/>
          <w:szCs w:val="20"/>
        </w:rPr>
      </w:pPr>
      <w:r>
        <w:rPr>
          <w:rFonts w:ascii="Arial" w:hAnsi="Arial" w:cs="Arial"/>
          <w:noProof/>
          <w:sz w:val="20"/>
          <w:szCs w:val="20"/>
        </w:rPr>
        <w:t>The Commission did not refer any cases to the Court under Article 258 TFEU:</w:t>
      </w:r>
    </w:p>
    <w:p>
      <w:pPr>
        <w:numPr>
          <w:ilvl w:val="0"/>
          <w:numId w:val="93"/>
        </w:numPr>
        <w:ind w:left="1276" w:hanging="425"/>
        <w:jc w:val="both"/>
        <w:rPr>
          <w:noProof/>
        </w:rPr>
      </w:pPr>
      <w:r>
        <w:rPr>
          <w:rFonts w:ascii="Arial" w:hAnsi="Arial" w:cs="Arial"/>
          <w:noProof/>
          <w:sz w:val="20"/>
          <w:szCs w:val="20"/>
        </w:rPr>
        <w:t>The Commission did not refer any cases to the Court under Article 260(2) TFEU.</w:t>
      </w:r>
    </w:p>
    <w:p>
      <w:pPr>
        <w:keepNext/>
        <w:keepLines/>
        <w:numPr>
          <w:ilvl w:val="0"/>
          <w:numId w:val="1"/>
        </w:numPr>
        <w:spacing w:before="36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numPr>
          <w:ilvl w:val="0"/>
          <w:numId w:val="77"/>
        </w:numPr>
        <w:spacing w:before="240"/>
        <w:ind w:left="709"/>
        <w:outlineLvl w:val="1"/>
        <w:rPr>
          <w:rFonts w:ascii="Arial" w:hAnsi="Arial"/>
          <w:noProof/>
          <w:color w:val="002060"/>
        </w:rPr>
      </w:pPr>
      <w:r>
        <w:rPr>
          <w:rFonts w:ascii="Arial" w:hAnsi="Arial"/>
          <w:noProof/>
          <w:color w:val="002060"/>
        </w:rPr>
        <w:t>Late transposition infringement cases against Luxembourg open on 31 December (2014-2018)</w:t>
      </w:r>
    </w:p>
    <w:p>
      <w:pPr>
        <w:ind w:left="426" w:firstLine="283"/>
        <w:rPr>
          <w:noProof/>
        </w:rPr>
      </w:pPr>
      <w:r>
        <w:rPr>
          <w:noProof/>
          <w:lang w:eastAsia="en-GB"/>
        </w:rPr>
        <w:drawing>
          <wp:inline distT="0" distB="0" distL="0" distR="0">
            <wp:extent cx="4596130" cy="2321560"/>
            <wp:effectExtent l="0" t="0" r="0" b="0"/>
            <wp:docPr id="943"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pPr>
        <w:spacing w:after="0" w:line="240" w:lineRule="auto"/>
        <w:rPr>
          <w:rFonts w:ascii="Arial" w:hAnsi="Arial"/>
          <w:noProof/>
          <w:color w:val="002060"/>
        </w:rPr>
      </w:pPr>
      <w:r>
        <w:rPr>
          <w:rFonts w:ascii="Arial" w:hAnsi="Arial"/>
          <w:noProof/>
          <w:color w:val="002060"/>
        </w:rPr>
        <w:br w:type="page"/>
      </w:r>
    </w:p>
    <w:p>
      <w:pPr>
        <w:numPr>
          <w:ilvl w:val="0"/>
          <w:numId w:val="77"/>
        </w:numPr>
        <w:spacing w:before="240"/>
        <w:ind w:left="709" w:hanging="425"/>
        <w:outlineLvl w:val="1"/>
        <w:rPr>
          <w:rFonts w:ascii="Arial" w:hAnsi="Arial"/>
          <w:noProof/>
          <w:color w:val="002060"/>
        </w:rPr>
      </w:pPr>
      <w:r>
        <w:rPr>
          <w:rFonts w:ascii="Arial" w:hAnsi="Arial"/>
          <w:noProof/>
          <w:color w:val="002060"/>
        </w:rPr>
        <w:t>New late transposition infringement cases against Luxembourg (2014-2018)</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596130" cy="2321560"/>
            <wp:effectExtent l="0" t="0" r="13970" b="2540"/>
            <wp:docPr id="942" name="Grafie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pPr>
        <w:numPr>
          <w:ilvl w:val="0"/>
          <w:numId w:val="77"/>
        </w:numPr>
        <w:spacing w:before="240"/>
        <w:ind w:left="709" w:hanging="425"/>
        <w:outlineLvl w:val="1"/>
        <w:rPr>
          <w:rFonts w:ascii="Arial" w:hAnsi="Arial"/>
          <w:noProof/>
          <w:color w:val="002060"/>
        </w:rPr>
      </w:pPr>
      <w:r>
        <w:rPr>
          <w:rFonts w:ascii="Arial" w:hAnsi="Arial"/>
          <w:noProof/>
          <w:color w:val="002060"/>
        </w:rPr>
        <w:t>New late transposition infringement cases opened in 2018: main policy areas</w:t>
      </w:r>
    </w:p>
    <w:p>
      <w:pPr>
        <w:spacing w:after="120"/>
        <w:ind w:firstLine="709"/>
        <w:rPr>
          <w:rFonts w:ascii="Arial" w:hAnsi="Arial" w:cs="Arial"/>
          <w:noProof/>
          <w:sz w:val="20"/>
        </w:rPr>
      </w:pPr>
      <w:r>
        <w:rPr>
          <w:rFonts w:ascii="Arial" w:hAnsi="Arial" w:cs="Arial"/>
          <w:noProof/>
          <w:sz w:val="20"/>
          <w:lang w:eastAsia="en-GB"/>
        </w:rPr>
        <w:drawing>
          <wp:inline distT="0" distB="0" distL="0" distR="0">
            <wp:extent cx="4763135" cy="2337435"/>
            <wp:effectExtent l="0" t="0" r="18415" b="5715"/>
            <wp:docPr id="941" name="Object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pPr>
        <w:numPr>
          <w:ilvl w:val="0"/>
          <w:numId w:val="77"/>
        </w:numPr>
        <w:spacing w:before="240"/>
        <w:ind w:left="709" w:hanging="425"/>
        <w:outlineLvl w:val="1"/>
        <w:rPr>
          <w:rFonts w:ascii="Arial" w:hAnsi="Arial"/>
          <w:noProof/>
          <w:color w:val="002060"/>
        </w:rPr>
      </w:pPr>
      <w:r>
        <w:rPr>
          <w:rFonts w:ascii="Arial" w:hAnsi="Arial"/>
          <w:noProof/>
          <w:color w:val="002060"/>
        </w:rPr>
        <w:t>Referrals to the Court</w:t>
      </w:r>
    </w:p>
    <w:p>
      <w:pPr>
        <w:spacing w:after="120"/>
        <w:ind w:left="709"/>
        <w:jc w:val="both"/>
        <w:rPr>
          <w:rFonts w:ascii="Arial" w:eastAsia="Calibri" w:hAnsi="Arial" w:cs="Arial"/>
          <w:noProof/>
          <w:kern w:val="20"/>
          <w:sz w:val="20"/>
        </w:rPr>
      </w:pPr>
      <w:r>
        <w:rPr>
          <w:rFonts w:ascii="Arial" w:eastAsia="Calibri" w:hAnsi="Arial" w:cs="Arial"/>
          <w:noProof/>
          <w:kern w:val="20"/>
          <w:sz w:val="20"/>
        </w:rPr>
        <w:t xml:space="preserve">The Commission referred four cases to the Court under Articles 258 and 260(3) TFEU. They concern </w:t>
      </w:r>
      <w:r>
        <w:rPr>
          <w:rFonts w:ascii="Arial" w:eastAsia="Calibri" w:hAnsi="Arial" w:cs="Arial"/>
          <w:noProof/>
          <w:sz w:val="20"/>
        </w:rPr>
        <w:t>failure to communicate national measures transposing the Directives on</w:t>
      </w:r>
    </w:p>
    <w:p>
      <w:pPr>
        <w:pStyle w:val="ListParagraph"/>
        <w:numPr>
          <w:ilvl w:val="1"/>
          <w:numId w:val="14"/>
        </w:numPr>
        <w:spacing w:after="120"/>
        <w:ind w:left="1560"/>
        <w:jc w:val="both"/>
        <w:rPr>
          <w:rFonts w:ascii="Arial" w:eastAsia="Calibri" w:hAnsi="Arial" w:cs="Arial"/>
          <w:noProof/>
          <w:kern w:val="20"/>
          <w:sz w:val="20"/>
        </w:rPr>
      </w:pPr>
      <w:r>
        <w:rPr>
          <w:rFonts w:ascii="Arial" w:eastAsia="Calibri" w:hAnsi="Arial" w:cs="Arial"/>
          <w:noProof/>
          <w:sz w:val="20"/>
        </w:rPr>
        <w:t>collective management of copyright and related rights</w:t>
      </w:r>
      <w:r>
        <w:rPr>
          <w:rStyle w:val="FootnoteReference"/>
          <w:rFonts w:ascii="Arial" w:eastAsia="Calibri" w:hAnsi="Arial" w:cs="Arial"/>
          <w:noProof/>
          <w:sz w:val="20"/>
        </w:rPr>
        <w:footnoteReference w:id="457"/>
      </w:r>
      <w:r>
        <w:rPr>
          <w:rFonts w:ascii="Arial" w:eastAsia="Calibri" w:hAnsi="Arial" w:cs="Arial"/>
          <w:noProof/>
          <w:sz w:val="20"/>
        </w:rPr>
        <w:t>;</w:t>
      </w:r>
    </w:p>
    <w:p>
      <w:pPr>
        <w:pStyle w:val="ListParagraph"/>
        <w:numPr>
          <w:ilvl w:val="1"/>
          <w:numId w:val="14"/>
        </w:numPr>
        <w:spacing w:after="120"/>
        <w:ind w:left="1560"/>
        <w:jc w:val="both"/>
        <w:rPr>
          <w:rFonts w:ascii="Arial" w:eastAsia="Calibri" w:hAnsi="Arial" w:cs="Arial"/>
          <w:noProof/>
          <w:kern w:val="20"/>
          <w:sz w:val="20"/>
        </w:rPr>
      </w:pPr>
      <w:r>
        <w:rPr>
          <w:rFonts w:ascii="Arial" w:eastAsia="Calibri" w:hAnsi="Arial" w:cs="Arial"/>
          <w:noProof/>
          <w:sz w:val="20"/>
        </w:rPr>
        <w:t>the award of concession contracts</w:t>
      </w:r>
      <w:r>
        <w:rPr>
          <w:rStyle w:val="FootnoteReference"/>
          <w:rFonts w:ascii="Arial" w:eastAsia="Calibri" w:hAnsi="Arial" w:cs="Arial"/>
          <w:noProof/>
          <w:kern w:val="20"/>
          <w:sz w:val="20"/>
        </w:rPr>
        <w:footnoteReference w:id="458"/>
      </w:r>
      <w:r>
        <w:rPr>
          <w:rFonts w:ascii="Arial" w:eastAsia="Calibri" w:hAnsi="Arial" w:cs="Arial"/>
          <w:noProof/>
          <w:kern w:val="20"/>
          <w:sz w:val="20"/>
        </w:rPr>
        <w:t>;</w:t>
      </w:r>
    </w:p>
    <w:p>
      <w:pPr>
        <w:pStyle w:val="ListParagraph"/>
        <w:numPr>
          <w:ilvl w:val="1"/>
          <w:numId w:val="14"/>
        </w:numPr>
        <w:spacing w:after="120"/>
        <w:ind w:left="1560"/>
        <w:jc w:val="both"/>
        <w:rPr>
          <w:rFonts w:ascii="Arial" w:eastAsia="Calibri" w:hAnsi="Arial" w:cs="Arial"/>
          <w:noProof/>
          <w:kern w:val="20"/>
          <w:sz w:val="20"/>
        </w:rPr>
      </w:pPr>
      <w:r>
        <w:rPr>
          <w:rFonts w:ascii="Arial" w:hAnsi="Arial" w:cs="Arial"/>
          <w:noProof/>
          <w:sz w:val="20"/>
          <w:szCs w:val="20"/>
        </w:rPr>
        <w:t>public procurement</w:t>
      </w:r>
      <w:r>
        <w:rPr>
          <w:rStyle w:val="FootnoteReference"/>
          <w:rFonts w:ascii="Arial" w:hAnsi="Arial" w:cs="Arial"/>
          <w:noProof/>
          <w:sz w:val="20"/>
          <w:szCs w:val="20"/>
        </w:rPr>
        <w:footnoteReference w:id="459"/>
      </w:r>
      <w:r>
        <w:rPr>
          <w:rFonts w:ascii="Arial" w:hAnsi="Arial" w:cs="Arial"/>
          <w:noProof/>
          <w:sz w:val="20"/>
          <w:szCs w:val="20"/>
        </w:rPr>
        <w:t>;</w:t>
      </w:r>
    </w:p>
    <w:p>
      <w:pPr>
        <w:pStyle w:val="ListParagraph"/>
        <w:numPr>
          <w:ilvl w:val="1"/>
          <w:numId w:val="14"/>
        </w:numPr>
        <w:spacing w:after="0"/>
        <w:ind w:left="1560" w:hanging="357"/>
        <w:jc w:val="both"/>
        <w:rPr>
          <w:rFonts w:ascii="Arial" w:eastAsia="Calibri" w:hAnsi="Arial" w:cs="Arial"/>
          <w:noProof/>
          <w:kern w:val="20"/>
          <w:sz w:val="20"/>
        </w:rPr>
      </w:pPr>
      <w:r>
        <w:rPr>
          <w:rFonts w:ascii="Arial" w:eastAsia="Calibri" w:hAnsi="Arial" w:cs="Arial"/>
          <w:noProof/>
          <w:sz w:val="20"/>
        </w:rPr>
        <w:t>procurement by entities operating in the water, energy, transport and postal services sectors</w:t>
      </w:r>
      <w:r>
        <w:rPr>
          <w:rStyle w:val="FootnoteReference"/>
          <w:rFonts w:ascii="Arial" w:eastAsia="Calibri" w:hAnsi="Arial" w:cs="Arial"/>
          <w:noProof/>
          <w:sz w:val="20"/>
        </w:rPr>
        <w:footnoteReference w:id="460"/>
      </w:r>
      <w:r>
        <w:rPr>
          <w:rFonts w:ascii="Arial" w:eastAsia="Calibri" w:hAnsi="Arial" w:cs="Arial"/>
          <w:noProof/>
          <w:sz w:val="20"/>
        </w:rPr>
        <w:t>.</w:t>
      </w:r>
    </w:p>
    <w:p>
      <w:pPr>
        <w:keepNext/>
        <w:keepLines/>
        <w:numPr>
          <w:ilvl w:val="0"/>
          <w:numId w:val="1"/>
        </w:numPr>
        <w:spacing w:before="12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left="786" w:hanging="77"/>
        <w:outlineLvl w:val="1"/>
        <w:rPr>
          <w:rFonts w:ascii="Arial" w:hAnsi="Arial"/>
          <w:noProof/>
          <w:color w:val="002060"/>
        </w:rPr>
      </w:pPr>
      <w:r>
        <w:rPr>
          <w:rFonts w:ascii="Arial" w:hAnsi="Arial"/>
          <w:noProof/>
          <w:color w:val="002060"/>
        </w:rPr>
        <w:t>Major cases closed without a Court judgment in 2018</w:t>
      </w:r>
    </w:p>
    <w:p>
      <w:pPr>
        <w:spacing w:after="120"/>
        <w:ind w:firstLine="709"/>
        <w:jc w:val="both"/>
        <w:rPr>
          <w:rFonts w:ascii="Arial" w:hAnsi="Arial" w:cs="Arial"/>
          <w:noProof/>
          <w:sz w:val="20"/>
        </w:rPr>
      </w:pPr>
      <w:r>
        <w:rPr>
          <w:rFonts w:ascii="Arial" w:hAnsi="Arial" w:cs="Arial"/>
          <w:noProof/>
          <w:sz w:val="20"/>
        </w:rPr>
        <w:t xml:space="preserve">These concerned the following: </w:t>
      </w:r>
    </w:p>
    <w:p>
      <w:pPr>
        <w:pStyle w:val="ListParagraph"/>
        <w:numPr>
          <w:ilvl w:val="0"/>
          <w:numId w:val="127"/>
        </w:numPr>
        <w:ind w:left="1276"/>
        <w:jc w:val="both"/>
        <w:rPr>
          <w:rFonts w:ascii="Arial" w:hAnsi="Arial" w:cs="Arial"/>
          <w:noProof/>
          <w:sz w:val="20"/>
          <w:szCs w:val="20"/>
        </w:rPr>
      </w:pPr>
      <w:r>
        <w:rPr>
          <w:rFonts w:ascii="Arial" w:hAnsi="Arial" w:cs="Arial"/>
          <w:noProof/>
          <w:sz w:val="20"/>
          <w:szCs w:val="20"/>
        </w:rPr>
        <w:t>non-communication of national measures transposing the:</w:t>
      </w:r>
    </w:p>
    <w:p>
      <w:pPr>
        <w:pStyle w:val="ListParagraph"/>
        <w:numPr>
          <w:ilvl w:val="1"/>
          <w:numId w:val="127"/>
        </w:numPr>
        <w:spacing w:after="120"/>
        <w:ind w:left="1560" w:hanging="284"/>
        <w:jc w:val="both"/>
        <w:rPr>
          <w:rFonts w:ascii="Arial" w:hAnsi="Arial" w:cs="Arial"/>
          <w:noProof/>
          <w:sz w:val="20"/>
        </w:rPr>
      </w:pPr>
      <w:r>
        <w:rPr>
          <w:rFonts w:ascii="Arial" w:hAnsi="Arial" w:cs="Arial"/>
          <w:noProof/>
          <w:sz w:val="20"/>
        </w:rPr>
        <w:t>Commission Directive amending the Directive on quality system standards and specifications for blood establishments</w:t>
      </w:r>
      <w:r>
        <w:rPr>
          <w:noProof/>
          <w:vertAlign w:val="superscript"/>
          <w:lang w:val="nl-NL"/>
        </w:rPr>
        <w:footnoteReference w:id="461"/>
      </w:r>
      <w:r>
        <w:rPr>
          <w:rFonts w:ascii="Arial" w:hAnsi="Arial" w:cs="Arial"/>
          <w:noProof/>
          <w:sz w:val="20"/>
        </w:rPr>
        <w:t>;</w:t>
      </w:r>
    </w:p>
    <w:p>
      <w:pPr>
        <w:pStyle w:val="ListParagraph"/>
        <w:numPr>
          <w:ilvl w:val="1"/>
          <w:numId w:val="127"/>
        </w:numPr>
        <w:spacing w:after="120"/>
        <w:ind w:left="1560" w:hanging="284"/>
        <w:jc w:val="both"/>
        <w:rPr>
          <w:rFonts w:ascii="Arial" w:hAnsi="Arial" w:cs="Arial"/>
          <w:noProof/>
          <w:sz w:val="20"/>
        </w:rPr>
      </w:pPr>
      <w:r>
        <w:rPr>
          <w:rFonts w:ascii="Arial" w:hAnsi="Arial" w:cs="Arial"/>
          <w:noProof/>
          <w:sz w:val="20"/>
        </w:rPr>
        <w:t>Directive on protective measures against the introduction into the Community of organisms harmful to plants</w:t>
      </w:r>
      <w:r>
        <w:rPr>
          <w:rFonts w:ascii="Arial" w:hAnsi="Arial" w:cs="Arial"/>
          <w:noProof/>
          <w:sz w:val="20"/>
          <w:vertAlign w:val="superscript"/>
          <w:lang w:val="nl-NL"/>
        </w:rPr>
        <w:footnoteReference w:id="462"/>
      </w:r>
      <w:r>
        <w:rPr>
          <w:rFonts w:ascii="Arial" w:hAnsi="Arial" w:cs="Arial"/>
          <w:noProof/>
          <w:sz w:val="20"/>
          <w:lang w:val="en-US"/>
        </w:rPr>
        <w:t>;</w:t>
      </w:r>
    </w:p>
    <w:p>
      <w:pPr>
        <w:pStyle w:val="ListParagraph"/>
        <w:numPr>
          <w:ilvl w:val="1"/>
          <w:numId w:val="127"/>
        </w:numPr>
        <w:spacing w:after="120"/>
        <w:ind w:left="1560" w:hanging="284"/>
        <w:jc w:val="both"/>
        <w:rPr>
          <w:rFonts w:ascii="Arial" w:hAnsi="Arial" w:cs="Arial"/>
          <w:noProof/>
          <w:sz w:val="20"/>
        </w:rPr>
      </w:pPr>
      <w:r>
        <w:rPr>
          <w:rFonts w:ascii="Arial" w:eastAsia="Times New Roman" w:hAnsi="Arial" w:cs="Arial"/>
          <w:noProof/>
          <w:sz w:val="20"/>
          <w:szCs w:val="20"/>
          <w:lang w:eastAsia="en-GB"/>
        </w:rPr>
        <w:t>Mortgage Credit Directive</w:t>
      </w:r>
      <w:r>
        <w:rPr>
          <w:rFonts w:ascii="Arial" w:eastAsia="Times New Roman" w:hAnsi="Arial" w:cs="Arial"/>
          <w:noProof/>
          <w:sz w:val="20"/>
          <w:szCs w:val="20"/>
          <w:vertAlign w:val="superscript"/>
          <w:lang w:eastAsia="en-GB"/>
        </w:rPr>
        <w:footnoteReference w:id="463"/>
      </w:r>
      <w:r>
        <w:rPr>
          <w:rFonts w:ascii="Arial" w:eastAsia="Times New Roman" w:hAnsi="Arial" w:cs="Arial"/>
          <w:noProof/>
          <w:sz w:val="20"/>
          <w:szCs w:val="20"/>
          <w:lang w:eastAsia="en-GB"/>
        </w:rPr>
        <w:t>;</w:t>
      </w:r>
    </w:p>
    <w:p>
      <w:pPr>
        <w:pStyle w:val="ListParagraph"/>
        <w:numPr>
          <w:ilvl w:val="1"/>
          <w:numId w:val="127"/>
        </w:numPr>
        <w:spacing w:after="120"/>
        <w:ind w:left="1560" w:hanging="284"/>
        <w:jc w:val="both"/>
        <w:rPr>
          <w:rFonts w:ascii="Arial" w:hAnsi="Arial" w:cs="Arial"/>
          <w:noProof/>
          <w:sz w:val="20"/>
        </w:rPr>
      </w:pPr>
      <w:r>
        <w:rPr>
          <w:rFonts w:ascii="Arial" w:hAnsi="Arial" w:cs="Arial"/>
          <w:noProof/>
          <w:sz w:val="20"/>
        </w:rPr>
        <w:t>Broadband Cost Reduction Directive</w:t>
      </w:r>
      <w:r>
        <w:rPr>
          <w:rStyle w:val="FootnoteReference"/>
          <w:rFonts w:ascii="Arial" w:hAnsi="Arial" w:cs="Arial"/>
          <w:noProof/>
          <w:sz w:val="20"/>
        </w:rPr>
        <w:footnoteReference w:id="464"/>
      </w:r>
      <w:r>
        <w:rPr>
          <w:rFonts w:ascii="Arial" w:hAnsi="Arial" w:cs="Arial"/>
          <w:noProof/>
          <w:sz w:val="20"/>
        </w:rPr>
        <w:t>;</w:t>
      </w:r>
    </w:p>
    <w:p>
      <w:pPr>
        <w:pStyle w:val="ListParagraph"/>
        <w:numPr>
          <w:ilvl w:val="1"/>
          <w:numId w:val="127"/>
        </w:numPr>
        <w:spacing w:after="120"/>
        <w:ind w:left="1560" w:hanging="284"/>
        <w:jc w:val="both"/>
        <w:rPr>
          <w:rFonts w:ascii="Arial" w:hAnsi="Arial" w:cs="Arial"/>
          <w:noProof/>
          <w:sz w:val="20"/>
        </w:rPr>
      </w:pPr>
      <w:r>
        <w:rPr>
          <w:rFonts w:ascii="Arial" w:hAnsi="Arial" w:cs="Arial"/>
          <w:noProof/>
          <w:color w:val="000000"/>
          <w:sz w:val="20"/>
          <w:szCs w:val="20"/>
        </w:rPr>
        <w:t>Directive on mandatory automatic exchange of information in the field of taxation as regards Member State tax authorities' access to anti-money-laundering information</w:t>
      </w:r>
      <w:r>
        <w:rPr>
          <w:rStyle w:val="FootnoteReference"/>
          <w:rFonts w:ascii="Arial" w:hAnsi="Arial" w:cs="Arial"/>
          <w:noProof/>
          <w:color w:val="000000"/>
          <w:sz w:val="20"/>
          <w:szCs w:val="20"/>
        </w:rPr>
        <w:footnoteReference w:id="465"/>
      </w:r>
      <w:r>
        <w:rPr>
          <w:rFonts w:ascii="Arial" w:hAnsi="Arial" w:cs="Arial"/>
          <w:noProof/>
          <w:color w:val="000000"/>
          <w:sz w:val="20"/>
          <w:szCs w:val="20"/>
        </w:rPr>
        <w:t>;</w:t>
      </w:r>
    </w:p>
    <w:p>
      <w:pPr>
        <w:pStyle w:val="ListParagraph"/>
        <w:numPr>
          <w:ilvl w:val="1"/>
          <w:numId w:val="127"/>
        </w:numPr>
        <w:spacing w:after="120"/>
        <w:ind w:left="1560" w:hanging="284"/>
        <w:jc w:val="both"/>
        <w:rPr>
          <w:rFonts w:ascii="Arial" w:hAnsi="Arial" w:cs="Arial"/>
          <w:noProof/>
          <w:sz w:val="20"/>
        </w:rPr>
      </w:pPr>
      <w:r>
        <w:rPr>
          <w:rFonts w:ascii="Arial" w:hAnsi="Arial" w:cs="Arial"/>
          <w:noProof/>
          <w:color w:val="000000"/>
          <w:sz w:val="20"/>
          <w:szCs w:val="20"/>
        </w:rPr>
        <w:t>Directive on the assessment of the effects of certain public and private projects on the environment</w:t>
      </w:r>
      <w:r>
        <w:rPr>
          <w:rStyle w:val="FootnoteReference"/>
          <w:rFonts w:ascii="Arial" w:hAnsi="Arial" w:cs="Arial"/>
          <w:noProof/>
          <w:color w:val="000000"/>
          <w:sz w:val="20"/>
          <w:szCs w:val="20"/>
        </w:rPr>
        <w:footnoteReference w:id="466"/>
      </w:r>
      <w:r>
        <w:rPr>
          <w:rFonts w:ascii="Arial" w:hAnsi="Arial" w:cs="Arial"/>
          <w:noProof/>
          <w:color w:val="000000"/>
          <w:sz w:val="20"/>
          <w:szCs w:val="20"/>
        </w:rPr>
        <w:t>;</w:t>
      </w:r>
    </w:p>
    <w:p>
      <w:pPr>
        <w:pStyle w:val="ListParagraph"/>
        <w:numPr>
          <w:ilvl w:val="1"/>
          <w:numId w:val="127"/>
        </w:numPr>
        <w:spacing w:after="120"/>
        <w:ind w:left="1560" w:hanging="284"/>
        <w:jc w:val="both"/>
        <w:rPr>
          <w:rFonts w:ascii="Arial" w:hAnsi="Arial" w:cs="Arial"/>
          <w:noProof/>
          <w:sz w:val="20"/>
        </w:rPr>
      </w:pPr>
      <w:r>
        <w:rPr>
          <w:rFonts w:ascii="Arial" w:hAnsi="Arial" w:cs="Arial"/>
          <w:noProof/>
          <w:sz w:val="20"/>
          <w:szCs w:val="20"/>
        </w:rPr>
        <w:t>Directive on measures facilitating the exercise of rights conferred on workers in the context of freedom of movement for workers;</w:t>
      </w:r>
      <w:r>
        <w:rPr>
          <w:rStyle w:val="FootnoteReference"/>
          <w:rFonts w:ascii="Arial" w:hAnsi="Arial" w:cs="Arial"/>
          <w:noProof/>
        </w:rPr>
        <w:t xml:space="preserve"> </w:t>
      </w:r>
      <w:r>
        <w:rPr>
          <w:rStyle w:val="FootnoteReference"/>
          <w:rFonts w:ascii="Arial" w:hAnsi="Arial" w:cs="Arial"/>
          <w:noProof/>
        </w:rPr>
        <w:footnoteReference w:id="467"/>
      </w:r>
    </w:p>
    <w:p>
      <w:pPr>
        <w:pStyle w:val="ListParagraph"/>
        <w:numPr>
          <w:ilvl w:val="1"/>
          <w:numId w:val="127"/>
        </w:numPr>
        <w:spacing w:after="120"/>
        <w:ind w:left="1560" w:hanging="284"/>
        <w:jc w:val="both"/>
        <w:rPr>
          <w:rFonts w:ascii="Arial" w:hAnsi="Arial" w:cs="Arial"/>
          <w:noProof/>
          <w:sz w:val="20"/>
          <w:szCs w:val="20"/>
        </w:rPr>
      </w:pPr>
      <w:r>
        <w:rPr>
          <w:rFonts w:ascii="Arial" w:hAnsi="Arial" w:cs="Arial"/>
          <w:noProof/>
          <w:sz w:val="20"/>
          <w:szCs w:val="20"/>
        </w:rPr>
        <w:t>Procedural Rights Directives (right to interpretation and right to information)</w:t>
      </w:r>
      <w:r>
        <w:rPr>
          <w:rStyle w:val="FootnoteReference"/>
          <w:rFonts w:ascii="Arial" w:hAnsi="Arial" w:cs="Arial"/>
          <w:noProof/>
          <w:sz w:val="20"/>
          <w:szCs w:val="20"/>
        </w:rPr>
        <w:footnoteReference w:id="468"/>
      </w:r>
      <w:r>
        <w:rPr>
          <w:rFonts w:ascii="Arial" w:hAnsi="Arial" w:cs="Arial"/>
          <w:noProof/>
          <w:sz w:val="20"/>
          <w:szCs w:val="20"/>
        </w:rPr>
        <w:t xml:space="preserve">; </w:t>
      </w:r>
    </w:p>
    <w:p>
      <w:pPr>
        <w:pStyle w:val="ListParagraph"/>
        <w:numPr>
          <w:ilvl w:val="1"/>
          <w:numId w:val="127"/>
        </w:numPr>
        <w:spacing w:after="0"/>
        <w:ind w:left="1560" w:hanging="284"/>
        <w:jc w:val="both"/>
        <w:rPr>
          <w:rFonts w:ascii="Arial" w:hAnsi="Arial" w:cs="Arial"/>
          <w:bCs/>
          <w:noProof/>
          <w:sz w:val="20"/>
        </w:rPr>
      </w:pPr>
      <w:r>
        <w:rPr>
          <w:rFonts w:ascii="Arial" w:hAnsi="Arial" w:cs="Arial"/>
          <w:bCs/>
          <w:noProof/>
          <w:sz w:val="20"/>
        </w:rPr>
        <w:t>‘Swedish initiative’ on the exchange of information and intelligence between Member States’ law enforcement authorities</w:t>
      </w:r>
      <w:r>
        <w:rPr>
          <w:rStyle w:val="FootnoteReference"/>
          <w:rFonts w:ascii="Arial" w:hAnsi="Arial" w:cs="Arial"/>
          <w:bCs/>
          <w:noProof/>
          <w:sz w:val="20"/>
        </w:rPr>
        <w:footnoteReference w:id="469"/>
      </w:r>
      <w:r>
        <w:rPr>
          <w:rFonts w:ascii="Arial" w:hAnsi="Arial" w:cs="Arial"/>
          <w:bCs/>
          <w:noProof/>
          <w:sz w:val="20"/>
        </w:rPr>
        <w:t>.</w:t>
      </w:r>
    </w:p>
    <w:p>
      <w:pPr>
        <w:keepNext/>
        <w:keepLines/>
        <w:numPr>
          <w:ilvl w:val="0"/>
          <w:numId w:val="1"/>
        </w:numPr>
        <w:spacing w:before="240"/>
        <w:ind w:left="709" w:hanging="425"/>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numPr>
          <w:ilvl w:val="0"/>
          <w:numId w:val="78"/>
        </w:numPr>
        <w:spacing w:before="240"/>
        <w:ind w:left="709" w:hanging="425"/>
        <w:outlineLvl w:val="1"/>
        <w:rPr>
          <w:rFonts w:ascii="Arial" w:hAnsi="Arial"/>
          <w:noProof/>
          <w:color w:val="002060"/>
        </w:rPr>
      </w:pPr>
      <w:r>
        <w:rPr>
          <w:rFonts w:ascii="Arial" w:hAnsi="Arial"/>
          <w:noProof/>
          <w:color w:val="002060"/>
        </w:rPr>
        <w:t>Court rulings</w:t>
      </w:r>
      <w:r>
        <w:rPr>
          <w:rFonts w:ascii="Arial" w:hAnsi="Arial"/>
          <w:noProof/>
          <w:color w:val="002060"/>
          <w:vertAlign w:val="superscript"/>
        </w:rPr>
        <w:footnoteReference w:id="470"/>
      </w:r>
    </w:p>
    <w:p>
      <w:pPr>
        <w:ind w:firstLine="709"/>
        <w:jc w:val="both"/>
        <w:rPr>
          <w:rFonts w:ascii="Arial" w:hAnsi="Arial" w:cs="Arial"/>
          <w:noProof/>
        </w:rPr>
      </w:pPr>
      <w:r>
        <w:rPr>
          <w:rFonts w:ascii="Arial" w:hAnsi="Arial" w:cs="Arial"/>
          <w:noProof/>
          <w:sz w:val="20"/>
          <w:szCs w:val="20"/>
        </w:rPr>
        <w:t>There were no major Court rulings in 2018</w:t>
      </w:r>
      <w:r>
        <w:rPr>
          <w:rFonts w:ascii="Arial" w:hAnsi="Arial" w:cs="Arial"/>
          <w:noProof/>
        </w:rPr>
        <w:t>.</w:t>
      </w:r>
    </w:p>
    <w:p>
      <w:pPr>
        <w:numPr>
          <w:ilvl w:val="0"/>
          <w:numId w:val="78"/>
        </w:numPr>
        <w:spacing w:before="240"/>
        <w:ind w:left="709" w:hanging="425"/>
        <w:outlineLvl w:val="1"/>
        <w:rPr>
          <w:rFonts w:ascii="Arial" w:hAnsi="Arial"/>
          <w:noProof/>
          <w:color w:val="002060"/>
        </w:rPr>
      </w:pPr>
      <w:r>
        <w:rPr>
          <w:rFonts w:ascii="Arial" w:hAnsi="Arial"/>
          <w:noProof/>
          <w:color w:val="002060"/>
        </w:rPr>
        <w:t>Preliminary rulings</w:t>
      </w:r>
    </w:p>
    <w:p>
      <w:pPr>
        <w:ind w:left="1070" w:hanging="360"/>
        <w:jc w:val="both"/>
        <w:rPr>
          <w:rFonts w:ascii="Arial" w:hAnsi="Arial" w:cs="Arial"/>
          <w:noProof/>
          <w:sz w:val="20"/>
          <w:szCs w:val="20"/>
        </w:rPr>
      </w:pPr>
      <w:r>
        <w:rPr>
          <w:rFonts w:ascii="Arial" w:hAnsi="Arial" w:cs="Arial"/>
          <w:noProof/>
          <w:sz w:val="20"/>
          <w:szCs w:val="20"/>
        </w:rPr>
        <w:t>No major preliminary rulings were addressed to the Luxembourgish judiciary in 2018.</w:t>
      </w:r>
    </w:p>
    <w:sectPr>
      <w:headerReference w:type="even" r:id="rId284"/>
      <w:headerReference w:type="default" r:id="rId285"/>
      <w:footerReference w:type="even" r:id="rId286"/>
      <w:footerReference w:type="default" r:id="rId287"/>
      <w:headerReference w:type="first" r:id="rId288"/>
      <w:footerReference w:type="first" r:id="rId289"/>
      <w:footnotePr>
        <w:numRestart w:val="eachSect"/>
      </w:footnotePr>
      <w:type w:val="continuous"/>
      <w:pgSz w:w="11906" w:h="16838"/>
      <w:pgMar w:top="1843" w:right="1418" w:bottom="1134" w:left="1418" w:header="567"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w:t>
    </w:r>
    <w:r>
      <w:rPr>
        <w:rFonts w:ascii="Arial" w:hAnsi="Arial" w:cs="Arial"/>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10</w:t>
    </w:r>
    <w:r>
      <w:rPr>
        <w:rFonts w:ascii="Arial" w:hAnsi="Arial" w:cs="Arial"/>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22</w:t>
    </w:r>
    <w:r>
      <w:rPr>
        <w:rFonts w:ascii="Arial" w:hAnsi="Arial" w:cs="Arial"/>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w:t>
    </w:r>
    <w:r>
      <w:rPr>
        <w:rFonts w:ascii="Arial" w:hAnsi="Arial" w:cs="Arial"/>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28</w:t>
    </w:r>
    <w:r>
      <w:rPr>
        <w:rFonts w:ascii="Arial" w:hAnsi="Arial" w:cs="Arial"/>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23</w:t>
    </w:r>
    <w:r>
      <w:rPr>
        <w:rFonts w:ascii="Arial" w:hAnsi="Arial" w:cs="Arial"/>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37</w:t>
    </w:r>
    <w:r>
      <w:rPr>
        <w:rFonts w:ascii="Arial" w:hAnsi="Arial" w:cs="Arial"/>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29</w:t>
    </w:r>
    <w:r>
      <w:rPr>
        <w:rFonts w:ascii="Arial" w:hAnsi="Arial" w:cs="Arial"/>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43</w:t>
    </w:r>
    <w:r>
      <w:rPr>
        <w:rFonts w:ascii="Arial" w:hAnsi="Arial" w:cs="Arial"/>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38</w:t>
    </w:r>
    <w:r>
      <w:rPr>
        <w:rFonts w:ascii="Arial" w:hAnsi="Arial" w:cs="Arial"/>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51</w:t>
    </w:r>
    <w:r>
      <w:rPr>
        <w:rFonts w:ascii="Arial" w:hAnsi="Arial" w:cs="Arial"/>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44</w:t>
    </w:r>
    <w:r>
      <w:rPr>
        <w:rFonts w:ascii="Arial" w:hAnsi="Arial" w:cs="Arial"/>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58</w:t>
    </w:r>
    <w:r>
      <w:rPr>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52</w:t>
    </w:r>
    <w:r>
      <w:rPr>
        <w:rFonts w:ascii="Arial" w:hAnsi="Arial" w:cs="Arial"/>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66</w:t>
    </w:r>
    <w:r>
      <w:rPr>
        <w:rFonts w:ascii="Arial" w:hAnsi="Arial" w:cs="Arial"/>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59</w:t>
    </w:r>
    <w:r>
      <w:rPr>
        <w:rFonts w:ascii="Arial" w:hAnsi="Arial" w:cs="Arial"/>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73</w:t>
    </w:r>
    <w:r>
      <w:rPr>
        <w:rFonts w:ascii="Arial" w:hAnsi="Arial" w:cs="Arial"/>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67</w:t>
    </w:r>
    <w:r>
      <w:rPr>
        <w:rFonts w:ascii="Arial" w:hAnsi="Arial" w:cs="Arial"/>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79</w:t>
    </w:r>
    <w:r>
      <w:rPr>
        <w:rFonts w:ascii="Arial" w:hAnsi="Arial" w:cs="Arial"/>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74</w:t>
    </w:r>
    <w:r>
      <w:rPr>
        <w:rFonts w:ascii="Arial" w:hAnsi="Arial" w:cs="Aria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83</w:t>
    </w:r>
    <w:r>
      <w:rPr>
        <w:rFonts w:ascii="Arial" w:hAnsi="Arial" w:cs="Arial"/>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80</w:t>
    </w:r>
    <w:r>
      <w:rPr>
        <w:rFonts w:ascii="Arial" w:hAnsi="Arial" w:cs="Arial"/>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93</w:t>
    </w:r>
    <w:r>
      <w:rPr>
        <w:rFonts w:ascii="Arial" w:hAnsi="Arial" w:cs="Arial"/>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88</w:t>
    </w:r>
    <w:r>
      <w:rPr>
        <w:rFonts w:ascii="Arial" w:hAnsi="Arial" w:cs="Arial"/>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98</w:t>
    </w:r>
    <w:r>
      <w:rPr>
        <w:rFonts w:ascii="Arial" w:hAnsi="Arial" w:cs="Arial"/>
        <w:sz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94</w:t>
    </w:r>
    <w:r>
      <w:rPr>
        <w:rFonts w:ascii="Arial" w:hAnsi="Arial" w:cs="Arial"/>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104</w:t>
    </w:r>
    <w:r>
      <w:rPr>
        <w:rFonts w:ascii="Arial" w:hAnsi="Arial" w:cs="Arial"/>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99</w:t>
    </w:r>
    <w:r>
      <w:rPr>
        <w:rFonts w:ascii="Arial" w:hAnsi="Arial" w:cs="Arial"/>
        <w:sz w:val="18"/>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110</w:t>
    </w:r>
    <w:r>
      <w:rPr>
        <w:rFonts w:ascii="Arial" w:hAnsi="Arial" w:cs="Arial"/>
        <w:sz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105</w:t>
    </w:r>
    <w:r>
      <w:rPr>
        <w:rFonts w:ascii="Arial" w:hAnsi="Arial" w:cs="Arial"/>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w:t>
    </w:r>
    <w:r>
      <w:rPr>
        <w:rFonts w:ascii="Arial" w:hAnsi="Arial" w:cs="Arial"/>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3</w:t>
    </w:r>
    <w:r>
      <w:rPr>
        <w:rFonts w:ascii="Arial" w:hAnsi="Arial" w:cs="Arial"/>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2</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rPr>
        <w:footnoteRef/>
      </w:r>
      <w:r>
        <w:t xml:space="preserve"> </w:t>
      </w:r>
      <w:r>
        <w:tab/>
        <w:t xml:space="preserve">Decision (EU) </w:t>
      </w:r>
      <w:hyperlink r:id="rId1" w:history="1">
        <w:r>
          <w:rPr>
            <w:rStyle w:val="Hyperlink"/>
          </w:rPr>
          <w:t>2017/899.</w:t>
        </w:r>
      </w:hyperlink>
    </w:p>
  </w:footnote>
  <w:footnote w:id="3">
    <w:p>
      <w:pPr>
        <w:pStyle w:val="FootnoteText"/>
      </w:pPr>
      <w:r>
        <w:rPr>
          <w:rStyle w:val="FootnoteReference"/>
        </w:rPr>
        <w:footnoteRef/>
      </w:r>
      <w:r>
        <w:t xml:space="preserve"> </w:t>
      </w:r>
      <w:r>
        <w:tab/>
        <w:t xml:space="preserve">Directive </w:t>
      </w:r>
      <w:hyperlink r:id="rId2" w:history="1">
        <w:r>
          <w:rPr>
            <w:rStyle w:val="Hyperlink"/>
          </w:rPr>
          <w:t>2005/36/EC</w:t>
        </w:r>
      </w:hyperlink>
      <w:r>
        <w:t xml:space="preserve">, </w:t>
      </w:r>
      <w:hyperlink r:id="rId3" w:history="1">
        <w:r>
          <w:rPr>
            <w:rStyle w:val="Hyperlink"/>
          </w:rPr>
          <w:t>MEMO/18/4486</w:t>
        </w:r>
      </w:hyperlink>
      <w:r>
        <w:rPr>
          <w:rStyle w:val="Hyperlink"/>
        </w:rPr>
        <w:t>.</w:t>
      </w:r>
    </w:p>
  </w:footnote>
  <w:footnote w:id="4">
    <w:p>
      <w:pPr>
        <w:pStyle w:val="FootnoteText"/>
      </w:pPr>
      <w:r>
        <w:rPr>
          <w:rStyle w:val="FootnoteReference"/>
        </w:rPr>
        <w:footnoteRef/>
      </w:r>
      <w:r>
        <w:t xml:space="preserve"> </w:t>
      </w:r>
      <w:r>
        <w:tab/>
        <w:t xml:space="preserve">Directive </w:t>
      </w:r>
      <w:hyperlink r:id="rId4" w:history="1">
        <w:r>
          <w:rPr>
            <w:rStyle w:val="Hyperlink"/>
          </w:rPr>
          <w:t>1996/75/EC</w:t>
        </w:r>
      </w:hyperlink>
      <w:hyperlink r:id="rId5" w:history="1">
        <w:r>
          <w:rPr>
            <w:rStyle w:val="Hyperlink"/>
          </w:rPr>
          <w:t>; MEMO/18/349</w:t>
        </w:r>
      </w:hyperlink>
      <w:r>
        <w:t>.</w:t>
      </w:r>
    </w:p>
  </w:footnote>
  <w:footnote w:id="5">
    <w:p>
      <w:pPr>
        <w:pStyle w:val="FootnoteText"/>
        <w:rPr>
          <w:lang w:val="pt-PT"/>
        </w:rPr>
      </w:pPr>
      <w:r>
        <w:rPr>
          <w:rStyle w:val="FootnoteReference"/>
        </w:rPr>
        <w:footnoteRef/>
      </w:r>
      <w:r>
        <w:rPr>
          <w:lang w:val="pt-PT"/>
        </w:rPr>
        <w:t xml:space="preserve"> </w:t>
      </w:r>
      <w:r>
        <w:rPr>
          <w:lang w:val="pt-PT"/>
        </w:rPr>
        <w:tab/>
      </w:r>
      <w:hyperlink r:id="rId6" w:history="1">
        <w:r>
          <w:rPr>
            <w:rStyle w:val="Hyperlink"/>
            <w:szCs w:val="20"/>
            <w:lang w:val="pt-PT"/>
          </w:rPr>
          <w:t>MEMO/18/6247</w:t>
        </w:r>
      </w:hyperlink>
      <w:r>
        <w:rPr>
          <w:rStyle w:val="Hyperlink"/>
          <w:szCs w:val="20"/>
          <w:lang w:val="pt-PT"/>
        </w:rPr>
        <w:t>;</w:t>
      </w:r>
      <w:r>
        <w:rPr>
          <w:lang w:val="pt-PT"/>
        </w:rPr>
        <w:t xml:space="preserve"> </w:t>
      </w:r>
      <w:r>
        <w:t>Commission v Belgium,</w:t>
      </w:r>
      <w:r>
        <w:rPr>
          <w:rStyle w:val="Hyperlink"/>
          <w:lang w:val="pt-PT"/>
        </w:rPr>
        <w:t xml:space="preserve"> </w:t>
      </w:r>
      <w:hyperlink r:id="rId7" w:history="1">
        <w:r>
          <w:rPr>
            <w:rStyle w:val="Hyperlink"/>
            <w:color w:val="347C98"/>
            <w:bdr w:val="none" w:sz="0" w:space="0" w:color="auto" w:frame="1"/>
          </w:rPr>
          <w:t>C-110/17</w:t>
        </w:r>
      </w:hyperlink>
      <w:r>
        <w:t>.</w:t>
      </w:r>
    </w:p>
  </w:footnote>
  <w:footnote w:id="6">
    <w:p>
      <w:pPr>
        <w:pStyle w:val="FootnoteText"/>
        <w:rPr>
          <w:lang w:val="pt-PT"/>
        </w:rPr>
      </w:pPr>
      <w:r>
        <w:rPr>
          <w:rStyle w:val="FootnoteReference"/>
        </w:rPr>
        <w:footnoteRef/>
      </w:r>
      <w:r>
        <w:rPr>
          <w:lang w:val="pt-PT"/>
        </w:rPr>
        <w:t xml:space="preserve"> </w:t>
      </w:r>
      <w:r>
        <w:rPr>
          <w:lang w:val="pt-PT"/>
        </w:rPr>
        <w:tab/>
        <w:t xml:space="preserve">Directive </w:t>
      </w:r>
      <w:hyperlink r:id="rId8" w:history="1">
        <w:r>
          <w:rPr>
            <w:rStyle w:val="Hyperlink"/>
            <w:lang w:val="pt-PT"/>
          </w:rPr>
          <w:t>2011/70/Euratom</w:t>
        </w:r>
      </w:hyperlink>
      <w:r>
        <w:rPr>
          <w:rStyle w:val="Hyperlink"/>
          <w:lang w:val="pt-PT"/>
        </w:rPr>
        <w:t xml:space="preserve">, </w:t>
      </w:r>
      <w:hyperlink r:id="rId9" w:history="1">
        <w:r>
          <w:rPr>
            <w:rStyle w:val="Hyperlink"/>
            <w:lang w:val="pt-PT"/>
          </w:rPr>
          <w:t>MEMO/18/3446</w:t>
        </w:r>
      </w:hyperlink>
      <w:r>
        <w:rPr>
          <w:rStyle w:val="Hyperlink"/>
          <w:lang w:val="pt-PT"/>
        </w:rPr>
        <w:t>.</w:t>
      </w:r>
    </w:p>
  </w:footnote>
  <w:footnote w:id="7">
    <w:p>
      <w:pPr>
        <w:pStyle w:val="FootnoteText"/>
      </w:pPr>
      <w:r>
        <w:rPr>
          <w:rStyle w:val="FootnoteReference"/>
        </w:rPr>
        <w:footnoteRef/>
      </w:r>
      <w:r>
        <w:t xml:space="preserve"> </w:t>
      </w:r>
      <w:r>
        <w:tab/>
        <w:t xml:space="preserve">Directive </w:t>
      </w:r>
      <w:hyperlink r:id="rId10" w:history="1">
        <w:r>
          <w:rPr>
            <w:rStyle w:val="Hyperlink"/>
          </w:rPr>
          <w:t>2008/50/EC</w:t>
        </w:r>
      </w:hyperlink>
      <w:r>
        <w:rPr>
          <w:rStyle w:val="Hyperlink"/>
        </w:rPr>
        <w:t xml:space="preserve">, </w:t>
      </w:r>
      <w:hyperlink r:id="rId11" w:history="1">
        <w:r>
          <w:rPr>
            <w:rStyle w:val="Hyperlink"/>
          </w:rPr>
          <w:t>MEMO/18/6247</w:t>
        </w:r>
      </w:hyperlink>
      <w:r>
        <w:rPr>
          <w:rStyle w:val="Hyperlink"/>
        </w:rPr>
        <w:t>.</w:t>
      </w:r>
    </w:p>
  </w:footnote>
  <w:footnote w:id="8">
    <w:p>
      <w:pPr>
        <w:pStyle w:val="FootnoteText"/>
        <w:rPr>
          <w:lang w:val="en-IE"/>
        </w:rPr>
      </w:pPr>
      <w:r>
        <w:rPr>
          <w:rStyle w:val="FootnoteReference"/>
        </w:rPr>
        <w:footnoteRef/>
      </w:r>
      <w:r>
        <w:rPr>
          <w:lang w:val="en-IE"/>
        </w:rPr>
        <w:t xml:space="preserve"> </w:t>
      </w:r>
      <w:r>
        <w:rPr>
          <w:lang w:val="en-IE"/>
        </w:rPr>
        <w:tab/>
        <w:t xml:space="preserve">Directive </w:t>
      </w:r>
      <w:hyperlink r:id="rId12" w:history="1">
        <w:r>
          <w:rPr>
            <w:rStyle w:val="Hyperlink"/>
            <w:lang w:val="en-IE"/>
          </w:rPr>
          <w:t>2002/49/EC</w:t>
        </w:r>
      </w:hyperlink>
      <w:r>
        <w:rPr>
          <w:lang w:val="en-IE"/>
        </w:rPr>
        <w:t xml:space="preserve">, </w:t>
      </w:r>
      <w:hyperlink r:id="rId13" w:history="1">
        <w:r>
          <w:rPr>
            <w:rStyle w:val="Hyperlink"/>
            <w:lang w:val="en-IE"/>
          </w:rPr>
          <w:t>MEMO/18/3446</w:t>
        </w:r>
      </w:hyperlink>
      <w:r>
        <w:rPr>
          <w:lang w:val="en-IE"/>
        </w:rPr>
        <w:t>.</w:t>
      </w:r>
    </w:p>
  </w:footnote>
  <w:footnote w:id="9">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14" w:history="1">
        <w:r>
          <w:rPr>
            <w:rStyle w:val="Hyperlink"/>
            <w:lang w:val="pt-PT"/>
          </w:rPr>
          <w:t>2015/2366/EU</w:t>
        </w:r>
      </w:hyperlink>
      <w:r>
        <w:rPr>
          <w:lang w:val="pt-PT"/>
        </w:rPr>
        <w:t>.</w:t>
      </w:r>
    </w:p>
  </w:footnote>
  <w:footnote w:id="10">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15" w:history="1">
        <w:r>
          <w:rPr>
            <w:rStyle w:val="Hyperlink"/>
            <w:lang w:val="pt-PT"/>
          </w:rPr>
          <w:t>2016/97/EU</w:t>
        </w:r>
      </w:hyperlink>
      <w:r>
        <w:rPr>
          <w:lang w:val="pt-PT"/>
        </w:rPr>
        <w:t>.</w:t>
      </w:r>
    </w:p>
  </w:footnote>
  <w:footnote w:id="11">
    <w:p>
      <w:pPr>
        <w:pStyle w:val="FootnoteText"/>
        <w:rPr>
          <w:lang w:val="pt-PT"/>
        </w:rPr>
      </w:pPr>
      <w:r>
        <w:rPr>
          <w:rStyle w:val="FootnoteReference"/>
        </w:rPr>
        <w:footnoteRef/>
      </w:r>
      <w:r>
        <w:rPr>
          <w:lang w:val="pt-PT"/>
        </w:rPr>
        <w:t xml:space="preserve"> </w:t>
      </w:r>
      <w:r>
        <w:rPr>
          <w:lang w:val="pt-PT"/>
        </w:rPr>
        <w:tab/>
        <w:t xml:space="preserve">Directive </w:t>
      </w:r>
      <w:hyperlink r:id="rId16" w:history="1">
        <w:r>
          <w:rPr>
            <w:rStyle w:val="Hyperlink"/>
            <w:lang w:val="pt-PT"/>
          </w:rPr>
          <w:t>2014/87/Euratom</w:t>
        </w:r>
      </w:hyperlink>
      <w:r>
        <w:rPr>
          <w:lang w:val="pt-PT"/>
        </w:rPr>
        <w:t xml:space="preserve">, </w:t>
      </w:r>
      <w:hyperlink r:id="rId17" w:history="1">
        <w:r>
          <w:rPr>
            <w:rStyle w:val="Hyperlink"/>
            <w:lang w:val="pt-PT"/>
          </w:rPr>
          <w:t>MEMO/18/3986</w:t>
        </w:r>
      </w:hyperlink>
      <w:r>
        <w:rPr>
          <w:rStyle w:val="Hyperlink"/>
          <w:lang w:val="pt-PT"/>
        </w:rPr>
        <w:t>.</w:t>
      </w:r>
    </w:p>
  </w:footnote>
  <w:footnote w:id="12">
    <w:p>
      <w:pPr>
        <w:pStyle w:val="FootnoteText"/>
        <w:rPr>
          <w:lang w:val="pt-PT"/>
        </w:rPr>
      </w:pPr>
      <w:r>
        <w:rPr>
          <w:rStyle w:val="FootnoteReference"/>
        </w:rPr>
        <w:footnoteRef/>
      </w:r>
      <w:r>
        <w:rPr>
          <w:lang w:val="pt-PT"/>
        </w:rPr>
        <w:t xml:space="preserve"> </w:t>
      </w:r>
      <w:r>
        <w:rPr>
          <w:lang w:val="pt-PT"/>
        </w:rPr>
        <w:tab/>
        <w:t xml:space="preserve">Directive </w:t>
      </w:r>
      <w:r>
        <w:rPr>
          <w:rStyle w:val="Hyperlink"/>
          <w:lang w:val="pt-PT"/>
        </w:rPr>
        <w:t>2016/1148</w:t>
      </w:r>
      <w:r>
        <w:rPr>
          <w:lang w:val="pt-PT"/>
        </w:rPr>
        <w:t xml:space="preserve">/EU; </w:t>
      </w:r>
      <w:hyperlink r:id="rId18" w:history="1">
        <w:r>
          <w:rPr>
            <w:rStyle w:val="Hyperlink"/>
            <w:lang w:val="pt-PT"/>
          </w:rPr>
          <w:t>MEMO/18/4486</w:t>
        </w:r>
      </w:hyperlink>
      <w:r>
        <w:rPr>
          <w:rStyle w:val="Hyperlink"/>
          <w:lang w:val="pt-PT"/>
        </w:rPr>
        <w:t>.</w:t>
      </w:r>
    </w:p>
  </w:footnote>
  <w:footnote w:id="13">
    <w:p>
      <w:pPr>
        <w:pStyle w:val="FootnoteText"/>
        <w:rPr>
          <w:lang w:val="pt-PT"/>
        </w:rPr>
      </w:pPr>
      <w:r>
        <w:rPr>
          <w:rStyle w:val="FootnoteReference"/>
        </w:rPr>
        <w:footnoteRef/>
      </w:r>
      <w:r>
        <w:rPr>
          <w:lang w:val="pt-PT"/>
        </w:rPr>
        <w:t xml:space="preserve"> </w:t>
      </w:r>
      <w:r>
        <w:rPr>
          <w:lang w:val="pt-PT"/>
        </w:rPr>
        <w:tab/>
        <w:t xml:space="preserve">Directive </w:t>
      </w:r>
      <w:hyperlink r:id="rId19" w:history="1">
        <w:r>
          <w:rPr>
            <w:rStyle w:val="Hyperlink"/>
            <w:lang w:val="pt-PT"/>
          </w:rPr>
          <w:t>2016/2102</w:t>
        </w:r>
      </w:hyperlink>
      <w:r>
        <w:rPr>
          <w:rStyle w:val="Hyperlink"/>
          <w:lang w:val="pt-PT"/>
        </w:rPr>
        <w:t>/EU</w:t>
      </w:r>
      <w:r>
        <w:rPr>
          <w:lang w:val="pt-PT"/>
        </w:rPr>
        <w:t>.</w:t>
      </w:r>
    </w:p>
  </w:footnote>
  <w:footnote w:id="14">
    <w:p>
      <w:pPr>
        <w:pStyle w:val="FootnoteText"/>
        <w:rPr>
          <w:lang w:val="pt-PT"/>
        </w:rPr>
      </w:pPr>
      <w:r>
        <w:rPr>
          <w:rStyle w:val="FootnoteReference"/>
        </w:rPr>
        <w:footnoteRef/>
      </w:r>
      <w:r>
        <w:rPr>
          <w:lang w:val="pt-PT"/>
        </w:rPr>
        <w:t xml:space="preserve"> </w:t>
      </w:r>
      <w:r>
        <w:rPr>
          <w:lang w:val="pt-PT"/>
        </w:rPr>
        <w:tab/>
        <w:t xml:space="preserve">Directive </w:t>
      </w:r>
      <w:hyperlink r:id="rId20" w:history="1">
        <w:r>
          <w:rPr>
            <w:rStyle w:val="Hyperlink"/>
            <w:lang w:val="pt-PT"/>
          </w:rPr>
          <w:t>2017/1564</w:t>
        </w:r>
      </w:hyperlink>
      <w:r>
        <w:rPr>
          <w:rStyle w:val="Hyperlink"/>
          <w:lang w:val="pt-PT"/>
        </w:rPr>
        <w:t>/EU</w:t>
      </w:r>
      <w:r>
        <w:rPr>
          <w:lang w:val="pt-PT"/>
        </w:rPr>
        <w:t>.</w:t>
      </w:r>
    </w:p>
  </w:footnote>
  <w:footnote w:id="15">
    <w:p>
      <w:pPr>
        <w:pStyle w:val="FootnoteText"/>
        <w:rPr>
          <w:lang w:val="pt-PT"/>
        </w:rPr>
      </w:pPr>
      <w:r>
        <w:rPr>
          <w:rStyle w:val="FootnoteReference"/>
        </w:rPr>
        <w:footnoteRef/>
      </w:r>
      <w:r>
        <w:rPr>
          <w:lang w:val="pt-PT"/>
        </w:rPr>
        <w:t xml:space="preserve"> </w:t>
      </w:r>
      <w:r>
        <w:rPr>
          <w:lang w:val="pt-PT"/>
        </w:rPr>
        <w:tab/>
        <w:t xml:space="preserve">Directive </w:t>
      </w:r>
      <w:hyperlink r:id="rId21" w:history="1">
        <w:r>
          <w:rPr>
            <w:rStyle w:val="Hyperlink"/>
            <w:lang w:val="pt-PT"/>
          </w:rPr>
          <w:t>2016/680/EU</w:t>
        </w:r>
      </w:hyperlink>
      <w:r>
        <w:rPr>
          <w:lang w:val="pt-PT"/>
        </w:rPr>
        <w:t>.</w:t>
      </w:r>
    </w:p>
  </w:footnote>
  <w:footnote w:id="16">
    <w:p>
      <w:pPr>
        <w:pStyle w:val="FootnoteText"/>
        <w:rPr>
          <w:lang w:val="pt-PT"/>
        </w:rPr>
      </w:pPr>
      <w:r>
        <w:rPr>
          <w:rStyle w:val="FootnoteReference"/>
        </w:rPr>
        <w:footnoteRef/>
      </w:r>
      <w:r>
        <w:rPr>
          <w:lang w:val="pt-PT"/>
        </w:rPr>
        <w:t xml:space="preserve"> </w:t>
      </w:r>
      <w:r>
        <w:rPr>
          <w:lang w:val="pt-PT"/>
        </w:rPr>
        <w:tab/>
        <w:t xml:space="preserve">Directive </w:t>
      </w:r>
      <w:hyperlink r:id="rId22" w:history="1">
        <w:r>
          <w:rPr>
            <w:rStyle w:val="Hyperlink"/>
            <w:lang w:val="pt-PT"/>
          </w:rPr>
          <w:t>2015/2193</w:t>
        </w:r>
      </w:hyperlink>
      <w:r>
        <w:rPr>
          <w:rStyle w:val="Hyperlink"/>
          <w:lang w:val="pt-PT"/>
        </w:rPr>
        <w:t>/EU</w:t>
      </w:r>
      <w:r>
        <w:rPr>
          <w:lang w:val="pt-PT"/>
        </w:rPr>
        <w:t>.</w:t>
      </w:r>
    </w:p>
  </w:footnote>
  <w:footnote w:id="17">
    <w:p>
      <w:pPr>
        <w:pStyle w:val="FootnoteText"/>
        <w:rPr>
          <w:lang w:val="pt-PT"/>
        </w:rPr>
      </w:pPr>
      <w:r>
        <w:rPr>
          <w:rStyle w:val="FootnoteReference"/>
        </w:rPr>
        <w:footnoteRef/>
      </w:r>
      <w:r>
        <w:rPr>
          <w:lang w:val="pt-PT"/>
        </w:rPr>
        <w:t xml:space="preserve"> </w:t>
      </w:r>
      <w:r>
        <w:rPr>
          <w:lang w:val="pt-PT"/>
        </w:rPr>
        <w:tab/>
        <w:t xml:space="preserve">Directive </w:t>
      </w:r>
      <w:hyperlink r:id="rId23" w:history="1">
        <w:r>
          <w:rPr>
            <w:rStyle w:val="Hyperlink"/>
            <w:lang w:val="pt-PT"/>
          </w:rPr>
          <w:t>2016/2284</w:t>
        </w:r>
      </w:hyperlink>
      <w:r>
        <w:rPr>
          <w:rStyle w:val="Hyperlink"/>
          <w:lang w:val="pt-PT"/>
        </w:rPr>
        <w:t>/EU</w:t>
      </w:r>
      <w:r>
        <w:rPr>
          <w:lang w:val="pt-PT"/>
        </w:rPr>
        <w:t>.</w:t>
      </w:r>
    </w:p>
  </w:footnote>
  <w:footnote w:id="18">
    <w:p>
      <w:pPr>
        <w:pStyle w:val="FootnoteText"/>
        <w:rPr>
          <w:lang w:val="pt-PT"/>
        </w:rPr>
      </w:pPr>
      <w:r>
        <w:rPr>
          <w:rStyle w:val="FootnoteReference"/>
        </w:rPr>
        <w:footnoteRef/>
      </w:r>
      <w:r>
        <w:rPr>
          <w:lang w:val="pt-PT"/>
        </w:rPr>
        <w:t xml:space="preserve"> </w:t>
      </w:r>
      <w:r>
        <w:rPr>
          <w:lang w:val="pt-PT"/>
        </w:rPr>
        <w:tab/>
        <w:t xml:space="preserve">Commission v Belgium, </w:t>
      </w:r>
      <w:hyperlink r:id="rId24" w:history="1">
        <w:r>
          <w:rPr>
            <w:rStyle w:val="Hyperlink"/>
            <w:lang w:val="pt-PT"/>
          </w:rPr>
          <w:t>C-384/18</w:t>
        </w:r>
      </w:hyperlink>
      <w:r>
        <w:rPr>
          <w:lang w:val="pt-PT"/>
        </w:rPr>
        <w:t>.</w:t>
      </w:r>
    </w:p>
  </w:footnote>
  <w:footnote w:id="19">
    <w:p>
      <w:pPr>
        <w:pStyle w:val="FootnoteText"/>
        <w:rPr>
          <w:lang w:val="pt-PT"/>
        </w:rPr>
      </w:pPr>
      <w:r>
        <w:rPr>
          <w:rStyle w:val="FootnoteReference"/>
        </w:rPr>
        <w:footnoteRef/>
      </w:r>
      <w:r>
        <w:rPr>
          <w:lang w:val="pt-PT"/>
        </w:rPr>
        <w:t xml:space="preserve"> </w:t>
      </w:r>
      <w:r>
        <w:rPr>
          <w:lang w:val="pt-PT"/>
        </w:rPr>
        <w:tab/>
        <w:t>Commission v Belgium,</w:t>
      </w:r>
      <w:r>
        <w:rPr>
          <w:rStyle w:val="Hyperlink"/>
          <w:lang w:val="pt-PT"/>
        </w:rPr>
        <w:t xml:space="preserve"> C-676/18</w:t>
      </w:r>
      <w:r>
        <w:rPr>
          <w:lang w:val="pt-PT"/>
        </w:rPr>
        <w:t xml:space="preserve">, Directive </w:t>
      </w:r>
      <w:hyperlink r:id="rId25" w:history="1">
        <w:r>
          <w:rPr>
            <w:rStyle w:val="Hyperlink"/>
            <w:lang w:val="pt-PT"/>
          </w:rPr>
          <w:t>2014/36/EU</w:t>
        </w:r>
      </w:hyperlink>
      <w:r>
        <w:rPr>
          <w:rStyle w:val="Hyperlink"/>
          <w:lang w:val="pt-PT"/>
        </w:rPr>
        <w:t>.</w:t>
      </w:r>
    </w:p>
  </w:footnote>
  <w:footnote w:id="20">
    <w:p>
      <w:pPr>
        <w:pStyle w:val="FootnoteText"/>
        <w:jc w:val="both"/>
        <w:rPr>
          <w:lang w:val="fr-BE"/>
        </w:rPr>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effects. </w:t>
      </w:r>
      <w:r>
        <w:rPr>
          <w:lang w:val="fr-BE"/>
        </w:rPr>
        <w:t>(Source: European Environment Agency)).</w:t>
      </w:r>
    </w:p>
  </w:footnote>
  <w:footnote w:id="21">
    <w:p>
      <w:pPr>
        <w:pStyle w:val="FootnoteText"/>
        <w:rPr>
          <w:lang w:val="fr-BE"/>
        </w:rPr>
      </w:pPr>
      <w:r>
        <w:rPr>
          <w:rStyle w:val="FootnoteReference"/>
        </w:rPr>
        <w:footnoteRef/>
      </w:r>
      <w:r>
        <w:rPr>
          <w:lang w:val="fr-BE"/>
        </w:rPr>
        <w:t xml:space="preserve"> </w:t>
      </w:r>
      <w:r>
        <w:rPr>
          <w:lang w:val="fr-BE"/>
        </w:rPr>
        <w:tab/>
        <w:t xml:space="preserve">Directive </w:t>
      </w:r>
      <w:hyperlink r:id="rId26" w:history="1">
        <w:r>
          <w:rPr>
            <w:rStyle w:val="Hyperlink"/>
            <w:lang w:val="fr-BE"/>
          </w:rPr>
          <w:t>2008/50/EC</w:t>
        </w:r>
      </w:hyperlink>
      <w:r>
        <w:rPr>
          <w:rStyle w:val="Hyperlink"/>
          <w:lang w:val="fr-BE"/>
        </w:rPr>
        <w:t>.</w:t>
      </w:r>
    </w:p>
  </w:footnote>
  <w:footnote w:id="22">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7" w:history="1">
        <w:r>
          <w:rPr>
            <w:rStyle w:val="Hyperlink"/>
            <w:lang w:val="fr-BE"/>
          </w:rPr>
          <w:t>2014/91/EU</w:t>
        </w:r>
      </w:hyperlink>
      <w:r>
        <w:rPr>
          <w:lang w:val="fr-BE"/>
        </w:rPr>
        <w:t>.</w:t>
      </w:r>
    </w:p>
  </w:footnote>
  <w:footnote w:id="23">
    <w:p>
      <w:pPr>
        <w:pStyle w:val="FootnoteText"/>
        <w:rPr>
          <w:lang w:val="fr-BE"/>
        </w:rPr>
      </w:pPr>
      <w:r>
        <w:rPr>
          <w:rStyle w:val="FootnoteReference"/>
        </w:rPr>
        <w:footnoteRef/>
      </w:r>
      <w:r>
        <w:rPr>
          <w:lang w:val="fr-BE"/>
        </w:rPr>
        <w:t xml:space="preserve"> </w:t>
      </w:r>
      <w:r>
        <w:rPr>
          <w:lang w:val="fr-BE"/>
        </w:rPr>
        <w:tab/>
        <w:t xml:space="preserve">Directive </w:t>
      </w:r>
      <w:hyperlink r:id="rId28" w:history="1">
        <w:r>
          <w:rPr>
            <w:rStyle w:val="Hyperlink"/>
            <w:lang w:val="fr-BE"/>
          </w:rPr>
          <w:t>2013/51/Euratom</w:t>
        </w:r>
      </w:hyperlink>
      <w:r>
        <w:rPr>
          <w:lang w:val="fr-BE"/>
        </w:rPr>
        <w:t>.</w:t>
      </w:r>
    </w:p>
  </w:footnote>
  <w:footnote w:id="24">
    <w:p>
      <w:pPr>
        <w:pStyle w:val="FootnoteText"/>
        <w:rPr>
          <w:lang w:val="en-IE"/>
        </w:rPr>
      </w:pPr>
      <w:r>
        <w:rPr>
          <w:rStyle w:val="FootnoteReference"/>
        </w:rPr>
        <w:footnoteRef/>
      </w:r>
      <w:r>
        <w:rPr>
          <w:lang w:val="en-IE"/>
        </w:rPr>
        <w:t xml:space="preserve"> </w:t>
      </w:r>
      <w:r>
        <w:rPr>
          <w:lang w:val="en-IE"/>
        </w:rPr>
        <w:tab/>
        <w:t xml:space="preserve">Directive </w:t>
      </w:r>
      <w:hyperlink r:id="rId29" w:history="1">
        <w:r>
          <w:rPr>
            <w:rStyle w:val="Hyperlink"/>
            <w:lang w:val="en-IE"/>
          </w:rPr>
          <w:t>2014/104/EU</w:t>
        </w:r>
      </w:hyperlink>
      <w:r>
        <w:rPr>
          <w:lang w:val="en-IE"/>
        </w:rPr>
        <w:t>.</w:t>
      </w:r>
    </w:p>
  </w:footnote>
  <w:footnote w:id="25">
    <w:p>
      <w:pPr>
        <w:pStyle w:val="FootnoteText"/>
      </w:pPr>
      <w:r>
        <w:rPr>
          <w:rStyle w:val="FootnoteReference"/>
        </w:rPr>
        <w:footnoteRef/>
      </w:r>
      <w:r>
        <w:t xml:space="preserve"> </w:t>
      </w:r>
      <w:r>
        <w:tab/>
        <w:t xml:space="preserve">Directive </w:t>
      </w:r>
      <w:hyperlink r:id="rId30" w:history="1">
        <w:r>
          <w:rPr>
            <w:rStyle w:val="Hyperlink"/>
          </w:rPr>
          <w:t>2014/42/EU</w:t>
        </w:r>
      </w:hyperlink>
      <w:r>
        <w:t>.</w:t>
      </w:r>
    </w:p>
  </w:footnote>
  <w:footnote w:id="26">
    <w:p>
      <w:pPr>
        <w:pStyle w:val="FootnoteText"/>
      </w:pPr>
      <w:r>
        <w:rPr>
          <w:rStyle w:val="FootnoteReference"/>
          <w:sz w:val="16"/>
        </w:rPr>
        <w:footnoteRef/>
      </w:r>
      <w:r>
        <w:rPr>
          <w:sz w:val="16"/>
        </w:rPr>
        <w:t xml:space="preserve"> </w:t>
      </w:r>
      <w:r>
        <w:rPr>
          <w:sz w:val="16"/>
        </w:rPr>
        <w:tab/>
      </w:r>
      <w:r>
        <w:t>These rulings are almost exclusively handed down in infringement procedures.</w:t>
      </w:r>
    </w:p>
  </w:footnote>
  <w:footnote w:id="27">
    <w:p>
      <w:pPr>
        <w:pStyle w:val="FootnoteText"/>
      </w:pPr>
      <w:r>
        <w:rPr>
          <w:rStyle w:val="FootnoteReference"/>
        </w:rPr>
        <w:footnoteRef/>
      </w:r>
      <w:r>
        <w:t xml:space="preserve"> </w:t>
      </w:r>
      <w:r>
        <w:tab/>
        <w:t xml:space="preserve">Regulation (EC) No </w:t>
      </w:r>
      <w:hyperlink r:id="rId31" w:history="1">
        <w:r>
          <w:rPr>
            <w:rStyle w:val="Hyperlink"/>
          </w:rPr>
          <w:t>883/2004</w:t>
        </w:r>
      </w:hyperlink>
      <w:r>
        <w:t>.</w:t>
      </w:r>
    </w:p>
  </w:footnote>
  <w:footnote w:id="28">
    <w:p>
      <w:pPr>
        <w:pStyle w:val="FootnoteText"/>
        <w:rPr>
          <w:lang w:val="en-US"/>
        </w:rPr>
      </w:pPr>
      <w:r>
        <w:rPr>
          <w:rStyle w:val="FootnoteReference"/>
          <w:lang w:val="fr-BE"/>
        </w:rPr>
        <w:footnoteRef/>
      </w:r>
      <w:r>
        <w:rPr>
          <w:rStyle w:val="outputecliaff"/>
          <w:lang w:val="en-US"/>
        </w:rPr>
        <w:t xml:space="preserve"> </w:t>
      </w:r>
      <w:r>
        <w:rPr>
          <w:rStyle w:val="outputecliaff"/>
          <w:lang w:val="en-US"/>
        </w:rPr>
        <w:tab/>
      </w:r>
      <w:r>
        <w:rPr>
          <w:rStyle w:val="affairetitle"/>
        </w:rPr>
        <w:t xml:space="preserve">Commission v Belgium, </w:t>
      </w:r>
      <w:hyperlink r:id="rId32" w:history="1">
        <w:r>
          <w:rPr>
            <w:rStyle w:val="Hyperlink"/>
          </w:rPr>
          <w:t>C-356/15</w:t>
        </w:r>
      </w:hyperlink>
      <w:r>
        <w:rPr>
          <w:rStyle w:val="affairetitle"/>
        </w:rPr>
        <w:t>.</w:t>
      </w:r>
    </w:p>
  </w:footnote>
  <w:footnote w:id="29">
    <w:p>
      <w:pPr>
        <w:pStyle w:val="FootnoteText"/>
        <w:rPr>
          <w:lang w:val="en-IE"/>
        </w:rPr>
      </w:pPr>
      <w:r>
        <w:rPr>
          <w:rStyle w:val="FootnoteReference"/>
        </w:rPr>
        <w:footnoteRef/>
      </w:r>
      <w:r>
        <w:t xml:space="preserve"> </w:t>
      </w:r>
      <w:r>
        <w:rPr>
          <w:lang w:val="en-IE"/>
        </w:rPr>
        <w:tab/>
      </w:r>
      <w:r>
        <w:rPr>
          <w:lang w:val="en-US"/>
        </w:rPr>
        <w:t xml:space="preserve">Altun and Others, </w:t>
      </w:r>
      <w:hyperlink r:id="rId33" w:history="1">
        <w:r>
          <w:rPr>
            <w:rStyle w:val="Hyperlink"/>
            <w:lang w:val="en-US"/>
          </w:rPr>
          <w:t>C-359/16</w:t>
        </w:r>
      </w:hyperlink>
      <w:r>
        <w:rPr>
          <w:lang w:val="en-US"/>
        </w:rPr>
        <w:t>.</w:t>
      </w:r>
    </w:p>
  </w:footnote>
  <w:footnote w:id="30">
    <w:p>
      <w:pPr>
        <w:pStyle w:val="FootnoteText"/>
        <w:jc w:val="both"/>
      </w:pPr>
      <w:r>
        <w:rPr>
          <w:rStyle w:val="FootnoteReference"/>
        </w:rPr>
        <w:footnoteRef/>
      </w:r>
      <w:r>
        <w:t xml:space="preserve"> </w:t>
      </w:r>
      <w:r>
        <w:tab/>
        <w:t xml:space="preserve">Liga van Moskeeën en Islamitische Organisaties Provincie Antwerpen and Others, </w:t>
      </w:r>
      <w:hyperlink r:id="rId34" w:history="1">
        <w:r>
          <w:rPr>
            <w:rStyle w:val="Hyperlink"/>
          </w:rPr>
          <w:t>C-426/16</w:t>
        </w:r>
      </w:hyperlink>
      <w:r>
        <w:t xml:space="preserve"> and </w:t>
      </w:r>
      <w:hyperlink r:id="rId35" w:history="1">
        <w:r>
          <w:rPr>
            <w:rStyle w:val="Hyperlink"/>
          </w:rPr>
          <w:t>press release</w:t>
        </w:r>
      </w:hyperlink>
      <w:r>
        <w:t>.</w:t>
      </w:r>
    </w:p>
  </w:footnote>
  <w:footnote w:id="31">
    <w:p>
      <w:pPr>
        <w:pStyle w:val="FootnoteText"/>
      </w:pPr>
      <w:r>
        <w:rPr>
          <w:rStyle w:val="FootnoteReference"/>
        </w:rPr>
        <w:footnoteRef/>
      </w:r>
      <w:r>
        <w:t xml:space="preserve"> </w:t>
      </w:r>
      <w:r>
        <w:tab/>
      </w:r>
      <w:r>
        <w:rPr>
          <w:rStyle w:val="affairetitle"/>
        </w:rPr>
        <w:t>Dyson,</w:t>
      </w:r>
      <w:r>
        <w:rPr>
          <w:rStyle w:val="Hyperlink"/>
        </w:rPr>
        <w:t xml:space="preserve"> </w:t>
      </w:r>
      <w:hyperlink r:id="rId36" w:history="1">
        <w:r>
          <w:rPr>
            <w:rStyle w:val="Hyperlink"/>
          </w:rPr>
          <w:t>C-632/16</w:t>
        </w:r>
      </w:hyperlink>
      <w:r>
        <w:rPr>
          <w:rStyle w:val="affairetitle"/>
        </w:rPr>
        <w:t xml:space="preserve"> and Court press release </w:t>
      </w:r>
      <w:hyperlink r:id="rId37" w:history="1">
        <w:r>
          <w:rPr>
            <w:rStyle w:val="Hyperlink"/>
          </w:rPr>
          <w:t>No 117/18</w:t>
        </w:r>
      </w:hyperlink>
      <w:r>
        <w:t>.</w:t>
      </w:r>
    </w:p>
  </w:footnote>
  <w:footnote w:id="32">
    <w:p>
      <w:pPr>
        <w:pStyle w:val="FootnoteText"/>
      </w:pPr>
      <w:r>
        <w:rPr>
          <w:rStyle w:val="FootnoteReference"/>
        </w:rPr>
        <w:footnoteRef/>
      </w:r>
      <w:r>
        <w:t xml:space="preserve"> </w:t>
      </w:r>
      <w:r>
        <w:tab/>
      </w:r>
      <w:r>
        <w:rPr>
          <w:lang w:val="en-IE"/>
        </w:rPr>
        <w:t xml:space="preserve">Directive </w:t>
      </w:r>
      <w:hyperlink r:id="rId38" w:history="1">
        <w:r>
          <w:rPr>
            <w:rStyle w:val="Hyperlink"/>
            <w:lang w:val="en-IE"/>
          </w:rPr>
          <w:t>2004/38/EC</w:t>
        </w:r>
      </w:hyperlink>
      <w:r>
        <w:rPr>
          <w:lang w:val="en-IE"/>
        </w:rPr>
        <w:t>.</w:t>
      </w:r>
    </w:p>
  </w:footnote>
  <w:footnote w:id="33">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Diallo,</w:t>
      </w:r>
      <w:r>
        <w:t xml:space="preserve"> </w:t>
      </w:r>
      <w:hyperlink r:id="rId39" w:history="1">
        <w:r>
          <w:rPr>
            <w:rStyle w:val="Hyperlink"/>
            <w:lang w:val="en-US"/>
          </w:rPr>
          <w:t>C-246/17</w:t>
        </w:r>
      </w:hyperlink>
      <w:r>
        <w:rPr>
          <w:rStyle w:val="Hyperlink"/>
        </w:rPr>
        <w:t>.</w:t>
      </w:r>
    </w:p>
  </w:footnote>
  <w:footnote w:id="34">
    <w:p>
      <w:pPr>
        <w:pStyle w:val="FootnoteText"/>
      </w:pPr>
      <w:r>
        <w:rPr>
          <w:rStyle w:val="FootnoteReference"/>
        </w:rPr>
        <w:footnoteRef/>
      </w:r>
      <w:r>
        <w:t xml:space="preserve"> </w:t>
      </w:r>
      <w:r>
        <w:tab/>
        <w:t xml:space="preserve">Directive </w:t>
      </w:r>
      <w:hyperlink r:id="rId40" w:history="1">
        <w:r>
          <w:rPr>
            <w:rStyle w:val="Hyperlink"/>
          </w:rPr>
          <w:t>2004/38/EC</w:t>
        </w:r>
      </w:hyperlink>
      <w:r>
        <w:t>.</w:t>
      </w:r>
    </w:p>
  </w:footnote>
  <w:footnote w:id="35">
    <w:p>
      <w:pPr>
        <w:pStyle w:val="FootnoteText"/>
        <w:rPr>
          <w:lang w:val="en-US"/>
        </w:rPr>
      </w:pPr>
      <w:r>
        <w:rPr>
          <w:rStyle w:val="FootnoteReference"/>
        </w:rPr>
        <w:footnoteRef/>
      </w:r>
      <w:r>
        <w:t xml:space="preserve"> </w:t>
      </w:r>
      <w:r>
        <w:tab/>
      </w:r>
      <w:r>
        <w:rPr>
          <w:rStyle w:val="Hyperlink"/>
          <w:color w:val="auto"/>
          <w:u w:val="none"/>
        </w:rPr>
        <w:t>Joined cases:</w:t>
      </w:r>
      <w:r>
        <w:rPr>
          <w:rStyle w:val="Hyperlink"/>
          <w:color w:val="auto"/>
        </w:rPr>
        <w:t xml:space="preserve"> </w:t>
      </w:r>
      <w:r>
        <w:rPr>
          <w:rStyle w:val="Hyperlink"/>
        </w:rPr>
        <w:t xml:space="preserve">K., </w:t>
      </w:r>
      <w:hyperlink r:id="rId41" w:history="1">
        <w:r>
          <w:rPr>
            <w:rStyle w:val="Hyperlink"/>
          </w:rPr>
          <w:t>C-331/16</w:t>
        </w:r>
      </w:hyperlink>
      <w:r>
        <w:rPr>
          <w:rStyle w:val="Hyperlink"/>
        </w:rPr>
        <w:t xml:space="preserve"> </w:t>
      </w:r>
      <w:r>
        <w:rPr>
          <w:rStyle w:val="Hyperlink"/>
          <w:color w:val="auto"/>
          <w:u w:val="none"/>
        </w:rPr>
        <w:t xml:space="preserve">and </w:t>
      </w:r>
      <w:r>
        <w:rPr>
          <w:rStyle w:val="Hyperlink"/>
        </w:rPr>
        <w:t>H.,</w:t>
      </w:r>
      <w:hyperlink r:id="rId42" w:history="1">
        <w:r>
          <w:rPr>
            <w:rStyle w:val="Hyperlink"/>
          </w:rPr>
          <w:t>C-366/16</w:t>
        </w:r>
      </w:hyperlink>
      <w:r>
        <w:rPr>
          <w:rStyle w:val="Hyperlink"/>
        </w:rPr>
        <w:t>.</w:t>
      </w:r>
    </w:p>
  </w:footnote>
  <w:footnote w:id="36">
    <w:p>
      <w:pPr>
        <w:pStyle w:val="FootnoteText"/>
        <w:rPr>
          <w:lang w:val="fr-BE"/>
        </w:rPr>
      </w:pPr>
      <w:r>
        <w:rPr>
          <w:rStyle w:val="FootnoteReference"/>
        </w:rPr>
        <w:footnoteRef/>
      </w:r>
      <w:r>
        <w:rPr>
          <w:lang w:val="fr-BE"/>
        </w:rPr>
        <w:t xml:space="preserve"> </w:t>
      </w:r>
      <w:r>
        <w:rPr>
          <w:lang w:val="fr-BE"/>
        </w:rPr>
        <w:tab/>
        <w:t xml:space="preserve">Directive </w:t>
      </w:r>
      <w:hyperlink r:id="rId43" w:history="1">
        <w:r>
          <w:rPr>
            <w:rStyle w:val="Hyperlink"/>
            <w:lang w:val="fr-BE"/>
          </w:rPr>
          <w:t>2001/42/EC</w:t>
        </w:r>
      </w:hyperlink>
      <w:r>
        <w:rPr>
          <w:lang w:val="fr-BE"/>
        </w:rPr>
        <w:t xml:space="preserve">, Inter-Environnement Bruxelles and Others, </w:t>
      </w:r>
      <w:hyperlink r:id="rId44" w:history="1">
        <w:r>
          <w:rPr>
            <w:rStyle w:val="Hyperlink"/>
            <w:lang w:val="fr-BE"/>
          </w:rPr>
          <w:t>C-671/16</w:t>
        </w:r>
      </w:hyperlink>
      <w:r>
        <w:rPr>
          <w:lang w:val="fr-BE"/>
        </w:rPr>
        <w:t>.</w:t>
      </w:r>
    </w:p>
  </w:footnote>
  <w:footnote w:id="37">
    <w:p>
      <w:pPr>
        <w:pStyle w:val="FootnoteText"/>
      </w:pPr>
      <w:r>
        <w:rPr>
          <w:rStyle w:val="FootnoteReference"/>
        </w:rPr>
        <w:footnoteRef/>
      </w:r>
      <w:r>
        <w:t xml:space="preserve"> </w:t>
      </w:r>
      <w:r>
        <w:tab/>
        <w:t xml:space="preserve">Matzak, </w:t>
      </w:r>
      <w:hyperlink r:id="rId45" w:history="1">
        <w:r>
          <w:rPr>
            <w:rStyle w:val="Hyperlink"/>
          </w:rPr>
          <w:t>C-518/15</w:t>
        </w:r>
      </w:hyperlink>
      <w:r>
        <w:t xml:space="preserve"> and Court press release </w:t>
      </w:r>
      <w:hyperlink r:id="rId46" w:history="1">
        <w:r>
          <w:rPr>
            <w:rStyle w:val="Hyperlink"/>
          </w:rPr>
          <w:t>No 14/18</w:t>
        </w:r>
      </w:hyperlink>
      <w:r>
        <w:t>.</w:t>
      </w:r>
    </w:p>
  </w:footnote>
  <w:footnote w:id="38">
    <w:p>
      <w:pPr>
        <w:pStyle w:val="FootnoteText"/>
      </w:pPr>
      <w:r>
        <w:rPr>
          <w:rStyle w:val="FootnoteReference"/>
        </w:rPr>
        <w:footnoteRef/>
      </w:r>
      <w:r>
        <w:t xml:space="preserve"> </w:t>
      </w:r>
      <w:r>
        <w:tab/>
        <w:t xml:space="preserve">Gnandi, </w:t>
      </w:r>
      <w:hyperlink r:id="rId47" w:history="1">
        <w:r>
          <w:rPr>
            <w:rStyle w:val="Hyperlink"/>
          </w:rPr>
          <w:t>C-181/16</w:t>
        </w:r>
      </w:hyperlink>
      <w:r>
        <w:t xml:space="preserve"> and Court press release </w:t>
      </w:r>
      <w:hyperlink r:id="rId48" w:history="1">
        <w:r>
          <w:rPr>
            <w:rStyle w:val="Hyperlink"/>
          </w:rPr>
          <w:t>No 88/18</w:t>
        </w:r>
      </w:hyperlink>
      <w:r>
        <w:t>.</w:t>
      </w:r>
    </w:p>
  </w:footnote>
  <w:footnote w:id="39">
    <w:p>
      <w:pPr>
        <w:pStyle w:val="FootnoteText"/>
        <w:rPr>
          <w:u w:val="single"/>
        </w:rPr>
      </w:pPr>
      <w:r>
        <w:rPr>
          <w:rStyle w:val="FootnoteReference"/>
        </w:rPr>
        <w:footnoteRef/>
      </w:r>
      <w:r>
        <w:t xml:space="preserve"> </w:t>
      </w:r>
      <w:r>
        <w:tab/>
        <w:t xml:space="preserve">K.A. and Others, </w:t>
      </w:r>
      <w:hyperlink r:id="rId49" w:history="1">
        <w:r>
          <w:rPr>
            <w:rStyle w:val="Hyperlink"/>
          </w:rPr>
          <w:t>C-82/16</w:t>
        </w:r>
      </w:hyperlink>
      <w:r>
        <w:t xml:space="preserve"> and Court press release </w:t>
      </w:r>
      <w:hyperlink r:id="rId50" w:history="1">
        <w:r>
          <w:rPr>
            <w:rStyle w:val="Hyperlink"/>
          </w:rPr>
          <w:t>No 64/18</w:t>
        </w:r>
      </w:hyperlink>
      <w:r>
        <w:t>.</w:t>
      </w:r>
    </w:p>
  </w:footnote>
  <w:footnote w:id="40">
    <w:p>
      <w:pPr>
        <w:pStyle w:val="FootnoteText"/>
        <w:rPr>
          <w:lang w:val="pt-PT"/>
        </w:rPr>
      </w:pPr>
      <w:r>
        <w:rPr>
          <w:rStyle w:val="FootnoteReference"/>
        </w:rPr>
        <w:footnoteRef/>
      </w:r>
      <w:r>
        <w:rPr>
          <w:lang w:val="pt-PT"/>
        </w:rPr>
        <w:t xml:space="preserve"> </w:t>
      </w:r>
      <w:r>
        <w:rPr>
          <w:lang w:val="pt-PT"/>
        </w:rPr>
        <w:tab/>
        <w:t xml:space="preserve">Directive </w:t>
      </w:r>
      <w:hyperlink r:id="rId51" w:history="1">
        <w:r>
          <w:rPr>
            <w:rStyle w:val="Hyperlink"/>
            <w:lang w:val="pt-PT"/>
          </w:rPr>
          <w:t>2004/49/EC</w:t>
        </w:r>
      </w:hyperlink>
      <w:r>
        <w:rPr>
          <w:lang w:val="pt-PT"/>
        </w:rPr>
        <w:t xml:space="preserve">; </w:t>
      </w:r>
      <w:hyperlink r:id="rId52">
        <w:r>
          <w:rPr>
            <w:rStyle w:val="LienInternet"/>
            <w:lang w:val="pt-PT"/>
          </w:rPr>
          <w:t>IP/18/6252</w:t>
        </w:r>
      </w:hyperlink>
      <w:r>
        <w:rPr>
          <w:rStyle w:val="LienInternet"/>
          <w:lang w:val="pt-PT"/>
        </w:rPr>
        <w:t>.</w:t>
      </w:r>
    </w:p>
  </w:footnote>
  <w:footnote w:id="41">
    <w:p>
      <w:pPr>
        <w:pStyle w:val="FootnoteText"/>
        <w:rPr>
          <w:lang w:val="pt-PT"/>
        </w:rPr>
      </w:pPr>
      <w:r>
        <w:rPr>
          <w:rStyle w:val="FootnoteReference"/>
        </w:rPr>
        <w:footnoteRef/>
      </w:r>
      <w:r>
        <w:rPr>
          <w:lang w:val="pt-PT"/>
        </w:rPr>
        <w:t xml:space="preserve"> </w:t>
      </w:r>
      <w:r>
        <w:rPr>
          <w:lang w:val="pt-PT"/>
        </w:rPr>
        <w:tab/>
        <w:t xml:space="preserve">Directive </w:t>
      </w:r>
      <w:hyperlink r:id="rId53" w:history="1">
        <w:r>
          <w:rPr>
            <w:rStyle w:val="Hyperlink"/>
            <w:lang w:val="pt-PT"/>
          </w:rPr>
          <w:t>2009/12/EC</w:t>
        </w:r>
      </w:hyperlink>
      <w:r>
        <w:rPr>
          <w:lang w:val="pt-PT"/>
        </w:rPr>
        <w:t xml:space="preserve">; </w:t>
      </w:r>
      <w:hyperlink r:id="rId54" w:history="1">
        <w:r>
          <w:rPr>
            <w:rStyle w:val="Hyperlink"/>
            <w:lang w:val="pt-PT"/>
          </w:rPr>
          <w:t>MEMO/18/6247</w:t>
        </w:r>
      </w:hyperlink>
      <w:r>
        <w:rPr>
          <w:lang w:val="pt-PT"/>
        </w:rPr>
        <w:t>.</w:t>
      </w:r>
    </w:p>
  </w:footnote>
  <w:footnote w:id="42">
    <w:p>
      <w:pPr>
        <w:pStyle w:val="FootnoteText"/>
        <w:rPr>
          <w:lang w:val="pt-PT"/>
        </w:rPr>
      </w:pPr>
      <w:r>
        <w:rPr>
          <w:rStyle w:val="FootnoteReference"/>
        </w:rPr>
        <w:footnoteRef/>
      </w:r>
      <w:r>
        <w:rPr>
          <w:lang w:val="pt-PT"/>
        </w:rPr>
        <w:t xml:space="preserve"> </w:t>
      </w:r>
      <w:r>
        <w:rPr>
          <w:lang w:val="pt-PT"/>
        </w:rPr>
        <w:tab/>
        <w:t xml:space="preserve">Regulation (EU) No </w:t>
      </w:r>
      <w:hyperlink r:id="rId55" w:history="1">
        <w:r>
          <w:rPr>
            <w:rStyle w:val="Hyperlink"/>
            <w:lang w:val="pt-PT"/>
          </w:rPr>
          <w:t>1151/2012</w:t>
        </w:r>
      </w:hyperlink>
      <w:r>
        <w:rPr>
          <w:rStyle w:val="Hyperlink"/>
          <w:lang w:val="pt-PT"/>
        </w:rPr>
        <w:t xml:space="preserve">, </w:t>
      </w:r>
      <w:hyperlink r:id="rId56" w:history="1">
        <w:r>
          <w:rPr>
            <w:rStyle w:val="Hyperlink"/>
            <w:lang w:val="pt-PT"/>
          </w:rPr>
          <w:t>MEMO/18/349</w:t>
        </w:r>
      </w:hyperlink>
      <w:r>
        <w:rPr>
          <w:lang w:val="pt-PT"/>
        </w:rPr>
        <w:t>.</w:t>
      </w:r>
    </w:p>
  </w:footnote>
  <w:footnote w:id="43">
    <w:p>
      <w:pPr>
        <w:pStyle w:val="FootnoteText"/>
        <w:rPr>
          <w:lang w:val="en-US"/>
        </w:rPr>
      </w:pPr>
      <w:r>
        <w:rPr>
          <w:rStyle w:val="FootnoteReference"/>
        </w:rPr>
        <w:footnoteRef/>
      </w:r>
      <w:r>
        <w:rPr>
          <w:lang w:val="en-US"/>
        </w:rPr>
        <w:t xml:space="preserve"> </w:t>
      </w:r>
      <w:r>
        <w:rPr>
          <w:lang w:val="en-US"/>
        </w:rPr>
        <w:tab/>
        <w:t xml:space="preserve">Directives </w:t>
      </w:r>
      <w:hyperlink r:id="rId57" w:history="1">
        <w:r>
          <w:rPr>
            <w:rStyle w:val="Hyperlink"/>
            <w:lang w:val="en-US"/>
          </w:rPr>
          <w:t>2009/72/EC</w:t>
        </w:r>
      </w:hyperlink>
      <w:r>
        <w:rPr>
          <w:rStyle w:val="Hyperlink"/>
          <w:color w:val="auto"/>
          <w:u w:val="none"/>
          <w:lang w:val="en-US"/>
        </w:rPr>
        <w:t xml:space="preserve"> and </w:t>
      </w:r>
      <w:hyperlink r:id="rId58" w:history="1">
        <w:r>
          <w:rPr>
            <w:rStyle w:val="Hyperlink"/>
            <w:lang w:val="en-US"/>
          </w:rPr>
          <w:t>2009/73/EC</w:t>
        </w:r>
      </w:hyperlink>
      <w:r>
        <w:rPr>
          <w:lang w:val="en-US"/>
        </w:rPr>
        <w:t xml:space="preserve">, </w:t>
      </w:r>
      <w:hyperlink r:id="rId59" w:history="1">
        <w:r>
          <w:rPr>
            <w:rStyle w:val="Hyperlink"/>
            <w:lang w:val="en-US"/>
          </w:rPr>
          <w:t>MEMO/18/349</w:t>
        </w:r>
      </w:hyperlink>
      <w:r>
        <w:rPr>
          <w:rStyle w:val="Hyperlink"/>
          <w:lang w:val="en-US"/>
        </w:rPr>
        <w:t>.</w:t>
      </w:r>
    </w:p>
  </w:footnote>
  <w:footnote w:id="44">
    <w:p>
      <w:pPr>
        <w:pStyle w:val="FootnoteText"/>
        <w:rPr>
          <w:lang w:val="pt-PT"/>
        </w:rPr>
      </w:pPr>
      <w:r>
        <w:rPr>
          <w:rStyle w:val="FootnoteReference"/>
        </w:rPr>
        <w:footnoteRef/>
      </w:r>
      <w:r>
        <w:rPr>
          <w:lang w:val="pt-PT"/>
        </w:rPr>
        <w:t xml:space="preserve"> </w:t>
      </w:r>
      <w:r>
        <w:rPr>
          <w:lang w:val="pt-PT"/>
        </w:rPr>
        <w:tab/>
        <w:t xml:space="preserve">Directive </w:t>
      </w:r>
      <w:hyperlink r:id="rId60" w:history="1">
        <w:r>
          <w:rPr>
            <w:rStyle w:val="Hyperlink"/>
            <w:lang w:val="pt-PT"/>
          </w:rPr>
          <w:t>2011/70/Euratom</w:t>
        </w:r>
      </w:hyperlink>
      <w:r>
        <w:rPr>
          <w:rStyle w:val="Hyperlink"/>
          <w:lang w:val="pt-PT"/>
        </w:rPr>
        <w:t xml:space="preserve">, </w:t>
      </w:r>
      <w:hyperlink r:id="rId61" w:history="1">
        <w:r>
          <w:rPr>
            <w:rStyle w:val="Hyperlink"/>
            <w:lang w:val="pt-PT"/>
          </w:rPr>
          <w:t>MEMO/18/3446</w:t>
        </w:r>
      </w:hyperlink>
      <w:r>
        <w:rPr>
          <w:rStyle w:val="Hyperlink"/>
          <w:lang w:val="pt-PT"/>
        </w:rPr>
        <w:t>.</w:t>
      </w:r>
    </w:p>
  </w:footnote>
  <w:footnote w:id="45">
    <w:p>
      <w:pPr>
        <w:pStyle w:val="FootnoteText"/>
        <w:rPr>
          <w:lang w:val="pt-PT"/>
        </w:rPr>
      </w:pPr>
      <w:r>
        <w:rPr>
          <w:rStyle w:val="FootnoteReference"/>
        </w:rPr>
        <w:footnoteRef/>
      </w:r>
      <w:r>
        <w:rPr>
          <w:lang w:val="pt-PT"/>
        </w:rPr>
        <w:t xml:space="preserve"> </w:t>
      </w:r>
      <w:r>
        <w:rPr>
          <w:lang w:val="pt-PT"/>
        </w:rPr>
        <w:tab/>
        <w:t xml:space="preserve">Directive </w:t>
      </w:r>
      <w:hyperlink r:id="rId62" w:history="1">
        <w:r>
          <w:rPr>
            <w:rStyle w:val="Hyperlink"/>
            <w:lang w:val="pt-PT"/>
          </w:rPr>
          <w:t>2008/50/EC</w:t>
        </w:r>
      </w:hyperlink>
      <w:r>
        <w:rPr>
          <w:rStyle w:val="Hyperlink"/>
          <w:lang w:val="pt-PT"/>
        </w:rPr>
        <w:t xml:space="preserve">, </w:t>
      </w:r>
      <w:hyperlink r:id="rId63" w:history="1">
        <w:r>
          <w:rPr>
            <w:rStyle w:val="Hyperlink"/>
            <w:lang w:val="pt-PT"/>
          </w:rPr>
          <w:t>MEMO/18/6247</w:t>
        </w:r>
      </w:hyperlink>
      <w:r>
        <w:rPr>
          <w:rStyle w:val="Hyperlink"/>
          <w:lang w:val="pt-PT"/>
        </w:rPr>
        <w:t>.</w:t>
      </w:r>
    </w:p>
  </w:footnote>
  <w:footnote w:id="46">
    <w:p>
      <w:pPr>
        <w:pStyle w:val="FootnoteText"/>
        <w:jc w:val="both"/>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effects. (Source: European Environment Agency).</w:t>
      </w:r>
    </w:p>
  </w:footnote>
  <w:footnote w:id="47">
    <w:p>
      <w:pPr>
        <w:pStyle w:val="FootnoteText"/>
      </w:pPr>
      <w:r>
        <w:rPr>
          <w:rStyle w:val="FootnoteReference"/>
        </w:rPr>
        <w:footnoteRef/>
      </w:r>
      <w:r>
        <w:t xml:space="preserve"> </w:t>
      </w:r>
      <w:r>
        <w:tab/>
        <w:t xml:space="preserve">Directive </w:t>
      </w:r>
      <w:hyperlink r:id="rId64" w:history="1">
        <w:r>
          <w:rPr>
            <w:rStyle w:val="Hyperlink"/>
          </w:rPr>
          <w:t>2008/50/EC</w:t>
        </w:r>
      </w:hyperlink>
      <w:r>
        <w:rPr>
          <w:rStyle w:val="Hyperlink"/>
        </w:rPr>
        <w:t xml:space="preserve">, </w:t>
      </w:r>
      <w:hyperlink r:id="rId65" w:history="1">
        <w:r>
          <w:rPr>
            <w:rStyle w:val="Hyperlink"/>
          </w:rPr>
          <w:t>MEMO/18/6247</w:t>
        </w:r>
      </w:hyperlink>
      <w:r>
        <w:rPr>
          <w:rStyle w:val="Hyperlink"/>
        </w:rPr>
        <w:t xml:space="preserve">, </w:t>
      </w:r>
      <w:r>
        <w:rPr>
          <w:rStyle w:val="Hyperlink"/>
          <w:color w:val="auto"/>
          <w:u w:val="none"/>
        </w:rPr>
        <w:t>Commission v Bulgaria,</w:t>
      </w:r>
      <w:r>
        <w:rPr>
          <w:rStyle w:val="Hyperlink"/>
          <w:color w:val="auto"/>
        </w:rPr>
        <w:t xml:space="preserve"> </w:t>
      </w:r>
      <w:hyperlink r:id="rId66" w:history="1">
        <w:r>
          <w:rPr>
            <w:rStyle w:val="Hyperlink"/>
          </w:rPr>
          <w:t>C-488/15</w:t>
        </w:r>
      </w:hyperlink>
      <w:r>
        <w:t>.</w:t>
      </w:r>
    </w:p>
  </w:footnote>
  <w:footnote w:id="48">
    <w:p>
      <w:pPr>
        <w:pStyle w:val="FootnoteText"/>
      </w:pPr>
      <w:r>
        <w:rPr>
          <w:rStyle w:val="FootnoteReference"/>
        </w:rPr>
        <w:footnoteRef/>
      </w:r>
      <w:r>
        <w:t xml:space="preserve"> </w:t>
      </w:r>
      <w:r>
        <w:tab/>
      </w:r>
      <w:hyperlink r:id="rId67" w:history="1">
        <w:r>
          <w:rPr>
            <w:rStyle w:val="Hyperlink"/>
          </w:rPr>
          <w:t>MEMO/18/4486</w:t>
        </w:r>
      </w:hyperlink>
      <w:r>
        <w:t>.</w:t>
      </w:r>
    </w:p>
  </w:footnote>
  <w:footnote w:id="49">
    <w:p>
      <w:pPr>
        <w:pStyle w:val="FootnoteText"/>
      </w:pPr>
      <w:r>
        <w:rPr>
          <w:rStyle w:val="FootnoteReference"/>
        </w:rPr>
        <w:footnoteRef/>
      </w:r>
      <w:r>
        <w:t xml:space="preserve"> </w:t>
      </w:r>
      <w:r>
        <w:tab/>
        <w:t xml:space="preserve">Directive </w:t>
      </w:r>
      <w:hyperlink r:id="rId68" w:history="1">
        <w:r>
          <w:rPr>
            <w:rStyle w:val="Hyperlink"/>
          </w:rPr>
          <w:t>2005/36/EC</w:t>
        </w:r>
      </w:hyperlink>
      <w:r>
        <w:t xml:space="preserve">, </w:t>
      </w:r>
      <w:hyperlink r:id="rId69" w:history="1">
        <w:r>
          <w:rPr>
            <w:rStyle w:val="Hyperlink"/>
          </w:rPr>
          <w:t>MEMO/18/4486</w:t>
        </w:r>
      </w:hyperlink>
      <w:r>
        <w:rPr>
          <w:rStyle w:val="Hyperlink"/>
        </w:rPr>
        <w:t>.</w:t>
      </w:r>
    </w:p>
  </w:footnote>
  <w:footnote w:id="50">
    <w:p>
      <w:pPr>
        <w:pStyle w:val="FootnoteText"/>
      </w:pPr>
      <w:r>
        <w:rPr>
          <w:rStyle w:val="FootnoteReference"/>
        </w:rPr>
        <w:footnoteRef/>
      </w:r>
      <w:r>
        <w:t xml:space="preserve"> </w:t>
      </w:r>
      <w:r>
        <w:tab/>
      </w:r>
      <w:hyperlink r:id="rId70" w:history="1">
        <w:r>
          <w:rPr>
            <w:rStyle w:val="Hyperlink"/>
          </w:rPr>
          <w:t>MEMO/18/6247</w:t>
        </w:r>
      </w:hyperlink>
      <w:r>
        <w:t>.</w:t>
      </w:r>
    </w:p>
  </w:footnote>
  <w:footnote w:id="51">
    <w:p>
      <w:pPr>
        <w:pStyle w:val="FootnoteText"/>
      </w:pPr>
      <w:r>
        <w:rPr>
          <w:rStyle w:val="FootnoteReference"/>
        </w:rPr>
        <w:footnoteRef/>
      </w:r>
      <w:r>
        <w:t xml:space="preserve"> </w:t>
      </w:r>
      <w:r>
        <w:tab/>
      </w:r>
      <w:r>
        <w:rPr>
          <w:rStyle w:val="Hyperlink"/>
          <w:color w:val="auto"/>
          <w:u w:val="none"/>
        </w:rPr>
        <w:t xml:space="preserve">Directive </w:t>
      </w:r>
      <w:hyperlink r:id="rId71" w:history="1">
        <w:r>
          <w:rPr>
            <w:rStyle w:val="Hyperlink"/>
          </w:rPr>
          <w:t>2015/2366/EU</w:t>
        </w:r>
      </w:hyperlink>
      <w:r>
        <w:t>.</w:t>
      </w:r>
    </w:p>
  </w:footnote>
  <w:footnote w:id="52">
    <w:p>
      <w:pPr>
        <w:pStyle w:val="FootnoteText"/>
      </w:pPr>
      <w:r>
        <w:rPr>
          <w:rStyle w:val="FootnoteReference"/>
        </w:rPr>
        <w:footnoteRef/>
      </w:r>
      <w:r>
        <w:t xml:space="preserve"> </w:t>
      </w:r>
      <w:r>
        <w:tab/>
      </w:r>
      <w:r>
        <w:rPr>
          <w:rStyle w:val="Hyperlink"/>
          <w:color w:val="auto"/>
          <w:u w:val="none"/>
        </w:rPr>
        <w:t xml:space="preserve">Directive </w:t>
      </w:r>
      <w:hyperlink r:id="rId72" w:history="1">
        <w:r>
          <w:rPr>
            <w:rStyle w:val="Hyperlink"/>
          </w:rPr>
          <w:t>2016/97/EU</w:t>
        </w:r>
      </w:hyperlink>
      <w:r>
        <w:t>.</w:t>
      </w:r>
    </w:p>
  </w:footnote>
  <w:footnote w:id="53">
    <w:p>
      <w:pPr>
        <w:pStyle w:val="FootnoteText"/>
        <w:rPr>
          <w:lang w:val="fr-BE"/>
        </w:rPr>
      </w:pPr>
      <w:r>
        <w:rPr>
          <w:rStyle w:val="FootnoteReference"/>
        </w:rPr>
        <w:footnoteRef/>
      </w:r>
      <w:r>
        <w:rPr>
          <w:lang w:val="fr-BE"/>
        </w:rPr>
        <w:t xml:space="preserve"> </w:t>
      </w:r>
      <w:r>
        <w:rPr>
          <w:lang w:val="fr-BE"/>
        </w:rPr>
        <w:tab/>
      </w:r>
      <w:r>
        <w:rPr>
          <w:rStyle w:val="Hyperlink"/>
          <w:color w:val="auto"/>
          <w:u w:val="none"/>
          <w:bdr w:val="none" w:sz="0" w:space="0" w:color="auto" w:frame="1"/>
          <w:lang w:val="fr-BE"/>
        </w:rPr>
        <w:t xml:space="preserve">Directive </w:t>
      </w:r>
      <w:hyperlink r:id="rId73" w:history="1">
        <w:r>
          <w:rPr>
            <w:rStyle w:val="Hyperlink"/>
            <w:bdr w:val="none" w:sz="0" w:space="0" w:color="auto" w:frame="1"/>
            <w:lang w:val="fr-BE"/>
          </w:rPr>
          <w:t>2014/65/EU</w:t>
        </w:r>
      </w:hyperlink>
      <w:r>
        <w:rPr>
          <w:lang w:val="fr-BE"/>
        </w:rPr>
        <w:t xml:space="preserve">; </w:t>
      </w:r>
      <w:hyperlink r:id="rId74" w:history="1">
        <w:r>
          <w:rPr>
            <w:rStyle w:val="Hyperlink"/>
            <w:lang w:val="fr-BE"/>
          </w:rPr>
          <w:t>MEMO/18/349</w:t>
        </w:r>
      </w:hyperlink>
      <w:r>
        <w:rPr>
          <w:lang w:val="fr-BE"/>
        </w:rPr>
        <w:t>.</w:t>
      </w:r>
    </w:p>
  </w:footnote>
  <w:footnote w:id="54">
    <w:p>
      <w:pPr>
        <w:pStyle w:val="FootnoteText"/>
        <w:rPr>
          <w:lang w:val="fr-BE"/>
        </w:rPr>
      </w:pPr>
      <w:r>
        <w:rPr>
          <w:rStyle w:val="FootnoteReference"/>
        </w:rPr>
        <w:footnoteRef/>
      </w:r>
      <w:r>
        <w:rPr>
          <w:lang w:val="fr-BE"/>
        </w:rPr>
        <w:t xml:space="preserve"> </w:t>
      </w:r>
      <w:r>
        <w:rPr>
          <w:lang w:val="fr-BE"/>
        </w:rPr>
        <w:tab/>
        <w:t xml:space="preserve">Commission Directive </w:t>
      </w:r>
      <w:hyperlink r:id="rId75" w:history="1">
        <w:r>
          <w:rPr>
            <w:rStyle w:val="Hyperlink"/>
            <w:lang w:val="fr-BE"/>
          </w:rPr>
          <w:t>2016/1214/EU.</w:t>
        </w:r>
      </w:hyperlink>
    </w:p>
  </w:footnote>
  <w:footnote w:id="55">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76" w:history="1">
        <w:r>
          <w:rPr>
            <w:rStyle w:val="Hyperlink"/>
            <w:lang w:val="fr-BE"/>
          </w:rPr>
          <w:t>2017/1279</w:t>
        </w:r>
      </w:hyperlink>
      <w:r>
        <w:rPr>
          <w:rStyle w:val="Hyperlink"/>
          <w:lang w:val="fr-BE"/>
        </w:rPr>
        <w:t>/EU</w:t>
      </w:r>
      <w:r>
        <w:rPr>
          <w:lang w:val="fr-BE"/>
        </w:rPr>
        <w:t>.</w:t>
      </w:r>
    </w:p>
  </w:footnote>
  <w:footnote w:id="56">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77" w:history="1">
        <w:r>
          <w:rPr>
            <w:rStyle w:val="Hyperlink"/>
            <w:lang w:val="fr-BE"/>
          </w:rPr>
          <w:t>2018/100</w:t>
        </w:r>
      </w:hyperlink>
      <w:r>
        <w:rPr>
          <w:rStyle w:val="Hyperlink"/>
          <w:lang w:val="fr-BE"/>
        </w:rPr>
        <w:t>/EU</w:t>
      </w:r>
      <w:r>
        <w:rPr>
          <w:lang w:val="fr-BE"/>
        </w:rPr>
        <w:t>.</w:t>
      </w:r>
    </w:p>
  </w:footnote>
  <w:footnote w:id="57">
    <w:p>
      <w:pPr>
        <w:pStyle w:val="FootnoteText"/>
        <w:rPr>
          <w:lang w:val="fr-BE"/>
        </w:rPr>
      </w:pPr>
      <w:r>
        <w:rPr>
          <w:rStyle w:val="FootnoteReference"/>
        </w:rPr>
        <w:footnoteRef/>
      </w:r>
      <w:r>
        <w:rPr>
          <w:lang w:val="fr-BE"/>
        </w:rPr>
        <w:t xml:space="preserve"> </w:t>
      </w:r>
      <w:r>
        <w:rPr>
          <w:lang w:val="fr-BE"/>
        </w:rPr>
        <w:tab/>
        <w:t xml:space="preserve">Directive </w:t>
      </w:r>
      <w:hyperlink r:id="rId78" w:history="1">
        <w:r>
          <w:rPr>
            <w:rStyle w:val="Hyperlink"/>
            <w:lang w:val="fr-BE"/>
          </w:rPr>
          <w:t>2014/42/EU</w:t>
        </w:r>
      </w:hyperlink>
      <w:r>
        <w:rPr>
          <w:lang w:val="fr-BE"/>
        </w:rPr>
        <w:t>.</w:t>
      </w:r>
    </w:p>
  </w:footnote>
  <w:footnote w:id="58">
    <w:p>
      <w:pPr>
        <w:pStyle w:val="FootnoteText"/>
        <w:rPr>
          <w:lang w:val="pt-PT"/>
        </w:rPr>
      </w:pPr>
      <w:r>
        <w:rPr>
          <w:rStyle w:val="FootnoteReference"/>
        </w:rPr>
        <w:footnoteRef/>
      </w:r>
      <w:r>
        <w:rPr>
          <w:lang w:val="pt-PT"/>
        </w:rPr>
        <w:t xml:space="preserve"> </w:t>
      </w:r>
      <w:r>
        <w:rPr>
          <w:lang w:val="pt-PT"/>
        </w:rPr>
        <w:tab/>
        <w:t xml:space="preserve">Directive </w:t>
      </w:r>
      <w:hyperlink r:id="rId79" w:history="1">
        <w:r>
          <w:rPr>
            <w:rStyle w:val="Hyperlink"/>
            <w:lang w:val="pt-PT"/>
          </w:rPr>
          <w:t>2016/1148/EU</w:t>
        </w:r>
      </w:hyperlink>
      <w:r>
        <w:rPr>
          <w:lang w:val="pt-PT"/>
        </w:rPr>
        <w:t xml:space="preserve">; </w:t>
      </w:r>
      <w:hyperlink r:id="rId80" w:history="1">
        <w:r>
          <w:rPr>
            <w:rStyle w:val="Hyperlink"/>
            <w:lang w:val="pt-PT"/>
          </w:rPr>
          <w:t>MEMO/18/4486</w:t>
        </w:r>
      </w:hyperlink>
      <w:r>
        <w:rPr>
          <w:lang w:val="pt-PT"/>
        </w:rPr>
        <w:t>.</w:t>
      </w:r>
    </w:p>
  </w:footnote>
  <w:footnote w:id="59">
    <w:p>
      <w:pPr>
        <w:pStyle w:val="FootnoteText"/>
        <w:rPr>
          <w:lang w:val="pt-PT"/>
        </w:rPr>
      </w:pPr>
      <w:r>
        <w:rPr>
          <w:rStyle w:val="FootnoteReference"/>
        </w:rPr>
        <w:footnoteRef/>
      </w:r>
      <w:r>
        <w:rPr>
          <w:lang w:val="pt-PT"/>
        </w:rPr>
        <w:t xml:space="preserve"> </w:t>
      </w:r>
      <w:r>
        <w:rPr>
          <w:lang w:val="pt-PT"/>
        </w:rPr>
        <w:tab/>
        <w:t xml:space="preserve">Directive </w:t>
      </w:r>
      <w:hyperlink r:id="rId81" w:history="1">
        <w:r>
          <w:rPr>
            <w:rStyle w:val="Hyperlink"/>
            <w:lang w:val="pt-PT"/>
          </w:rPr>
          <w:t>2016/2102</w:t>
        </w:r>
      </w:hyperlink>
      <w:r>
        <w:rPr>
          <w:rStyle w:val="Hyperlink"/>
          <w:lang w:val="pt-PT"/>
        </w:rPr>
        <w:t>/EU</w:t>
      </w:r>
      <w:r>
        <w:rPr>
          <w:lang w:val="pt-PT"/>
        </w:rPr>
        <w:t>.</w:t>
      </w:r>
    </w:p>
  </w:footnote>
  <w:footnote w:id="60">
    <w:p>
      <w:pPr>
        <w:pStyle w:val="FootnoteText"/>
        <w:rPr>
          <w:lang w:val="fr-BE"/>
        </w:rPr>
      </w:pPr>
      <w:r>
        <w:rPr>
          <w:rStyle w:val="FootnoteReference"/>
        </w:rPr>
        <w:footnoteRef/>
      </w:r>
      <w:r>
        <w:rPr>
          <w:lang w:val="fr-BE"/>
        </w:rPr>
        <w:t xml:space="preserve"> </w:t>
      </w:r>
      <w:r>
        <w:rPr>
          <w:lang w:val="fr-BE"/>
        </w:rPr>
        <w:tab/>
        <w:t xml:space="preserve">Directive </w:t>
      </w:r>
      <w:hyperlink r:id="rId82" w:history="1">
        <w:r>
          <w:rPr>
            <w:rStyle w:val="Hyperlink"/>
            <w:lang w:val="fr-BE"/>
          </w:rPr>
          <w:t>2016/343/EU</w:t>
        </w:r>
      </w:hyperlink>
      <w:r>
        <w:rPr>
          <w:lang w:val="fr-BE"/>
        </w:rPr>
        <w:t>.</w:t>
      </w:r>
    </w:p>
  </w:footnote>
  <w:footnote w:id="61">
    <w:p>
      <w:pPr>
        <w:pStyle w:val="FootnoteText"/>
        <w:rPr>
          <w:lang w:val="fr-BE"/>
        </w:rPr>
      </w:pPr>
      <w:r>
        <w:rPr>
          <w:rStyle w:val="FootnoteReference"/>
        </w:rPr>
        <w:footnoteRef/>
      </w:r>
      <w:r>
        <w:rPr>
          <w:lang w:val="fr-BE"/>
        </w:rPr>
        <w:t xml:space="preserve"> </w:t>
      </w:r>
      <w:r>
        <w:rPr>
          <w:lang w:val="fr-BE"/>
        </w:rPr>
        <w:tab/>
        <w:t xml:space="preserve">Directive </w:t>
      </w:r>
      <w:hyperlink r:id="rId83" w:history="1">
        <w:r>
          <w:rPr>
            <w:rStyle w:val="Hyperlink"/>
            <w:lang w:val="fr-BE"/>
          </w:rPr>
          <w:t>2016/680/EU</w:t>
        </w:r>
      </w:hyperlink>
      <w:r>
        <w:rPr>
          <w:lang w:val="fr-BE"/>
        </w:rPr>
        <w:t>.</w:t>
      </w:r>
    </w:p>
  </w:footnote>
  <w:footnote w:id="62">
    <w:p>
      <w:pPr>
        <w:pStyle w:val="FootnoteText"/>
        <w:jc w:val="both"/>
      </w:pPr>
      <w:r>
        <w:rPr>
          <w:rStyle w:val="FootnoteReference"/>
        </w:rPr>
        <w:footnoteRef/>
      </w:r>
      <w:r>
        <w:rPr>
          <w:lang w:val="fr-BE"/>
        </w:rPr>
        <w:t xml:space="preserve"> </w:t>
      </w:r>
      <w:r>
        <w:rPr>
          <w:lang w:val="fr-BE"/>
        </w:rPr>
        <w:tab/>
        <w:t xml:space="preserve">Directive </w:t>
      </w:r>
      <w:hyperlink r:id="rId84" w:history="1">
        <w:r>
          <w:rPr>
            <w:rStyle w:val="Hyperlink"/>
            <w:lang w:val="fr-BE"/>
          </w:rPr>
          <w:t>2017/1564</w:t>
        </w:r>
      </w:hyperlink>
      <w:r>
        <w:rPr>
          <w:rStyle w:val="Hyperlink"/>
          <w:lang w:val="fr-BE"/>
        </w:rPr>
        <w:t xml:space="preserve">/EU </w:t>
      </w:r>
      <w:r>
        <w:rPr>
          <w:lang w:val="fr-BE"/>
        </w:rPr>
        <w:t xml:space="preserve">Commission v Bulgaria, C-27/18. </w:t>
      </w:r>
      <w:r>
        <w:t>Subsequently Bulgaria took the necessary steps to ensure compliance with EU law and the Commission has therefore withdrawn this case from the Court.</w:t>
      </w:r>
    </w:p>
  </w:footnote>
  <w:footnote w:id="63">
    <w:p>
      <w:pPr>
        <w:pStyle w:val="FootnoteText"/>
        <w:jc w:val="both"/>
      </w:pPr>
      <w:r>
        <w:rPr>
          <w:rStyle w:val="FootnoteReference"/>
        </w:rPr>
        <w:footnoteRef/>
      </w:r>
      <w:r>
        <w:rPr>
          <w:lang w:val="fr-BE"/>
        </w:rPr>
        <w:t xml:space="preserve"> </w:t>
      </w:r>
      <w:r>
        <w:rPr>
          <w:lang w:val="fr-BE"/>
        </w:rPr>
        <w:tab/>
        <w:t xml:space="preserve">Directive </w:t>
      </w:r>
      <w:hyperlink r:id="rId85" w:history="1">
        <w:r>
          <w:rPr>
            <w:rStyle w:val="Hyperlink"/>
            <w:lang w:val="fr-BE"/>
          </w:rPr>
          <w:t>2014/89/EU</w:t>
        </w:r>
      </w:hyperlink>
      <w:r>
        <w:rPr>
          <w:lang w:val="fr-BE"/>
        </w:rPr>
        <w:t xml:space="preserve">, Commission v Bulgaria, </w:t>
      </w:r>
      <w:r>
        <w:rPr>
          <w:bCs/>
          <w:lang w:val="fr-BE"/>
        </w:rPr>
        <w:t xml:space="preserve">C-61/18. </w:t>
      </w:r>
      <w:r>
        <w:rPr>
          <w:bCs/>
        </w:rPr>
        <w:t>S</w:t>
      </w:r>
      <w:r>
        <w:t>ubsequently Bulgaria took the necessary steps to ensure compliance with EU law and the Commission has therefore withdrawn this case from the Court.</w:t>
      </w:r>
    </w:p>
  </w:footnote>
  <w:footnote w:id="64">
    <w:p>
      <w:pPr>
        <w:pStyle w:val="FootnoteText"/>
        <w:rPr>
          <w:lang w:val="fr-BE"/>
        </w:rPr>
      </w:pPr>
      <w:r>
        <w:rPr>
          <w:rStyle w:val="FootnoteReference"/>
        </w:rPr>
        <w:footnoteRef/>
      </w:r>
      <w:r>
        <w:rPr>
          <w:lang w:val="fr-BE"/>
        </w:rPr>
        <w:t xml:space="preserve"> </w:t>
      </w:r>
      <w:r>
        <w:rPr>
          <w:lang w:val="fr-BE"/>
        </w:rPr>
        <w:tab/>
        <w:t xml:space="preserve">Directive </w:t>
      </w:r>
      <w:hyperlink r:id="rId86" w:history="1">
        <w:r>
          <w:rPr>
            <w:rStyle w:val="Hyperlink"/>
            <w:lang w:val="fr-BE"/>
          </w:rPr>
          <w:t>91/676/EEC</w:t>
        </w:r>
      </w:hyperlink>
      <w:r>
        <w:rPr>
          <w:lang w:val="fr-BE"/>
        </w:rPr>
        <w:t>.</w:t>
      </w:r>
    </w:p>
  </w:footnote>
  <w:footnote w:id="65">
    <w:p>
      <w:pPr>
        <w:pStyle w:val="FootnoteText"/>
        <w:rPr>
          <w:lang w:val="fr-BE"/>
        </w:rPr>
      </w:pPr>
      <w:r>
        <w:rPr>
          <w:rStyle w:val="FootnoteReference"/>
        </w:rPr>
        <w:footnoteRef/>
      </w:r>
      <w:r>
        <w:rPr>
          <w:lang w:val="fr-BE"/>
        </w:rPr>
        <w:t xml:space="preserve"> </w:t>
      </w:r>
      <w:r>
        <w:rPr>
          <w:lang w:val="fr-BE"/>
        </w:rPr>
        <w:tab/>
        <w:t xml:space="preserve">Directive </w:t>
      </w:r>
      <w:hyperlink r:id="rId87" w:history="1">
        <w:r>
          <w:rPr>
            <w:rStyle w:val="Hyperlink"/>
            <w:lang w:val="fr-BE"/>
          </w:rPr>
          <w:t>2006/93/EC.</w:t>
        </w:r>
      </w:hyperlink>
    </w:p>
  </w:footnote>
  <w:footnote w:id="66">
    <w:p>
      <w:pPr>
        <w:pStyle w:val="FootnoteText"/>
        <w:rPr>
          <w:lang w:val="fr-BE"/>
        </w:rPr>
      </w:pPr>
      <w:r>
        <w:rPr>
          <w:rStyle w:val="FootnoteReference"/>
        </w:rPr>
        <w:footnoteRef/>
      </w:r>
      <w:r>
        <w:rPr>
          <w:lang w:val="fr-BE"/>
        </w:rPr>
        <w:t xml:space="preserve"> </w:t>
      </w:r>
      <w:r>
        <w:rPr>
          <w:lang w:val="fr-BE"/>
        </w:rPr>
        <w:tab/>
        <w:t xml:space="preserve">Directive </w:t>
      </w:r>
      <w:hyperlink r:id="rId88" w:history="1">
        <w:r>
          <w:rPr>
            <w:rStyle w:val="Hyperlink"/>
            <w:lang w:val="fr-BE"/>
          </w:rPr>
          <w:t>2014/40/EU</w:t>
        </w:r>
      </w:hyperlink>
      <w:r>
        <w:rPr>
          <w:lang w:val="fr-BE"/>
        </w:rPr>
        <w:t>.</w:t>
      </w:r>
    </w:p>
  </w:footnote>
  <w:footnote w:id="67">
    <w:p>
      <w:pPr>
        <w:pStyle w:val="FootnoteText"/>
        <w:rPr>
          <w:lang w:val="fr-BE"/>
        </w:rPr>
      </w:pPr>
      <w:r>
        <w:rPr>
          <w:rStyle w:val="FootnoteReference"/>
        </w:rPr>
        <w:footnoteRef/>
      </w:r>
      <w:r>
        <w:rPr>
          <w:lang w:val="fr-BE"/>
        </w:rPr>
        <w:t xml:space="preserve"> </w:t>
      </w:r>
      <w:r>
        <w:rPr>
          <w:lang w:val="fr-BE"/>
        </w:rPr>
        <w:tab/>
        <w:t xml:space="preserve">Commission Directive </w:t>
      </w:r>
      <w:hyperlink r:id="rId89" w:history="1">
        <w:r>
          <w:rPr>
            <w:rStyle w:val="Hyperlink"/>
            <w:lang w:val="fr-BE"/>
          </w:rPr>
          <w:t>2016/1214/EU.</w:t>
        </w:r>
      </w:hyperlink>
    </w:p>
  </w:footnote>
  <w:footnote w:id="68">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90" w:history="1">
        <w:r>
          <w:rPr>
            <w:rStyle w:val="Hyperlink"/>
            <w:lang w:val="fr-BE"/>
          </w:rPr>
          <w:t>2017/1279</w:t>
        </w:r>
      </w:hyperlink>
      <w:r>
        <w:rPr>
          <w:rStyle w:val="Hyperlink"/>
          <w:lang w:val="fr-BE"/>
        </w:rPr>
        <w:t>/EU</w:t>
      </w:r>
      <w:r>
        <w:rPr>
          <w:lang w:val="fr-BE"/>
        </w:rPr>
        <w:t>.</w:t>
      </w:r>
    </w:p>
  </w:footnote>
  <w:footnote w:id="69">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91" w:history="1">
        <w:r>
          <w:rPr>
            <w:rStyle w:val="Hyperlink"/>
            <w:lang w:val="fr-BE"/>
          </w:rPr>
          <w:t>2014/91/EU</w:t>
        </w:r>
      </w:hyperlink>
      <w:r>
        <w:rPr>
          <w:lang w:val="fr-BE"/>
        </w:rPr>
        <w:t>.</w:t>
      </w:r>
    </w:p>
  </w:footnote>
  <w:footnote w:id="70">
    <w:p>
      <w:pPr>
        <w:pStyle w:val="FootnoteText"/>
        <w:rPr>
          <w:lang w:val="fr-BE"/>
        </w:rPr>
      </w:pPr>
      <w:r>
        <w:rPr>
          <w:rStyle w:val="FootnoteReference"/>
        </w:rPr>
        <w:footnoteRef/>
      </w:r>
      <w:r>
        <w:rPr>
          <w:lang w:val="fr-BE"/>
        </w:rPr>
        <w:t xml:space="preserve"> </w:t>
      </w:r>
      <w:r>
        <w:rPr>
          <w:lang w:val="fr-BE"/>
        </w:rPr>
        <w:tab/>
        <w:t xml:space="preserve">Directive </w:t>
      </w:r>
      <w:hyperlink r:id="rId92" w:history="1">
        <w:r>
          <w:rPr>
            <w:rStyle w:val="Hyperlink"/>
            <w:lang w:val="fr-BE"/>
          </w:rPr>
          <w:t>2015/2302</w:t>
        </w:r>
      </w:hyperlink>
      <w:r>
        <w:rPr>
          <w:rStyle w:val="Hyperlink"/>
          <w:lang w:val="fr-BE"/>
        </w:rPr>
        <w:t>/EU</w:t>
      </w:r>
      <w:r>
        <w:rPr>
          <w:lang w:val="fr-BE"/>
        </w:rPr>
        <w:t>.</w:t>
      </w:r>
    </w:p>
  </w:footnote>
  <w:footnote w:id="71">
    <w:p>
      <w:pPr>
        <w:pStyle w:val="FootnoteText"/>
        <w:rPr>
          <w:lang w:val="fr-BE"/>
        </w:rPr>
      </w:pPr>
      <w:r>
        <w:rPr>
          <w:rStyle w:val="FootnoteReference"/>
        </w:rPr>
        <w:footnoteRef/>
      </w:r>
      <w:r>
        <w:rPr>
          <w:lang w:val="fr-BE"/>
        </w:rPr>
        <w:t xml:space="preserve"> </w:t>
      </w:r>
      <w:r>
        <w:rPr>
          <w:lang w:val="fr-BE"/>
        </w:rPr>
        <w:tab/>
        <w:t xml:space="preserve">Directive </w:t>
      </w:r>
      <w:hyperlink r:id="rId93" w:history="1">
        <w:r>
          <w:rPr>
            <w:rStyle w:val="Hyperlink"/>
            <w:lang w:val="fr-BE"/>
          </w:rPr>
          <w:t>652/2015/EC</w:t>
        </w:r>
      </w:hyperlink>
      <w:r>
        <w:rPr>
          <w:rStyle w:val="Hyperlink"/>
          <w:lang w:val="fr-BE"/>
        </w:rPr>
        <w:t>.</w:t>
      </w:r>
    </w:p>
  </w:footnote>
  <w:footnote w:id="72">
    <w:p>
      <w:pPr>
        <w:pStyle w:val="FootnoteText"/>
        <w:rPr>
          <w:lang w:val="en-IE"/>
        </w:rPr>
      </w:pPr>
      <w:r>
        <w:rPr>
          <w:rStyle w:val="FootnoteReference"/>
        </w:rPr>
        <w:footnoteRef/>
      </w:r>
      <w:r>
        <w:rPr>
          <w:lang w:val="en-IE"/>
        </w:rPr>
        <w:t xml:space="preserve"> </w:t>
      </w:r>
      <w:r>
        <w:rPr>
          <w:lang w:val="en-IE"/>
        </w:rPr>
        <w:tab/>
        <w:t xml:space="preserve">Directive </w:t>
      </w:r>
      <w:hyperlink r:id="rId94" w:history="1">
        <w:r>
          <w:rPr>
            <w:rStyle w:val="Hyperlink"/>
            <w:lang w:val="en-IE"/>
          </w:rPr>
          <w:t>2009/147/EC</w:t>
        </w:r>
      </w:hyperlink>
      <w:r>
        <w:rPr>
          <w:lang w:val="en-IE"/>
        </w:rPr>
        <w:t xml:space="preserve">, </w:t>
      </w:r>
      <w:r>
        <w:rPr>
          <w:rStyle w:val="affairetitle"/>
          <w:lang w:val="en-IE"/>
        </w:rPr>
        <w:t xml:space="preserve">Commission v Bulgaria, </w:t>
      </w:r>
      <w:hyperlink r:id="rId95" w:history="1">
        <w:r>
          <w:rPr>
            <w:rStyle w:val="Hyperlink"/>
            <w:lang w:val="en-IE"/>
          </w:rPr>
          <w:t>C-97/17</w:t>
        </w:r>
      </w:hyperlink>
      <w:r>
        <w:rPr>
          <w:rStyle w:val="affairetitle"/>
          <w:lang w:val="en-IE"/>
        </w:rPr>
        <w:t>.</w:t>
      </w:r>
    </w:p>
  </w:footnote>
  <w:footnote w:id="73">
    <w:p>
      <w:pPr>
        <w:pStyle w:val="FootnoteText"/>
        <w:jc w:val="both"/>
        <w:rPr>
          <w:lang w:val="pt-PT"/>
        </w:rPr>
      </w:pPr>
      <w:r>
        <w:rPr>
          <w:rStyle w:val="FootnoteReference"/>
        </w:rPr>
        <w:footnoteRef/>
      </w:r>
      <w:r>
        <w:rPr>
          <w:lang w:val="pt-PT"/>
        </w:rPr>
        <w:t xml:space="preserve"> </w:t>
      </w:r>
      <w:r>
        <w:rPr>
          <w:lang w:val="pt-PT"/>
        </w:rPr>
        <w:tab/>
        <w:t xml:space="preserve">Ahmedbekova, </w:t>
      </w:r>
      <w:hyperlink r:id="rId96" w:history="1">
        <w:r>
          <w:rPr>
            <w:rStyle w:val="Hyperlink"/>
            <w:lang w:val="pt-PT"/>
          </w:rPr>
          <w:t>C</w:t>
        </w:r>
        <w:r>
          <w:rPr>
            <w:rStyle w:val="Hyperlink"/>
            <w:rFonts w:ascii="Cambria Math" w:hAnsi="Cambria Math" w:cs="Cambria Math"/>
            <w:lang w:val="pt-PT"/>
          </w:rPr>
          <w:noBreakHyphen/>
        </w:r>
        <w:r>
          <w:rPr>
            <w:rStyle w:val="Hyperlink"/>
            <w:lang w:val="pt-PT"/>
          </w:rPr>
          <w:t>652/16</w:t>
        </w:r>
      </w:hyperlink>
      <w:r>
        <w:rPr>
          <w:rStyle w:val="Hyperlink"/>
          <w:lang w:val="pt-PT"/>
        </w:rPr>
        <w:t>.</w:t>
      </w:r>
    </w:p>
  </w:footnote>
  <w:footnote w:id="74">
    <w:p>
      <w:pPr>
        <w:pStyle w:val="FootnoteText"/>
        <w:rPr>
          <w:lang w:val="pt-PT"/>
        </w:rPr>
      </w:pPr>
      <w:r>
        <w:rPr>
          <w:rStyle w:val="FootnoteReference"/>
        </w:rPr>
        <w:footnoteRef/>
      </w:r>
      <w:r>
        <w:rPr>
          <w:lang w:val="pt-PT"/>
        </w:rPr>
        <w:t xml:space="preserve"> </w:t>
      </w:r>
      <w:r>
        <w:rPr>
          <w:lang w:val="pt-PT"/>
        </w:rPr>
        <w:tab/>
        <w:t xml:space="preserve">Fathi, </w:t>
      </w:r>
      <w:hyperlink r:id="rId97" w:history="1">
        <w:r>
          <w:rPr>
            <w:rStyle w:val="Hyperlink"/>
            <w:lang w:val="pt-PT"/>
          </w:rPr>
          <w:t>C</w:t>
        </w:r>
        <w:r>
          <w:rPr>
            <w:rStyle w:val="Hyperlink"/>
            <w:rFonts w:ascii="Cambria Math" w:hAnsi="Cambria Math" w:cs="Cambria Math"/>
            <w:lang w:val="pt-PT"/>
          </w:rPr>
          <w:t>‑</w:t>
        </w:r>
        <w:r>
          <w:rPr>
            <w:rStyle w:val="Hyperlink"/>
            <w:lang w:val="pt-PT"/>
          </w:rPr>
          <w:t>56/17</w:t>
        </w:r>
      </w:hyperlink>
      <w:r>
        <w:rPr>
          <w:rStyle w:val="Hyperlink"/>
          <w:color w:val="auto"/>
          <w:u w:val="none"/>
          <w:lang w:val="pt-PT"/>
        </w:rPr>
        <w:t>.</w:t>
      </w:r>
    </w:p>
  </w:footnote>
  <w:footnote w:id="75">
    <w:p>
      <w:pPr>
        <w:pStyle w:val="FootnoteText"/>
        <w:rPr>
          <w:lang w:val="pt-PT"/>
        </w:rPr>
      </w:pPr>
      <w:r>
        <w:rPr>
          <w:rStyle w:val="FootnoteReference"/>
        </w:rPr>
        <w:footnoteRef/>
      </w:r>
      <w:r>
        <w:rPr>
          <w:lang w:val="pt-PT"/>
        </w:rPr>
        <w:t xml:space="preserve"> </w:t>
      </w:r>
      <w:r>
        <w:rPr>
          <w:lang w:val="pt-PT"/>
        </w:rPr>
        <w:tab/>
        <w:t xml:space="preserve">Directive </w:t>
      </w:r>
      <w:hyperlink r:id="rId98" w:history="1">
        <w:r>
          <w:rPr>
            <w:rStyle w:val="Hyperlink"/>
            <w:lang w:val="pt-PT"/>
          </w:rPr>
          <w:t>2009/21/EC</w:t>
        </w:r>
      </w:hyperlink>
      <w:r>
        <w:rPr>
          <w:lang w:val="pt-PT"/>
        </w:rPr>
        <w:t xml:space="preserve">; </w:t>
      </w:r>
      <w:hyperlink r:id="rId99" w:history="1">
        <w:r>
          <w:rPr>
            <w:rStyle w:val="Hyperlink"/>
            <w:lang w:val="pt-PT"/>
          </w:rPr>
          <w:t>MEMO/18/4486</w:t>
        </w:r>
      </w:hyperlink>
      <w:r>
        <w:rPr>
          <w:lang w:val="pt-PT"/>
        </w:rPr>
        <w:t>.</w:t>
      </w:r>
    </w:p>
  </w:footnote>
  <w:footnote w:id="76">
    <w:p>
      <w:pPr>
        <w:pStyle w:val="FootnoteText"/>
        <w:rPr>
          <w:lang w:val="pt-PT"/>
        </w:rPr>
      </w:pPr>
      <w:r>
        <w:rPr>
          <w:rStyle w:val="FootnoteReference"/>
        </w:rPr>
        <w:footnoteRef/>
      </w:r>
      <w:r>
        <w:rPr>
          <w:lang w:val="pt-PT"/>
        </w:rPr>
        <w:t xml:space="preserve"> </w:t>
      </w:r>
      <w:r>
        <w:rPr>
          <w:lang w:val="pt-PT"/>
        </w:rPr>
        <w:tab/>
        <w:t xml:space="preserve">Directive </w:t>
      </w:r>
      <w:hyperlink r:id="rId100" w:history="1">
        <w:r>
          <w:rPr>
            <w:rStyle w:val="Hyperlink"/>
            <w:lang w:val="pt-PT"/>
          </w:rPr>
          <w:t>2008/50/EC</w:t>
        </w:r>
      </w:hyperlink>
      <w:r>
        <w:rPr>
          <w:rStyle w:val="Hyperlink"/>
          <w:lang w:val="pt-PT"/>
        </w:rPr>
        <w:t xml:space="preserve">, </w:t>
      </w:r>
      <w:hyperlink r:id="rId101" w:history="1">
        <w:r>
          <w:rPr>
            <w:rStyle w:val="Hyperlink"/>
            <w:lang w:val="pt-PT"/>
          </w:rPr>
          <w:t>MEMO/18/6247</w:t>
        </w:r>
      </w:hyperlink>
      <w:r>
        <w:rPr>
          <w:rStyle w:val="Hyperlink"/>
          <w:lang w:val="pt-PT"/>
        </w:rPr>
        <w:t>.</w:t>
      </w:r>
    </w:p>
  </w:footnote>
  <w:footnote w:id="77">
    <w:p>
      <w:pPr>
        <w:pStyle w:val="FootnoteText"/>
        <w:rPr>
          <w:lang w:val="pt-PT"/>
        </w:rPr>
      </w:pPr>
      <w:r>
        <w:rPr>
          <w:rStyle w:val="FootnoteReference"/>
        </w:rPr>
        <w:footnoteRef/>
      </w:r>
      <w:r>
        <w:rPr>
          <w:lang w:val="pt-PT"/>
        </w:rPr>
        <w:t xml:space="preserve"> </w:t>
      </w:r>
      <w:r>
        <w:rPr>
          <w:lang w:val="pt-PT"/>
        </w:rPr>
        <w:tab/>
        <w:t xml:space="preserve">Directive </w:t>
      </w:r>
      <w:hyperlink r:id="rId102" w:history="1">
        <w:r>
          <w:rPr>
            <w:rStyle w:val="Hyperlink"/>
            <w:lang w:val="pt-PT"/>
          </w:rPr>
          <w:t>2011/70/Euratom</w:t>
        </w:r>
      </w:hyperlink>
      <w:r>
        <w:rPr>
          <w:lang w:val="pt-PT"/>
        </w:rPr>
        <w:t xml:space="preserve">, </w:t>
      </w:r>
      <w:hyperlink r:id="rId103" w:history="1">
        <w:r>
          <w:rPr>
            <w:rStyle w:val="Hyperlink"/>
            <w:lang w:val="pt-PT"/>
          </w:rPr>
          <w:t>MEMO/18/3446</w:t>
        </w:r>
      </w:hyperlink>
      <w:r>
        <w:rPr>
          <w:rStyle w:val="Hyperlink"/>
          <w:lang w:val="pt-PT"/>
        </w:rPr>
        <w:t>.</w:t>
      </w:r>
    </w:p>
  </w:footnote>
  <w:footnote w:id="78">
    <w:p>
      <w:pPr>
        <w:pStyle w:val="FootnoteText"/>
        <w:rPr>
          <w:lang w:val="pt-PT"/>
        </w:rPr>
      </w:pPr>
      <w:r>
        <w:rPr>
          <w:rStyle w:val="FootnoteReference"/>
        </w:rPr>
        <w:footnoteRef/>
      </w:r>
      <w:r>
        <w:rPr>
          <w:lang w:val="pt-PT"/>
        </w:rPr>
        <w:t xml:space="preserve"> </w:t>
      </w:r>
      <w:r>
        <w:rPr>
          <w:lang w:val="pt-PT"/>
        </w:rPr>
        <w:tab/>
        <w:t xml:space="preserve">Directive </w:t>
      </w:r>
      <w:hyperlink r:id="rId104" w:history="1">
        <w:r>
          <w:rPr>
            <w:rStyle w:val="Hyperlink"/>
            <w:lang w:val="pt-PT"/>
          </w:rPr>
          <w:t>2011/70/Euratom</w:t>
        </w:r>
      </w:hyperlink>
      <w:r>
        <w:rPr>
          <w:rStyle w:val="Hyperlink"/>
          <w:lang w:val="pt-PT"/>
        </w:rPr>
        <w:t xml:space="preserve">, </w:t>
      </w:r>
      <w:hyperlink r:id="rId105" w:history="1">
        <w:r>
          <w:rPr>
            <w:rStyle w:val="Hyperlink"/>
            <w:lang w:val="pt-PT"/>
          </w:rPr>
          <w:t>MEMO/18/3446</w:t>
        </w:r>
      </w:hyperlink>
      <w:r>
        <w:rPr>
          <w:rStyle w:val="Hyperlink"/>
          <w:lang w:val="pt-PT"/>
        </w:rPr>
        <w:t>.</w:t>
      </w:r>
    </w:p>
  </w:footnote>
  <w:footnote w:id="79">
    <w:p>
      <w:pPr>
        <w:pStyle w:val="FootnoteText"/>
        <w:rPr>
          <w:lang w:val="fr-BE"/>
        </w:rPr>
      </w:pPr>
      <w:r>
        <w:rPr>
          <w:rStyle w:val="FootnoteReference"/>
        </w:rPr>
        <w:footnoteRef/>
      </w:r>
      <w:r>
        <w:rPr>
          <w:lang w:val="fr-BE"/>
        </w:rPr>
        <w:t xml:space="preserve"> </w:t>
      </w:r>
      <w:r>
        <w:rPr>
          <w:lang w:val="fr-BE"/>
        </w:rPr>
        <w:tab/>
        <w:t xml:space="preserve">Directive </w:t>
      </w:r>
      <w:hyperlink r:id="rId106" w:history="1">
        <w:r>
          <w:rPr>
            <w:rStyle w:val="Hyperlink"/>
            <w:lang w:val="fr-BE"/>
          </w:rPr>
          <w:t>2005/36/EC</w:t>
        </w:r>
      </w:hyperlink>
      <w:r>
        <w:rPr>
          <w:lang w:val="fr-BE"/>
        </w:rPr>
        <w:t xml:space="preserve">, </w:t>
      </w:r>
      <w:hyperlink r:id="rId107" w:history="1">
        <w:r>
          <w:rPr>
            <w:rStyle w:val="Hyperlink"/>
            <w:lang w:val="fr-BE"/>
          </w:rPr>
          <w:t>MEMO/18/4486</w:t>
        </w:r>
      </w:hyperlink>
      <w:r>
        <w:rPr>
          <w:rStyle w:val="Hyperlink"/>
          <w:lang w:val="fr-BE"/>
        </w:rPr>
        <w:t>.</w:t>
      </w:r>
    </w:p>
  </w:footnote>
  <w:footnote w:id="80">
    <w:p>
      <w:pPr>
        <w:pStyle w:val="FootnoteText"/>
        <w:rPr>
          <w:lang w:val="fr-BE"/>
        </w:rPr>
      </w:pPr>
      <w:r>
        <w:rPr>
          <w:rStyle w:val="FootnoteReference"/>
        </w:rPr>
        <w:footnoteRef/>
      </w:r>
      <w:r>
        <w:rPr>
          <w:lang w:val="fr-BE"/>
        </w:rPr>
        <w:t xml:space="preserve"> </w:t>
      </w:r>
      <w:r>
        <w:rPr>
          <w:lang w:val="fr-BE"/>
        </w:rPr>
        <w:tab/>
        <w:t xml:space="preserve">Commission Directive </w:t>
      </w:r>
      <w:hyperlink r:id="rId108" w:history="1">
        <w:r>
          <w:rPr>
            <w:rStyle w:val="Hyperlink"/>
            <w:lang w:val="fr-BE"/>
          </w:rPr>
          <w:t>2016/1214/EU.</w:t>
        </w:r>
      </w:hyperlink>
    </w:p>
  </w:footnote>
  <w:footnote w:id="81">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109" w:history="1">
        <w:r>
          <w:rPr>
            <w:rStyle w:val="Hyperlink"/>
            <w:lang w:val="fr-BE"/>
          </w:rPr>
          <w:t>2017/1279</w:t>
        </w:r>
      </w:hyperlink>
      <w:r>
        <w:rPr>
          <w:rStyle w:val="Hyperlink"/>
          <w:lang w:val="fr-BE"/>
        </w:rPr>
        <w:t>/EU</w:t>
      </w:r>
      <w:r>
        <w:rPr>
          <w:lang w:val="fr-BE"/>
        </w:rPr>
        <w:t>.</w:t>
      </w:r>
    </w:p>
  </w:footnote>
  <w:footnote w:id="82">
    <w:p>
      <w:pPr>
        <w:pStyle w:val="FootnoteText"/>
        <w:rPr>
          <w:szCs w:val="18"/>
          <w:lang w:val="fr-BE"/>
        </w:rPr>
      </w:pPr>
      <w:r>
        <w:rPr>
          <w:rStyle w:val="FootnoteReference"/>
          <w:szCs w:val="18"/>
        </w:rPr>
        <w:footnoteRef/>
      </w:r>
      <w:r>
        <w:rPr>
          <w:szCs w:val="18"/>
          <w:lang w:val="fr-BE"/>
        </w:rPr>
        <w:t xml:space="preserve"> </w:t>
      </w:r>
      <w:r>
        <w:rPr>
          <w:szCs w:val="18"/>
          <w:lang w:val="fr-BE"/>
        </w:rPr>
        <w:tab/>
      </w:r>
      <w:r>
        <w:rPr>
          <w:rFonts w:cs="Arial"/>
          <w:szCs w:val="18"/>
          <w:lang w:val="fr-BE"/>
        </w:rPr>
        <w:t xml:space="preserve">Directive </w:t>
      </w:r>
      <w:hyperlink r:id="rId110" w:history="1">
        <w:r>
          <w:rPr>
            <w:rStyle w:val="Hyperlink"/>
            <w:rFonts w:cs="Arial"/>
            <w:szCs w:val="18"/>
            <w:lang w:val="fr-BE"/>
          </w:rPr>
          <w:t>2016/2102/EU</w:t>
        </w:r>
      </w:hyperlink>
      <w:r>
        <w:rPr>
          <w:rFonts w:cs="Arial"/>
          <w:szCs w:val="18"/>
          <w:lang w:val="fr-BE"/>
        </w:rPr>
        <w:t>.</w:t>
      </w:r>
    </w:p>
  </w:footnote>
  <w:footnote w:id="83">
    <w:p>
      <w:pPr>
        <w:pStyle w:val="FootnoteText"/>
        <w:rPr>
          <w:szCs w:val="18"/>
          <w:lang w:val="fr-BE"/>
        </w:rPr>
      </w:pPr>
      <w:r>
        <w:rPr>
          <w:rStyle w:val="FootnoteReference"/>
          <w:szCs w:val="18"/>
        </w:rPr>
        <w:footnoteRef/>
      </w:r>
      <w:r>
        <w:rPr>
          <w:szCs w:val="18"/>
          <w:lang w:val="fr-BE"/>
        </w:rPr>
        <w:t xml:space="preserve"> </w:t>
      </w:r>
      <w:r>
        <w:rPr>
          <w:szCs w:val="18"/>
          <w:lang w:val="fr-BE"/>
        </w:rPr>
        <w:tab/>
      </w:r>
      <w:r>
        <w:rPr>
          <w:rFonts w:cs="Arial"/>
          <w:szCs w:val="18"/>
          <w:lang w:val="fr-BE"/>
        </w:rPr>
        <w:t xml:space="preserve">Directive </w:t>
      </w:r>
      <w:hyperlink r:id="rId111" w:history="1">
        <w:r>
          <w:rPr>
            <w:rStyle w:val="Hyperlink"/>
            <w:rFonts w:cs="Arial"/>
            <w:szCs w:val="18"/>
            <w:lang w:val="fr-BE"/>
          </w:rPr>
          <w:t>2017/1564/EU</w:t>
        </w:r>
      </w:hyperlink>
      <w:r>
        <w:rPr>
          <w:rFonts w:cs="Arial"/>
          <w:szCs w:val="18"/>
          <w:lang w:val="fr-BE"/>
        </w:rPr>
        <w:t>.</w:t>
      </w:r>
    </w:p>
  </w:footnote>
  <w:footnote w:id="84">
    <w:p>
      <w:pPr>
        <w:pStyle w:val="FootnoteText"/>
        <w:rPr>
          <w:lang w:val="fr-BE"/>
        </w:rPr>
      </w:pPr>
      <w:r>
        <w:rPr>
          <w:rStyle w:val="FootnoteReference"/>
        </w:rPr>
        <w:footnoteRef/>
      </w:r>
      <w:r>
        <w:rPr>
          <w:lang w:val="fr-BE"/>
        </w:rPr>
        <w:t xml:space="preserve"> </w:t>
      </w:r>
      <w:r>
        <w:rPr>
          <w:lang w:val="fr-BE"/>
        </w:rPr>
        <w:tab/>
        <w:t xml:space="preserve">Regulation (EU) No </w:t>
      </w:r>
      <w:hyperlink r:id="rId112" w:history="1">
        <w:r>
          <w:rPr>
            <w:rStyle w:val="Hyperlink"/>
            <w:lang w:val="fr-BE"/>
          </w:rPr>
          <w:t>994/2010</w:t>
        </w:r>
      </w:hyperlink>
      <w:r>
        <w:rPr>
          <w:lang w:val="fr-BE"/>
        </w:rPr>
        <w:t>.</w:t>
      </w:r>
    </w:p>
  </w:footnote>
  <w:footnote w:id="85">
    <w:p>
      <w:pPr>
        <w:pStyle w:val="FootnoteText"/>
        <w:rPr>
          <w:lang w:val="fr-BE"/>
        </w:rPr>
      </w:pPr>
      <w:r>
        <w:rPr>
          <w:rStyle w:val="FootnoteReference"/>
        </w:rPr>
        <w:footnoteRef/>
      </w:r>
      <w:r>
        <w:rPr>
          <w:lang w:val="fr-BE"/>
        </w:rPr>
        <w:t xml:space="preserve"> </w:t>
      </w:r>
      <w:r>
        <w:rPr>
          <w:lang w:val="fr-BE"/>
        </w:rPr>
        <w:tab/>
        <w:t xml:space="preserve">Directive </w:t>
      </w:r>
      <w:hyperlink r:id="rId113" w:history="1">
        <w:r>
          <w:rPr>
            <w:rStyle w:val="Hyperlink"/>
            <w:lang w:val="fr-BE"/>
          </w:rPr>
          <w:t>2002/20/EC</w:t>
        </w:r>
      </w:hyperlink>
      <w:r>
        <w:rPr>
          <w:lang w:val="fr-BE"/>
        </w:rPr>
        <w:t>.</w:t>
      </w:r>
    </w:p>
  </w:footnote>
  <w:footnote w:id="86">
    <w:p>
      <w:pPr>
        <w:pStyle w:val="FootnoteText"/>
        <w:rPr>
          <w:lang w:val="fr-BE"/>
        </w:rPr>
      </w:pPr>
      <w:r>
        <w:rPr>
          <w:rStyle w:val="FootnoteReference"/>
        </w:rPr>
        <w:footnoteRef/>
      </w:r>
      <w:r>
        <w:rPr>
          <w:lang w:val="fr-BE"/>
        </w:rPr>
        <w:t xml:space="preserve"> </w:t>
      </w:r>
      <w:r>
        <w:rPr>
          <w:lang w:val="fr-BE"/>
        </w:rPr>
        <w:tab/>
        <w:t xml:space="preserve">Regulation </w:t>
      </w:r>
      <w:hyperlink r:id="rId114" w:history="1">
        <w:r>
          <w:rPr>
            <w:rStyle w:val="Hyperlink"/>
            <w:lang w:val="fr-BE"/>
          </w:rPr>
          <w:t>511/2014/EU</w:t>
        </w:r>
      </w:hyperlink>
      <w:r>
        <w:rPr>
          <w:lang w:val="fr-BE"/>
        </w:rPr>
        <w:t>.</w:t>
      </w:r>
    </w:p>
  </w:footnote>
  <w:footnote w:id="87">
    <w:p>
      <w:pPr>
        <w:pStyle w:val="FootnoteText"/>
        <w:rPr>
          <w:lang w:val="fr-BE"/>
        </w:rPr>
      </w:pPr>
      <w:r>
        <w:rPr>
          <w:rStyle w:val="FootnoteReference"/>
        </w:rPr>
        <w:footnoteRef/>
      </w:r>
      <w:r>
        <w:rPr>
          <w:lang w:val="fr-BE"/>
        </w:rPr>
        <w:t xml:space="preserve"> </w:t>
      </w:r>
      <w:r>
        <w:rPr>
          <w:lang w:val="fr-BE"/>
        </w:rPr>
        <w:tab/>
        <w:t xml:space="preserve">Directive </w:t>
      </w:r>
      <w:hyperlink r:id="rId115" w:history="1">
        <w:r>
          <w:rPr>
            <w:rStyle w:val="Hyperlink"/>
            <w:lang w:val="fr-BE"/>
          </w:rPr>
          <w:t>2014/54/EU</w:t>
        </w:r>
      </w:hyperlink>
      <w:r>
        <w:rPr>
          <w:lang w:val="fr-BE"/>
        </w:rPr>
        <w:t>.</w:t>
      </w:r>
    </w:p>
  </w:footnote>
  <w:footnote w:id="88">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116" w:history="1">
        <w:r>
          <w:rPr>
            <w:rStyle w:val="Hyperlink"/>
            <w:lang w:val="fr-BE"/>
          </w:rPr>
          <w:t>2014/17/EU</w:t>
        </w:r>
      </w:hyperlink>
      <w:r>
        <w:rPr>
          <w:rStyle w:val="Hyperlink"/>
          <w:lang w:val="fr-BE"/>
        </w:rPr>
        <w:t>,</w:t>
      </w:r>
      <w:r>
        <w:rPr>
          <w:rFonts w:eastAsia="Times New Roman"/>
          <w:lang w:val="fr-BE" w:eastAsia="en-GB"/>
        </w:rPr>
        <w:t xml:space="preserve"> </w:t>
      </w:r>
      <w:hyperlink r:id="rId117" w:history="1">
        <w:r>
          <w:rPr>
            <w:rStyle w:val="Hyperlink"/>
            <w:lang w:val="fr-BE"/>
          </w:rPr>
          <w:t>MEMO/18/1444</w:t>
        </w:r>
      </w:hyperlink>
      <w:r>
        <w:rPr>
          <w:rStyle w:val="Hyperlink"/>
          <w:lang w:val="fr-BE"/>
        </w:rPr>
        <w:t>.</w:t>
      </w:r>
    </w:p>
  </w:footnote>
  <w:footnote w:id="89">
    <w:p>
      <w:pPr>
        <w:pStyle w:val="FootnoteText"/>
        <w:rPr>
          <w:lang w:val="fr-BE"/>
        </w:rPr>
      </w:pPr>
      <w:r>
        <w:rPr>
          <w:rStyle w:val="FootnoteReference"/>
        </w:rPr>
        <w:footnoteRef/>
      </w:r>
      <w:r>
        <w:rPr>
          <w:lang w:val="fr-BE"/>
        </w:rPr>
        <w:t xml:space="preserve"> </w:t>
      </w:r>
      <w:r>
        <w:rPr>
          <w:lang w:val="fr-BE"/>
        </w:rPr>
        <w:tab/>
        <w:t xml:space="preserve">Commission Directive </w:t>
      </w:r>
      <w:hyperlink r:id="rId118" w:history="1">
        <w:r>
          <w:rPr>
            <w:rStyle w:val="Hyperlink"/>
            <w:lang w:val="fr-BE"/>
          </w:rPr>
          <w:t>2016/1214/EU.</w:t>
        </w:r>
      </w:hyperlink>
    </w:p>
  </w:footnote>
  <w:footnote w:id="90">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119" w:history="1">
        <w:r>
          <w:rPr>
            <w:rStyle w:val="Hyperlink"/>
            <w:lang w:val="fr-BE"/>
          </w:rPr>
          <w:t>2017/1279</w:t>
        </w:r>
      </w:hyperlink>
      <w:r>
        <w:rPr>
          <w:rStyle w:val="Hyperlink"/>
          <w:lang w:val="fr-BE"/>
        </w:rPr>
        <w:t>/EU</w:t>
      </w:r>
      <w:r>
        <w:rPr>
          <w:lang w:val="fr-BE"/>
        </w:rPr>
        <w:t>.</w:t>
      </w:r>
    </w:p>
  </w:footnote>
  <w:footnote w:id="91">
    <w:p>
      <w:pPr>
        <w:pStyle w:val="FootnoteText"/>
        <w:rPr>
          <w:lang w:val="pt-PT"/>
        </w:rPr>
      </w:pPr>
      <w:r>
        <w:rPr>
          <w:rStyle w:val="FootnoteReference"/>
        </w:rPr>
        <w:footnoteRef/>
      </w:r>
      <w:r>
        <w:rPr>
          <w:lang w:val="pt-PT"/>
        </w:rPr>
        <w:t xml:space="preserve"> </w:t>
      </w:r>
      <w:r>
        <w:rPr>
          <w:lang w:val="pt-PT"/>
        </w:rPr>
        <w:tab/>
        <w:t xml:space="preserve">Directive </w:t>
      </w:r>
      <w:hyperlink r:id="rId120" w:history="1">
        <w:r>
          <w:rPr>
            <w:rStyle w:val="Hyperlink"/>
            <w:lang w:val="pt-PT"/>
          </w:rPr>
          <w:t>2014/66/EU</w:t>
        </w:r>
      </w:hyperlink>
      <w:r>
        <w:rPr>
          <w:lang w:val="pt-PT"/>
        </w:rPr>
        <w:t>.</w:t>
      </w:r>
    </w:p>
  </w:footnote>
  <w:footnote w:id="92">
    <w:p>
      <w:pPr>
        <w:pStyle w:val="FootnoteText"/>
        <w:rPr>
          <w:lang w:val="pt-PT"/>
        </w:rPr>
      </w:pPr>
      <w:r>
        <w:rPr>
          <w:rStyle w:val="FootnoteReference"/>
        </w:rPr>
        <w:footnoteRef/>
      </w:r>
      <w:r>
        <w:rPr>
          <w:lang w:val="pt-PT"/>
        </w:rPr>
        <w:t xml:space="preserve"> </w:t>
      </w:r>
      <w:r>
        <w:rPr>
          <w:lang w:val="pt-PT"/>
        </w:rPr>
        <w:tab/>
      </w:r>
      <w:hyperlink r:id="rId121" w:history="1">
        <w:r>
          <w:rPr>
            <w:rStyle w:val="Hyperlink"/>
            <w:lang w:val="pt-PT"/>
          </w:rPr>
          <w:t>MEMO/18/1444</w:t>
        </w:r>
      </w:hyperlink>
      <w:r>
        <w:rPr>
          <w:rStyle w:val="Hyperlink"/>
          <w:lang w:val="pt-PT"/>
        </w:rPr>
        <w:t>.</w:t>
      </w:r>
    </w:p>
  </w:footnote>
  <w:footnote w:id="93">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122" w:history="1">
        <w:r>
          <w:rPr>
            <w:rStyle w:val="Hyperlink"/>
            <w:lang w:val="pt-PT"/>
          </w:rPr>
          <w:t>2014/42/EU</w:t>
        </w:r>
      </w:hyperlink>
      <w:r>
        <w:rPr>
          <w:rStyle w:val="Hyperlink"/>
          <w:color w:val="auto"/>
          <w:u w:val="none"/>
          <w:lang w:val="pt-PT"/>
        </w:rPr>
        <w:t>.</w:t>
      </w:r>
    </w:p>
  </w:footnote>
  <w:footnote w:id="94">
    <w:p>
      <w:pPr>
        <w:pStyle w:val="FootnoteText"/>
        <w:rPr>
          <w:lang w:val="en-US"/>
        </w:rPr>
      </w:pPr>
      <w:r>
        <w:rPr>
          <w:rStyle w:val="Caractresdenotedebasdepage"/>
          <w:vertAlign w:val="superscript"/>
        </w:rPr>
        <w:footnoteRef/>
      </w:r>
      <w:r>
        <w:rPr>
          <w:rStyle w:val="Caractresdenotedebasdepage"/>
          <w:lang w:val="en-US"/>
        </w:rPr>
        <w:tab/>
      </w:r>
      <w:r>
        <w:rPr>
          <w:lang w:val="en-US"/>
        </w:rPr>
        <w:t xml:space="preserve">Directive </w:t>
      </w:r>
      <w:hyperlink r:id="rId123">
        <w:r>
          <w:rPr>
            <w:rStyle w:val="LienInternet"/>
            <w:lang w:val="en-US"/>
          </w:rPr>
          <w:t>2006/126/EC nc</w:t>
        </w:r>
      </w:hyperlink>
      <w:r>
        <w:rPr>
          <w:lang w:val="en-US"/>
        </w:rPr>
        <w:t xml:space="preserve"> </w:t>
      </w:r>
      <w:hyperlink r:id="rId124">
        <w:r>
          <w:rPr>
            <w:rStyle w:val="LienInternet"/>
            <w:lang w:val="en-US"/>
          </w:rPr>
          <w:t>2006/126/EC</w:t>
        </w:r>
      </w:hyperlink>
      <w:r>
        <w:rPr>
          <w:lang w:val="en-US"/>
        </w:rPr>
        <w:t xml:space="preserve">, Commission v Czech Republic, </w:t>
      </w:r>
      <w:hyperlink r:id="rId125">
        <w:r>
          <w:rPr>
            <w:rStyle w:val="LienInternet"/>
            <w:lang w:val="en-US"/>
          </w:rPr>
          <w:t>C-314/16</w:t>
        </w:r>
      </w:hyperlink>
      <w:r>
        <w:rPr>
          <w:lang w:val="en-US"/>
        </w:rPr>
        <w:t>.</w:t>
      </w:r>
    </w:p>
  </w:footnote>
  <w:footnote w:id="95">
    <w:p>
      <w:pPr>
        <w:pStyle w:val="FootnoteText"/>
        <w:rPr>
          <w:lang w:val="en-US"/>
        </w:rPr>
      </w:pPr>
      <w:r>
        <w:rPr>
          <w:rStyle w:val="FootnoteReference"/>
        </w:rPr>
        <w:footnoteRef/>
      </w:r>
      <w:r>
        <w:rPr>
          <w:lang w:val="en-US"/>
        </w:rPr>
        <w:t xml:space="preserve"> </w:t>
      </w:r>
      <w:r>
        <w:rPr>
          <w:lang w:val="en-US"/>
        </w:rPr>
        <w:tab/>
        <w:t>Commission v Czech Republic,</w:t>
      </w:r>
      <w:r>
        <w:rPr>
          <w:rStyle w:val="Hyperlink"/>
          <w:lang w:val="en-US"/>
        </w:rPr>
        <w:t xml:space="preserve"> </w:t>
      </w:r>
      <w:hyperlink r:id="rId126" w:history="1">
        <w:r>
          <w:rPr>
            <w:rStyle w:val="Hyperlink"/>
            <w:lang w:val="en-US"/>
          </w:rPr>
          <w:t>C-575/16</w:t>
        </w:r>
      </w:hyperlink>
      <w:r>
        <w:rPr>
          <w:lang w:val="en-US"/>
        </w:rPr>
        <w:t>.</w:t>
      </w:r>
    </w:p>
  </w:footnote>
  <w:footnote w:id="96">
    <w:p>
      <w:pPr>
        <w:pStyle w:val="FootnoteText"/>
        <w:rPr>
          <w:lang w:val="pt-PT"/>
        </w:rPr>
      </w:pPr>
      <w:r>
        <w:rPr>
          <w:rStyle w:val="FootnoteReference"/>
        </w:rPr>
        <w:footnoteRef/>
      </w:r>
      <w:r>
        <w:rPr>
          <w:lang w:val="pt-PT"/>
        </w:rPr>
        <w:t xml:space="preserve"> </w:t>
      </w:r>
      <w:r>
        <w:rPr>
          <w:lang w:val="pt-PT"/>
        </w:rPr>
        <w:tab/>
        <w:t xml:space="preserve">Regulation (EC) </w:t>
      </w:r>
      <w:hyperlink r:id="rId127" w:history="1">
        <w:r>
          <w:rPr>
            <w:rStyle w:val="Hyperlink"/>
            <w:lang w:val="pt-PT"/>
          </w:rPr>
          <w:t>1072/2009</w:t>
        </w:r>
      </w:hyperlink>
      <w:r>
        <w:rPr>
          <w:lang w:val="pt-PT"/>
        </w:rPr>
        <w:t xml:space="preserve">; </w:t>
      </w:r>
      <w:hyperlink r:id="rId128" w:history="1">
        <w:r>
          <w:rPr>
            <w:rStyle w:val="Hyperlink"/>
            <w:lang w:val="pt-PT"/>
          </w:rPr>
          <w:t>MEMO/18/4486</w:t>
        </w:r>
      </w:hyperlink>
      <w:r>
        <w:rPr>
          <w:lang w:val="pt-PT"/>
        </w:rPr>
        <w:t>.</w:t>
      </w:r>
    </w:p>
  </w:footnote>
  <w:footnote w:id="97">
    <w:p>
      <w:pPr>
        <w:pStyle w:val="FootnoteText"/>
        <w:rPr>
          <w:lang w:val="pt-PT"/>
        </w:rPr>
      </w:pPr>
      <w:r>
        <w:rPr>
          <w:rStyle w:val="FootnoteReference"/>
        </w:rPr>
        <w:footnoteRef/>
      </w:r>
      <w:r>
        <w:rPr>
          <w:lang w:val="pt-PT"/>
        </w:rPr>
        <w:t xml:space="preserve"> </w:t>
      </w:r>
      <w:r>
        <w:rPr>
          <w:lang w:val="pt-PT"/>
        </w:rPr>
        <w:tab/>
        <w:t xml:space="preserve">Directive </w:t>
      </w:r>
      <w:hyperlink r:id="rId129" w:history="1">
        <w:r>
          <w:rPr>
            <w:rStyle w:val="Hyperlink"/>
            <w:lang w:val="pt-PT"/>
          </w:rPr>
          <w:t>2005/36/EC</w:t>
        </w:r>
      </w:hyperlink>
      <w:r>
        <w:rPr>
          <w:lang w:val="pt-PT"/>
        </w:rPr>
        <w:t xml:space="preserve">, </w:t>
      </w:r>
      <w:hyperlink r:id="rId130" w:history="1">
        <w:r>
          <w:rPr>
            <w:rStyle w:val="Hyperlink"/>
            <w:lang w:val="pt-PT"/>
          </w:rPr>
          <w:t>MEMO/18/4486</w:t>
        </w:r>
      </w:hyperlink>
      <w:r>
        <w:rPr>
          <w:rStyle w:val="Hyperlink"/>
          <w:lang w:val="pt-PT"/>
        </w:rPr>
        <w:t>.</w:t>
      </w:r>
    </w:p>
  </w:footnote>
  <w:footnote w:id="98">
    <w:p>
      <w:pPr>
        <w:pStyle w:val="FootnoteText"/>
        <w:rPr>
          <w:lang w:val="pt-PT"/>
        </w:rPr>
      </w:pPr>
      <w:r>
        <w:rPr>
          <w:rStyle w:val="FootnoteReference"/>
        </w:rPr>
        <w:footnoteRef/>
      </w:r>
      <w:r>
        <w:rPr>
          <w:lang w:val="pt-PT"/>
        </w:rPr>
        <w:t xml:space="preserve"> </w:t>
      </w:r>
      <w:r>
        <w:rPr>
          <w:lang w:val="pt-PT"/>
        </w:rPr>
        <w:tab/>
        <w:t xml:space="preserve">Directive </w:t>
      </w:r>
      <w:hyperlink r:id="rId131" w:history="1">
        <w:r>
          <w:rPr>
            <w:rStyle w:val="Hyperlink"/>
            <w:lang w:val="pt-PT"/>
          </w:rPr>
          <w:t>2004/35/EC</w:t>
        </w:r>
      </w:hyperlink>
      <w:r>
        <w:rPr>
          <w:lang w:val="pt-PT"/>
        </w:rPr>
        <w:t>.</w:t>
      </w:r>
    </w:p>
  </w:footnote>
  <w:footnote w:id="99">
    <w:p>
      <w:pPr>
        <w:pStyle w:val="FootnoteText"/>
        <w:rPr>
          <w:lang w:val="pt-PT"/>
        </w:rPr>
      </w:pPr>
      <w:r>
        <w:rPr>
          <w:rStyle w:val="FootnoteReference"/>
        </w:rPr>
        <w:footnoteRef/>
      </w:r>
      <w:r>
        <w:rPr>
          <w:lang w:val="pt-PT"/>
        </w:rPr>
        <w:t xml:space="preserve"> </w:t>
      </w:r>
      <w:r>
        <w:rPr>
          <w:lang w:val="pt-PT"/>
        </w:rPr>
        <w:tab/>
      </w:r>
      <w:hyperlink r:id="rId132" w:history="1">
        <w:r>
          <w:rPr>
            <w:rStyle w:val="Hyperlink"/>
            <w:lang w:val="pt-PT"/>
          </w:rPr>
          <w:t>MEMO/18/6247</w:t>
        </w:r>
      </w:hyperlink>
      <w:r>
        <w:rPr>
          <w:rStyle w:val="Hyperlink"/>
          <w:lang w:val="pt-PT"/>
        </w:rPr>
        <w:t>.</w:t>
      </w:r>
    </w:p>
  </w:footnote>
  <w:footnote w:id="100">
    <w:p>
      <w:pPr>
        <w:pStyle w:val="FootnoteText"/>
        <w:rPr>
          <w:lang w:val="pt-PT"/>
        </w:rPr>
      </w:pPr>
      <w:r>
        <w:rPr>
          <w:rStyle w:val="FootnoteReference"/>
        </w:rPr>
        <w:footnoteRef/>
      </w:r>
      <w:r>
        <w:rPr>
          <w:lang w:val="pt-PT"/>
        </w:rPr>
        <w:t xml:space="preserve"> </w:t>
      </w:r>
      <w:r>
        <w:rPr>
          <w:lang w:val="pt-PT"/>
        </w:rPr>
        <w:tab/>
      </w:r>
      <w:hyperlink r:id="rId133" w:history="1">
        <w:r>
          <w:rPr>
            <w:rStyle w:val="Hyperlink"/>
            <w:lang w:val="pt-PT"/>
          </w:rPr>
          <w:t>IP/18/357</w:t>
        </w:r>
      </w:hyperlink>
      <w:r>
        <w:rPr>
          <w:lang w:val="pt-PT"/>
        </w:rPr>
        <w:t>.</w:t>
      </w:r>
    </w:p>
  </w:footnote>
  <w:footnote w:id="101">
    <w:p>
      <w:pPr>
        <w:pStyle w:val="FootnoteText"/>
        <w:rPr>
          <w:lang w:val="pt-PT"/>
        </w:rPr>
      </w:pPr>
      <w:r>
        <w:rPr>
          <w:rStyle w:val="FootnoteReference"/>
        </w:rPr>
        <w:footnoteRef/>
      </w:r>
      <w:r>
        <w:rPr>
          <w:lang w:val="pt-PT"/>
        </w:rPr>
        <w:t xml:space="preserve"> </w:t>
      </w:r>
      <w:r>
        <w:rPr>
          <w:lang w:val="pt-PT"/>
        </w:rPr>
        <w:tab/>
        <w:t xml:space="preserve">Regulation (EU) No </w:t>
      </w:r>
      <w:hyperlink r:id="rId134" w:history="1">
        <w:r>
          <w:rPr>
            <w:rStyle w:val="Hyperlink"/>
            <w:lang w:val="pt-PT"/>
          </w:rPr>
          <w:t>1151/2012</w:t>
        </w:r>
      </w:hyperlink>
      <w:r>
        <w:rPr>
          <w:lang w:val="pt-PT"/>
        </w:rPr>
        <w:t xml:space="preserve">, </w:t>
      </w:r>
      <w:hyperlink r:id="rId135" w:history="1">
        <w:r>
          <w:rPr>
            <w:rStyle w:val="Hyperlink"/>
            <w:lang w:val="pt-PT"/>
          </w:rPr>
          <w:t>MEMO/18/349</w:t>
        </w:r>
      </w:hyperlink>
      <w:r>
        <w:rPr>
          <w:lang w:val="pt-PT"/>
        </w:rPr>
        <w:t>.</w:t>
      </w:r>
    </w:p>
  </w:footnote>
  <w:footnote w:id="102">
    <w:p>
      <w:pPr>
        <w:pStyle w:val="FootnoteText"/>
        <w:rPr>
          <w:lang w:val="pt-PT"/>
        </w:rPr>
      </w:pPr>
      <w:r>
        <w:rPr>
          <w:rStyle w:val="FootnoteReference"/>
        </w:rPr>
        <w:footnoteRef/>
      </w:r>
      <w:r>
        <w:rPr>
          <w:lang w:val="pt-PT"/>
        </w:rPr>
        <w:t xml:space="preserve"> </w:t>
      </w:r>
      <w:r>
        <w:rPr>
          <w:lang w:val="pt-PT"/>
        </w:rPr>
        <w:tab/>
        <w:t xml:space="preserve">Directive </w:t>
      </w:r>
      <w:hyperlink r:id="rId136" w:history="1">
        <w:r>
          <w:rPr>
            <w:rStyle w:val="Hyperlink"/>
            <w:lang w:val="pt-PT"/>
          </w:rPr>
          <w:t>2011/70/Euratom</w:t>
        </w:r>
      </w:hyperlink>
      <w:r>
        <w:rPr>
          <w:lang w:val="pt-PT"/>
        </w:rPr>
        <w:t xml:space="preserve">, </w:t>
      </w:r>
      <w:hyperlink r:id="rId137" w:history="1">
        <w:r>
          <w:rPr>
            <w:rStyle w:val="Hyperlink"/>
            <w:lang w:val="pt-PT"/>
          </w:rPr>
          <w:t>MEMO/18/3986</w:t>
        </w:r>
      </w:hyperlink>
      <w:r>
        <w:rPr>
          <w:rStyle w:val="Hyperlink"/>
          <w:lang w:val="pt-PT"/>
        </w:rPr>
        <w:t>.</w:t>
      </w:r>
    </w:p>
  </w:footnote>
  <w:footnote w:id="103">
    <w:p>
      <w:pPr>
        <w:pStyle w:val="FootnoteText"/>
        <w:rPr>
          <w:lang w:val="pt-PT"/>
        </w:rPr>
      </w:pPr>
      <w:r>
        <w:rPr>
          <w:rStyle w:val="FootnoteReference"/>
        </w:rPr>
        <w:footnoteRef/>
      </w:r>
      <w:r>
        <w:rPr>
          <w:lang w:val="pt-PT"/>
        </w:rPr>
        <w:t xml:space="preserve"> </w:t>
      </w:r>
      <w:r>
        <w:rPr>
          <w:lang w:val="pt-PT"/>
        </w:rPr>
        <w:tab/>
        <w:t xml:space="preserve">Directive </w:t>
      </w:r>
      <w:hyperlink r:id="rId138" w:history="1">
        <w:r>
          <w:rPr>
            <w:rStyle w:val="Hyperlink"/>
            <w:lang w:val="pt-PT"/>
          </w:rPr>
          <w:t>2011/70/Euratom</w:t>
        </w:r>
      </w:hyperlink>
      <w:r>
        <w:rPr>
          <w:rStyle w:val="Hyperlink"/>
          <w:color w:val="auto"/>
          <w:lang w:val="pt-PT"/>
        </w:rPr>
        <w:t xml:space="preserve">, </w:t>
      </w:r>
      <w:hyperlink r:id="rId139" w:history="1">
        <w:r>
          <w:rPr>
            <w:rStyle w:val="Hyperlink"/>
            <w:lang w:val="pt-PT"/>
          </w:rPr>
          <w:t>MEMO/18/3446</w:t>
        </w:r>
      </w:hyperlink>
      <w:r>
        <w:rPr>
          <w:rStyle w:val="Hyperlink"/>
          <w:lang w:val="pt-PT"/>
        </w:rPr>
        <w:t>.</w:t>
      </w:r>
    </w:p>
  </w:footnote>
  <w:footnote w:id="104">
    <w:p>
      <w:pPr>
        <w:pStyle w:val="FootnoteText"/>
        <w:rPr>
          <w:lang w:val="fr-BE"/>
        </w:rPr>
      </w:pPr>
      <w:r>
        <w:rPr>
          <w:rStyle w:val="FootnoteReference"/>
        </w:rPr>
        <w:footnoteRef/>
      </w:r>
      <w:r>
        <w:rPr>
          <w:lang w:val="fr-BE"/>
        </w:rPr>
        <w:t xml:space="preserve"> </w:t>
      </w:r>
      <w:r>
        <w:rPr>
          <w:lang w:val="fr-BE"/>
        </w:rPr>
        <w:tab/>
        <w:t xml:space="preserve">Commission Directive </w:t>
      </w:r>
      <w:hyperlink r:id="rId140" w:history="1">
        <w:r>
          <w:rPr>
            <w:rStyle w:val="Hyperlink"/>
            <w:lang w:val="fr-BE"/>
          </w:rPr>
          <w:t>2016/1214/EU</w:t>
        </w:r>
      </w:hyperlink>
      <w:r>
        <w:rPr>
          <w:lang w:val="fr-BE"/>
        </w:rPr>
        <w:t>.</w:t>
      </w:r>
    </w:p>
  </w:footnote>
  <w:footnote w:id="105">
    <w:p>
      <w:pPr>
        <w:pStyle w:val="FootnoteText"/>
        <w:rPr>
          <w:lang w:val="fr-BE"/>
        </w:rPr>
      </w:pPr>
      <w:r>
        <w:rPr>
          <w:rStyle w:val="FootnoteReference"/>
        </w:rPr>
        <w:footnoteRef/>
      </w:r>
      <w:r>
        <w:rPr>
          <w:lang w:val="fr-BE"/>
        </w:rPr>
        <w:t xml:space="preserve"> </w:t>
      </w:r>
      <w:r>
        <w:rPr>
          <w:lang w:val="fr-BE"/>
        </w:rPr>
        <w:tab/>
        <w:t xml:space="preserve">Directive </w:t>
      </w:r>
      <w:hyperlink r:id="rId141" w:history="1">
        <w:r>
          <w:rPr>
            <w:rStyle w:val="Hyperlink"/>
            <w:lang w:val="fr-BE"/>
          </w:rPr>
          <w:t>2016/1148/EU</w:t>
        </w:r>
      </w:hyperlink>
      <w:r>
        <w:rPr>
          <w:lang w:val="fr-BE"/>
        </w:rPr>
        <w:t xml:space="preserve">; </w:t>
      </w:r>
      <w:hyperlink r:id="rId142" w:history="1">
        <w:r>
          <w:rPr>
            <w:rStyle w:val="Hyperlink"/>
            <w:lang w:val="fr-BE"/>
          </w:rPr>
          <w:t>MEMO/18/4486</w:t>
        </w:r>
      </w:hyperlink>
      <w:r>
        <w:rPr>
          <w:lang w:val="fr-BE"/>
        </w:rPr>
        <w:t>.</w:t>
      </w:r>
    </w:p>
  </w:footnote>
  <w:footnote w:id="106">
    <w:p>
      <w:pPr>
        <w:pStyle w:val="FootnoteText"/>
        <w:rPr>
          <w:lang w:val="fr-BE"/>
        </w:rPr>
      </w:pPr>
      <w:r>
        <w:rPr>
          <w:rStyle w:val="FootnoteReference"/>
        </w:rPr>
        <w:footnoteRef/>
      </w:r>
      <w:r>
        <w:rPr>
          <w:lang w:val="fr-BE"/>
        </w:rPr>
        <w:t xml:space="preserve"> </w:t>
      </w:r>
      <w:r>
        <w:rPr>
          <w:lang w:val="fr-BE"/>
        </w:rPr>
        <w:tab/>
        <w:t xml:space="preserve">Directive </w:t>
      </w:r>
      <w:hyperlink r:id="rId143" w:history="1">
        <w:r>
          <w:rPr>
            <w:rStyle w:val="Hyperlink"/>
            <w:lang w:val="fr-BE"/>
          </w:rPr>
          <w:t>2006/21/EC</w:t>
        </w:r>
      </w:hyperlink>
      <w:r>
        <w:rPr>
          <w:lang w:val="fr-BE"/>
        </w:rPr>
        <w:t>.</w:t>
      </w:r>
    </w:p>
  </w:footnote>
  <w:footnote w:id="107">
    <w:p>
      <w:pPr>
        <w:pStyle w:val="FootnoteText"/>
        <w:rPr>
          <w:lang w:val="fr-BE"/>
        </w:rPr>
      </w:pPr>
      <w:r>
        <w:rPr>
          <w:rStyle w:val="FootnoteReference"/>
        </w:rPr>
        <w:footnoteRef/>
      </w:r>
      <w:r>
        <w:rPr>
          <w:lang w:val="fr-BE"/>
        </w:rPr>
        <w:t xml:space="preserve"> </w:t>
      </w:r>
      <w:r>
        <w:rPr>
          <w:lang w:val="fr-BE"/>
        </w:rPr>
        <w:tab/>
        <w:t xml:space="preserve">Regulation (EC) </w:t>
      </w:r>
      <w:hyperlink r:id="rId144" w:history="1">
        <w:r>
          <w:rPr>
            <w:color w:val="0000FF"/>
            <w:u w:val="single"/>
            <w:lang w:val="fr-BE"/>
          </w:rPr>
          <w:t>1072/2009</w:t>
        </w:r>
      </w:hyperlink>
      <w:r>
        <w:rPr>
          <w:lang w:val="fr-BE"/>
        </w:rPr>
        <w:t>.</w:t>
      </w:r>
    </w:p>
  </w:footnote>
  <w:footnote w:id="108">
    <w:p>
      <w:pPr>
        <w:pStyle w:val="FootnoteText"/>
        <w:rPr>
          <w:lang w:val="fr-BE"/>
        </w:rPr>
      </w:pPr>
      <w:r>
        <w:rPr>
          <w:rStyle w:val="FootnoteReference"/>
        </w:rPr>
        <w:footnoteRef/>
      </w:r>
      <w:r>
        <w:rPr>
          <w:lang w:val="fr-BE"/>
        </w:rPr>
        <w:t xml:space="preserve"> </w:t>
      </w:r>
      <w:r>
        <w:rPr>
          <w:lang w:val="fr-BE"/>
        </w:rPr>
        <w:tab/>
        <w:t xml:space="preserve">Directive </w:t>
      </w:r>
      <w:hyperlink r:id="rId145" w:history="1">
        <w:r>
          <w:rPr>
            <w:rStyle w:val="Hyperlink"/>
            <w:lang w:val="fr-BE"/>
          </w:rPr>
          <w:t>2003/88/EC</w:t>
        </w:r>
      </w:hyperlink>
      <w:r>
        <w:rPr>
          <w:lang w:val="fr-BE"/>
        </w:rPr>
        <w:t>.</w:t>
      </w:r>
    </w:p>
  </w:footnote>
  <w:footnote w:id="109">
    <w:p>
      <w:pPr>
        <w:pStyle w:val="FootnoteText"/>
        <w:rPr>
          <w:lang w:val="fr-BE"/>
        </w:rPr>
      </w:pPr>
      <w:r>
        <w:rPr>
          <w:rStyle w:val="FootnoteReference"/>
        </w:rPr>
        <w:footnoteRef/>
      </w:r>
      <w:r>
        <w:rPr>
          <w:lang w:val="fr-BE"/>
        </w:rPr>
        <w:t xml:space="preserve"> </w:t>
      </w:r>
      <w:r>
        <w:rPr>
          <w:lang w:val="fr-BE"/>
        </w:rPr>
        <w:tab/>
        <w:t xml:space="preserve">Directive </w:t>
      </w:r>
      <w:hyperlink r:id="rId146" w:history="1">
        <w:r>
          <w:rPr>
            <w:rStyle w:val="Hyperlink"/>
            <w:lang w:val="fr-BE"/>
          </w:rPr>
          <w:t>2014/52/EU.</w:t>
        </w:r>
      </w:hyperlink>
    </w:p>
  </w:footnote>
  <w:footnote w:id="110">
    <w:p>
      <w:pPr>
        <w:pStyle w:val="FootnoteText"/>
        <w:rPr>
          <w:lang w:val="fr-BE"/>
        </w:rPr>
      </w:pPr>
      <w:r>
        <w:rPr>
          <w:rStyle w:val="FootnoteReference"/>
        </w:rPr>
        <w:footnoteRef/>
      </w:r>
      <w:r>
        <w:rPr>
          <w:lang w:val="fr-BE"/>
        </w:rPr>
        <w:t xml:space="preserve"> </w:t>
      </w:r>
      <w:r>
        <w:rPr>
          <w:lang w:val="fr-BE"/>
        </w:rPr>
        <w:tab/>
        <w:t xml:space="preserve">Commission Directive </w:t>
      </w:r>
      <w:hyperlink r:id="rId147" w:history="1">
        <w:r>
          <w:rPr>
            <w:rStyle w:val="Hyperlink"/>
            <w:lang w:val="fr-BE"/>
          </w:rPr>
          <w:t>2016/1214/EU</w:t>
        </w:r>
      </w:hyperlink>
      <w:r>
        <w:rPr>
          <w:lang w:val="fr-BE"/>
        </w:rPr>
        <w:t>.</w:t>
      </w:r>
    </w:p>
  </w:footnote>
  <w:footnote w:id="111">
    <w:p>
      <w:pPr>
        <w:pStyle w:val="FootnoteText"/>
        <w:rPr>
          <w:rFonts w:cs="Arial"/>
          <w:szCs w:val="18"/>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148" w:history="1">
        <w:r>
          <w:rPr>
            <w:rStyle w:val="Hyperlink"/>
            <w:lang w:val="pt-PT"/>
          </w:rPr>
          <w:t>2014/17/EU</w:t>
        </w:r>
      </w:hyperlink>
      <w:r>
        <w:rPr>
          <w:rFonts w:cs="Arial"/>
          <w:szCs w:val="18"/>
          <w:lang w:val="pt-PT"/>
        </w:rPr>
        <w:t xml:space="preserve">; </w:t>
      </w:r>
      <w:hyperlink r:id="rId149" w:history="1">
        <w:r>
          <w:rPr>
            <w:rStyle w:val="Hyperlink"/>
            <w:lang w:val="pt-PT"/>
          </w:rPr>
          <w:t>MEMO/18/1444</w:t>
        </w:r>
      </w:hyperlink>
      <w:r>
        <w:rPr>
          <w:rStyle w:val="Hyperlink"/>
          <w:lang w:val="pt-PT"/>
        </w:rPr>
        <w:t>.</w:t>
      </w:r>
    </w:p>
  </w:footnote>
  <w:footnote w:id="112">
    <w:p>
      <w:pPr>
        <w:pStyle w:val="FootnoteText"/>
        <w:rPr>
          <w:lang w:val="pt-PT"/>
        </w:rPr>
      </w:pPr>
      <w:r>
        <w:rPr>
          <w:rStyle w:val="FootnoteReference"/>
        </w:rPr>
        <w:footnoteRef/>
      </w:r>
      <w:r>
        <w:rPr>
          <w:lang w:val="pt-PT"/>
        </w:rPr>
        <w:t xml:space="preserve"> </w:t>
      </w:r>
      <w:r>
        <w:rPr>
          <w:lang w:val="pt-PT"/>
        </w:rPr>
        <w:tab/>
        <w:t xml:space="preserve">Directive </w:t>
      </w:r>
      <w:hyperlink r:id="rId150" w:history="1">
        <w:r>
          <w:rPr>
            <w:rStyle w:val="Hyperlink"/>
            <w:lang w:val="pt-PT"/>
          </w:rPr>
          <w:t>2014/87/Euratom.</w:t>
        </w:r>
      </w:hyperlink>
    </w:p>
  </w:footnote>
  <w:footnote w:id="113">
    <w:p>
      <w:pPr>
        <w:pStyle w:val="FootnoteText"/>
        <w:rPr>
          <w:lang w:val="en-IE"/>
        </w:rPr>
      </w:pPr>
      <w:r>
        <w:rPr>
          <w:rStyle w:val="FootnoteReference"/>
        </w:rPr>
        <w:footnoteRef/>
      </w:r>
      <w:r>
        <w:t xml:space="preserve"> </w:t>
      </w:r>
      <w:r>
        <w:rPr>
          <w:lang w:val="en-IE"/>
        </w:rPr>
        <w:tab/>
      </w:r>
      <w:r>
        <w:t xml:space="preserve">Regulation </w:t>
      </w:r>
      <w:hyperlink r:id="rId151">
        <w:r>
          <w:rPr>
            <w:rStyle w:val="LienInternet"/>
          </w:rPr>
          <w:t>(EC) No 1072/2009 nc</w:t>
        </w:r>
      </w:hyperlink>
      <w:r>
        <w:t xml:space="preserve"> </w:t>
      </w:r>
      <w:r>
        <w:rPr>
          <w:rStyle w:val="LienInternet"/>
          <w:color w:val="auto"/>
          <w:u w:val="none"/>
        </w:rPr>
        <w:t xml:space="preserve">(EC) No </w:t>
      </w:r>
      <w:hyperlink r:id="rId152" w:history="1">
        <w:r>
          <w:rPr>
            <w:rStyle w:val="Hyperlink"/>
          </w:rPr>
          <w:t>1072/2009</w:t>
        </w:r>
      </w:hyperlink>
      <w:r>
        <w:t xml:space="preserve">, Commission v Kingdom of Denmark, </w:t>
      </w:r>
      <w:hyperlink r:id="rId153">
        <w:r>
          <w:rPr>
            <w:rStyle w:val="LienInternet"/>
          </w:rPr>
          <w:t>C-541/16</w:t>
        </w:r>
      </w:hyperlink>
      <w:r>
        <w:t>.</w:t>
      </w:r>
    </w:p>
  </w:footnote>
  <w:footnote w:id="114">
    <w:p>
      <w:pPr>
        <w:pStyle w:val="FootnoteText"/>
        <w:rPr>
          <w:lang w:val="da-DK"/>
        </w:rPr>
      </w:pPr>
      <w:r>
        <w:rPr>
          <w:rStyle w:val="FootnoteReference"/>
        </w:rPr>
        <w:footnoteRef/>
      </w:r>
      <w:r>
        <w:rPr>
          <w:lang w:val="da-DK"/>
        </w:rPr>
        <w:t xml:space="preserve"> </w:t>
      </w:r>
      <w:r>
        <w:rPr>
          <w:lang w:val="da-DK"/>
        </w:rPr>
        <w:tab/>
        <w:t xml:space="preserve">Bevola, </w:t>
      </w:r>
      <w:hyperlink r:id="rId154" w:history="1">
        <w:r>
          <w:rPr>
            <w:rStyle w:val="Hyperlink"/>
            <w:lang w:val="da-DK"/>
          </w:rPr>
          <w:t>C-650/16</w:t>
        </w:r>
      </w:hyperlink>
      <w:r>
        <w:rPr>
          <w:lang w:val="da-DK"/>
        </w:rPr>
        <w:t>.</w:t>
      </w:r>
    </w:p>
  </w:footnote>
  <w:footnote w:id="115">
    <w:p>
      <w:pPr>
        <w:pStyle w:val="FootnoteText"/>
        <w:rPr>
          <w:lang w:val="da-DK"/>
        </w:rPr>
      </w:pPr>
      <w:r>
        <w:rPr>
          <w:rStyle w:val="FootnoteReference"/>
        </w:rPr>
        <w:footnoteRef/>
      </w:r>
      <w:r>
        <w:rPr>
          <w:lang w:val="da-DK"/>
        </w:rPr>
        <w:t xml:space="preserve"> </w:t>
      </w:r>
      <w:r>
        <w:rPr>
          <w:lang w:val="da-DK"/>
        </w:rPr>
        <w:tab/>
      </w:r>
      <w:r>
        <w:rPr>
          <w:rStyle w:val="affairetitle"/>
          <w:lang w:val="da-DK"/>
        </w:rPr>
        <w:t>Deha Altiner et Ravn,</w:t>
      </w:r>
      <w:r>
        <w:rPr>
          <w:rStyle w:val="Hyperlink"/>
          <w:lang w:val="da-DK"/>
        </w:rPr>
        <w:t xml:space="preserve"> </w:t>
      </w:r>
      <w:hyperlink r:id="rId155" w:history="1">
        <w:r>
          <w:rPr>
            <w:rStyle w:val="Hyperlink"/>
            <w:lang w:val="da-DK"/>
          </w:rPr>
          <w:t>C-230/17</w:t>
        </w:r>
      </w:hyperlink>
      <w:r>
        <w:rPr>
          <w:rStyle w:val="Hyperlink"/>
          <w:lang w:val="da-DK"/>
        </w:rPr>
        <w:t>.</w:t>
      </w:r>
    </w:p>
  </w:footnote>
  <w:footnote w:id="116">
    <w:p>
      <w:pPr>
        <w:pStyle w:val="FootnoteText"/>
        <w:rPr>
          <w:lang w:val="pt-PT"/>
        </w:rPr>
      </w:pPr>
      <w:r>
        <w:rPr>
          <w:rStyle w:val="FootnoteReference"/>
        </w:rPr>
        <w:footnoteRef/>
      </w:r>
      <w:r>
        <w:rPr>
          <w:lang w:val="pt-PT"/>
        </w:rPr>
        <w:t xml:space="preserve"> </w:t>
      </w:r>
      <w:r>
        <w:rPr>
          <w:lang w:val="pt-PT"/>
        </w:rPr>
        <w:tab/>
        <w:t xml:space="preserve">Directive </w:t>
      </w:r>
      <w:hyperlink r:id="rId156" w:history="1">
        <w:r>
          <w:rPr>
            <w:rStyle w:val="Hyperlink"/>
            <w:lang w:val="pt-PT"/>
          </w:rPr>
          <w:t>2004/49/EC</w:t>
        </w:r>
      </w:hyperlink>
      <w:r>
        <w:rPr>
          <w:lang w:val="pt-PT"/>
        </w:rPr>
        <w:t xml:space="preserve">; </w:t>
      </w:r>
      <w:hyperlink r:id="rId157" w:history="1">
        <w:r>
          <w:rPr>
            <w:rStyle w:val="Hyperlink"/>
            <w:lang w:val="pt-PT"/>
          </w:rPr>
          <w:t>MEMO/18/3446</w:t>
        </w:r>
      </w:hyperlink>
      <w:r>
        <w:rPr>
          <w:color w:val="000000"/>
          <w:lang w:val="pt-PT"/>
        </w:rPr>
        <w:t>.</w:t>
      </w:r>
    </w:p>
  </w:footnote>
  <w:footnote w:id="117">
    <w:p>
      <w:pPr>
        <w:pStyle w:val="FootnoteText"/>
        <w:rPr>
          <w:lang w:val="pt-PT"/>
        </w:rPr>
      </w:pPr>
      <w:r>
        <w:rPr>
          <w:rStyle w:val="FootnoteReference"/>
        </w:rPr>
        <w:footnoteRef/>
      </w:r>
      <w:r>
        <w:rPr>
          <w:lang w:val="pt-PT"/>
        </w:rPr>
        <w:t xml:space="preserve"> </w:t>
      </w:r>
      <w:r>
        <w:rPr>
          <w:lang w:val="pt-PT"/>
        </w:rPr>
        <w:tab/>
      </w:r>
      <w:hyperlink r:id="rId158" w:history="1">
        <w:r>
          <w:rPr>
            <w:rStyle w:val="Hyperlink"/>
            <w:szCs w:val="20"/>
            <w:lang w:val="pt-PT"/>
          </w:rPr>
          <w:t>MEMO/18/1444</w:t>
        </w:r>
      </w:hyperlink>
      <w:r>
        <w:rPr>
          <w:rStyle w:val="Hyperlink"/>
          <w:szCs w:val="20"/>
          <w:lang w:val="pt-PT"/>
        </w:rPr>
        <w:t>.</w:t>
      </w:r>
    </w:p>
  </w:footnote>
  <w:footnote w:id="118">
    <w:p>
      <w:pPr>
        <w:pStyle w:val="FootnoteText"/>
        <w:rPr>
          <w:lang w:val="pt-PT"/>
        </w:rPr>
      </w:pPr>
      <w:r>
        <w:rPr>
          <w:rStyle w:val="FootnoteReference"/>
        </w:rPr>
        <w:footnoteRef/>
      </w:r>
      <w:r>
        <w:rPr>
          <w:lang w:val="pt-PT"/>
        </w:rPr>
        <w:t xml:space="preserve"> </w:t>
      </w:r>
      <w:r>
        <w:rPr>
          <w:lang w:val="pt-PT"/>
        </w:rPr>
        <w:tab/>
        <w:t xml:space="preserve">Directive </w:t>
      </w:r>
      <w:hyperlink r:id="rId159" w:history="1">
        <w:r>
          <w:rPr>
            <w:rStyle w:val="Hyperlink"/>
            <w:lang w:val="pt-PT"/>
          </w:rPr>
          <w:t>2012/27/EU</w:t>
        </w:r>
      </w:hyperlink>
      <w:r>
        <w:rPr>
          <w:lang w:val="pt-PT"/>
        </w:rPr>
        <w:t xml:space="preserve">, </w:t>
      </w:r>
      <w:hyperlink r:id="rId160" w:history="1">
        <w:r>
          <w:rPr>
            <w:rStyle w:val="Hyperlink"/>
            <w:lang w:val="pt-PT"/>
          </w:rPr>
          <w:t>MEMO/18/6247</w:t>
        </w:r>
      </w:hyperlink>
      <w:r>
        <w:rPr>
          <w:rStyle w:val="Hyperlink"/>
          <w:lang w:val="pt-PT"/>
        </w:rPr>
        <w:t>.</w:t>
      </w:r>
    </w:p>
  </w:footnote>
  <w:footnote w:id="119">
    <w:p>
      <w:pPr>
        <w:pStyle w:val="FootnoteText"/>
        <w:rPr>
          <w:lang w:val="pt-PT"/>
        </w:rPr>
      </w:pPr>
      <w:r>
        <w:rPr>
          <w:rStyle w:val="FootnoteReference"/>
        </w:rPr>
        <w:footnoteRef/>
      </w:r>
      <w:r>
        <w:rPr>
          <w:lang w:val="pt-PT"/>
        </w:rPr>
        <w:t xml:space="preserve"> </w:t>
      </w:r>
      <w:r>
        <w:rPr>
          <w:lang w:val="pt-PT"/>
        </w:rPr>
        <w:tab/>
        <w:t xml:space="preserve">Directive </w:t>
      </w:r>
      <w:hyperlink r:id="rId161" w:history="1">
        <w:r>
          <w:rPr>
            <w:rStyle w:val="Hyperlink"/>
            <w:lang w:val="pt-PT"/>
          </w:rPr>
          <w:t>2011/70/Euratom</w:t>
        </w:r>
      </w:hyperlink>
      <w:r>
        <w:rPr>
          <w:rStyle w:val="Hyperlink"/>
          <w:lang w:val="pt-PT"/>
        </w:rPr>
        <w:t xml:space="preserve">, </w:t>
      </w:r>
      <w:hyperlink r:id="rId162" w:history="1">
        <w:r>
          <w:rPr>
            <w:rStyle w:val="Hyperlink"/>
            <w:lang w:val="pt-PT"/>
          </w:rPr>
          <w:t>MEMO/18/3446</w:t>
        </w:r>
      </w:hyperlink>
      <w:r>
        <w:rPr>
          <w:rStyle w:val="Hyperlink"/>
          <w:lang w:val="pt-PT"/>
        </w:rPr>
        <w:t>.</w:t>
      </w:r>
    </w:p>
  </w:footnote>
  <w:footnote w:id="120">
    <w:p>
      <w:pPr>
        <w:pStyle w:val="FootnoteText"/>
        <w:rPr>
          <w:lang w:val="pt-PT"/>
        </w:rPr>
      </w:pPr>
      <w:r>
        <w:rPr>
          <w:rStyle w:val="FootnoteReference"/>
        </w:rPr>
        <w:footnoteRef/>
      </w:r>
      <w:r>
        <w:rPr>
          <w:lang w:val="pt-PT"/>
        </w:rPr>
        <w:t xml:space="preserve"> </w:t>
      </w:r>
      <w:r>
        <w:rPr>
          <w:lang w:val="pt-PT"/>
        </w:rPr>
        <w:tab/>
        <w:t xml:space="preserve">Directive </w:t>
      </w:r>
      <w:hyperlink r:id="rId163" w:history="1">
        <w:r>
          <w:rPr>
            <w:rStyle w:val="Hyperlink"/>
            <w:lang w:val="pt-PT"/>
          </w:rPr>
          <w:t>2010/63/EU</w:t>
        </w:r>
      </w:hyperlink>
      <w:r>
        <w:rPr>
          <w:rStyle w:val="Hyperlink"/>
          <w:lang w:val="pt-PT"/>
        </w:rPr>
        <w:t xml:space="preserve">, </w:t>
      </w:r>
      <w:hyperlink r:id="rId164" w:history="1">
        <w:r>
          <w:rPr>
            <w:rStyle w:val="Hyperlink"/>
            <w:lang w:val="pt-PT"/>
          </w:rPr>
          <w:t>MEMO/18/4486</w:t>
        </w:r>
      </w:hyperlink>
      <w:r>
        <w:rPr>
          <w:lang w:val="pt-PT"/>
        </w:rPr>
        <w:t>.</w:t>
      </w:r>
    </w:p>
  </w:footnote>
  <w:footnote w:id="121">
    <w:p>
      <w:pPr>
        <w:pStyle w:val="FootnoteText"/>
        <w:rPr>
          <w:lang w:val="pt-PT"/>
        </w:rPr>
      </w:pPr>
      <w:r>
        <w:rPr>
          <w:rStyle w:val="FootnoteReference"/>
        </w:rPr>
        <w:footnoteRef/>
      </w:r>
      <w:r>
        <w:rPr>
          <w:lang w:val="pt-PT"/>
        </w:rPr>
        <w:t xml:space="preserve"> </w:t>
      </w:r>
      <w:r>
        <w:rPr>
          <w:lang w:val="pt-PT"/>
        </w:rPr>
        <w:tab/>
        <w:t xml:space="preserve">Directive </w:t>
      </w:r>
      <w:hyperlink r:id="rId165" w:history="1">
        <w:r>
          <w:rPr>
            <w:rStyle w:val="Hyperlink"/>
            <w:lang w:val="pt-PT"/>
          </w:rPr>
          <w:t>2005/36/EC</w:t>
        </w:r>
      </w:hyperlink>
      <w:r>
        <w:rPr>
          <w:lang w:val="pt-PT"/>
        </w:rPr>
        <w:t xml:space="preserve">, </w:t>
      </w:r>
      <w:hyperlink r:id="rId166" w:history="1">
        <w:r>
          <w:rPr>
            <w:rStyle w:val="Hyperlink"/>
            <w:lang w:val="pt-PT"/>
          </w:rPr>
          <w:t>MEMO/18/4486</w:t>
        </w:r>
      </w:hyperlink>
      <w:r>
        <w:rPr>
          <w:rStyle w:val="Hyperlink"/>
          <w:lang w:val="pt-PT"/>
        </w:rPr>
        <w:t>.</w:t>
      </w:r>
    </w:p>
  </w:footnote>
  <w:footnote w:id="122">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167" w:history="1">
        <w:r>
          <w:rPr>
            <w:rStyle w:val="Hyperlink"/>
            <w:lang w:val="pt-PT"/>
          </w:rPr>
          <w:t>2016/97/EU</w:t>
        </w:r>
      </w:hyperlink>
      <w:r>
        <w:rPr>
          <w:lang w:val="pt-PT"/>
        </w:rPr>
        <w:t>.</w:t>
      </w:r>
    </w:p>
  </w:footnote>
  <w:footnote w:id="123">
    <w:p>
      <w:pPr>
        <w:pStyle w:val="FootnoteText"/>
        <w:rPr>
          <w:lang w:val="da-DK"/>
        </w:rPr>
      </w:pPr>
      <w:r>
        <w:rPr>
          <w:rStyle w:val="FootnoteReference"/>
        </w:rPr>
        <w:footnoteRef/>
      </w:r>
      <w:r>
        <w:rPr>
          <w:lang w:val="da-DK"/>
        </w:rPr>
        <w:t xml:space="preserve"> </w:t>
      </w:r>
      <w:r>
        <w:rPr>
          <w:lang w:val="da-DK"/>
        </w:rPr>
        <w:tab/>
        <w:t xml:space="preserve">Directive </w:t>
      </w:r>
      <w:hyperlink r:id="rId168" w:history="1">
        <w:r>
          <w:rPr>
            <w:rStyle w:val="Hyperlink"/>
            <w:lang w:val="da-DK"/>
          </w:rPr>
          <w:t>2016/2102</w:t>
        </w:r>
      </w:hyperlink>
      <w:r>
        <w:rPr>
          <w:rStyle w:val="Hyperlink"/>
          <w:lang w:val="da-DK"/>
        </w:rPr>
        <w:t>/EU</w:t>
      </w:r>
      <w:r>
        <w:rPr>
          <w:lang w:val="da-DK"/>
        </w:rPr>
        <w:t>.</w:t>
      </w:r>
    </w:p>
  </w:footnote>
  <w:footnote w:id="124">
    <w:p>
      <w:pPr>
        <w:pStyle w:val="FootnoteText"/>
        <w:rPr>
          <w:lang w:val="da-DK"/>
        </w:rPr>
      </w:pPr>
      <w:r>
        <w:rPr>
          <w:rStyle w:val="FootnoteReference"/>
        </w:rPr>
        <w:footnoteRef/>
      </w:r>
      <w:r>
        <w:rPr>
          <w:lang w:val="da-DK"/>
        </w:rPr>
        <w:t xml:space="preserve"> </w:t>
      </w:r>
      <w:r>
        <w:rPr>
          <w:lang w:val="da-DK"/>
        </w:rPr>
        <w:tab/>
        <w:t xml:space="preserve">Directive </w:t>
      </w:r>
      <w:hyperlink r:id="rId169" w:history="1">
        <w:r>
          <w:rPr>
            <w:rStyle w:val="Hyperlink"/>
            <w:lang w:val="da-DK"/>
          </w:rPr>
          <w:t>2017/1564</w:t>
        </w:r>
      </w:hyperlink>
      <w:r>
        <w:rPr>
          <w:rStyle w:val="Hyperlink"/>
          <w:lang w:val="da-DK"/>
        </w:rPr>
        <w:t>/EU</w:t>
      </w:r>
      <w:r>
        <w:rPr>
          <w:lang w:val="da-DK"/>
        </w:rPr>
        <w:t>.</w:t>
      </w:r>
    </w:p>
  </w:footnote>
  <w:footnote w:id="125">
    <w:p>
      <w:pPr>
        <w:pStyle w:val="FootnoteText"/>
        <w:rPr>
          <w:lang w:val="da-DK"/>
        </w:rPr>
      </w:pPr>
      <w:r>
        <w:rPr>
          <w:rStyle w:val="FootnoteReference"/>
        </w:rPr>
        <w:footnoteRef/>
      </w:r>
      <w:r>
        <w:rPr>
          <w:lang w:val="da-DK"/>
        </w:rPr>
        <w:t xml:space="preserve"> </w:t>
      </w:r>
      <w:r>
        <w:rPr>
          <w:lang w:val="da-DK"/>
        </w:rPr>
        <w:tab/>
        <w:t xml:space="preserve">Directive </w:t>
      </w:r>
      <w:hyperlink r:id="rId170" w:history="1">
        <w:r>
          <w:rPr>
            <w:rStyle w:val="Hyperlink"/>
            <w:lang w:val="da-DK"/>
          </w:rPr>
          <w:t>2016/680/EU</w:t>
        </w:r>
      </w:hyperlink>
      <w:r>
        <w:rPr>
          <w:lang w:val="da-DK"/>
        </w:rPr>
        <w:t>.</w:t>
      </w:r>
    </w:p>
  </w:footnote>
  <w:footnote w:id="126">
    <w:p>
      <w:pPr>
        <w:pStyle w:val="FootnoteText"/>
        <w:rPr>
          <w:lang w:val="da-DK"/>
        </w:rPr>
      </w:pPr>
      <w:r>
        <w:rPr>
          <w:rStyle w:val="FootnoteReference"/>
        </w:rPr>
        <w:footnoteRef/>
      </w:r>
      <w:r>
        <w:rPr>
          <w:lang w:val="da-DK"/>
        </w:rPr>
        <w:t xml:space="preserve"> </w:t>
      </w:r>
      <w:r>
        <w:rPr>
          <w:lang w:val="da-DK"/>
        </w:rPr>
        <w:tab/>
        <w:t xml:space="preserve">Directives </w:t>
      </w:r>
      <w:hyperlink r:id="rId171" w:history="1">
        <w:r>
          <w:rPr>
            <w:rStyle w:val="Hyperlink"/>
            <w:lang w:val="da-DK"/>
          </w:rPr>
          <w:t>2009/72/EC</w:t>
        </w:r>
      </w:hyperlink>
      <w:r>
        <w:rPr>
          <w:lang w:val="da-DK"/>
        </w:rPr>
        <w:t xml:space="preserve"> and </w:t>
      </w:r>
      <w:hyperlink r:id="rId172" w:history="1">
        <w:r>
          <w:rPr>
            <w:rStyle w:val="Hyperlink"/>
            <w:lang w:val="da-DK"/>
          </w:rPr>
          <w:t>2009/73/EC</w:t>
        </w:r>
      </w:hyperlink>
      <w:r>
        <w:rPr>
          <w:lang w:val="da-DK"/>
        </w:rPr>
        <w:t>,</w:t>
      </w:r>
      <w:r>
        <w:rPr>
          <w:rStyle w:val="Hyperlink"/>
          <w:lang w:val="da-DK"/>
        </w:rPr>
        <w:t xml:space="preserve"> </w:t>
      </w:r>
      <w:r>
        <w:rPr>
          <w:rStyle w:val="Hyperlink"/>
          <w:color w:val="auto"/>
          <w:u w:val="none"/>
          <w:lang w:val="da-DK"/>
        </w:rPr>
        <w:t>Commission v Germany,</w:t>
      </w:r>
      <w:r>
        <w:rPr>
          <w:rStyle w:val="Hyperlink"/>
          <w:color w:val="auto"/>
          <w:lang w:val="da-DK"/>
        </w:rPr>
        <w:t xml:space="preserve"> </w:t>
      </w:r>
      <w:hyperlink r:id="rId173" w:history="1">
        <w:r>
          <w:rPr>
            <w:rStyle w:val="Hyperlink"/>
            <w:lang w:val="da-DK"/>
          </w:rPr>
          <w:t>C-718/18</w:t>
        </w:r>
      </w:hyperlink>
      <w:r>
        <w:rPr>
          <w:rStyle w:val="Hyperlink"/>
          <w:lang w:val="da-DK"/>
        </w:rPr>
        <w:t xml:space="preserve">; </w:t>
      </w:r>
      <w:hyperlink r:id="rId174" w:history="1">
        <w:r>
          <w:rPr>
            <w:rStyle w:val="Hyperlink"/>
            <w:lang w:val="da-DK"/>
          </w:rPr>
          <w:t>IP/18/4487</w:t>
        </w:r>
      </w:hyperlink>
      <w:r>
        <w:rPr>
          <w:rStyle w:val="Hyperlink"/>
          <w:lang w:val="da-DK"/>
        </w:rPr>
        <w:t>.</w:t>
      </w:r>
    </w:p>
  </w:footnote>
  <w:footnote w:id="127">
    <w:p>
      <w:pPr>
        <w:pStyle w:val="FootnoteText"/>
        <w:rPr>
          <w:lang w:val="da-DK"/>
        </w:rPr>
      </w:pPr>
      <w:r>
        <w:rPr>
          <w:rStyle w:val="FootnoteReference"/>
        </w:rPr>
        <w:footnoteRef/>
      </w:r>
      <w:r>
        <w:rPr>
          <w:lang w:val="da-DK"/>
        </w:rPr>
        <w:t xml:space="preserve"> </w:t>
      </w:r>
      <w:r>
        <w:rPr>
          <w:lang w:val="da-DK"/>
        </w:rPr>
        <w:tab/>
        <w:t xml:space="preserve">Directive </w:t>
      </w:r>
      <w:hyperlink r:id="rId175" w:history="1">
        <w:r>
          <w:rPr>
            <w:rStyle w:val="Hyperlink"/>
            <w:lang w:val="da-DK"/>
          </w:rPr>
          <w:t>2008/50/EC</w:t>
        </w:r>
      </w:hyperlink>
      <w:hyperlink r:id="rId176" w:history="1"/>
      <w:r>
        <w:rPr>
          <w:rStyle w:val="Hyperlink"/>
          <w:lang w:val="da-DK"/>
        </w:rPr>
        <w:t>,</w:t>
      </w:r>
      <w:r>
        <w:rPr>
          <w:lang w:val="da-DK"/>
        </w:rPr>
        <w:t xml:space="preserve"> Commission v Germany, </w:t>
      </w:r>
      <w:hyperlink r:id="rId177" w:history="1">
        <w:r>
          <w:rPr>
            <w:rStyle w:val="Hyperlink"/>
            <w:lang w:val="da-DK"/>
          </w:rPr>
          <w:t xml:space="preserve">C-635/18; </w:t>
        </w:r>
        <w:hyperlink r:id="rId178" w:history="1">
          <w:r>
            <w:rPr>
              <w:rStyle w:val="Hyperlink"/>
              <w:lang w:val="da-DK"/>
            </w:rPr>
            <w:t>IP/18/3450</w:t>
          </w:r>
        </w:hyperlink>
        <w:r>
          <w:rPr>
            <w:rStyle w:val="affairetitle"/>
            <w:lang w:val="da-DK"/>
          </w:rPr>
          <w:t>.</w:t>
        </w:r>
      </w:hyperlink>
    </w:p>
  </w:footnote>
  <w:footnote w:id="128">
    <w:p>
      <w:pPr>
        <w:pStyle w:val="FootnoteText"/>
        <w:rPr>
          <w:lang w:val="da-DK"/>
        </w:rPr>
      </w:pPr>
      <w:r>
        <w:rPr>
          <w:rStyle w:val="FootnoteReference"/>
        </w:rPr>
        <w:footnoteRef/>
      </w:r>
      <w:r>
        <w:rPr>
          <w:lang w:val="da-DK"/>
        </w:rPr>
        <w:t xml:space="preserve"> </w:t>
      </w:r>
      <w:r>
        <w:rPr>
          <w:lang w:val="da-DK"/>
        </w:rPr>
        <w:tab/>
        <w:t xml:space="preserve">Regulation (EC) No </w:t>
      </w:r>
      <w:hyperlink r:id="rId179" w:history="1">
        <w:r>
          <w:rPr>
            <w:rStyle w:val="Hyperlink"/>
            <w:lang w:val="da-DK"/>
          </w:rPr>
          <w:t>1107/2009</w:t>
        </w:r>
      </w:hyperlink>
      <w:r>
        <w:rPr>
          <w:lang w:val="da-DK"/>
        </w:rPr>
        <w:t>.</w:t>
      </w:r>
    </w:p>
  </w:footnote>
  <w:footnote w:id="129">
    <w:p>
      <w:pPr>
        <w:pStyle w:val="FootnoteText"/>
        <w:rPr>
          <w:lang w:val="fr-BE"/>
        </w:rPr>
      </w:pPr>
      <w:r>
        <w:rPr>
          <w:rStyle w:val="FootnoteReference"/>
        </w:rPr>
        <w:footnoteRef/>
      </w:r>
      <w:r>
        <w:rPr>
          <w:lang w:val="fr-BE"/>
        </w:rPr>
        <w:t xml:space="preserve"> </w:t>
      </w:r>
      <w:r>
        <w:rPr>
          <w:lang w:val="fr-BE"/>
        </w:rPr>
        <w:tab/>
        <w:t xml:space="preserve">Directive </w:t>
      </w:r>
      <w:hyperlink r:id="rId180" w:history="1">
        <w:r>
          <w:rPr>
            <w:rStyle w:val="Hyperlink"/>
            <w:lang w:val="fr-BE"/>
          </w:rPr>
          <w:t>2004/49/EC.</w:t>
        </w:r>
      </w:hyperlink>
    </w:p>
  </w:footnote>
  <w:footnote w:id="130">
    <w:p>
      <w:pPr>
        <w:pStyle w:val="FootnoteText"/>
        <w:rPr>
          <w:lang w:val="fr-BE"/>
        </w:rPr>
      </w:pPr>
      <w:r>
        <w:rPr>
          <w:rStyle w:val="FootnoteReference"/>
        </w:rPr>
        <w:footnoteRef/>
      </w:r>
      <w:r>
        <w:rPr>
          <w:lang w:val="fr-BE"/>
        </w:rPr>
        <w:t xml:space="preserve"> </w:t>
      </w:r>
      <w:r>
        <w:rPr>
          <w:lang w:val="fr-BE"/>
        </w:rPr>
        <w:tab/>
      </w:r>
      <w:hyperlink r:id="rId181" w:history="1">
        <w:r>
          <w:rPr>
            <w:rStyle w:val="Hyperlink"/>
            <w:lang w:val="fr-BE"/>
          </w:rPr>
          <w:t>IP/18/3459.</w:t>
        </w:r>
      </w:hyperlink>
    </w:p>
  </w:footnote>
  <w:footnote w:id="131">
    <w:p>
      <w:pPr>
        <w:pStyle w:val="FootnoteText"/>
        <w:rPr>
          <w:lang w:val="fr-BE"/>
        </w:rPr>
      </w:pPr>
      <w:r>
        <w:rPr>
          <w:rStyle w:val="FootnoteReference"/>
        </w:rPr>
        <w:footnoteRef/>
      </w:r>
      <w:r>
        <w:rPr>
          <w:lang w:val="fr-BE"/>
        </w:rPr>
        <w:t xml:space="preserve"> </w:t>
      </w:r>
      <w:r>
        <w:rPr>
          <w:lang w:val="fr-BE"/>
        </w:rPr>
        <w:tab/>
        <w:t xml:space="preserve">Directive </w:t>
      </w:r>
      <w:hyperlink r:id="rId182" w:history="1">
        <w:r>
          <w:rPr>
            <w:rStyle w:val="Hyperlink"/>
            <w:lang w:val="fr-BE"/>
          </w:rPr>
          <w:t>2014/66/EU</w:t>
        </w:r>
      </w:hyperlink>
      <w:r>
        <w:rPr>
          <w:lang w:val="fr-BE"/>
        </w:rPr>
        <w:t>.</w:t>
      </w:r>
    </w:p>
  </w:footnote>
  <w:footnote w:id="132">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183" w:history="1">
        <w:r>
          <w:rPr>
            <w:rStyle w:val="Hyperlink"/>
            <w:lang w:val="fr-BE"/>
          </w:rPr>
          <w:t>2014/42/EU</w:t>
        </w:r>
      </w:hyperlink>
      <w:r>
        <w:rPr>
          <w:rStyle w:val="Hyperlink"/>
          <w:color w:val="auto"/>
          <w:u w:val="none"/>
          <w:lang w:val="fr-BE"/>
        </w:rPr>
        <w:t>.</w:t>
      </w:r>
    </w:p>
  </w:footnote>
  <w:footnote w:id="133">
    <w:p>
      <w:pPr>
        <w:pStyle w:val="FootnoteText"/>
        <w:rPr>
          <w:lang w:val="fr-BE"/>
        </w:rPr>
      </w:pPr>
      <w:r>
        <w:rPr>
          <w:rStyle w:val="FootnoteReference"/>
        </w:rPr>
        <w:footnoteRef/>
      </w:r>
      <w:r>
        <w:rPr>
          <w:lang w:val="fr-BE"/>
        </w:rPr>
        <w:t xml:space="preserve"> </w:t>
      </w:r>
      <w:r>
        <w:rPr>
          <w:lang w:val="fr-BE"/>
        </w:rPr>
        <w:tab/>
        <w:t xml:space="preserve">Directive </w:t>
      </w:r>
      <w:hyperlink r:id="rId184" w:history="1">
        <w:r>
          <w:rPr>
            <w:rStyle w:val="Hyperlink"/>
            <w:lang w:val="fr-BE"/>
          </w:rPr>
          <w:t>652/2015/EC</w:t>
        </w:r>
      </w:hyperlink>
    </w:p>
  </w:footnote>
  <w:footnote w:id="134">
    <w:p>
      <w:pPr>
        <w:pStyle w:val="FootnoteText"/>
        <w:rPr>
          <w:lang w:val="fr-BE"/>
        </w:rPr>
      </w:pPr>
      <w:r>
        <w:rPr>
          <w:rStyle w:val="FootnoteReference"/>
        </w:rPr>
        <w:footnoteRef/>
      </w:r>
      <w:r>
        <w:rPr>
          <w:lang w:val="fr-BE"/>
        </w:rPr>
        <w:t xml:space="preserve"> </w:t>
      </w:r>
      <w:r>
        <w:rPr>
          <w:lang w:val="fr-BE"/>
        </w:rPr>
        <w:tab/>
      </w:r>
      <w:hyperlink r:id="rId185" w:history="1">
        <w:r>
          <w:rPr>
            <w:rStyle w:val="Hyperlink"/>
            <w:lang w:val="fr-BE"/>
          </w:rPr>
          <w:t>MEMO/18/1444</w:t>
        </w:r>
      </w:hyperlink>
      <w:r>
        <w:rPr>
          <w:rStyle w:val="Hyperlink"/>
          <w:lang w:val="fr-BE"/>
        </w:rPr>
        <w:t>.</w:t>
      </w:r>
    </w:p>
  </w:footnote>
  <w:footnote w:id="135">
    <w:p>
      <w:pPr>
        <w:pStyle w:val="FootnoteText"/>
        <w:rPr>
          <w:lang w:val="en-US"/>
        </w:rPr>
      </w:pPr>
      <w:r>
        <w:rPr>
          <w:rStyle w:val="FootnoteReference"/>
        </w:rPr>
        <w:footnoteRef/>
      </w:r>
      <w:r>
        <w:rPr>
          <w:lang w:val="en-US"/>
        </w:rPr>
        <w:t xml:space="preserve"> </w:t>
      </w:r>
      <w:r>
        <w:rPr>
          <w:lang w:val="en-US"/>
        </w:rPr>
        <w:tab/>
        <w:t xml:space="preserve">Directive </w:t>
      </w:r>
      <w:hyperlink r:id="rId186" w:history="1">
        <w:r>
          <w:rPr>
            <w:rStyle w:val="Hyperlink"/>
            <w:lang w:val="en-US"/>
          </w:rPr>
          <w:t>91/676/EEC</w:t>
        </w:r>
      </w:hyperlink>
      <w:r>
        <w:rPr>
          <w:lang w:val="en-US"/>
        </w:rPr>
        <w:t>, Commission v Germany,</w:t>
      </w:r>
      <w:r>
        <w:rPr>
          <w:rStyle w:val="Hyperlink"/>
          <w:lang w:val="en-US"/>
        </w:rPr>
        <w:t xml:space="preserve"> </w:t>
      </w:r>
      <w:hyperlink r:id="rId187" w:history="1">
        <w:r>
          <w:rPr>
            <w:rStyle w:val="Hyperlink"/>
            <w:lang w:val="en-US"/>
          </w:rPr>
          <w:t>C-543/16.</w:t>
        </w:r>
      </w:hyperlink>
    </w:p>
  </w:footnote>
  <w:footnote w:id="136">
    <w:p>
      <w:pPr>
        <w:pStyle w:val="FootnoteText"/>
      </w:pPr>
      <w:r>
        <w:rPr>
          <w:rStyle w:val="FootnoteReference"/>
        </w:rPr>
        <w:footnoteRef/>
      </w:r>
      <w:r>
        <w:t xml:space="preserve"> </w:t>
      </w:r>
      <w:r>
        <w:tab/>
        <w:t>Commission v Germany,</w:t>
      </w:r>
      <w:r>
        <w:rPr>
          <w:rStyle w:val="Hyperlink"/>
        </w:rPr>
        <w:t xml:space="preserve"> </w:t>
      </w:r>
      <w:hyperlink r:id="rId188" w:history="1">
        <w:r>
          <w:rPr>
            <w:rStyle w:val="Hyperlink"/>
          </w:rPr>
          <w:t>C-668/16</w:t>
        </w:r>
      </w:hyperlink>
      <w:r>
        <w:t>.</w:t>
      </w:r>
    </w:p>
  </w:footnote>
  <w:footnote w:id="137">
    <w:p>
      <w:pPr>
        <w:pStyle w:val="FootnoteText"/>
        <w:rPr>
          <w:lang w:val="de-DE"/>
        </w:rPr>
      </w:pPr>
      <w:r>
        <w:rPr>
          <w:rStyle w:val="FootnoteReference"/>
        </w:rPr>
        <w:footnoteRef/>
      </w:r>
      <w:r>
        <w:rPr>
          <w:lang w:val="de-DE"/>
        </w:rPr>
        <w:t xml:space="preserve"> </w:t>
      </w:r>
      <w:r>
        <w:rPr>
          <w:lang w:val="de-DE"/>
        </w:rPr>
        <w:tab/>
        <w:t xml:space="preserve">Commission v Germany, </w:t>
      </w:r>
      <w:hyperlink r:id="rId189" w:history="1">
        <w:r>
          <w:rPr>
            <w:rStyle w:val="Hyperlink"/>
            <w:lang w:val="de-DE"/>
          </w:rPr>
          <w:t>C-380/16</w:t>
        </w:r>
      </w:hyperlink>
      <w:r>
        <w:rPr>
          <w:lang w:val="de-DE"/>
        </w:rPr>
        <w:t>.</w:t>
      </w:r>
    </w:p>
  </w:footnote>
  <w:footnote w:id="138">
    <w:p>
      <w:pPr>
        <w:pStyle w:val="FootnoteText"/>
        <w:rPr>
          <w:lang w:val="de-DE"/>
        </w:rPr>
      </w:pPr>
      <w:r>
        <w:rPr>
          <w:rStyle w:val="FootnoteReference"/>
        </w:rPr>
        <w:footnoteRef/>
      </w:r>
      <w:r>
        <w:rPr>
          <w:lang w:val="de-DE"/>
        </w:rPr>
        <w:t xml:space="preserve"> </w:t>
      </w:r>
      <w:r>
        <w:rPr>
          <w:lang w:val="de-DE"/>
        </w:rPr>
        <w:tab/>
      </w:r>
      <w:r>
        <w:rPr>
          <w:rStyle w:val="affairetitle"/>
          <w:lang w:val="de-DE"/>
        </w:rPr>
        <w:t xml:space="preserve">Max-Planck-Gesellschaft zur Förderung der Wissenschaften, </w:t>
      </w:r>
      <w:hyperlink r:id="rId190" w:history="1">
        <w:r>
          <w:rPr>
            <w:rStyle w:val="Hyperlink"/>
            <w:color w:val="auto"/>
            <w:lang w:val="de-DE"/>
          </w:rPr>
          <w:t>C-684/16</w:t>
        </w:r>
      </w:hyperlink>
      <w:r>
        <w:rPr>
          <w:rStyle w:val="affairetitle"/>
          <w:lang w:val="de-DE"/>
        </w:rPr>
        <w:t xml:space="preserve">; Bauer </w:t>
      </w:r>
      <w:hyperlink r:id="rId191" w:history="1">
        <w:r>
          <w:rPr>
            <w:rStyle w:val="Hyperlink"/>
            <w:color w:val="auto"/>
            <w:lang w:val="de-DE"/>
          </w:rPr>
          <w:t>C-569/16</w:t>
        </w:r>
      </w:hyperlink>
      <w:r>
        <w:rPr>
          <w:rStyle w:val="affairetitle"/>
          <w:lang w:val="de-DE"/>
        </w:rPr>
        <w:t>.</w:t>
      </w:r>
    </w:p>
  </w:footnote>
  <w:footnote w:id="139">
    <w:p>
      <w:pPr>
        <w:pStyle w:val="FootnoteText"/>
        <w:rPr>
          <w:lang w:val="de-DE"/>
        </w:rPr>
      </w:pPr>
      <w:r>
        <w:rPr>
          <w:rStyle w:val="FootnoteReference"/>
        </w:rPr>
        <w:footnoteRef/>
      </w:r>
      <w:r>
        <w:rPr>
          <w:lang w:val="de-DE"/>
        </w:rPr>
        <w:t xml:space="preserve"> </w:t>
      </w:r>
      <w:r>
        <w:rPr>
          <w:lang w:val="de-DE"/>
        </w:rPr>
        <w:tab/>
        <w:t xml:space="preserve">Hein, </w:t>
      </w:r>
      <w:hyperlink r:id="rId192" w:history="1">
        <w:r>
          <w:rPr>
            <w:rStyle w:val="Hyperlink"/>
            <w:lang w:val="de-DE"/>
          </w:rPr>
          <w:t>C-385/17</w:t>
        </w:r>
      </w:hyperlink>
      <w:r>
        <w:rPr>
          <w:lang w:val="de-DE"/>
        </w:rPr>
        <w:t>.</w:t>
      </w:r>
    </w:p>
  </w:footnote>
  <w:footnote w:id="140">
    <w:p>
      <w:pPr>
        <w:pStyle w:val="FootnoteText"/>
        <w:rPr>
          <w:lang w:val="de-DE"/>
        </w:rPr>
      </w:pPr>
      <w:r>
        <w:rPr>
          <w:rStyle w:val="FootnoteReference"/>
        </w:rPr>
        <w:footnoteRef/>
      </w:r>
      <w:r>
        <w:rPr>
          <w:lang w:val="de-DE"/>
        </w:rPr>
        <w:t xml:space="preserve"> </w:t>
      </w:r>
      <w:r>
        <w:rPr>
          <w:lang w:val="de-DE"/>
        </w:rPr>
        <w:tab/>
      </w:r>
      <w:r>
        <w:rPr>
          <w:rFonts w:cs="Arial"/>
          <w:lang w:val="de-DE"/>
        </w:rPr>
        <w:t xml:space="preserve">Egenberger, </w:t>
      </w:r>
      <w:hyperlink r:id="rId193" w:history="1">
        <w:r>
          <w:rPr>
            <w:rStyle w:val="Hyperlink"/>
          </w:rPr>
          <w:t>C-414/16</w:t>
        </w:r>
      </w:hyperlink>
      <w:r>
        <w:rPr>
          <w:rFonts w:cs="Arial"/>
          <w:lang w:val="de-DE"/>
        </w:rPr>
        <w:t xml:space="preserve">; IR, </w:t>
      </w:r>
      <w:hyperlink r:id="rId194" w:history="1">
        <w:r>
          <w:rPr>
            <w:rStyle w:val="Hyperlink"/>
          </w:rPr>
          <w:t>C-68/17</w:t>
        </w:r>
      </w:hyperlink>
      <w:r>
        <w:rPr>
          <w:rFonts w:cs="Arial"/>
          <w:lang w:val="de-DE"/>
        </w:rPr>
        <w:t xml:space="preserve">. </w:t>
      </w:r>
    </w:p>
  </w:footnote>
  <w:footnote w:id="141">
    <w:p>
      <w:pPr>
        <w:pStyle w:val="FootnoteText"/>
        <w:rPr>
          <w:lang w:val="de-DE"/>
        </w:rPr>
      </w:pPr>
      <w:r>
        <w:rPr>
          <w:rStyle w:val="FootnoteReference"/>
        </w:rPr>
        <w:footnoteRef/>
      </w:r>
      <w:r>
        <w:rPr>
          <w:lang w:val="de-DE"/>
        </w:rPr>
        <w:t xml:space="preserve"> </w:t>
      </w:r>
      <w:r>
        <w:rPr>
          <w:lang w:val="de-DE"/>
        </w:rPr>
        <w:tab/>
      </w:r>
      <w:r>
        <w:rPr>
          <w:rStyle w:val="affairetitle"/>
          <w:lang w:val="de-DE"/>
        </w:rPr>
        <w:t>Wirtschaftsakademie Schleswig-Holstein,</w:t>
      </w:r>
      <w:r>
        <w:rPr>
          <w:lang w:val="de-DE"/>
        </w:rPr>
        <w:t xml:space="preserve"> </w:t>
      </w:r>
      <w:hyperlink r:id="rId195" w:history="1">
        <w:r>
          <w:rPr>
            <w:rStyle w:val="Hyperlink"/>
            <w:lang w:val="de-DE"/>
          </w:rPr>
          <w:t>C-2010/16</w:t>
        </w:r>
      </w:hyperlink>
      <w:r>
        <w:rPr>
          <w:rStyle w:val="affairetitle"/>
          <w:lang w:val="de-DE"/>
        </w:rPr>
        <w:t>.</w:t>
      </w:r>
    </w:p>
  </w:footnote>
  <w:footnote w:id="142">
    <w:p>
      <w:pPr>
        <w:pStyle w:val="FootnoteText"/>
        <w:rPr>
          <w:lang w:val="de-DE"/>
        </w:rPr>
      </w:pPr>
      <w:r>
        <w:rPr>
          <w:rStyle w:val="FootnoteReference"/>
        </w:rPr>
        <w:footnoteRef/>
      </w:r>
      <w:r>
        <w:rPr>
          <w:lang w:val="de-DE"/>
        </w:rPr>
        <w:t xml:space="preserve"> </w:t>
      </w:r>
      <w:r>
        <w:rPr>
          <w:lang w:val="de-DE"/>
        </w:rPr>
        <w:tab/>
        <w:t>Günter Hartmann Tabakvertrieb,</w:t>
      </w:r>
      <w:r>
        <w:rPr>
          <w:rStyle w:val="Hyperlink"/>
          <w:lang w:val="de-DE"/>
        </w:rPr>
        <w:t xml:space="preserve"> </w:t>
      </w:r>
      <w:hyperlink r:id="rId196" w:history="1">
        <w:r>
          <w:rPr>
            <w:rStyle w:val="Hyperlink"/>
            <w:lang w:val="de-DE"/>
          </w:rPr>
          <w:t>C-425/17</w:t>
        </w:r>
      </w:hyperlink>
      <w:r>
        <w:rPr>
          <w:lang w:val="de-DE"/>
        </w:rPr>
        <w:t>.</w:t>
      </w:r>
    </w:p>
  </w:footnote>
  <w:footnote w:id="143">
    <w:p>
      <w:pPr>
        <w:pStyle w:val="FootnoteText"/>
        <w:rPr>
          <w:lang w:val="de-DE"/>
        </w:rPr>
      </w:pPr>
      <w:r>
        <w:rPr>
          <w:rStyle w:val="FootnoteReference"/>
        </w:rPr>
        <w:footnoteRef/>
      </w:r>
      <w:r>
        <w:rPr>
          <w:lang w:val="de-DE"/>
        </w:rPr>
        <w:t xml:space="preserve"> </w:t>
      </w:r>
      <w:r>
        <w:rPr>
          <w:lang w:val="de-DE"/>
        </w:rPr>
        <w:tab/>
        <w:t>Achmea,</w:t>
      </w:r>
      <w:r>
        <w:rPr>
          <w:rStyle w:val="Hyperlink"/>
          <w:lang w:val="de-DE"/>
        </w:rPr>
        <w:t xml:space="preserve"> </w:t>
      </w:r>
      <w:hyperlink r:id="rId197" w:history="1">
        <w:r>
          <w:rPr>
            <w:rStyle w:val="Hyperlink"/>
            <w:lang w:val="de-DE"/>
          </w:rPr>
          <w:t>C-284/16</w:t>
        </w:r>
      </w:hyperlink>
      <w:r>
        <w:rPr>
          <w:lang w:val="de-DE"/>
        </w:rPr>
        <w:t>.</w:t>
      </w:r>
    </w:p>
  </w:footnote>
  <w:footnote w:id="144">
    <w:p>
      <w:pPr>
        <w:pStyle w:val="FootnoteText"/>
        <w:rPr>
          <w:lang w:val="en-IE"/>
        </w:rPr>
      </w:pPr>
      <w:r>
        <w:rPr>
          <w:rStyle w:val="FootnoteReference"/>
        </w:rPr>
        <w:footnoteRef/>
      </w:r>
      <w:r>
        <w:rPr>
          <w:lang w:val="de-DE"/>
        </w:rPr>
        <w:t xml:space="preserve"> </w:t>
      </w:r>
      <w:r>
        <w:rPr>
          <w:lang w:val="de-DE"/>
        </w:rPr>
        <w:tab/>
        <w:t xml:space="preserve">Regulation </w:t>
      </w:r>
      <w:hyperlink r:id="rId198">
        <w:r>
          <w:rPr>
            <w:rStyle w:val="LienInternet"/>
            <w:lang w:val="de-DE"/>
          </w:rPr>
          <w:t>(EC) No 261/2004</w:t>
        </w:r>
      </w:hyperlink>
      <w:r>
        <w:rPr>
          <w:lang w:val="de-DE"/>
        </w:rPr>
        <w:t xml:space="preserve">, flightright GmbH v Air Nostrum, Líneas Aéreas del Mediterráneo SA, Roland Becker v Hainan Airlines Co. </w:t>
      </w:r>
      <w:r>
        <w:t xml:space="preserve">Ltd and Mohamed Barkan and Others v Air Nostrum, Líneas Aéreas del Mediterráneo SA, joined cases </w:t>
      </w:r>
      <w:hyperlink r:id="rId199">
        <w:r>
          <w:rPr>
            <w:rStyle w:val="LienInternet"/>
          </w:rPr>
          <w:t>C-274/16</w:t>
        </w:r>
      </w:hyperlink>
      <w:r>
        <w:rPr>
          <w:bCs/>
        </w:rPr>
        <w:t xml:space="preserve">, </w:t>
      </w:r>
      <w:hyperlink r:id="rId200">
        <w:r>
          <w:rPr>
            <w:rStyle w:val="LienInternet"/>
          </w:rPr>
          <w:t>C-447/16</w:t>
        </w:r>
      </w:hyperlink>
      <w:r>
        <w:rPr>
          <w:bCs/>
        </w:rPr>
        <w:t xml:space="preserve"> and </w:t>
      </w:r>
      <w:hyperlink r:id="rId201">
        <w:r>
          <w:rPr>
            <w:rStyle w:val="LienInternet"/>
          </w:rPr>
          <w:t>C-448/16</w:t>
        </w:r>
      </w:hyperlink>
      <w:r>
        <w:rPr>
          <w:rStyle w:val="LienInternet"/>
          <w:bCs/>
        </w:rPr>
        <w:t>,</w:t>
      </w:r>
      <w:r>
        <w:t xml:space="preserve"> and Court press release </w:t>
      </w:r>
      <w:hyperlink r:id="rId202">
        <w:r>
          <w:rPr>
            <w:rStyle w:val="LienInternet"/>
          </w:rPr>
          <w:t>No 28/18</w:t>
        </w:r>
      </w:hyperlink>
      <w:r>
        <w:rPr>
          <w:rStyle w:val="LienInternet"/>
        </w:rPr>
        <w:t>.</w:t>
      </w:r>
    </w:p>
  </w:footnote>
  <w:footnote w:id="145">
    <w:p>
      <w:pPr>
        <w:pStyle w:val="FootnoteText"/>
        <w:rPr>
          <w:lang w:val="en-IE"/>
        </w:rPr>
      </w:pPr>
      <w:r>
        <w:rPr>
          <w:rStyle w:val="FootnoteReference"/>
        </w:rPr>
        <w:footnoteRef/>
      </w:r>
      <w:r>
        <w:t xml:space="preserve"> </w:t>
      </w:r>
      <w:r>
        <w:rPr>
          <w:lang w:val="en-IE"/>
        </w:rPr>
        <w:tab/>
      </w:r>
      <w:r>
        <w:t xml:space="preserve">Regulation </w:t>
      </w:r>
      <w:hyperlink r:id="rId203">
        <w:r>
          <w:rPr>
            <w:rStyle w:val="LienInternet"/>
          </w:rPr>
          <w:t>(EC) No 261/2004</w:t>
        </w:r>
      </w:hyperlink>
      <w:r>
        <w:t xml:space="preserve">, Helga Krüsemann and Others v TUIfly GmbH, joined cases </w:t>
      </w:r>
      <w:hyperlink r:id="rId204" w:anchor="_blank" w:history="1">
        <w:r>
          <w:rPr>
            <w:rStyle w:val="LienInternet"/>
          </w:rPr>
          <w:t>C-195/17</w:t>
        </w:r>
      </w:hyperlink>
      <w:r>
        <w:t xml:space="preserve">, C-197/17 to C-203/17, C-226/17, C-228/17, C-254/17, C-274/17, C-275/17, C-278/17 to C-286/17 and C-290/17 to C-292/17, and Court press release </w:t>
      </w:r>
      <w:hyperlink r:id="rId205">
        <w:r>
          <w:rPr>
            <w:rStyle w:val="LienInternet"/>
          </w:rPr>
          <w:t>No 49/18</w:t>
        </w:r>
      </w:hyperlink>
      <w:r>
        <w:t>.</w:t>
      </w:r>
    </w:p>
  </w:footnote>
  <w:footnote w:id="146">
    <w:p>
      <w:pPr>
        <w:pStyle w:val="FootnoteText"/>
      </w:pPr>
      <w:r>
        <w:rPr>
          <w:rStyle w:val="Caractresdenotedebasdepage"/>
          <w:vertAlign w:val="superscript"/>
        </w:rPr>
        <w:footnoteRef/>
      </w:r>
      <w:r>
        <w:rPr>
          <w:rStyle w:val="Caractresdenotedebasdepage"/>
        </w:rPr>
        <w:tab/>
      </w:r>
      <w:r>
        <w:t xml:space="preserve">Regulation </w:t>
      </w:r>
      <w:hyperlink r:id="rId206">
        <w:r>
          <w:rPr>
            <w:rStyle w:val="LienInternet"/>
          </w:rPr>
          <w:t>(EC) No 261/2004</w:t>
        </w:r>
      </w:hyperlink>
      <w:r>
        <w:t xml:space="preserve">, Claudia Wegener v Royal Air Maroc SA, </w:t>
      </w:r>
      <w:hyperlink r:id="rId207">
        <w:r>
          <w:rPr>
            <w:rStyle w:val="LienInternet"/>
          </w:rPr>
          <w:t>C-537/17</w:t>
        </w:r>
      </w:hyperlink>
      <w:r>
        <w:t xml:space="preserve">, and Court press release </w:t>
      </w:r>
      <w:hyperlink r:id="rId208">
        <w:r>
          <w:rPr>
            <w:rStyle w:val="LienInternet"/>
          </w:rPr>
          <w:t>No 77/18</w:t>
        </w:r>
      </w:hyperlink>
      <w:r>
        <w:t>.</w:t>
      </w:r>
    </w:p>
  </w:footnote>
  <w:footnote w:id="147">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Regulation </w:t>
      </w:r>
      <w:hyperlink r:id="rId209" w:history="1">
        <w:r>
          <w:rPr>
            <w:rStyle w:val="Hyperlink"/>
          </w:rPr>
          <w:t>(EC) No 261/2004</w:t>
        </w:r>
      </w:hyperlink>
      <w:r>
        <w:t xml:space="preserve">, flightright, </w:t>
      </w:r>
      <w:hyperlink r:id="rId210" w:history="1">
        <w:r>
          <w:rPr>
            <w:rStyle w:val="Hyperlink"/>
          </w:rPr>
          <w:t>C-130/18</w:t>
        </w:r>
      </w:hyperlink>
      <w:r>
        <w:t>.</w:t>
      </w:r>
    </w:p>
  </w:footnote>
  <w:footnote w:id="148">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Regulation </w:t>
      </w:r>
      <w:hyperlink r:id="rId211" w:history="1">
        <w:r>
          <w:rPr>
            <w:rStyle w:val="Hyperlink"/>
          </w:rPr>
          <w:t>(EC) No 261/2004</w:t>
        </w:r>
      </w:hyperlink>
      <w:r>
        <w:t xml:space="preserve">, Wirth and Others, </w:t>
      </w:r>
      <w:hyperlink r:id="rId212" w:history="1">
        <w:r>
          <w:rPr>
            <w:rStyle w:val="Hyperlink"/>
          </w:rPr>
          <w:t>C-532/17</w:t>
        </w:r>
      </w:hyperlink>
      <w:r>
        <w:t xml:space="preserve"> and Court press release </w:t>
      </w:r>
      <w:hyperlink r:id="rId213" w:history="1">
        <w:r>
          <w:rPr>
            <w:rStyle w:val="Hyperlink"/>
          </w:rPr>
          <w:t>No 100/18</w:t>
        </w:r>
      </w:hyperlink>
      <w:r>
        <w:t>.</w:t>
      </w:r>
    </w:p>
  </w:footnote>
  <w:footnote w:id="149">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Regulation </w:t>
      </w:r>
      <w:hyperlink r:id="rId214">
        <w:r>
          <w:rPr>
            <w:rStyle w:val="LienInternet"/>
          </w:rPr>
          <w:t>(EC) No 261/2004</w:t>
        </w:r>
      </w:hyperlink>
      <w:r>
        <w:t xml:space="preserve">, Dirk Harms and Others v Vueling Airlines SA, </w:t>
      </w:r>
      <w:hyperlink r:id="rId215">
        <w:r>
          <w:rPr>
            <w:rStyle w:val="LienInternet"/>
          </w:rPr>
          <w:t>C-601/17</w:t>
        </w:r>
      </w:hyperlink>
      <w:r>
        <w:t xml:space="preserve">, and Court press release </w:t>
      </w:r>
      <w:hyperlink r:id="rId216">
        <w:r>
          <w:rPr>
            <w:rStyle w:val="LienInternet"/>
          </w:rPr>
          <w:t>No 128/18</w:t>
        </w:r>
      </w:hyperlink>
      <w:r>
        <w:t>.</w:t>
      </w:r>
    </w:p>
  </w:footnote>
  <w:footnote w:id="150">
    <w:p>
      <w:pPr>
        <w:pStyle w:val="FootnoteText"/>
      </w:pPr>
      <w:r>
        <w:rPr>
          <w:rStyle w:val="Caractresdenotedebasdepage"/>
          <w:vertAlign w:val="superscript"/>
        </w:rPr>
        <w:footnoteRef/>
      </w:r>
      <w:r>
        <w:rPr>
          <w:rStyle w:val="Caractresdenotedebasdepage"/>
        </w:rPr>
        <w:t xml:space="preserve"> </w:t>
      </w:r>
      <w:r>
        <w:rPr>
          <w:rStyle w:val="Caractresdenotedebasdepage"/>
        </w:rPr>
        <w:tab/>
      </w:r>
      <w:r>
        <w:t xml:space="preserve">Regulation </w:t>
      </w:r>
      <w:hyperlink r:id="rId217">
        <w:r>
          <w:rPr>
            <w:rStyle w:val="LienInternet"/>
          </w:rPr>
          <w:t>(EC) No 1008/2008</w:t>
        </w:r>
      </w:hyperlink>
      <w:r>
        <w:t xml:space="preserve">, Verbraucherzentrale Baden-Württemberg e.V. v Germanwings GmbH, </w:t>
      </w:r>
      <w:hyperlink r:id="rId218" w:history="1">
        <w:r>
          <w:rPr>
            <w:rStyle w:val="Hyperlink"/>
          </w:rPr>
          <w:t>C-330/17</w:t>
        </w:r>
      </w:hyperlink>
      <w:r>
        <w:t xml:space="preserve">, and Court press release </w:t>
      </w:r>
      <w:hyperlink r:id="rId219" w:history="1">
        <w:r>
          <w:rPr>
            <w:rStyle w:val="Hyperlink"/>
          </w:rPr>
          <w:t>No 176/18</w:t>
        </w:r>
      </w:hyperlink>
      <w:r>
        <w:t>.</w:t>
      </w:r>
    </w:p>
  </w:footnote>
  <w:footnote w:id="151">
    <w:p>
      <w:pPr>
        <w:pStyle w:val="FootnoteText"/>
        <w:rPr>
          <w:lang w:val="pl-PL"/>
        </w:rPr>
      </w:pPr>
      <w:r>
        <w:rPr>
          <w:rStyle w:val="FootnoteReference"/>
        </w:rPr>
        <w:footnoteRef/>
      </w:r>
      <w:r>
        <w:rPr>
          <w:lang w:val="pl-PL"/>
        </w:rPr>
        <w:t xml:space="preserve"> </w:t>
      </w:r>
      <w:r>
        <w:rPr>
          <w:lang w:val="pl-PL"/>
        </w:rPr>
        <w:tab/>
        <w:t xml:space="preserve">Hornbach, </w:t>
      </w:r>
      <w:hyperlink r:id="rId220" w:history="1">
        <w:r>
          <w:rPr>
            <w:rStyle w:val="Hyperlink"/>
            <w:lang w:val="pl-PL"/>
          </w:rPr>
          <w:t>C-382/16</w:t>
        </w:r>
      </w:hyperlink>
      <w:r>
        <w:rPr>
          <w:lang w:val="pl-PL"/>
        </w:rPr>
        <w:t>.</w:t>
      </w:r>
    </w:p>
  </w:footnote>
  <w:footnote w:id="152">
    <w:p>
      <w:pPr>
        <w:pStyle w:val="FootnoteText"/>
        <w:rPr>
          <w:lang w:val="pl-PL"/>
        </w:rPr>
      </w:pPr>
      <w:r>
        <w:rPr>
          <w:rStyle w:val="FootnoteReference"/>
        </w:rPr>
        <w:footnoteRef/>
      </w:r>
      <w:r>
        <w:rPr>
          <w:lang w:val="pl-PL"/>
        </w:rPr>
        <w:t xml:space="preserve"> </w:t>
      </w:r>
      <w:r>
        <w:rPr>
          <w:lang w:val="pl-PL"/>
        </w:rPr>
        <w:tab/>
        <w:t xml:space="preserve">GS, </w:t>
      </w:r>
      <w:hyperlink r:id="rId221" w:history="1">
        <w:r>
          <w:rPr>
            <w:rStyle w:val="Hyperlink"/>
            <w:lang w:val="pl-PL"/>
          </w:rPr>
          <w:t>C-440/17</w:t>
        </w:r>
      </w:hyperlink>
      <w:r>
        <w:rPr>
          <w:lang w:val="pl-PL"/>
        </w:rPr>
        <w:t>.</w:t>
      </w:r>
    </w:p>
  </w:footnote>
  <w:footnote w:id="153">
    <w:p>
      <w:pPr>
        <w:pStyle w:val="FootnoteText"/>
        <w:rPr>
          <w:lang w:val="pl-PL"/>
        </w:rPr>
      </w:pPr>
      <w:r>
        <w:rPr>
          <w:rStyle w:val="FootnoteReference"/>
        </w:rPr>
        <w:footnoteRef/>
      </w:r>
      <w:r>
        <w:rPr>
          <w:lang w:val="pl-PL"/>
        </w:rPr>
        <w:t xml:space="preserve"> </w:t>
      </w:r>
      <w:r>
        <w:rPr>
          <w:lang w:val="pl-PL"/>
        </w:rPr>
        <w:tab/>
        <w:t xml:space="preserve">S, </w:t>
      </w:r>
      <w:hyperlink r:id="rId222" w:history="1">
        <w:r>
          <w:rPr>
            <w:rStyle w:val="Hyperlink"/>
            <w:lang w:val="pl-PL"/>
          </w:rPr>
          <w:t>C-367/17</w:t>
        </w:r>
      </w:hyperlink>
      <w:r>
        <w:rPr>
          <w:rStyle w:val="affairetitle"/>
          <w:lang w:val="pl-PL"/>
        </w:rPr>
        <w:t>.</w:t>
      </w:r>
    </w:p>
  </w:footnote>
  <w:footnote w:id="154">
    <w:p>
      <w:pPr>
        <w:pStyle w:val="FootnoteText"/>
      </w:pPr>
      <w:r>
        <w:rPr>
          <w:rStyle w:val="FootnoteReference"/>
        </w:rPr>
        <w:footnoteRef/>
      </w:r>
      <w:r>
        <w:t xml:space="preserve"> </w:t>
      </w:r>
      <w:r>
        <w:tab/>
        <w:t xml:space="preserve">Directives </w:t>
      </w:r>
      <w:hyperlink r:id="rId223" w:history="1">
        <w:r>
          <w:rPr>
            <w:rStyle w:val="Hyperlink"/>
          </w:rPr>
          <w:t>92/43/EEC</w:t>
        </w:r>
      </w:hyperlink>
      <w:r>
        <w:t xml:space="preserve"> and </w:t>
      </w:r>
      <w:hyperlink r:id="rId224" w:history="1">
        <w:r>
          <w:rPr>
            <w:rStyle w:val="Hyperlink"/>
          </w:rPr>
          <w:t>2004/35/EC</w:t>
        </w:r>
      </w:hyperlink>
      <w:r>
        <w:t>;</w:t>
      </w:r>
      <w:r>
        <w:rPr>
          <w:rStyle w:val="affairetitle"/>
          <w:lang w:val="de-DE"/>
        </w:rPr>
        <w:t xml:space="preserve"> Deutscher Naturschutzring,</w:t>
      </w:r>
      <w:r>
        <w:rPr>
          <w:rStyle w:val="affairetitle"/>
        </w:rPr>
        <w:t xml:space="preserve"> </w:t>
      </w:r>
      <w:hyperlink r:id="rId225" w:history="1">
        <w:r>
          <w:rPr>
            <w:rStyle w:val="Hyperlink"/>
            <w:lang w:val="de-DE"/>
          </w:rPr>
          <w:t>C-683/16</w:t>
        </w:r>
      </w:hyperlink>
      <w:r>
        <w:rPr>
          <w:rStyle w:val="affairetitle"/>
        </w:rPr>
        <w:t>.</w:t>
      </w:r>
    </w:p>
  </w:footnote>
  <w:footnote w:id="155">
    <w:p>
      <w:pPr>
        <w:pStyle w:val="FootnoteText"/>
      </w:pPr>
      <w:r>
        <w:rPr>
          <w:rStyle w:val="Hyperlink"/>
          <w:vertAlign w:val="superscript"/>
        </w:rPr>
        <w:footnoteRef/>
      </w:r>
      <w:r>
        <w:rPr>
          <w:rStyle w:val="Hyperlink"/>
        </w:rPr>
        <w:t xml:space="preserve"> </w:t>
      </w:r>
      <w:r>
        <w:rPr>
          <w:rStyle w:val="Hyperlink"/>
        </w:rPr>
        <w:tab/>
        <w:t xml:space="preserve">Hasan, </w:t>
      </w:r>
      <w:hyperlink r:id="rId226" w:history="1">
        <w:r>
          <w:rPr>
            <w:rStyle w:val="Hyperlink"/>
          </w:rPr>
          <w:t>C</w:t>
        </w:r>
        <w:r>
          <w:rPr>
            <w:rStyle w:val="Hyperlink"/>
            <w:rFonts w:ascii="Cambria Math" w:hAnsi="Cambria Math" w:cs="Cambria Math"/>
          </w:rPr>
          <w:t>‑</w:t>
        </w:r>
        <w:r>
          <w:rPr>
            <w:rStyle w:val="Hyperlink"/>
          </w:rPr>
          <w:t>360/16</w:t>
        </w:r>
      </w:hyperlink>
      <w:r>
        <w:rPr>
          <w:rStyle w:val="Hyperlink"/>
        </w:rPr>
        <w:t>.</w:t>
      </w:r>
    </w:p>
  </w:footnote>
  <w:footnote w:id="156">
    <w:p>
      <w:pPr>
        <w:pStyle w:val="FootnoteText"/>
        <w:rPr>
          <w:rStyle w:val="Hyperlink"/>
          <w:rFonts w:asciiTheme="minorHAnsi" w:hAnsiTheme="minorHAnsi"/>
          <w:sz w:val="22"/>
          <w:lang w:val="pt-PT"/>
        </w:rPr>
      </w:pPr>
      <w:r>
        <w:rPr>
          <w:rStyle w:val="FootnoteReference"/>
        </w:rPr>
        <w:footnoteRef/>
      </w:r>
      <w:r>
        <w:rPr>
          <w:lang w:val="pt-PT"/>
        </w:rPr>
        <w:t xml:space="preserve"> </w:t>
      </w:r>
      <w:r>
        <w:rPr>
          <w:lang w:val="pt-PT"/>
        </w:rPr>
        <w:tab/>
        <w:t xml:space="preserve">Joint cases: </w:t>
      </w:r>
      <w:r>
        <w:rPr>
          <w:rStyle w:val="affairetitle"/>
        </w:rPr>
        <w:t xml:space="preserve">Touring Tours und Travel, </w:t>
      </w:r>
      <w:hyperlink r:id="rId227" w:history="1">
        <w:r>
          <w:rPr>
            <w:rStyle w:val="Hyperlink"/>
            <w:lang w:val="pt-PT"/>
          </w:rPr>
          <w:t>C</w:t>
        </w:r>
        <w:r>
          <w:rPr>
            <w:rStyle w:val="Hyperlink"/>
            <w:rFonts w:ascii="Cambria Math" w:hAnsi="Cambria Math"/>
            <w:lang w:val="pt-PT"/>
          </w:rPr>
          <w:noBreakHyphen/>
        </w:r>
        <w:r>
          <w:rPr>
            <w:rStyle w:val="Hyperlink"/>
            <w:lang w:val="pt-PT"/>
          </w:rPr>
          <w:t>412/17</w:t>
        </w:r>
      </w:hyperlink>
      <w:r>
        <w:rPr>
          <w:rStyle w:val="Hyperlink"/>
          <w:lang w:val="pt-PT"/>
        </w:rPr>
        <w:t xml:space="preserve"> </w:t>
      </w:r>
      <w:r>
        <w:rPr>
          <w:rStyle w:val="Hyperlink"/>
          <w:color w:val="auto"/>
          <w:u w:val="none"/>
          <w:lang w:val="pt-PT"/>
        </w:rPr>
        <w:t xml:space="preserve">and Sociedad de Transportes, </w:t>
      </w:r>
      <w:hyperlink r:id="rId228" w:history="1">
        <w:r>
          <w:rPr>
            <w:rStyle w:val="Hyperlink"/>
            <w:lang w:val="pt-PT"/>
          </w:rPr>
          <w:t>C</w:t>
        </w:r>
        <w:r>
          <w:rPr>
            <w:rStyle w:val="Hyperlink"/>
            <w:rFonts w:ascii="Cambria Math" w:hAnsi="Cambria Math"/>
            <w:lang w:val="pt-PT"/>
          </w:rPr>
          <w:noBreakHyphen/>
        </w:r>
        <w:r>
          <w:rPr>
            <w:rStyle w:val="Hyperlink"/>
            <w:lang w:val="pt-PT"/>
          </w:rPr>
          <w:t>474/17</w:t>
        </w:r>
      </w:hyperlink>
      <w:r>
        <w:rPr>
          <w:rStyle w:val="Hyperlink"/>
          <w:lang w:val="pt-PT"/>
        </w:rPr>
        <w:t>.</w:t>
      </w:r>
    </w:p>
  </w:footnote>
  <w:footnote w:id="157">
    <w:p>
      <w:pPr>
        <w:pStyle w:val="FootnoteText"/>
        <w:rPr>
          <w:lang w:val="pt-PT"/>
        </w:rPr>
      </w:pPr>
      <w:r>
        <w:rPr>
          <w:rStyle w:val="FootnoteReference"/>
        </w:rPr>
        <w:footnoteRef/>
      </w:r>
      <w:r>
        <w:rPr>
          <w:lang w:val="pt-PT"/>
        </w:rPr>
        <w:t xml:space="preserve"> </w:t>
      </w:r>
      <w:r>
        <w:rPr>
          <w:lang w:val="pt-PT"/>
        </w:rPr>
        <w:tab/>
        <w:t xml:space="preserve">Vossloh, </w:t>
      </w:r>
      <w:hyperlink r:id="rId229" w:history="1">
        <w:r>
          <w:rPr>
            <w:rStyle w:val="Hyperlink"/>
            <w:lang w:val="pt-PT"/>
          </w:rPr>
          <w:t>C-124/17</w:t>
        </w:r>
      </w:hyperlink>
      <w:r>
        <w:rPr>
          <w:lang w:val="pt-PT"/>
        </w:rPr>
        <w:t>.</w:t>
      </w:r>
    </w:p>
  </w:footnote>
  <w:footnote w:id="158">
    <w:p>
      <w:pPr>
        <w:pStyle w:val="FootnoteText"/>
        <w:rPr>
          <w:lang w:val="pt-PT"/>
        </w:rPr>
      </w:pPr>
      <w:r>
        <w:rPr>
          <w:rStyle w:val="FootnoteReference"/>
        </w:rPr>
        <w:footnoteRef/>
      </w:r>
      <w:r>
        <w:rPr>
          <w:lang w:val="pt-PT"/>
        </w:rPr>
        <w:t xml:space="preserve"> </w:t>
      </w:r>
      <w:r>
        <w:rPr>
          <w:lang w:val="pt-PT"/>
        </w:rPr>
        <w:tab/>
        <w:t>Maniero,</w:t>
      </w:r>
      <w:r>
        <w:rPr>
          <w:rStyle w:val="Hyperlink"/>
          <w:color w:val="auto"/>
          <w:u w:val="none"/>
          <w:lang w:val="pt-PT"/>
        </w:rPr>
        <w:t xml:space="preserve"> </w:t>
      </w:r>
      <w:hyperlink r:id="rId230" w:history="1">
        <w:r>
          <w:rPr>
            <w:rStyle w:val="Hyperlink"/>
            <w:lang w:val="pt-PT"/>
          </w:rPr>
          <w:t>C-457/17.</w:t>
        </w:r>
      </w:hyperlink>
    </w:p>
  </w:footnote>
  <w:footnote w:id="159">
    <w:p>
      <w:pPr>
        <w:pStyle w:val="FootnoteText"/>
        <w:rPr>
          <w:lang w:val="pt-PT"/>
        </w:rPr>
      </w:pPr>
      <w:r>
        <w:rPr>
          <w:rStyle w:val="FootnoteReference"/>
        </w:rPr>
        <w:footnoteRef/>
      </w:r>
      <w:r>
        <w:rPr>
          <w:lang w:val="pt-PT"/>
        </w:rPr>
        <w:t xml:space="preserve"> </w:t>
      </w:r>
      <w:r>
        <w:rPr>
          <w:lang w:val="pt-PT"/>
        </w:rPr>
        <w:tab/>
        <w:t xml:space="preserve">Directive </w:t>
      </w:r>
      <w:hyperlink r:id="rId231" w:history="1">
        <w:r>
          <w:rPr>
            <w:rStyle w:val="Hyperlink"/>
            <w:lang w:val="pt-PT"/>
          </w:rPr>
          <w:t>2011/70/Euratom</w:t>
        </w:r>
      </w:hyperlink>
      <w:r>
        <w:rPr>
          <w:lang w:val="pt-PT"/>
        </w:rPr>
        <w:t xml:space="preserve">, </w:t>
      </w:r>
      <w:hyperlink r:id="rId232" w:history="1">
        <w:r>
          <w:rPr>
            <w:rStyle w:val="Hyperlink"/>
            <w:lang w:val="pt-PT"/>
          </w:rPr>
          <w:t>MEMO/18/3986</w:t>
        </w:r>
      </w:hyperlink>
      <w:r>
        <w:rPr>
          <w:rStyle w:val="Hyperlink"/>
          <w:lang w:val="pt-PT"/>
        </w:rPr>
        <w:t>.</w:t>
      </w:r>
    </w:p>
  </w:footnote>
  <w:footnote w:id="160">
    <w:p>
      <w:pPr>
        <w:pStyle w:val="FootnoteText"/>
        <w:rPr>
          <w:lang w:val="pt-PT"/>
        </w:rPr>
      </w:pPr>
      <w:r>
        <w:rPr>
          <w:rStyle w:val="FootnoteReference"/>
        </w:rPr>
        <w:footnoteRef/>
      </w:r>
      <w:r>
        <w:rPr>
          <w:lang w:val="pt-PT"/>
        </w:rPr>
        <w:t xml:space="preserve"> </w:t>
      </w:r>
      <w:r>
        <w:rPr>
          <w:lang w:val="pt-PT"/>
        </w:rPr>
        <w:tab/>
        <w:t xml:space="preserve">Directive </w:t>
      </w:r>
      <w:hyperlink r:id="rId233" w:history="1">
        <w:r>
          <w:rPr>
            <w:rStyle w:val="Hyperlink"/>
            <w:lang w:val="pt-PT"/>
          </w:rPr>
          <w:t>2011/70/Euratom</w:t>
        </w:r>
      </w:hyperlink>
      <w:r>
        <w:rPr>
          <w:rStyle w:val="Hyperlink"/>
          <w:lang w:val="pt-PT"/>
        </w:rPr>
        <w:t xml:space="preserve">, </w:t>
      </w:r>
      <w:hyperlink r:id="rId234" w:history="1">
        <w:r>
          <w:rPr>
            <w:rStyle w:val="Hyperlink"/>
            <w:lang w:val="pt-PT"/>
          </w:rPr>
          <w:t>MEMO/18/3446</w:t>
        </w:r>
      </w:hyperlink>
      <w:r>
        <w:rPr>
          <w:rStyle w:val="Hyperlink"/>
          <w:lang w:val="pt-PT"/>
        </w:rPr>
        <w:t>.</w:t>
      </w:r>
    </w:p>
  </w:footnote>
  <w:footnote w:id="161">
    <w:p>
      <w:pPr>
        <w:pStyle w:val="FootnoteText"/>
        <w:rPr>
          <w:lang w:val="pt-PT"/>
        </w:rPr>
      </w:pPr>
      <w:r>
        <w:rPr>
          <w:rStyle w:val="FootnoteReference"/>
        </w:rPr>
        <w:footnoteRef/>
      </w:r>
      <w:r>
        <w:rPr>
          <w:lang w:val="pt-PT"/>
        </w:rPr>
        <w:t xml:space="preserve"> </w:t>
      </w:r>
      <w:r>
        <w:rPr>
          <w:lang w:val="pt-PT"/>
        </w:rPr>
        <w:tab/>
        <w:t xml:space="preserve">Directive </w:t>
      </w:r>
      <w:hyperlink r:id="rId235" w:history="1">
        <w:r>
          <w:rPr>
            <w:rStyle w:val="Hyperlink"/>
            <w:lang w:val="pt-PT"/>
          </w:rPr>
          <w:t>2010/63/EU</w:t>
        </w:r>
      </w:hyperlink>
      <w:r>
        <w:rPr>
          <w:rStyle w:val="Hyperlink"/>
          <w:lang w:val="pt-PT"/>
        </w:rPr>
        <w:t xml:space="preserve">, </w:t>
      </w:r>
      <w:hyperlink r:id="rId236" w:history="1">
        <w:r>
          <w:rPr>
            <w:rStyle w:val="Hyperlink"/>
            <w:lang w:val="pt-PT"/>
          </w:rPr>
          <w:t>MEMO/18/4486</w:t>
        </w:r>
      </w:hyperlink>
      <w:r>
        <w:rPr>
          <w:lang w:val="pt-PT"/>
        </w:rPr>
        <w:t>.</w:t>
      </w:r>
    </w:p>
  </w:footnote>
  <w:footnote w:id="162">
    <w:p>
      <w:pPr>
        <w:pStyle w:val="FootnoteText"/>
        <w:rPr>
          <w:lang w:val="pt-PT"/>
        </w:rPr>
      </w:pPr>
      <w:r>
        <w:rPr>
          <w:rStyle w:val="FootnoteReference"/>
        </w:rPr>
        <w:footnoteRef/>
      </w:r>
      <w:r>
        <w:rPr>
          <w:lang w:val="pt-PT"/>
        </w:rPr>
        <w:t xml:space="preserve"> </w:t>
      </w:r>
      <w:r>
        <w:rPr>
          <w:lang w:val="pt-PT"/>
        </w:rPr>
        <w:tab/>
        <w:t xml:space="preserve">Directive </w:t>
      </w:r>
      <w:hyperlink r:id="rId237" w:history="1">
        <w:r>
          <w:rPr>
            <w:rStyle w:val="Hyperlink"/>
            <w:lang w:val="pt-PT"/>
          </w:rPr>
          <w:t>91/271/EEC</w:t>
        </w:r>
      </w:hyperlink>
      <w:r>
        <w:rPr>
          <w:lang w:val="pt-PT"/>
        </w:rPr>
        <w:t>,</w:t>
      </w:r>
      <w:r>
        <w:rPr>
          <w:rStyle w:val="Hyperlink"/>
          <w:lang w:val="pt-PT"/>
        </w:rPr>
        <w:t xml:space="preserve"> </w:t>
      </w:r>
      <w:hyperlink r:id="rId238" w:history="1">
        <w:r>
          <w:rPr>
            <w:rStyle w:val="Hyperlink"/>
            <w:lang w:val="pt-PT"/>
          </w:rPr>
          <w:t>MEMO/18/3986</w:t>
        </w:r>
      </w:hyperlink>
      <w:r>
        <w:rPr>
          <w:lang w:val="pt-PT"/>
        </w:rPr>
        <w:t>.</w:t>
      </w:r>
    </w:p>
  </w:footnote>
  <w:footnote w:id="163">
    <w:p>
      <w:pPr>
        <w:pStyle w:val="FootnoteText"/>
        <w:rPr>
          <w:lang w:val="pt-PT"/>
        </w:rPr>
      </w:pPr>
      <w:r>
        <w:rPr>
          <w:rStyle w:val="FootnoteReference"/>
        </w:rPr>
        <w:footnoteRef/>
      </w:r>
      <w:r>
        <w:rPr>
          <w:lang w:val="pt-PT"/>
        </w:rPr>
        <w:t xml:space="preserve"> </w:t>
      </w:r>
      <w:r>
        <w:rPr>
          <w:lang w:val="pt-PT"/>
        </w:rPr>
        <w:tab/>
        <w:t xml:space="preserve">Directive </w:t>
      </w:r>
      <w:hyperlink r:id="rId239" w:history="1">
        <w:r>
          <w:rPr>
            <w:rStyle w:val="Hyperlink"/>
            <w:lang w:val="pt-PT"/>
          </w:rPr>
          <w:t>2005/36/EC</w:t>
        </w:r>
      </w:hyperlink>
      <w:r>
        <w:rPr>
          <w:lang w:val="pt-PT"/>
        </w:rPr>
        <w:t xml:space="preserve">, </w:t>
      </w:r>
      <w:hyperlink r:id="rId240" w:history="1">
        <w:r>
          <w:rPr>
            <w:rStyle w:val="Hyperlink"/>
            <w:lang w:val="pt-PT"/>
          </w:rPr>
          <w:t>MEMO/18/4486</w:t>
        </w:r>
      </w:hyperlink>
      <w:r>
        <w:rPr>
          <w:rStyle w:val="Hyperlink"/>
          <w:lang w:val="pt-PT"/>
        </w:rPr>
        <w:t>.</w:t>
      </w:r>
    </w:p>
  </w:footnote>
  <w:footnote w:id="164">
    <w:p>
      <w:pPr>
        <w:pStyle w:val="FootnoteText"/>
        <w:rPr>
          <w:lang w:val="pt-PT"/>
        </w:rPr>
      </w:pPr>
      <w:r>
        <w:rPr>
          <w:rStyle w:val="FootnoteReference"/>
        </w:rPr>
        <w:footnoteRef/>
      </w:r>
      <w:r>
        <w:rPr>
          <w:lang w:val="pt-PT"/>
        </w:rPr>
        <w:t xml:space="preserve"> </w:t>
      </w:r>
      <w:r>
        <w:rPr>
          <w:lang w:val="pt-PT"/>
        </w:rPr>
        <w:tab/>
        <w:t xml:space="preserve">Directive </w:t>
      </w:r>
      <w:hyperlink r:id="rId241" w:history="1">
        <w:r>
          <w:rPr>
            <w:rStyle w:val="Hyperlink"/>
            <w:lang w:val="pt-PT"/>
          </w:rPr>
          <w:t>2017/1564</w:t>
        </w:r>
      </w:hyperlink>
      <w:r>
        <w:rPr>
          <w:rStyle w:val="Hyperlink"/>
          <w:lang w:val="pt-PT"/>
        </w:rPr>
        <w:t>/EU</w:t>
      </w:r>
      <w:r>
        <w:rPr>
          <w:lang w:val="pt-PT"/>
        </w:rPr>
        <w:t>.</w:t>
      </w:r>
    </w:p>
  </w:footnote>
  <w:footnote w:id="165">
    <w:p>
      <w:pPr>
        <w:pStyle w:val="FootnoteText"/>
        <w:rPr>
          <w:lang w:val="pt-PT"/>
        </w:rPr>
      </w:pPr>
      <w:r>
        <w:rPr>
          <w:rStyle w:val="FootnoteReference"/>
        </w:rPr>
        <w:footnoteRef/>
      </w:r>
      <w:r>
        <w:rPr>
          <w:lang w:val="pt-PT"/>
        </w:rPr>
        <w:t xml:space="preserve"> </w:t>
      </w:r>
      <w:r>
        <w:rPr>
          <w:lang w:val="pt-PT"/>
        </w:rPr>
        <w:tab/>
        <w:t xml:space="preserve">Directive </w:t>
      </w:r>
      <w:hyperlink r:id="rId242" w:history="1">
        <w:r>
          <w:rPr>
            <w:rStyle w:val="Hyperlink"/>
            <w:lang w:val="pt-PT"/>
          </w:rPr>
          <w:t>2016/680/EU</w:t>
        </w:r>
      </w:hyperlink>
      <w:r>
        <w:rPr>
          <w:lang w:val="pt-PT"/>
        </w:rPr>
        <w:t>.</w:t>
      </w:r>
    </w:p>
  </w:footnote>
  <w:footnote w:id="166">
    <w:p>
      <w:pPr>
        <w:pStyle w:val="FootnoteText"/>
        <w:rPr>
          <w:lang w:val="pt-PT"/>
        </w:rPr>
      </w:pPr>
      <w:r>
        <w:rPr>
          <w:rStyle w:val="FootnoteReference"/>
        </w:rPr>
        <w:footnoteRef/>
      </w:r>
      <w:r>
        <w:rPr>
          <w:lang w:val="pt-PT"/>
        </w:rPr>
        <w:t xml:space="preserve"> </w:t>
      </w:r>
      <w:r>
        <w:rPr>
          <w:lang w:val="pt-PT"/>
        </w:rPr>
        <w:tab/>
      </w:r>
      <w:hyperlink r:id="rId243" w:history="1">
        <w:r>
          <w:rPr>
            <w:rStyle w:val="Hyperlink"/>
            <w:color w:val="auto"/>
            <w:u w:val="none"/>
            <w:lang w:val="pt-PT"/>
          </w:rPr>
          <w:t>Directive</w:t>
        </w:r>
        <w:r>
          <w:rPr>
            <w:rStyle w:val="Hyperlink"/>
            <w:lang w:val="pt-PT"/>
          </w:rPr>
          <w:t xml:space="preserve"> 2014/42/EU</w:t>
        </w:r>
      </w:hyperlink>
      <w:r>
        <w:rPr>
          <w:rStyle w:val="Hyperlink"/>
          <w:lang w:val="pt-PT"/>
        </w:rPr>
        <w:t>.</w:t>
      </w:r>
    </w:p>
  </w:footnote>
  <w:footnote w:id="167">
    <w:p>
      <w:pPr>
        <w:pStyle w:val="FootnoteText"/>
        <w:rPr>
          <w:lang w:val="pt-PT"/>
        </w:rPr>
      </w:pPr>
      <w:r>
        <w:rPr>
          <w:rStyle w:val="FootnoteReference"/>
        </w:rPr>
        <w:footnoteRef/>
      </w:r>
      <w:r>
        <w:rPr>
          <w:lang w:val="pt-PT"/>
        </w:rPr>
        <w:t xml:space="preserve"> </w:t>
      </w:r>
      <w:r>
        <w:rPr>
          <w:lang w:val="pt-PT"/>
        </w:rPr>
        <w:tab/>
        <w:t>Directive </w:t>
      </w:r>
      <w:hyperlink r:id="rId244" w:history="1">
        <w:r>
          <w:rPr>
            <w:rStyle w:val="Hyperlink"/>
            <w:lang w:val="pt-PT"/>
          </w:rPr>
          <w:t>2014/104/EU</w:t>
        </w:r>
      </w:hyperlink>
      <w:r>
        <w:rPr>
          <w:lang w:val="pt-PT"/>
        </w:rPr>
        <w:t>.</w:t>
      </w:r>
    </w:p>
  </w:footnote>
  <w:footnote w:id="168">
    <w:p>
      <w:pPr>
        <w:pStyle w:val="FootnoteText"/>
        <w:rPr>
          <w:lang w:val="pt-PT"/>
        </w:rPr>
      </w:pPr>
      <w:r>
        <w:rPr>
          <w:rStyle w:val="FootnoteReference"/>
        </w:rPr>
        <w:footnoteRef/>
      </w:r>
      <w:r>
        <w:rPr>
          <w:lang w:val="pt-PT"/>
        </w:rPr>
        <w:t xml:space="preserve"> </w:t>
      </w:r>
      <w:r>
        <w:rPr>
          <w:lang w:val="pt-PT"/>
        </w:rPr>
        <w:tab/>
        <w:t xml:space="preserve">Directive </w:t>
      </w:r>
      <w:hyperlink r:id="rId245" w:history="1">
        <w:r>
          <w:rPr>
            <w:rStyle w:val="Hyperlink"/>
            <w:lang w:val="pt-PT"/>
          </w:rPr>
          <w:t>2009/18/EC</w:t>
        </w:r>
      </w:hyperlink>
      <w:r>
        <w:rPr>
          <w:lang w:val="pt-PT"/>
        </w:rPr>
        <w:t xml:space="preserve">; </w:t>
      </w:r>
      <w:hyperlink r:id="rId246">
        <w:r>
          <w:rPr>
            <w:rStyle w:val="LienInternet"/>
            <w:lang w:val="pt-PT"/>
          </w:rPr>
          <w:t>IP/18/4492</w:t>
        </w:r>
      </w:hyperlink>
      <w:r>
        <w:rPr>
          <w:rStyle w:val="LienInternet"/>
          <w:lang w:val="pt-PT"/>
        </w:rPr>
        <w:t>.</w:t>
      </w:r>
    </w:p>
  </w:footnote>
  <w:footnote w:id="169">
    <w:p>
      <w:pPr>
        <w:pStyle w:val="FootnoteText"/>
        <w:rPr>
          <w:lang w:val="pt-PT"/>
        </w:rPr>
      </w:pPr>
      <w:r>
        <w:rPr>
          <w:rStyle w:val="FootnoteReference"/>
        </w:rPr>
        <w:footnoteRef/>
      </w:r>
      <w:r>
        <w:rPr>
          <w:lang w:val="pt-PT"/>
        </w:rPr>
        <w:t xml:space="preserve"> </w:t>
      </w:r>
      <w:r>
        <w:rPr>
          <w:lang w:val="pt-PT"/>
        </w:rPr>
        <w:tab/>
        <w:t xml:space="preserve">Regulation </w:t>
      </w:r>
      <w:hyperlink r:id="rId247" w:history="1">
        <w:r>
          <w:rPr>
            <w:rStyle w:val="Hyperlink"/>
            <w:lang w:val="pt-PT"/>
          </w:rPr>
          <w:t>(EC) No 1224/2009</w:t>
        </w:r>
      </w:hyperlink>
      <w:r>
        <w:rPr>
          <w:rStyle w:val="Hyperlink"/>
          <w:lang w:val="pt-PT"/>
        </w:rPr>
        <w:t>,</w:t>
      </w:r>
      <w:r>
        <w:rPr>
          <w:rStyle w:val="Hyperlink"/>
          <w:szCs w:val="20"/>
          <w:lang w:val="pt-PT"/>
        </w:rPr>
        <w:t xml:space="preserve"> </w:t>
      </w:r>
      <w:hyperlink r:id="rId248" w:history="1">
        <w:r>
          <w:rPr>
            <w:rStyle w:val="Hyperlink"/>
            <w:szCs w:val="20"/>
            <w:lang w:val="pt-PT"/>
          </w:rPr>
          <w:t>MEMO/18/3446</w:t>
        </w:r>
      </w:hyperlink>
      <w:r>
        <w:rPr>
          <w:rStyle w:val="Hyperlink"/>
          <w:szCs w:val="20"/>
          <w:lang w:val="pt-PT"/>
        </w:rPr>
        <w:t>.</w:t>
      </w:r>
    </w:p>
  </w:footnote>
  <w:footnote w:id="170">
    <w:p>
      <w:pPr>
        <w:pStyle w:val="FootnoteText"/>
        <w:rPr>
          <w:lang w:val="pt-PT"/>
        </w:rPr>
      </w:pPr>
      <w:r>
        <w:rPr>
          <w:rStyle w:val="FootnoteReference"/>
        </w:rPr>
        <w:footnoteRef/>
      </w:r>
      <w:r>
        <w:rPr>
          <w:lang w:val="pt-PT"/>
        </w:rPr>
        <w:t xml:space="preserve"> </w:t>
      </w:r>
      <w:r>
        <w:rPr>
          <w:lang w:val="pt-PT"/>
        </w:rPr>
        <w:tab/>
        <w:t xml:space="preserve">Directive </w:t>
      </w:r>
      <w:hyperlink r:id="rId249" w:history="1">
        <w:r>
          <w:rPr>
            <w:rStyle w:val="Hyperlink"/>
            <w:lang w:val="pt-PT"/>
          </w:rPr>
          <w:t>2012/27/EU</w:t>
        </w:r>
      </w:hyperlink>
      <w:r>
        <w:rPr>
          <w:lang w:val="pt-PT"/>
        </w:rPr>
        <w:t xml:space="preserve">, </w:t>
      </w:r>
      <w:hyperlink r:id="rId250" w:history="1">
        <w:r>
          <w:rPr>
            <w:rStyle w:val="Hyperlink"/>
            <w:lang w:val="pt-PT"/>
          </w:rPr>
          <w:t>MEMO/18/4486</w:t>
        </w:r>
      </w:hyperlink>
      <w:r>
        <w:rPr>
          <w:rStyle w:val="Hyperlink"/>
          <w:lang w:val="pt-PT"/>
        </w:rPr>
        <w:t>.</w:t>
      </w:r>
    </w:p>
  </w:footnote>
  <w:footnote w:id="171">
    <w:p>
      <w:pPr>
        <w:pStyle w:val="FootnoteText"/>
        <w:rPr>
          <w:lang w:val="pt-PT"/>
        </w:rPr>
      </w:pPr>
      <w:r>
        <w:rPr>
          <w:rStyle w:val="FootnoteReference"/>
        </w:rPr>
        <w:footnoteRef/>
      </w:r>
      <w:r>
        <w:rPr>
          <w:lang w:val="pt-PT"/>
        </w:rPr>
        <w:t xml:space="preserve"> </w:t>
      </w:r>
      <w:r>
        <w:rPr>
          <w:lang w:val="pt-PT"/>
        </w:rPr>
        <w:tab/>
        <w:t xml:space="preserve">Directive </w:t>
      </w:r>
      <w:hyperlink r:id="rId251" w:history="1">
        <w:r>
          <w:rPr>
            <w:rStyle w:val="Hyperlink"/>
            <w:lang w:val="pt-PT"/>
          </w:rPr>
          <w:t>2011/70/Euratom</w:t>
        </w:r>
      </w:hyperlink>
      <w:r>
        <w:rPr>
          <w:lang w:val="pt-PT"/>
        </w:rPr>
        <w:t xml:space="preserve">, </w:t>
      </w:r>
      <w:hyperlink r:id="rId252" w:history="1">
        <w:r>
          <w:rPr>
            <w:rStyle w:val="Hyperlink"/>
            <w:lang w:val="pt-PT"/>
          </w:rPr>
          <w:t>MEMO/18/3986</w:t>
        </w:r>
      </w:hyperlink>
      <w:r>
        <w:rPr>
          <w:rStyle w:val="Hyperlink"/>
          <w:lang w:val="pt-PT"/>
        </w:rPr>
        <w:t>.</w:t>
      </w:r>
    </w:p>
  </w:footnote>
  <w:footnote w:id="172">
    <w:p>
      <w:pPr>
        <w:pStyle w:val="FootnoteText"/>
        <w:rPr>
          <w:lang w:val="pt-PT"/>
        </w:rPr>
      </w:pPr>
      <w:r>
        <w:rPr>
          <w:rStyle w:val="FootnoteReference"/>
        </w:rPr>
        <w:footnoteRef/>
      </w:r>
      <w:r>
        <w:rPr>
          <w:lang w:val="pt-PT"/>
        </w:rPr>
        <w:t xml:space="preserve"> </w:t>
      </w:r>
      <w:r>
        <w:rPr>
          <w:lang w:val="pt-PT"/>
        </w:rPr>
        <w:tab/>
        <w:t xml:space="preserve">Directive </w:t>
      </w:r>
      <w:hyperlink r:id="rId253" w:history="1">
        <w:r>
          <w:rPr>
            <w:rStyle w:val="Hyperlink"/>
            <w:lang w:val="pt-PT"/>
          </w:rPr>
          <w:t>2011/70/Euratom</w:t>
        </w:r>
      </w:hyperlink>
      <w:r>
        <w:rPr>
          <w:rStyle w:val="Hyperlink"/>
          <w:lang w:val="pt-PT"/>
        </w:rPr>
        <w:t xml:space="preserve">, </w:t>
      </w:r>
      <w:hyperlink r:id="rId254" w:history="1">
        <w:r>
          <w:rPr>
            <w:rStyle w:val="Hyperlink"/>
            <w:lang w:val="pt-PT"/>
          </w:rPr>
          <w:t>MEMO/18/3446</w:t>
        </w:r>
      </w:hyperlink>
      <w:r>
        <w:rPr>
          <w:rStyle w:val="Hyperlink"/>
          <w:lang w:val="pt-PT"/>
        </w:rPr>
        <w:t>.</w:t>
      </w:r>
    </w:p>
  </w:footnote>
  <w:footnote w:id="173">
    <w:p>
      <w:pPr>
        <w:pStyle w:val="FootnoteText"/>
        <w:rPr>
          <w:lang w:val="pt-PT"/>
        </w:rPr>
      </w:pPr>
      <w:r>
        <w:rPr>
          <w:rStyle w:val="FootnoteReference"/>
        </w:rPr>
        <w:footnoteRef/>
      </w:r>
      <w:r>
        <w:rPr>
          <w:lang w:val="pt-PT"/>
        </w:rPr>
        <w:t xml:space="preserve"> </w:t>
      </w:r>
      <w:r>
        <w:rPr>
          <w:lang w:val="pt-PT"/>
        </w:rPr>
        <w:tab/>
        <w:t xml:space="preserve">Directive </w:t>
      </w:r>
      <w:hyperlink r:id="rId255" w:history="1">
        <w:r>
          <w:rPr>
            <w:rStyle w:val="Hyperlink"/>
            <w:lang w:val="pt-PT"/>
          </w:rPr>
          <w:t>92/43/EEC</w:t>
        </w:r>
      </w:hyperlink>
      <w:r>
        <w:rPr>
          <w:rStyle w:val="Hyperlink"/>
          <w:lang w:val="pt-PT"/>
        </w:rPr>
        <w:t xml:space="preserve">, </w:t>
      </w:r>
      <w:hyperlink r:id="rId256" w:history="1">
        <w:r>
          <w:rPr>
            <w:rStyle w:val="Hyperlink"/>
            <w:lang w:val="pt-PT"/>
          </w:rPr>
          <w:t>MEMO/18/6247</w:t>
        </w:r>
      </w:hyperlink>
      <w:r>
        <w:rPr>
          <w:rStyle w:val="Hyperlink"/>
          <w:lang w:val="pt-PT"/>
        </w:rPr>
        <w:t>.</w:t>
      </w:r>
    </w:p>
  </w:footnote>
  <w:footnote w:id="174">
    <w:p>
      <w:pPr>
        <w:pStyle w:val="FootnoteText"/>
        <w:rPr>
          <w:lang w:val="pt-PT"/>
        </w:rPr>
      </w:pPr>
      <w:r>
        <w:rPr>
          <w:rStyle w:val="FootnoteReference"/>
        </w:rPr>
        <w:footnoteRef/>
      </w:r>
      <w:r>
        <w:rPr>
          <w:lang w:val="pt-PT"/>
        </w:rPr>
        <w:t xml:space="preserve"> </w:t>
      </w:r>
      <w:r>
        <w:rPr>
          <w:lang w:val="pt-PT"/>
        </w:rPr>
        <w:tab/>
        <w:t xml:space="preserve">Directive </w:t>
      </w:r>
      <w:hyperlink r:id="rId257" w:history="1">
        <w:r>
          <w:rPr>
            <w:rStyle w:val="Hyperlink"/>
            <w:lang w:val="pt-PT"/>
          </w:rPr>
          <w:t>2005/36/EC</w:t>
        </w:r>
      </w:hyperlink>
      <w:r>
        <w:rPr>
          <w:lang w:val="pt-PT"/>
        </w:rPr>
        <w:t xml:space="preserve">, </w:t>
      </w:r>
      <w:hyperlink r:id="rId258" w:history="1">
        <w:r>
          <w:rPr>
            <w:rStyle w:val="Hyperlink"/>
            <w:lang w:val="pt-PT"/>
          </w:rPr>
          <w:t>MEMO/18/4486</w:t>
        </w:r>
      </w:hyperlink>
      <w:r>
        <w:rPr>
          <w:rStyle w:val="Hyperlink"/>
          <w:lang w:val="pt-PT"/>
        </w:rPr>
        <w:t>.</w:t>
      </w:r>
    </w:p>
  </w:footnote>
  <w:footnote w:id="175">
    <w:p>
      <w:pPr>
        <w:pStyle w:val="FootnoteText"/>
        <w:rPr>
          <w:lang w:val="pt-PT"/>
        </w:rPr>
      </w:pPr>
      <w:r>
        <w:rPr>
          <w:rStyle w:val="FootnoteReference"/>
        </w:rPr>
        <w:footnoteRef/>
      </w:r>
      <w:r>
        <w:rPr>
          <w:lang w:val="pt-PT"/>
        </w:rPr>
        <w:t xml:space="preserve"> </w:t>
      </w:r>
      <w:r>
        <w:rPr>
          <w:lang w:val="pt-PT"/>
        </w:rPr>
        <w:tab/>
        <w:t xml:space="preserve">Directive </w:t>
      </w:r>
      <w:hyperlink r:id="rId259" w:history="1">
        <w:r>
          <w:rPr>
            <w:rStyle w:val="Hyperlink"/>
            <w:lang w:val="pt-PT"/>
          </w:rPr>
          <w:t>98/83/EC</w:t>
        </w:r>
      </w:hyperlink>
      <w:r>
        <w:rPr>
          <w:lang w:val="pt-PT"/>
        </w:rPr>
        <w:t xml:space="preserve">, </w:t>
      </w:r>
      <w:hyperlink r:id="rId260" w:history="1">
        <w:r>
          <w:rPr>
            <w:rStyle w:val="Hyperlink"/>
            <w:lang w:val="pt-PT"/>
          </w:rPr>
          <w:t>MEMO/18/4486</w:t>
        </w:r>
      </w:hyperlink>
      <w:r>
        <w:rPr>
          <w:lang w:val="pt-PT"/>
        </w:rPr>
        <w:t>.</w:t>
      </w:r>
    </w:p>
  </w:footnote>
  <w:footnote w:id="176">
    <w:p>
      <w:pPr>
        <w:pStyle w:val="FootnoteText"/>
        <w:rPr>
          <w:lang w:val="fr-BE"/>
        </w:rPr>
      </w:pPr>
      <w:r>
        <w:rPr>
          <w:rStyle w:val="FootnoteReference"/>
        </w:rPr>
        <w:footnoteRef/>
      </w:r>
      <w:r>
        <w:rPr>
          <w:lang w:val="fr-BE"/>
        </w:rPr>
        <w:t xml:space="preserve"> </w:t>
      </w:r>
      <w:r>
        <w:rPr>
          <w:lang w:val="fr-BE"/>
        </w:rPr>
        <w:tab/>
        <w:t xml:space="preserve">Commission Directive </w:t>
      </w:r>
      <w:hyperlink r:id="rId261" w:history="1">
        <w:r>
          <w:rPr>
            <w:rStyle w:val="Hyperlink"/>
            <w:lang w:val="fr-BE"/>
          </w:rPr>
          <w:t>2016/1214/EU.</w:t>
        </w:r>
      </w:hyperlink>
    </w:p>
  </w:footnote>
  <w:footnote w:id="177">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62" w:history="1">
        <w:r>
          <w:rPr>
            <w:rStyle w:val="Hyperlink"/>
            <w:lang w:val="fr-BE"/>
          </w:rPr>
          <w:t>2017/1279</w:t>
        </w:r>
      </w:hyperlink>
      <w:r>
        <w:rPr>
          <w:rStyle w:val="Hyperlink"/>
          <w:lang w:val="fr-BE"/>
        </w:rPr>
        <w:t>/EU</w:t>
      </w:r>
      <w:r>
        <w:rPr>
          <w:lang w:val="fr-BE"/>
        </w:rPr>
        <w:t>.</w:t>
      </w:r>
    </w:p>
  </w:footnote>
  <w:footnote w:id="178">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63" w:history="1">
        <w:r>
          <w:rPr>
            <w:rStyle w:val="Hyperlink"/>
            <w:lang w:val="fr-BE"/>
          </w:rPr>
          <w:t>2018/100</w:t>
        </w:r>
      </w:hyperlink>
      <w:r>
        <w:rPr>
          <w:rStyle w:val="Hyperlink"/>
          <w:lang w:val="fr-BE"/>
        </w:rPr>
        <w:t>/EU</w:t>
      </w:r>
      <w:r>
        <w:rPr>
          <w:lang w:val="fr-BE"/>
        </w:rPr>
        <w:t>.</w:t>
      </w:r>
    </w:p>
  </w:footnote>
  <w:footnote w:id="179">
    <w:p>
      <w:pPr>
        <w:pStyle w:val="FootnoteText"/>
        <w:rPr>
          <w:lang w:val="fr-BE"/>
        </w:rPr>
      </w:pPr>
      <w:r>
        <w:rPr>
          <w:rStyle w:val="FootnoteReference"/>
        </w:rPr>
        <w:footnoteRef/>
      </w:r>
      <w:r>
        <w:rPr>
          <w:lang w:val="fr-BE"/>
        </w:rPr>
        <w:t xml:space="preserve"> </w:t>
      </w:r>
      <w:r>
        <w:rPr>
          <w:lang w:val="fr-BE"/>
        </w:rPr>
        <w:tab/>
        <w:t xml:space="preserve">Directive </w:t>
      </w:r>
      <w:hyperlink r:id="rId264" w:history="1">
        <w:r>
          <w:rPr>
            <w:rStyle w:val="Hyperlink"/>
            <w:lang w:val="fr-BE"/>
          </w:rPr>
          <w:t>2013/59/Euratom</w:t>
        </w:r>
      </w:hyperlink>
      <w:r>
        <w:rPr>
          <w:lang w:val="fr-BE"/>
        </w:rPr>
        <w:t xml:space="preserve">, </w:t>
      </w:r>
      <w:hyperlink r:id="rId265" w:history="1">
        <w:r>
          <w:rPr>
            <w:rStyle w:val="Hyperlink"/>
            <w:lang w:val="fr-BE"/>
          </w:rPr>
          <w:t>MEMO/18/3446</w:t>
        </w:r>
      </w:hyperlink>
      <w:r>
        <w:rPr>
          <w:rStyle w:val="Hyperlink"/>
          <w:lang w:val="fr-BE"/>
        </w:rPr>
        <w:t>.</w:t>
      </w:r>
    </w:p>
  </w:footnote>
  <w:footnote w:id="180">
    <w:p>
      <w:pPr>
        <w:pStyle w:val="FootnoteText"/>
        <w:rPr>
          <w:lang w:val="fr-BE"/>
        </w:rPr>
      </w:pPr>
      <w:r>
        <w:rPr>
          <w:rStyle w:val="FootnoteReference"/>
        </w:rPr>
        <w:footnoteRef/>
      </w:r>
      <w:r>
        <w:rPr>
          <w:lang w:val="fr-BE"/>
        </w:rPr>
        <w:t xml:space="preserve"> </w:t>
      </w:r>
      <w:r>
        <w:rPr>
          <w:lang w:val="fr-BE"/>
        </w:rPr>
        <w:tab/>
        <w:t xml:space="preserve">Directive </w:t>
      </w:r>
      <w:hyperlink r:id="rId266" w:history="1">
        <w:r>
          <w:rPr>
            <w:rStyle w:val="Hyperlink"/>
            <w:lang w:val="fr-BE"/>
          </w:rPr>
          <w:t>2016/1148/EU</w:t>
        </w:r>
      </w:hyperlink>
      <w:r>
        <w:rPr>
          <w:lang w:val="fr-BE"/>
        </w:rPr>
        <w:t xml:space="preserve">, </w:t>
      </w:r>
      <w:hyperlink r:id="rId267" w:history="1">
        <w:r>
          <w:rPr>
            <w:rStyle w:val="Hyperlink"/>
            <w:lang w:val="fr-BE"/>
          </w:rPr>
          <w:t>MEMO/18/4486</w:t>
        </w:r>
      </w:hyperlink>
      <w:r>
        <w:rPr>
          <w:lang w:val="fr-BE"/>
        </w:rPr>
        <w:t>.</w:t>
      </w:r>
    </w:p>
  </w:footnote>
  <w:footnote w:id="181">
    <w:p>
      <w:pPr>
        <w:pStyle w:val="FootnoteText"/>
        <w:rPr>
          <w:lang w:val="fr-BE"/>
        </w:rPr>
      </w:pPr>
      <w:r>
        <w:rPr>
          <w:rStyle w:val="FootnoteReference"/>
        </w:rPr>
        <w:footnoteRef/>
      </w:r>
      <w:r>
        <w:rPr>
          <w:lang w:val="fr-BE"/>
        </w:rPr>
        <w:t xml:space="preserve"> </w:t>
      </w:r>
      <w:r>
        <w:rPr>
          <w:lang w:val="fr-BE"/>
        </w:rPr>
        <w:tab/>
        <w:t xml:space="preserve">Directive </w:t>
      </w:r>
      <w:hyperlink r:id="rId268" w:history="1">
        <w:r>
          <w:rPr>
            <w:rStyle w:val="Hyperlink"/>
            <w:lang w:val="fr-BE"/>
          </w:rPr>
          <w:t>2016/2102</w:t>
        </w:r>
      </w:hyperlink>
      <w:r>
        <w:rPr>
          <w:rStyle w:val="Hyperlink"/>
          <w:lang w:val="fr-BE"/>
        </w:rPr>
        <w:t>/EU</w:t>
      </w:r>
      <w:r>
        <w:rPr>
          <w:lang w:val="fr-BE"/>
        </w:rPr>
        <w:t>.</w:t>
      </w:r>
    </w:p>
  </w:footnote>
  <w:footnote w:id="182">
    <w:p>
      <w:pPr>
        <w:pStyle w:val="FootnoteText"/>
        <w:rPr>
          <w:lang w:val="en-US"/>
        </w:rPr>
      </w:pPr>
      <w:r>
        <w:rPr>
          <w:rStyle w:val="FootnoteReference"/>
        </w:rPr>
        <w:footnoteRef/>
      </w:r>
      <w:r>
        <w:rPr>
          <w:lang w:val="en-US"/>
        </w:rPr>
        <w:t xml:space="preserve"> </w:t>
      </w:r>
      <w:r>
        <w:rPr>
          <w:lang w:val="en-US"/>
        </w:rPr>
        <w:tab/>
        <w:t xml:space="preserve">Council Framework Decision </w:t>
      </w:r>
      <w:hyperlink r:id="rId269" w:history="1">
        <w:r>
          <w:rPr>
            <w:rStyle w:val="Hyperlink"/>
            <w:lang w:val="en-US"/>
          </w:rPr>
          <w:t>2009/315/JHA.</w:t>
        </w:r>
      </w:hyperlink>
    </w:p>
  </w:footnote>
  <w:footnote w:id="183">
    <w:p>
      <w:pPr>
        <w:pStyle w:val="FootnoteText"/>
      </w:pPr>
      <w:r>
        <w:rPr>
          <w:rStyle w:val="FootnoteReference"/>
        </w:rPr>
        <w:footnoteRef/>
      </w:r>
      <w:r>
        <w:t xml:space="preserve"> </w:t>
      </w:r>
      <w:r>
        <w:tab/>
        <w:t xml:space="preserve">Directive </w:t>
      </w:r>
      <w:hyperlink r:id="rId270" w:history="1">
        <w:r>
          <w:rPr>
            <w:rStyle w:val="Hyperlink"/>
          </w:rPr>
          <w:t>2015/2302</w:t>
        </w:r>
      </w:hyperlink>
      <w:r>
        <w:rPr>
          <w:rStyle w:val="Hyperlink"/>
        </w:rPr>
        <w:t>/EU</w:t>
      </w:r>
      <w:r>
        <w:t>.</w:t>
      </w:r>
    </w:p>
  </w:footnote>
  <w:footnote w:id="184">
    <w:p>
      <w:pPr>
        <w:pStyle w:val="FootnoteText"/>
      </w:pPr>
      <w:r>
        <w:rPr>
          <w:rStyle w:val="FootnoteReference"/>
        </w:rPr>
        <w:footnoteRef/>
      </w:r>
      <w:r>
        <w:t xml:space="preserve"> </w:t>
      </w:r>
      <w:r>
        <w:tab/>
        <w:t xml:space="preserve">Directive </w:t>
      </w:r>
      <w:hyperlink r:id="rId271" w:history="1">
        <w:r>
          <w:rPr>
            <w:rStyle w:val="Hyperlink"/>
          </w:rPr>
          <w:t>85/337/EEC</w:t>
        </w:r>
      </w:hyperlink>
      <w:r>
        <w:rPr>
          <w:rStyle w:val="Hyperlink"/>
        </w:rPr>
        <w:t xml:space="preserve"> </w:t>
      </w:r>
      <w:r>
        <w:rPr>
          <w:rStyle w:val="Hyperlink"/>
          <w:color w:val="auto"/>
          <w:u w:val="none"/>
        </w:rPr>
        <w:t xml:space="preserve">amended by Directive </w:t>
      </w:r>
      <w:hyperlink r:id="rId272" w:history="1">
        <w:r>
          <w:rPr>
            <w:rStyle w:val="Hyperlink"/>
          </w:rPr>
          <w:t>97/11/EC</w:t>
        </w:r>
      </w:hyperlink>
      <w:r>
        <w:rPr>
          <w:rStyle w:val="Hyperlink"/>
          <w:color w:val="auto"/>
          <w:u w:val="none"/>
        </w:rPr>
        <w:t>,</w:t>
      </w:r>
      <w:r>
        <w:rPr>
          <w:rStyle w:val="Hyperlink"/>
          <w:color w:val="auto"/>
        </w:rPr>
        <w:t xml:space="preserve"> </w:t>
      </w:r>
      <w:r>
        <w:t xml:space="preserve">Commission v Ireland, </w:t>
      </w:r>
      <w:hyperlink r:id="rId273" w:history="1">
        <w:r>
          <w:rPr>
            <w:rStyle w:val="Hyperlink"/>
          </w:rPr>
          <w:t>C-261/18</w:t>
        </w:r>
      </w:hyperlink>
      <w:r>
        <w:t xml:space="preserve">; </w:t>
      </w:r>
      <w:hyperlink r:id="rId274" w:history="1">
        <w:r>
          <w:rPr>
            <w:rStyle w:val="Hyperlink"/>
          </w:rPr>
          <w:t>IP/18/355</w:t>
        </w:r>
      </w:hyperlink>
      <w:r>
        <w:t>.</w:t>
      </w:r>
    </w:p>
  </w:footnote>
  <w:footnote w:id="185">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Ireland,</w:t>
      </w:r>
      <w:r>
        <w:rPr>
          <w:lang w:val="fr-BE"/>
        </w:rPr>
        <w:t xml:space="preserve"> </w:t>
      </w:r>
      <w:hyperlink r:id="rId275" w:history="1">
        <w:r>
          <w:rPr>
            <w:rStyle w:val="Hyperlink"/>
            <w:lang w:val="fr-BE"/>
          </w:rPr>
          <w:t>C-550/18</w:t>
        </w:r>
      </w:hyperlink>
      <w:r>
        <w:rPr>
          <w:rStyle w:val="affairetitle"/>
          <w:lang w:val="fr-BE"/>
        </w:rPr>
        <w:t>.</w:t>
      </w:r>
    </w:p>
  </w:footnote>
  <w:footnote w:id="186">
    <w:p>
      <w:pPr>
        <w:pStyle w:val="FootnoteText"/>
        <w:rPr>
          <w:lang w:val="fr-BE"/>
        </w:rPr>
      </w:pPr>
      <w:r>
        <w:rPr>
          <w:rStyle w:val="FootnoteReference"/>
        </w:rPr>
        <w:footnoteRef/>
      </w:r>
      <w:r>
        <w:rPr>
          <w:lang w:val="fr-BE"/>
        </w:rPr>
        <w:t xml:space="preserve"> </w:t>
      </w:r>
      <w:r>
        <w:rPr>
          <w:lang w:val="fr-BE"/>
        </w:rPr>
        <w:tab/>
        <w:t xml:space="preserve">Directive </w:t>
      </w:r>
      <w:hyperlink r:id="rId276" w:history="1">
        <w:r>
          <w:rPr>
            <w:rStyle w:val="Hyperlink"/>
            <w:lang w:val="fr-BE"/>
          </w:rPr>
          <w:t>2005/45/EC.</w:t>
        </w:r>
      </w:hyperlink>
    </w:p>
  </w:footnote>
  <w:footnote w:id="187">
    <w:p>
      <w:pPr>
        <w:pStyle w:val="FootnoteText"/>
        <w:rPr>
          <w:lang w:val="fr-BE"/>
        </w:rPr>
      </w:pPr>
      <w:r>
        <w:rPr>
          <w:rStyle w:val="FootnoteReference"/>
        </w:rPr>
        <w:footnoteRef/>
      </w:r>
      <w:r>
        <w:rPr>
          <w:lang w:val="fr-BE"/>
        </w:rPr>
        <w:t xml:space="preserve"> </w:t>
      </w:r>
      <w:r>
        <w:rPr>
          <w:lang w:val="fr-BE"/>
        </w:rPr>
        <w:tab/>
        <w:t xml:space="preserve">Directive </w:t>
      </w:r>
      <w:hyperlink r:id="rId277" w:history="1">
        <w:r>
          <w:rPr>
            <w:rStyle w:val="Hyperlink"/>
            <w:lang w:val="fr-BE"/>
          </w:rPr>
          <w:t>2000/60/EC</w:t>
        </w:r>
      </w:hyperlink>
      <w:r>
        <w:rPr>
          <w:lang w:val="fr-BE"/>
        </w:rPr>
        <w:t>.</w:t>
      </w:r>
    </w:p>
  </w:footnote>
  <w:footnote w:id="188">
    <w:p>
      <w:pPr>
        <w:pStyle w:val="FootnoteText"/>
        <w:rPr>
          <w:lang w:val="fr-BE"/>
        </w:rPr>
      </w:pPr>
      <w:r>
        <w:rPr>
          <w:rStyle w:val="FootnoteReference"/>
        </w:rPr>
        <w:footnoteRef/>
      </w:r>
      <w:r>
        <w:rPr>
          <w:lang w:val="fr-BE"/>
        </w:rPr>
        <w:t xml:space="preserve"> </w:t>
      </w:r>
      <w:r>
        <w:rPr>
          <w:lang w:val="fr-BE"/>
        </w:rPr>
        <w:tab/>
        <w:t xml:space="preserve">Directive </w:t>
      </w:r>
      <w:hyperlink r:id="rId278" w:history="1">
        <w:r>
          <w:rPr>
            <w:rStyle w:val="Hyperlink"/>
            <w:lang w:val="fr-BE"/>
          </w:rPr>
          <w:t>2007/60/EC</w:t>
        </w:r>
      </w:hyperlink>
      <w:r>
        <w:rPr>
          <w:lang w:val="fr-BE"/>
        </w:rPr>
        <w:t>.</w:t>
      </w:r>
    </w:p>
  </w:footnote>
  <w:footnote w:id="189">
    <w:p>
      <w:pPr>
        <w:pStyle w:val="FootnoteText"/>
        <w:rPr>
          <w:lang w:val="fr-BE"/>
        </w:rPr>
      </w:pPr>
      <w:r>
        <w:rPr>
          <w:rStyle w:val="FootnoteReference"/>
        </w:rPr>
        <w:footnoteRef/>
      </w:r>
      <w:r>
        <w:rPr>
          <w:lang w:val="fr-BE"/>
        </w:rPr>
        <w:t xml:space="preserve"> </w:t>
      </w:r>
      <w:r>
        <w:rPr>
          <w:lang w:val="fr-BE"/>
        </w:rPr>
        <w:tab/>
        <w:t xml:space="preserve">Directive </w:t>
      </w:r>
      <w:hyperlink r:id="rId279" w:history="1">
        <w:r>
          <w:rPr>
            <w:rStyle w:val="Hyperlink"/>
            <w:lang w:val="fr-BE"/>
          </w:rPr>
          <w:t>2005/29/EC</w:t>
        </w:r>
      </w:hyperlink>
      <w:r>
        <w:rPr>
          <w:lang w:val="fr-BE"/>
        </w:rPr>
        <w:t>.</w:t>
      </w:r>
    </w:p>
  </w:footnote>
  <w:footnote w:id="190">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80" w:history="1">
        <w:r>
          <w:rPr>
            <w:rStyle w:val="Hyperlink"/>
            <w:lang w:val="fr-BE"/>
          </w:rPr>
          <w:t>2009/138/EC</w:t>
        </w:r>
      </w:hyperlink>
      <w:r>
        <w:rPr>
          <w:lang w:val="fr-BE"/>
        </w:rPr>
        <w:t>,</w:t>
      </w:r>
      <w:r>
        <w:rPr>
          <w:rFonts w:eastAsia="Times New Roman"/>
          <w:lang w:val="fr-BE" w:eastAsia="en-GB"/>
        </w:rPr>
        <w:t xml:space="preserve"> </w:t>
      </w:r>
      <w:hyperlink r:id="rId281" w:history="1">
        <w:r>
          <w:rPr>
            <w:rStyle w:val="Hyperlink"/>
            <w:lang w:val="fr-BE"/>
          </w:rPr>
          <w:t>MEMO/18/349</w:t>
        </w:r>
      </w:hyperlink>
      <w:r>
        <w:rPr>
          <w:lang w:val="fr-BE"/>
        </w:rPr>
        <w:t>.</w:t>
      </w:r>
    </w:p>
  </w:footnote>
  <w:footnote w:id="191">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282" w:history="1">
        <w:r>
          <w:rPr>
            <w:rStyle w:val="Hyperlink"/>
            <w:lang w:val="fr-BE"/>
          </w:rPr>
          <w:t>2014/42/EU</w:t>
        </w:r>
      </w:hyperlink>
      <w:r>
        <w:rPr>
          <w:rStyle w:val="Hyperlink"/>
          <w:color w:val="auto"/>
          <w:u w:val="none"/>
          <w:lang w:val="fr-BE"/>
        </w:rPr>
        <w:t>.</w:t>
      </w:r>
    </w:p>
  </w:footnote>
  <w:footnote w:id="192">
    <w:p>
      <w:pPr>
        <w:pStyle w:val="FootnoteText"/>
        <w:rPr>
          <w:lang w:val="fr-BE"/>
        </w:rPr>
      </w:pPr>
      <w:r>
        <w:rPr>
          <w:rStyle w:val="FootnoteReference"/>
        </w:rPr>
        <w:footnoteRef/>
      </w:r>
      <w:r>
        <w:rPr>
          <w:lang w:val="fr-BE"/>
        </w:rPr>
        <w:t xml:space="preserve"> </w:t>
      </w:r>
      <w:r>
        <w:rPr>
          <w:lang w:val="fr-BE"/>
        </w:rPr>
        <w:tab/>
        <w:t>Directive </w:t>
      </w:r>
      <w:hyperlink r:id="rId283" w:history="1">
        <w:r>
          <w:rPr>
            <w:rStyle w:val="Hyperlink"/>
            <w:lang w:val="fr-BE"/>
          </w:rPr>
          <w:t>2014/104/EU</w:t>
        </w:r>
      </w:hyperlink>
      <w:r>
        <w:rPr>
          <w:lang w:val="fr-BE"/>
        </w:rPr>
        <w:t>.</w:t>
      </w:r>
    </w:p>
  </w:footnote>
  <w:footnote w:id="193">
    <w:p>
      <w:pPr>
        <w:pStyle w:val="FootnoteText"/>
        <w:rPr>
          <w:lang w:val="fr-BE"/>
        </w:rPr>
      </w:pPr>
      <w:r>
        <w:rPr>
          <w:rStyle w:val="FootnoteReference"/>
        </w:rPr>
        <w:footnoteRef/>
      </w:r>
      <w:r>
        <w:rPr>
          <w:lang w:val="fr-BE"/>
        </w:rPr>
        <w:t xml:space="preserve"> </w:t>
      </w:r>
      <w:r>
        <w:rPr>
          <w:lang w:val="fr-BE"/>
        </w:rPr>
        <w:tab/>
        <w:t xml:space="preserve">Commission Directive </w:t>
      </w:r>
      <w:hyperlink r:id="rId284" w:history="1">
        <w:r>
          <w:rPr>
            <w:rStyle w:val="Hyperlink"/>
            <w:lang w:val="fr-BE"/>
          </w:rPr>
          <w:t>2016/1214/EU.</w:t>
        </w:r>
      </w:hyperlink>
    </w:p>
  </w:footnote>
  <w:footnote w:id="194">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285" w:history="1">
        <w:r>
          <w:rPr>
            <w:rStyle w:val="Hyperlink"/>
            <w:lang w:val="fr-BE"/>
          </w:rPr>
          <w:t>2017/1279</w:t>
        </w:r>
      </w:hyperlink>
      <w:r>
        <w:rPr>
          <w:rStyle w:val="Hyperlink"/>
          <w:lang w:val="fr-BE"/>
        </w:rPr>
        <w:t>/EU</w:t>
      </w:r>
      <w:r>
        <w:rPr>
          <w:lang w:val="fr-BE"/>
        </w:rPr>
        <w:t>.</w:t>
      </w:r>
    </w:p>
  </w:footnote>
  <w:footnote w:id="195">
    <w:p>
      <w:pPr>
        <w:pStyle w:val="FootnoteText"/>
        <w:rPr>
          <w:lang w:val="fr-BE"/>
        </w:rPr>
      </w:pPr>
      <w:r>
        <w:rPr>
          <w:rStyle w:val="FootnoteReference"/>
        </w:rPr>
        <w:footnoteRef/>
      </w:r>
      <w:r>
        <w:rPr>
          <w:lang w:val="fr-BE"/>
        </w:rPr>
        <w:t xml:space="preserve"> </w:t>
      </w:r>
      <w:r>
        <w:rPr>
          <w:lang w:val="fr-BE"/>
        </w:rPr>
        <w:tab/>
        <w:t xml:space="preserve">Commission v Ireland, </w:t>
      </w:r>
      <w:hyperlink r:id="rId286" w:history="1">
        <w:r>
          <w:rPr>
            <w:rStyle w:val="Hyperlink"/>
            <w:lang w:val="fr-BE"/>
          </w:rPr>
          <w:t>C-504/17</w:t>
        </w:r>
      </w:hyperlink>
      <w:r>
        <w:rPr>
          <w:lang w:val="fr-BE"/>
        </w:rPr>
        <w:t>.</w:t>
      </w:r>
    </w:p>
  </w:footnote>
  <w:footnote w:id="196">
    <w:p>
      <w:pPr>
        <w:pStyle w:val="FootnoteText"/>
        <w:rPr>
          <w:lang w:val="fr-BE"/>
        </w:rPr>
      </w:pPr>
      <w:r>
        <w:rPr>
          <w:rStyle w:val="FootnoteReference"/>
        </w:rPr>
        <w:footnoteRef/>
      </w:r>
      <w:r>
        <w:rPr>
          <w:lang w:val="fr-BE"/>
        </w:rPr>
        <w:t xml:space="preserve"> </w:t>
      </w:r>
      <w:r>
        <w:rPr>
          <w:lang w:val="fr-BE"/>
        </w:rPr>
        <w:tab/>
        <w:t xml:space="preserve">Ryanair, </w:t>
      </w:r>
      <w:hyperlink r:id="rId287" w:history="1">
        <w:r>
          <w:rPr>
            <w:rStyle w:val="Hyperlink"/>
            <w:lang w:val="fr-BE"/>
          </w:rPr>
          <w:t>C-249/17</w:t>
        </w:r>
      </w:hyperlink>
      <w:r>
        <w:rPr>
          <w:lang w:val="fr-BE"/>
        </w:rPr>
        <w:t>.</w:t>
      </w:r>
    </w:p>
  </w:footnote>
  <w:footnote w:id="197">
    <w:p>
      <w:pPr>
        <w:pStyle w:val="FootnoteText"/>
        <w:rPr>
          <w:lang w:val="fr-BE"/>
        </w:rPr>
      </w:pPr>
      <w:r>
        <w:rPr>
          <w:rStyle w:val="FootnoteReference"/>
        </w:rPr>
        <w:footnoteRef/>
      </w:r>
      <w:r>
        <w:rPr>
          <w:lang w:val="fr-BE"/>
        </w:rPr>
        <w:t xml:space="preserve"> </w:t>
      </w:r>
      <w:r>
        <w:rPr>
          <w:lang w:val="fr-BE"/>
        </w:rPr>
        <w:tab/>
        <w:t xml:space="preserve">Directive </w:t>
      </w:r>
      <w:hyperlink r:id="rId288" w:history="1">
        <w:r>
          <w:rPr>
            <w:rStyle w:val="Hyperlink"/>
            <w:lang w:val="fr-BE"/>
          </w:rPr>
          <w:t>92/43/EEC</w:t>
        </w:r>
      </w:hyperlink>
      <w:r>
        <w:rPr>
          <w:lang w:val="fr-BE"/>
        </w:rPr>
        <w:t xml:space="preserve">, Grace and Sweetman, </w:t>
      </w:r>
      <w:hyperlink r:id="rId289" w:history="1">
        <w:r>
          <w:rPr>
            <w:rStyle w:val="Hyperlink"/>
            <w:lang w:val="fr-BE"/>
          </w:rPr>
          <w:t>C-164/17</w:t>
        </w:r>
      </w:hyperlink>
      <w:r>
        <w:rPr>
          <w:lang w:val="fr-BE"/>
        </w:rPr>
        <w:t>.</w:t>
      </w:r>
    </w:p>
  </w:footnote>
  <w:footnote w:id="198">
    <w:p>
      <w:pPr>
        <w:pStyle w:val="FootnoteText"/>
        <w:rPr>
          <w:lang w:val="fr-BE"/>
        </w:rPr>
      </w:pPr>
      <w:r>
        <w:rPr>
          <w:rStyle w:val="FootnoteReference"/>
        </w:rPr>
        <w:footnoteRef/>
      </w:r>
      <w:r>
        <w:rPr>
          <w:lang w:val="fr-BE"/>
        </w:rPr>
        <w:t xml:space="preserve"> </w:t>
      </w:r>
      <w:r>
        <w:rPr>
          <w:lang w:val="fr-BE"/>
        </w:rPr>
        <w:tab/>
        <w:t xml:space="preserve">Directive </w:t>
      </w:r>
      <w:hyperlink r:id="rId290" w:history="1">
        <w:r>
          <w:rPr>
            <w:rStyle w:val="Hyperlink"/>
            <w:lang w:val="fr-BE"/>
          </w:rPr>
          <w:t>92/43/EEC</w:t>
        </w:r>
      </w:hyperlink>
      <w:r>
        <w:rPr>
          <w:lang w:val="fr-BE"/>
        </w:rPr>
        <w:t>.</w:t>
      </w:r>
    </w:p>
  </w:footnote>
  <w:footnote w:id="199">
    <w:p>
      <w:pPr>
        <w:pStyle w:val="FootnoteText"/>
        <w:rPr>
          <w:lang w:val="fr-BE"/>
        </w:rPr>
      </w:pPr>
      <w:r>
        <w:rPr>
          <w:rStyle w:val="FootnoteReference"/>
        </w:rPr>
        <w:footnoteRef/>
      </w:r>
      <w:r>
        <w:rPr>
          <w:lang w:val="fr-BE"/>
        </w:rPr>
        <w:t xml:space="preserve"> </w:t>
      </w:r>
      <w:r>
        <w:rPr>
          <w:lang w:val="fr-BE"/>
        </w:rPr>
        <w:tab/>
        <w:t xml:space="preserve">Directive </w:t>
      </w:r>
      <w:hyperlink r:id="rId291" w:history="1">
        <w:r>
          <w:rPr>
            <w:rStyle w:val="Hyperlink"/>
            <w:lang w:val="fr-BE"/>
          </w:rPr>
          <w:t>2011/92/EU</w:t>
        </w:r>
      </w:hyperlink>
      <w:r>
        <w:rPr>
          <w:lang w:val="fr-BE"/>
        </w:rPr>
        <w:t>.</w:t>
      </w:r>
    </w:p>
  </w:footnote>
  <w:footnote w:id="200">
    <w:p>
      <w:pPr>
        <w:pStyle w:val="FootnoteText"/>
        <w:rPr>
          <w:lang w:val="en-US"/>
        </w:rPr>
      </w:pPr>
      <w:r>
        <w:rPr>
          <w:rStyle w:val="FootnoteReference"/>
        </w:rPr>
        <w:footnoteRef/>
      </w:r>
      <w:r>
        <w:rPr>
          <w:lang w:val="en-US"/>
        </w:rPr>
        <w:t xml:space="preserve"> </w:t>
      </w:r>
      <w:r>
        <w:rPr>
          <w:lang w:val="en-US"/>
        </w:rPr>
        <w:tab/>
        <w:t xml:space="preserve">Holohan and Others, </w:t>
      </w:r>
      <w:hyperlink r:id="rId292" w:history="1">
        <w:r>
          <w:rPr>
            <w:rStyle w:val="Hyperlink"/>
            <w:lang w:val="en-US"/>
          </w:rPr>
          <w:t>C-461/17</w:t>
        </w:r>
      </w:hyperlink>
      <w:r>
        <w:rPr>
          <w:lang w:val="en-US"/>
        </w:rPr>
        <w:t>.</w:t>
      </w:r>
    </w:p>
  </w:footnote>
  <w:footnote w:id="201">
    <w:p>
      <w:pPr>
        <w:pStyle w:val="FootnoteText"/>
      </w:pPr>
      <w:r>
        <w:rPr>
          <w:rStyle w:val="FootnoteReference"/>
        </w:rPr>
        <w:footnoteRef/>
      </w:r>
      <w:r>
        <w:t xml:space="preserve"> </w:t>
      </w:r>
      <w:r>
        <w:tab/>
        <w:t xml:space="preserve">People Over Wind and Sweetman, </w:t>
      </w:r>
      <w:hyperlink r:id="rId293" w:history="1">
        <w:r>
          <w:rPr>
            <w:rStyle w:val="Hyperlink"/>
          </w:rPr>
          <w:t>C-323/17</w:t>
        </w:r>
      </w:hyperlink>
      <w:r>
        <w:t>.</w:t>
      </w:r>
    </w:p>
  </w:footnote>
  <w:footnote w:id="202">
    <w:p>
      <w:pPr>
        <w:pStyle w:val="FootnoteText"/>
      </w:pPr>
      <w:r>
        <w:rPr>
          <w:rStyle w:val="FootnoteReference"/>
        </w:rPr>
        <w:footnoteRef/>
      </w:r>
      <w:r>
        <w:t xml:space="preserve"> </w:t>
      </w:r>
      <w:r>
        <w:tab/>
        <w:t xml:space="preserve">North East Pylon Pressure Campaing and Sheehy, </w:t>
      </w:r>
      <w:hyperlink r:id="rId294" w:history="1">
        <w:r>
          <w:rPr>
            <w:rStyle w:val="Hyperlink"/>
          </w:rPr>
          <w:t>C-470/16</w:t>
        </w:r>
      </w:hyperlink>
      <w:r>
        <w:t>.</w:t>
      </w:r>
    </w:p>
  </w:footnote>
  <w:footnote w:id="203">
    <w:p>
      <w:pPr>
        <w:pStyle w:val="FootnoteText"/>
        <w:rPr>
          <w:lang w:val="pt-PT"/>
        </w:rPr>
      </w:pPr>
      <w:r>
        <w:rPr>
          <w:rStyle w:val="FootnoteReference"/>
        </w:rPr>
        <w:footnoteRef/>
      </w:r>
      <w:r>
        <w:rPr>
          <w:lang w:val="pt-PT"/>
        </w:rPr>
        <w:t xml:space="preserve"> </w:t>
      </w:r>
      <w:r>
        <w:rPr>
          <w:lang w:val="pt-PT"/>
        </w:rPr>
        <w:tab/>
        <w:t xml:space="preserve">Klohn, </w:t>
      </w:r>
      <w:hyperlink r:id="rId295" w:history="1">
        <w:r>
          <w:rPr>
            <w:rStyle w:val="Hyperlink"/>
            <w:lang w:val="pt-PT"/>
          </w:rPr>
          <w:t>C-167/17</w:t>
        </w:r>
      </w:hyperlink>
      <w:r>
        <w:rPr>
          <w:lang w:val="pt-PT"/>
        </w:rPr>
        <w:t>.</w:t>
      </w:r>
    </w:p>
  </w:footnote>
  <w:footnote w:id="204">
    <w:p>
      <w:pPr>
        <w:pStyle w:val="FootnoteText"/>
        <w:rPr>
          <w:lang w:val="pt-PT"/>
        </w:rPr>
      </w:pPr>
      <w:r>
        <w:rPr>
          <w:rStyle w:val="FootnoteReference"/>
        </w:rPr>
        <w:footnoteRef/>
      </w:r>
      <w:r>
        <w:rPr>
          <w:lang w:val="pt-PT"/>
        </w:rPr>
        <w:t xml:space="preserve"> </w:t>
      </w:r>
      <w:r>
        <w:rPr>
          <w:lang w:val="pt-PT"/>
        </w:rPr>
        <w:tab/>
        <w:t xml:space="preserve">PPU - R O, </w:t>
      </w:r>
      <w:hyperlink r:id="rId296" w:history="1">
        <w:r>
          <w:rPr>
            <w:rStyle w:val="Hyperlink"/>
            <w:lang w:val="pt-PT"/>
          </w:rPr>
          <w:t>C-327/18</w:t>
        </w:r>
      </w:hyperlink>
      <w:r>
        <w:rPr>
          <w:rStyle w:val="Hyperlink"/>
          <w:lang w:val="pt-PT"/>
        </w:rPr>
        <w:t>.</w:t>
      </w:r>
    </w:p>
  </w:footnote>
  <w:footnote w:id="205">
    <w:p>
      <w:pPr>
        <w:pStyle w:val="FootnoteText"/>
        <w:rPr>
          <w:lang w:val="en-US"/>
        </w:rPr>
      </w:pPr>
      <w:r>
        <w:rPr>
          <w:rStyle w:val="FootnoteReference"/>
        </w:rPr>
        <w:footnoteRef/>
      </w:r>
      <w:r>
        <w:t xml:space="preserve"> </w:t>
      </w:r>
      <w:r>
        <w:tab/>
        <w:t xml:space="preserve">Minister for Justice and Equality, </w:t>
      </w:r>
      <w:hyperlink r:id="rId297" w:history="1">
        <w:r>
          <w:rPr>
            <w:rStyle w:val="Hyperlink"/>
          </w:rPr>
          <w:t>C-216/18</w:t>
        </w:r>
      </w:hyperlink>
      <w:r>
        <w:rPr>
          <w:rStyle w:val="Hyperlink"/>
          <w:color w:val="auto"/>
          <w:u w:val="none"/>
        </w:rPr>
        <w:t xml:space="preserve"> and Court press release </w:t>
      </w:r>
      <w:hyperlink r:id="rId298" w:history="1">
        <w:r>
          <w:rPr>
            <w:rStyle w:val="Hyperlink"/>
          </w:rPr>
          <w:t>No 113/18</w:t>
        </w:r>
      </w:hyperlink>
      <w:r>
        <w:rPr>
          <w:lang w:val="en-US"/>
        </w:rPr>
        <w:t>.</w:t>
      </w:r>
    </w:p>
  </w:footnote>
  <w:footnote w:id="206">
    <w:p>
      <w:pPr>
        <w:pStyle w:val="FootnoteText"/>
        <w:rPr>
          <w:lang w:val="pt-PT"/>
        </w:rPr>
      </w:pPr>
      <w:r>
        <w:rPr>
          <w:rStyle w:val="FootnoteReference"/>
        </w:rPr>
        <w:footnoteRef/>
      </w:r>
      <w:r>
        <w:rPr>
          <w:lang w:val="pt-PT"/>
        </w:rPr>
        <w:t xml:space="preserve"> </w:t>
      </w:r>
      <w:r>
        <w:rPr>
          <w:lang w:val="pt-PT"/>
        </w:rPr>
        <w:tab/>
      </w:r>
      <w:hyperlink r:id="rId299" w:history="1">
        <w:r>
          <w:rPr>
            <w:rStyle w:val="Hyperlink"/>
            <w:szCs w:val="20"/>
            <w:lang w:val="pt-PT"/>
          </w:rPr>
          <w:t>IP/18/1451</w:t>
        </w:r>
      </w:hyperlink>
      <w:r>
        <w:rPr>
          <w:rStyle w:val="Hyperlink"/>
          <w:szCs w:val="20"/>
          <w:lang w:val="pt-PT"/>
        </w:rPr>
        <w:t>.</w:t>
      </w:r>
    </w:p>
  </w:footnote>
  <w:footnote w:id="207">
    <w:p>
      <w:pPr>
        <w:pStyle w:val="FootnoteText"/>
        <w:rPr>
          <w:lang w:val="pt-PT"/>
        </w:rPr>
      </w:pPr>
      <w:r>
        <w:rPr>
          <w:rStyle w:val="FootnoteReference"/>
        </w:rPr>
        <w:footnoteRef/>
      </w:r>
      <w:r>
        <w:rPr>
          <w:lang w:val="pt-PT"/>
        </w:rPr>
        <w:t xml:space="preserve"> </w:t>
      </w:r>
      <w:r>
        <w:rPr>
          <w:lang w:val="pt-PT"/>
        </w:rPr>
        <w:tab/>
        <w:t xml:space="preserve">Directive </w:t>
      </w:r>
      <w:hyperlink r:id="rId300" w:history="1">
        <w:r>
          <w:rPr>
            <w:rStyle w:val="Hyperlink"/>
            <w:lang w:val="pt-PT"/>
          </w:rPr>
          <w:t>2005/36/EC</w:t>
        </w:r>
      </w:hyperlink>
      <w:r>
        <w:rPr>
          <w:lang w:val="pt-PT"/>
        </w:rPr>
        <w:t>.</w:t>
      </w:r>
    </w:p>
  </w:footnote>
  <w:footnote w:id="208">
    <w:p>
      <w:pPr>
        <w:pStyle w:val="FootnoteText"/>
        <w:rPr>
          <w:lang w:val="pt-PT"/>
        </w:rPr>
      </w:pPr>
      <w:r>
        <w:rPr>
          <w:rStyle w:val="FootnoteReference"/>
        </w:rPr>
        <w:footnoteRef/>
      </w:r>
      <w:r>
        <w:rPr>
          <w:lang w:val="pt-PT"/>
        </w:rPr>
        <w:t xml:space="preserve"> </w:t>
      </w:r>
      <w:r>
        <w:rPr>
          <w:lang w:val="pt-PT"/>
        </w:rPr>
        <w:tab/>
        <w:t xml:space="preserve">Directive </w:t>
      </w:r>
      <w:hyperlink r:id="rId301" w:history="1">
        <w:r>
          <w:rPr>
            <w:rStyle w:val="Hyperlink"/>
            <w:lang w:val="pt-PT"/>
          </w:rPr>
          <w:t>2005/36/EC</w:t>
        </w:r>
      </w:hyperlink>
      <w:r>
        <w:rPr>
          <w:lang w:val="pt-PT"/>
        </w:rPr>
        <w:t xml:space="preserve">, </w:t>
      </w:r>
      <w:hyperlink r:id="rId302" w:history="1">
        <w:r>
          <w:rPr>
            <w:rStyle w:val="Hyperlink"/>
            <w:lang w:val="pt-PT"/>
          </w:rPr>
          <w:t>MEMO/18/4486</w:t>
        </w:r>
      </w:hyperlink>
      <w:r>
        <w:rPr>
          <w:rStyle w:val="Hyperlink"/>
          <w:lang w:val="pt-PT"/>
        </w:rPr>
        <w:t>.</w:t>
      </w:r>
    </w:p>
  </w:footnote>
  <w:footnote w:id="209">
    <w:p>
      <w:pPr>
        <w:pStyle w:val="FootnoteText"/>
        <w:rPr>
          <w:lang w:val="pt-PT"/>
        </w:rPr>
      </w:pPr>
      <w:r>
        <w:rPr>
          <w:rStyle w:val="FootnoteReference"/>
        </w:rPr>
        <w:footnoteRef/>
      </w:r>
      <w:r>
        <w:rPr>
          <w:lang w:val="pt-PT"/>
        </w:rPr>
        <w:t xml:space="preserve"> </w:t>
      </w:r>
      <w:r>
        <w:rPr>
          <w:lang w:val="pt-PT"/>
        </w:rPr>
        <w:tab/>
        <w:t xml:space="preserve">Regulation (EC) </w:t>
      </w:r>
      <w:hyperlink r:id="rId303" w:history="1">
        <w:r>
          <w:rPr>
            <w:rStyle w:val="Hyperlink"/>
            <w:lang w:val="pt-PT"/>
          </w:rPr>
          <w:t>300/2008</w:t>
        </w:r>
      </w:hyperlink>
      <w:r>
        <w:rPr>
          <w:rStyle w:val="Hyperlink"/>
          <w:lang w:val="pt-PT"/>
        </w:rPr>
        <w:t>;</w:t>
      </w:r>
      <w:r>
        <w:rPr>
          <w:lang w:val="pt-PT"/>
        </w:rPr>
        <w:t xml:space="preserve"> </w:t>
      </w:r>
      <w:hyperlink r:id="rId304" w:history="1">
        <w:r>
          <w:rPr>
            <w:rStyle w:val="Hyperlink"/>
            <w:lang w:val="pt-PT"/>
          </w:rPr>
          <w:t>MEMO/18/1444</w:t>
        </w:r>
      </w:hyperlink>
      <w:r>
        <w:rPr>
          <w:lang w:val="pt-PT"/>
        </w:rPr>
        <w:t>.</w:t>
      </w:r>
    </w:p>
  </w:footnote>
  <w:footnote w:id="210">
    <w:p>
      <w:pPr>
        <w:pStyle w:val="FootnoteText"/>
        <w:rPr>
          <w:lang w:val="pt-PT"/>
        </w:rPr>
      </w:pPr>
      <w:r>
        <w:rPr>
          <w:rStyle w:val="FootnoteReference"/>
        </w:rPr>
        <w:footnoteRef/>
      </w:r>
      <w:r>
        <w:rPr>
          <w:lang w:val="pt-PT"/>
        </w:rPr>
        <w:t xml:space="preserve"> </w:t>
      </w:r>
      <w:r>
        <w:rPr>
          <w:lang w:val="pt-PT"/>
        </w:rPr>
        <w:tab/>
        <w:t xml:space="preserve">Directive </w:t>
      </w:r>
      <w:hyperlink r:id="rId305" w:history="1">
        <w:r>
          <w:rPr>
            <w:rStyle w:val="Hyperlink"/>
            <w:lang w:val="pt-PT"/>
          </w:rPr>
          <w:t>2012/27/EU</w:t>
        </w:r>
      </w:hyperlink>
      <w:r>
        <w:rPr>
          <w:rStyle w:val="Hyperlink"/>
          <w:lang w:val="pt-PT"/>
        </w:rPr>
        <w:t>,</w:t>
      </w:r>
      <w:r>
        <w:rPr>
          <w:lang w:val="pt-PT"/>
        </w:rPr>
        <w:t xml:space="preserve"> </w:t>
      </w:r>
      <w:hyperlink r:id="rId306" w:history="1">
        <w:r>
          <w:rPr>
            <w:rStyle w:val="Hyperlink"/>
            <w:lang w:val="pt-PT"/>
          </w:rPr>
          <w:t>MEMO/18/1444</w:t>
        </w:r>
      </w:hyperlink>
      <w:r>
        <w:rPr>
          <w:lang w:val="pt-PT"/>
        </w:rPr>
        <w:t>.</w:t>
      </w:r>
    </w:p>
  </w:footnote>
  <w:footnote w:id="211">
    <w:p>
      <w:pPr>
        <w:pStyle w:val="FootnoteText"/>
        <w:rPr>
          <w:lang w:val="pt-PT"/>
        </w:rPr>
      </w:pPr>
      <w:r>
        <w:rPr>
          <w:rStyle w:val="FootnoteReference"/>
        </w:rPr>
        <w:footnoteRef/>
      </w:r>
      <w:r>
        <w:rPr>
          <w:lang w:val="pt-PT"/>
        </w:rPr>
        <w:t xml:space="preserve"> </w:t>
      </w:r>
      <w:r>
        <w:rPr>
          <w:lang w:val="pt-PT"/>
        </w:rPr>
        <w:tab/>
        <w:t xml:space="preserve">Directive </w:t>
      </w:r>
      <w:hyperlink r:id="rId307" w:history="1">
        <w:r>
          <w:rPr>
            <w:rStyle w:val="Hyperlink"/>
            <w:lang w:val="pt-PT"/>
          </w:rPr>
          <w:t>2011/70/Euratom</w:t>
        </w:r>
      </w:hyperlink>
      <w:r>
        <w:rPr>
          <w:rStyle w:val="Hyperlink"/>
          <w:lang w:val="pt-PT"/>
        </w:rPr>
        <w:t xml:space="preserve">, </w:t>
      </w:r>
      <w:hyperlink r:id="rId308" w:history="1">
        <w:r>
          <w:rPr>
            <w:rStyle w:val="Hyperlink"/>
            <w:lang w:val="pt-PT"/>
          </w:rPr>
          <w:t>MEMO/18/3446</w:t>
        </w:r>
      </w:hyperlink>
      <w:r>
        <w:rPr>
          <w:rStyle w:val="Hyperlink"/>
          <w:lang w:val="pt-PT"/>
        </w:rPr>
        <w:t>.</w:t>
      </w:r>
    </w:p>
  </w:footnote>
  <w:footnote w:id="212">
    <w:p>
      <w:pPr>
        <w:pStyle w:val="FootnoteText"/>
        <w:rPr>
          <w:lang w:val="pt-PT"/>
        </w:rPr>
      </w:pPr>
      <w:r>
        <w:rPr>
          <w:rStyle w:val="FootnoteReference"/>
        </w:rPr>
        <w:footnoteRef/>
      </w:r>
      <w:r>
        <w:rPr>
          <w:lang w:val="pt-PT"/>
        </w:rPr>
        <w:t xml:space="preserve"> </w:t>
      </w:r>
      <w:r>
        <w:rPr>
          <w:lang w:val="pt-PT"/>
        </w:rPr>
        <w:tab/>
        <w:t xml:space="preserve">Directive </w:t>
      </w:r>
      <w:hyperlink r:id="rId309" w:history="1">
        <w:r>
          <w:rPr>
            <w:rStyle w:val="Hyperlink"/>
            <w:lang w:val="pt-PT"/>
          </w:rPr>
          <w:t>92/43/EEC</w:t>
        </w:r>
      </w:hyperlink>
      <w:r>
        <w:rPr>
          <w:lang w:val="pt-PT"/>
        </w:rPr>
        <w:t>,</w:t>
      </w:r>
      <w:r>
        <w:rPr>
          <w:rStyle w:val="Hyperlink"/>
          <w:lang w:val="pt-PT"/>
        </w:rPr>
        <w:t xml:space="preserve"> </w:t>
      </w:r>
      <w:hyperlink r:id="rId310" w:history="1">
        <w:r>
          <w:rPr>
            <w:rStyle w:val="Hyperlink"/>
            <w:lang w:val="pt-PT"/>
          </w:rPr>
          <w:t>MEMO/18/1444</w:t>
        </w:r>
      </w:hyperlink>
      <w:r>
        <w:rPr>
          <w:rStyle w:val="Hyperlink"/>
          <w:lang w:val="pt-PT"/>
        </w:rPr>
        <w:t>.</w:t>
      </w:r>
    </w:p>
  </w:footnote>
  <w:footnote w:id="213">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311" w:history="1">
        <w:r>
          <w:rPr>
            <w:rStyle w:val="Hyperlink"/>
            <w:lang w:val="pt-PT"/>
          </w:rPr>
          <w:t>2015/2366/EU</w:t>
        </w:r>
      </w:hyperlink>
      <w:r>
        <w:rPr>
          <w:lang w:val="pt-PT"/>
        </w:rPr>
        <w:t>.</w:t>
      </w:r>
    </w:p>
  </w:footnote>
  <w:footnote w:id="214">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312" w:history="1">
        <w:r>
          <w:rPr>
            <w:rStyle w:val="Hyperlink"/>
            <w:lang w:val="pt-PT"/>
          </w:rPr>
          <w:t>2016/97/EU</w:t>
        </w:r>
      </w:hyperlink>
      <w:r>
        <w:rPr>
          <w:lang w:val="pt-PT"/>
        </w:rPr>
        <w:t>.</w:t>
      </w:r>
    </w:p>
  </w:footnote>
  <w:footnote w:id="215">
    <w:p>
      <w:pPr>
        <w:pStyle w:val="FootnoteText"/>
        <w:rPr>
          <w:lang w:val="pt-PT"/>
        </w:rPr>
      </w:pPr>
      <w:r>
        <w:rPr>
          <w:rStyle w:val="FootnoteReference"/>
        </w:rPr>
        <w:footnoteRef/>
      </w:r>
      <w:r>
        <w:rPr>
          <w:lang w:val="pt-PT"/>
        </w:rPr>
        <w:t xml:space="preserve"> </w:t>
      </w:r>
      <w:r>
        <w:rPr>
          <w:lang w:val="pt-PT"/>
        </w:rPr>
        <w:tab/>
      </w:r>
      <w:hyperlink r:id="rId313" w:history="1">
        <w:r>
          <w:rPr>
            <w:rStyle w:val="Hyperlink"/>
            <w:color w:val="auto"/>
            <w:u w:val="none"/>
            <w:bdr w:val="none" w:sz="0" w:space="0" w:color="auto" w:frame="1"/>
            <w:lang w:val="pt-PT"/>
          </w:rPr>
          <w:t xml:space="preserve">Directive </w:t>
        </w:r>
        <w:r>
          <w:rPr>
            <w:rStyle w:val="Hyperlink"/>
            <w:color w:val="347C98"/>
            <w:bdr w:val="none" w:sz="0" w:space="0" w:color="auto" w:frame="1"/>
            <w:lang w:val="pt-PT"/>
          </w:rPr>
          <w:t>2014/65/EU</w:t>
        </w:r>
      </w:hyperlink>
      <w:r>
        <w:rPr>
          <w:lang w:val="pt-PT"/>
        </w:rPr>
        <w:t xml:space="preserve">; </w:t>
      </w:r>
      <w:hyperlink r:id="rId314" w:history="1">
        <w:r>
          <w:rPr>
            <w:rStyle w:val="Hyperlink"/>
            <w:lang w:val="pt-PT"/>
          </w:rPr>
          <w:t>MEMO/18/349</w:t>
        </w:r>
      </w:hyperlink>
      <w:r>
        <w:rPr>
          <w:lang w:val="pt-PT"/>
        </w:rPr>
        <w:t>.</w:t>
      </w:r>
    </w:p>
  </w:footnote>
  <w:footnote w:id="216">
    <w:p>
      <w:pPr>
        <w:pStyle w:val="FootnoteText"/>
        <w:rPr>
          <w:lang w:val="pt-PT"/>
        </w:rPr>
      </w:pPr>
      <w:r>
        <w:rPr>
          <w:rStyle w:val="FootnoteReference"/>
        </w:rPr>
        <w:footnoteRef/>
      </w:r>
      <w:r>
        <w:rPr>
          <w:lang w:val="pt-PT"/>
        </w:rPr>
        <w:t xml:space="preserve"> </w:t>
      </w:r>
      <w:r>
        <w:rPr>
          <w:lang w:val="pt-PT"/>
        </w:rPr>
        <w:tab/>
        <w:t xml:space="preserve">Directive </w:t>
      </w:r>
      <w:hyperlink r:id="rId315" w:history="1">
        <w:r>
          <w:rPr>
            <w:rStyle w:val="Hyperlink"/>
            <w:lang w:val="pt-PT"/>
          </w:rPr>
          <w:t>2013/59/Euratom</w:t>
        </w:r>
      </w:hyperlink>
      <w:r>
        <w:rPr>
          <w:lang w:val="pt-PT"/>
        </w:rPr>
        <w:t xml:space="preserve">, </w:t>
      </w:r>
      <w:hyperlink r:id="rId316" w:history="1">
        <w:r>
          <w:rPr>
            <w:rStyle w:val="Hyperlink"/>
            <w:lang w:val="pt-PT"/>
          </w:rPr>
          <w:t>MEMO/18/3446</w:t>
        </w:r>
      </w:hyperlink>
      <w:r>
        <w:rPr>
          <w:rStyle w:val="Hyperlink"/>
          <w:lang w:val="pt-PT"/>
        </w:rPr>
        <w:t>.</w:t>
      </w:r>
    </w:p>
  </w:footnote>
  <w:footnote w:id="217">
    <w:p>
      <w:pPr>
        <w:pStyle w:val="FootnoteText"/>
        <w:rPr>
          <w:lang w:val="pt-PT"/>
        </w:rPr>
      </w:pPr>
      <w:r>
        <w:rPr>
          <w:rStyle w:val="FootnoteReference"/>
        </w:rPr>
        <w:footnoteRef/>
      </w:r>
      <w:r>
        <w:rPr>
          <w:lang w:val="pt-PT"/>
        </w:rPr>
        <w:t xml:space="preserve"> </w:t>
      </w:r>
      <w:r>
        <w:rPr>
          <w:lang w:val="pt-PT"/>
        </w:rPr>
        <w:tab/>
        <w:t xml:space="preserve">Directive </w:t>
      </w:r>
      <w:hyperlink r:id="rId317" w:history="1">
        <w:r>
          <w:rPr>
            <w:rStyle w:val="Hyperlink"/>
            <w:lang w:val="pt-PT"/>
          </w:rPr>
          <w:t>2016/1148/EU</w:t>
        </w:r>
      </w:hyperlink>
      <w:r>
        <w:rPr>
          <w:lang w:val="pt-PT"/>
        </w:rPr>
        <w:t xml:space="preserve">; </w:t>
      </w:r>
      <w:hyperlink r:id="rId318" w:history="1">
        <w:r>
          <w:rPr>
            <w:rStyle w:val="Hyperlink"/>
            <w:lang w:val="pt-PT"/>
          </w:rPr>
          <w:t>MEMO/18/4486</w:t>
        </w:r>
      </w:hyperlink>
      <w:r>
        <w:rPr>
          <w:lang w:val="pt-PT"/>
        </w:rPr>
        <w:t>.</w:t>
      </w:r>
    </w:p>
  </w:footnote>
  <w:footnote w:id="218">
    <w:p>
      <w:pPr>
        <w:pStyle w:val="FootnoteText"/>
        <w:rPr>
          <w:lang w:val="pt-PT"/>
        </w:rPr>
      </w:pPr>
      <w:r>
        <w:rPr>
          <w:rStyle w:val="FootnoteReference"/>
        </w:rPr>
        <w:footnoteRef/>
      </w:r>
      <w:r>
        <w:rPr>
          <w:lang w:val="pt-PT"/>
        </w:rPr>
        <w:t xml:space="preserve"> </w:t>
      </w:r>
      <w:r>
        <w:rPr>
          <w:lang w:val="pt-PT"/>
        </w:rPr>
        <w:tab/>
        <w:t xml:space="preserve">Directive </w:t>
      </w:r>
      <w:hyperlink r:id="rId319" w:history="1">
        <w:r>
          <w:rPr>
            <w:rStyle w:val="Hyperlink"/>
            <w:lang w:val="pt-PT"/>
          </w:rPr>
          <w:t>2016/2102</w:t>
        </w:r>
      </w:hyperlink>
      <w:r>
        <w:rPr>
          <w:rStyle w:val="Hyperlink"/>
          <w:lang w:val="pt-PT"/>
        </w:rPr>
        <w:t>/EU</w:t>
      </w:r>
      <w:r>
        <w:rPr>
          <w:lang w:val="pt-PT"/>
        </w:rPr>
        <w:t>.</w:t>
      </w:r>
    </w:p>
  </w:footnote>
  <w:footnote w:id="219">
    <w:p>
      <w:pPr>
        <w:pStyle w:val="FootnoteText"/>
        <w:rPr>
          <w:lang w:val="fr-BE"/>
        </w:rPr>
      </w:pPr>
      <w:r>
        <w:rPr>
          <w:rStyle w:val="FootnoteReference"/>
        </w:rPr>
        <w:footnoteRef/>
      </w:r>
      <w:r>
        <w:rPr>
          <w:lang w:val="fr-BE"/>
        </w:rPr>
        <w:t xml:space="preserve"> </w:t>
      </w:r>
      <w:r>
        <w:rPr>
          <w:lang w:val="fr-BE"/>
        </w:rPr>
        <w:tab/>
        <w:t xml:space="preserve">Directive </w:t>
      </w:r>
      <w:hyperlink r:id="rId320" w:history="1">
        <w:r>
          <w:rPr>
            <w:rStyle w:val="Hyperlink"/>
            <w:lang w:val="fr-BE"/>
          </w:rPr>
          <w:t>2017/1564</w:t>
        </w:r>
      </w:hyperlink>
      <w:r>
        <w:rPr>
          <w:rStyle w:val="Hyperlink"/>
          <w:lang w:val="fr-BE"/>
        </w:rPr>
        <w:t>/EU</w:t>
      </w:r>
      <w:r>
        <w:rPr>
          <w:lang w:val="fr-BE"/>
        </w:rPr>
        <w:t>.</w:t>
      </w:r>
    </w:p>
  </w:footnote>
  <w:footnote w:id="220">
    <w:p>
      <w:pPr>
        <w:pStyle w:val="FootnoteText"/>
        <w:rPr>
          <w:lang w:val="fr-BE"/>
        </w:rPr>
      </w:pPr>
      <w:r>
        <w:rPr>
          <w:rStyle w:val="FootnoteReference"/>
        </w:rPr>
        <w:footnoteRef/>
      </w:r>
      <w:r>
        <w:rPr>
          <w:lang w:val="fr-BE"/>
        </w:rPr>
        <w:t xml:space="preserve"> </w:t>
      </w:r>
      <w:r>
        <w:rPr>
          <w:lang w:val="fr-BE"/>
        </w:rPr>
        <w:tab/>
        <w:t xml:space="preserve">Directive </w:t>
      </w:r>
      <w:hyperlink r:id="rId321" w:history="1">
        <w:r>
          <w:rPr>
            <w:rStyle w:val="Hyperlink"/>
            <w:lang w:val="fr-BE"/>
          </w:rPr>
          <w:t>2016/343/EU</w:t>
        </w:r>
      </w:hyperlink>
      <w:r>
        <w:rPr>
          <w:lang w:val="fr-BE"/>
        </w:rPr>
        <w:t>.</w:t>
      </w:r>
    </w:p>
  </w:footnote>
  <w:footnote w:id="221">
    <w:p>
      <w:pPr>
        <w:pStyle w:val="FootnoteText"/>
        <w:rPr>
          <w:lang w:val="fr-BE"/>
        </w:rPr>
      </w:pPr>
      <w:r>
        <w:rPr>
          <w:rStyle w:val="FootnoteReference"/>
        </w:rPr>
        <w:footnoteRef/>
      </w:r>
      <w:r>
        <w:rPr>
          <w:lang w:val="fr-BE"/>
        </w:rPr>
        <w:t xml:space="preserve"> </w:t>
      </w:r>
      <w:r>
        <w:rPr>
          <w:lang w:val="fr-BE"/>
        </w:rPr>
        <w:tab/>
        <w:t xml:space="preserve">Directive </w:t>
      </w:r>
      <w:hyperlink r:id="rId322" w:history="1">
        <w:r>
          <w:rPr>
            <w:rStyle w:val="Hyperlink"/>
            <w:lang w:val="fr-BE"/>
          </w:rPr>
          <w:t>2015/637/EU</w:t>
        </w:r>
      </w:hyperlink>
      <w:r>
        <w:rPr>
          <w:lang w:val="fr-BE"/>
        </w:rPr>
        <w:t>.</w:t>
      </w:r>
    </w:p>
  </w:footnote>
  <w:footnote w:id="222">
    <w:p>
      <w:pPr>
        <w:pStyle w:val="FootnoteText"/>
        <w:rPr>
          <w:lang w:val="fr-BE"/>
        </w:rPr>
      </w:pPr>
      <w:r>
        <w:rPr>
          <w:rStyle w:val="FootnoteReference"/>
        </w:rPr>
        <w:footnoteRef/>
      </w:r>
      <w:r>
        <w:rPr>
          <w:lang w:val="fr-BE"/>
        </w:rPr>
        <w:t xml:space="preserve"> </w:t>
      </w:r>
      <w:r>
        <w:rPr>
          <w:lang w:val="fr-BE"/>
        </w:rPr>
        <w:tab/>
        <w:t xml:space="preserve">Directive </w:t>
      </w:r>
      <w:hyperlink r:id="rId323" w:history="1">
        <w:r>
          <w:rPr>
            <w:rStyle w:val="Hyperlink"/>
            <w:lang w:val="fr-BE"/>
          </w:rPr>
          <w:t>2006/123/EC</w:t>
        </w:r>
      </w:hyperlink>
      <w:r>
        <w:rPr>
          <w:lang w:val="fr-BE"/>
        </w:rPr>
        <w:t>.</w:t>
      </w:r>
    </w:p>
  </w:footnote>
  <w:footnote w:id="223">
    <w:p>
      <w:pPr>
        <w:pStyle w:val="FootnoteText"/>
        <w:rPr>
          <w:lang w:val="fr-BE"/>
        </w:rPr>
      </w:pPr>
      <w:r>
        <w:rPr>
          <w:rStyle w:val="FootnoteReference"/>
        </w:rPr>
        <w:footnoteRef/>
      </w:r>
      <w:r>
        <w:rPr>
          <w:lang w:val="fr-BE"/>
        </w:rPr>
        <w:t xml:space="preserve"> </w:t>
      </w:r>
      <w:r>
        <w:rPr>
          <w:lang w:val="fr-BE"/>
        </w:rPr>
        <w:tab/>
        <w:t xml:space="preserve">Commission v Greece, </w:t>
      </w:r>
      <w:hyperlink r:id="rId324" w:history="1">
        <w:r>
          <w:rPr>
            <w:rStyle w:val="Hyperlink"/>
            <w:lang w:val="fr-BE"/>
          </w:rPr>
          <w:t>C-729/17</w:t>
        </w:r>
      </w:hyperlink>
      <w:r>
        <w:rPr>
          <w:lang w:val="fr-BE"/>
        </w:rPr>
        <w:t xml:space="preserve">, Directive </w:t>
      </w:r>
      <w:hyperlink r:id="rId325" w:history="1">
        <w:r>
          <w:rPr>
            <w:rStyle w:val="Hyperlink"/>
            <w:lang w:val="fr-BE"/>
          </w:rPr>
          <w:t>2005/36/EC</w:t>
        </w:r>
      </w:hyperlink>
      <w:r>
        <w:rPr>
          <w:lang w:val="fr-BE"/>
        </w:rPr>
        <w:t>.</w:t>
      </w:r>
    </w:p>
  </w:footnote>
  <w:footnote w:id="224">
    <w:p>
      <w:pPr>
        <w:pStyle w:val="FootnoteText"/>
        <w:rPr>
          <w:lang w:val="fr-BE"/>
        </w:rPr>
      </w:pPr>
      <w:r>
        <w:rPr>
          <w:rStyle w:val="FootnoteReference"/>
        </w:rPr>
        <w:footnoteRef/>
      </w:r>
      <w:r>
        <w:rPr>
          <w:lang w:val="fr-BE"/>
        </w:rPr>
        <w:t xml:space="preserve"> </w:t>
      </w:r>
      <w:r>
        <w:rPr>
          <w:lang w:val="fr-BE"/>
        </w:rPr>
        <w:tab/>
        <w:t xml:space="preserve">Commission v Greece, </w:t>
      </w:r>
      <w:hyperlink r:id="rId326" w:history="1">
        <w:r>
          <w:rPr>
            <w:rStyle w:val="Hyperlink"/>
            <w:lang w:val="fr-BE"/>
          </w:rPr>
          <w:t xml:space="preserve">C-91/18, </w:t>
        </w:r>
        <w:hyperlink r:id="rId327" w:history="1">
          <w:r>
            <w:rPr>
              <w:rStyle w:val="Hyperlink"/>
              <w:lang w:val="fr-BE"/>
            </w:rPr>
            <w:t>IP/17/242</w:t>
          </w:r>
        </w:hyperlink>
        <w:r>
          <w:rPr>
            <w:rStyle w:val="Hyperlink"/>
            <w:lang w:val="fr-BE"/>
          </w:rPr>
          <w:t>.</w:t>
        </w:r>
      </w:hyperlink>
    </w:p>
  </w:footnote>
  <w:footnote w:id="225">
    <w:p>
      <w:pPr>
        <w:pStyle w:val="FootnoteText"/>
        <w:jc w:val="both"/>
      </w:pPr>
      <w:r>
        <w:rPr>
          <w:rStyle w:val="FootnoteReference"/>
        </w:rPr>
        <w:footnoteRef/>
      </w:r>
      <w:r>
        <w:rPr>
          <w:lang w:val="fr-BE"/>
        </w:rPr>
        <w:t xml:space="preserve"> </w:t>
      </w:r>
      <w:r>
        <w:rPr>
          <w:lang w:val="fr-BE"/>
        </w:rPr>
        <w:tab/>
        <w:t xml:space="preserve">Directive </w:t>
      </w:r>
      <w:hyperlink r:id="rId328" w:history="1">
        <w:r>
          <w:rPr>
            <w:rStyle w:val="Hyperlink"/>
            <w:lang w:val="fr-BE"/>
          </w:rPr>
          <w:t>2014/89/EU</w:t>
        </w:r>
      </w:hyperlink>
      <w:r>
        <w:rPr>
          <w:lang w:val="fr-BE"/>
        </w:rPr>
        <w:t xml:space="preserve">, Commission v Greece, </w:t>
      </w:r>
      <w:hyperlink r:id="rId329" w:history="1">
        <w:r>
          <w:rPr>
            <w:rStyle w:val="Hyperlink"/>
            <w:lang w:val="fr-BE"/>
          </w:rPr>
          <w:t>C-36/18</w:t>
        </w:r>
      </w:hyperlink>
      <w:r>
        <w:rPr>
          <w:lang w:val="fr-BE"/>
        </w:rPr>
        <w:t xml:space="preserve">. </w:t>
      </w:r>
      <w:r>
        <w:rPr>
          <w:bCs/>
        </w:rPr>
        <w:t xml:space="preserve">Greece </w:t>
      </w:r>
      <w:r>
        <w:t>subsequently took the necessary steps to ensure compliance with EU law and the Commission has therefore withdrawn this case from the Court.</w:t>
      </w:r>
    </w:p>
  </w:footnote>
  <w:footnote w:id="226">
    <w:p>
      <w:pPr>
        <w:pStyle w:val="FootnoteText"/>
        <w:rPr>
          <w:lang w:val="fr-BE"/>
        </w:rPr>
      </w:pPr>
      <w:r>
        <w:rPr>
          <w:rStyle w:val="FootnoteReference"/>
        </w:rPr>
        <w:footnoteRef/>
      </w:r>
      <w:r>
        <w:rPr>
          <w:lang w:val="fr-BE"/>
        </w:rPr>
        <w:t xml:space="preserve"> </w:t>
      </w:r>
      <w:r>
        <w:rPr>
          <w:lang w:val="fr-BE"/>
        </w:rPr>
        <w:tab/>
        <w:t xml:space="preserve">Directive </w:t>
      </w:r>
      <w:hyperlink r:id="rId330" w:history="1">
        <w:r>
          <w:rPr>
            <w:rStyle w:val="Hyperlink"/>
            <w:lang w:val="fr-BE"/>
          </w:rPr>
          <w:t>2000/60/EC</w:t>
        </w:r>
      </w:hyperlink>
      <w:r>
        <w:rPr>
          <w:lang w:val="fr-BE"/>
        </w:rPr>
        <w:t>.</w:t>
      </w:r>
    </w:p>
  </w:footnote>
  <w:footnote w:id="227">
    <w:p>
      <w:pPr>
        <w:pStyle w:val="FootnoteText"/>
        <w:rPr>
          <w:lang w:val="fr-BE"/>
        </w:rPr>
      </w:pPr>
      <w:r>
        <w:rPr>
          <w:rStyle w:val="FootnoteReference"/>
        </w:rPr>
        <w:footnoteRef/>
      </w:r>
      <w:r>
        <w:rPr>
          <w:lang w:val="fr-BE"/>
        </w:rPr>
        <w:t xml:space="preserve"> </w:t>
      </w:r>
      <w:r>
        <w:rPr>
          <w:lang w:val="fr-BE"/>
        </w:rPr>
        <w:tab/>
        <w:t xml:space="preserve">Directive </w:t>
      </w:r>
      <w:hyperlink r:id="rId331" w:history="1">
        <w:r>
          <w:rPr>
            <w:rStyle w:val="Hyperlink"/>
            <w:lang w:val="fr-BE"/>
          </w:rPr>
          <w:t>2003/88/EC</w:t>
        </w:r>
      </w:hyperlink>
      <w:r>
        <w:rPr>
          <w:lang w:val="fr-BE"/>
        </w:rPr>
        <w:t>.</w:t>
      </w:r>
    </w:p>
  </w:footnote>
  <w:footnote w:id="228">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332" w:history="1">
        <w:r>
          <w:rPr>
            <w:rStyle w:val="Hyperlink"/>
            <w:lang w:val="fr-BE"/>
          </w:rPr>
          <w:t>2014/17/EU</w:t>
        </w:r>
      </w:hyperlink>
      <w:r>
        <w:rPr>
          <w:lang w:val="fr-BE"/>
        </w:rPr>
        <w:t>,</w:t>
      </w:r>
      <w:r>
        <w:rPr>
          <w:rFonts w:eastAsia="Times New Roman"/>
          <w:lang w:val="fr-BE" w:eastAsia="en-GB"/>
        </w:rPr>
        <w:t xml:space="preserve"> </w:t>
      </w:r>
      <w:hyperlink r:id="rId333" w:history="1">
        <w:r>
          <w:rPr>
            <w:rStyle w:val="Hyperlink"/>
            <w:lang w:val="fr-BE"/>
          </w:rPr>
          <w:t>MEMO/18/1444</w:t>
        </w:r>
      </w:hyperlink>
      <w:r>
        <w:rPr>
          <w:rStyle w:val="Hyperlink"/>
          <w:lang w:val="fr-BE"/>
        </w:rPr>
        <w:t>.</w:t>
      </w:r>
    </w:p>
  </w:footnote>
  <w:footnote w:id="229">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334" w:history="1">
        <w:r>
          <w:rPr>
            <w:rStyle w:val="Hyperlink"/>
            <w:lang w:val="fr-BE"/>
          </w:rPr>
          <w:t>2014/91/EU</w:t>
        </w:r>
      </w:hyperlink>
      <w:r>
        <w:rPr>
          <w:lang w:val="fr-BE"/>
        </w:rPr>
        <w:t>.</w:t>
      </w:r>
    </w:p>
  </w:footnote>
  <w:footnote w:id="230">
    <w:p>
      <w:pPr>
        <w:pStyle w:val="FootnoteText"/>
        <w:rPr>
          <w:lang w:val="fr-BE"/>
        </w:rPr>
      </w:pPr>
      <w:r>
        <w:rPr>
          <w:rStyle w:val="FootnoteReference"/>
        </w:rPr>
        <w:footnoteRef/>
      </w:r>
      <w:r>
        <w:rPr>
          <w:lang w:val="fr-BE"/>
        </w:rPr>
        <w:t xml:space="preserve"> </w:t>
      </w:r>
      <w:r>
        <w:rPr>
          <w:lang w:val="fr-BE"/>
        </w:rPr>
        <w:tab/>
        <w:t xml:space="preserve">Directive </w:t>
      </w:r>
      <w:hyperlink r:id="rId335" w:history="1">
        <w:r>
          <w:rPr>
            <w:rStyle w:val="Hyperlink"/>
            <w:lang w:val="fr-BE"/>
          </w:rPr>
          <w:t>2014/66/EU</w:t>
        </w:r>
      </w:hyperlink>
      <w:r>
        <w:rPr>
          <w:lang w:val="fr-BE"/>
        </w:rPr>
        <w:t>.</w:t>
      </w:r>
    </w:p>
  </w:footnote>
  <w:footnote w:id="231">
    <w:p>
      <w:pPr>
        <w:pStyle w:val="FootnoteText"/>
        <w:rPr>
          <w:lang w:val="fr-BE"/>
        </w:rPr>
      </w:pPr>
      <w:r>
        <w:rPr>
          <w:rStyle w:val="FootnoteReference"/>
        </w:rPr>
        <w:footnoteRef/>
      </w:r>
      <w:r>
        <w:rPr>
          <w:lang w:val="fr-BE"/>
        </w:rPr>
        <w:t xml:space="preserve"> </w:t>
      </w:r>
      <w:r>
        <w:rPr>
          <w:lang w:val="fr-BE"/>
        </w:rPr>
        <w:tab/>
        <w:t xml:space="preserve">Directive </w:t>
      </w:r>
      <w:hyperlink r:id="rId336" w:history="1">
        <w:r>
          <w:rPr>
            <w:rStyle w:val="Hyperlink"/>
            <w:lang w:val="fr-BE"/>
          </w:rPr>
          <w:t>2015/720</w:t>
        </w:r>
      </w:hyperlink>
      <w:r>
        <w:rPr>
          <w:rStyle w:val="Hyperlink"/>
          <w:lang w:val="fr-BE"/>
        </w:rPr>
        <w:t>/EU</w:t>
      </w:r>
      <w:r>
        <w:rPr>
          <w:lang w:val="fr-BE"/>
        </w:rPr>
        <w:t>.</w:t>
      </w:r>
    </w:p>
  </w:footnote>
  <w:footnote w:id="232">
    <w:p>
      <w:pPr>
        <w:pStyle w:val="FootnoteText"/>
        <w:rPr>
          <w:lang w:val="en-IE"/>
        </w:rPr>
      </w:pPr>
      <w:r>
        <w:rPr>
          <w:rStyle w:val="FootnoteReference"/>
        </w:rPr>
        <w:footnoteRef/>
      </w:r>
      <w:r>
        <w:rPr>
          <w:lang w:val="en-IE"/>
        </w:rPr>
        <w:t xml:space="preserve"> </w:t>
      </w:r>
      <w:r>
        <w:rPr>
          <w:lang w:val="en-IE"/>
        </w:rPr>
        <w:tab/>
        <w:t xml:space="preserve">Directive </w:t>
      </w:r>
      <w:hyperlink r:id="rId337" w:history="1">
        <w:r>
          <w:rPr>
            <w:rStyle w:val="Hyperlink"/>
            <w:lang w:val="en-IE"/>
          </w:rPr>
          <w:t>2014/52/EU</w:t>
        </w:r>
      </w:hyperlink>
      <w:r>
        <w:rPr>
          <w:lang w:val="en-IE"/>
        </w:rPr>
        <w:t>.</w:t>
      </w:r>
    </w:p>
  </w:footnote>
  <w:footnote w:id="233">
    <w:p>
      <w:pPr>
        <w:pStyle w:val="FootnoteText"/>
        <w:rPr>
          <w:lang w:val="en-IE"/>
        </w:rPr>
      </w:pPr>
      <w:r>
        <w:rPr>
          <w:rStyle w:val="FootnoteReference"/>
        </w:rPr>
        <w:footnoteRef/>
      </w:r>
      <w:r>
        <w:rPr>
          <w:lang w:val="en-IE"/>
        </w:rPr>
        <w:t xml:space="preserve"> </w:t>
      </w:r>
      <w:r>
        <w:rPr>
          <w:lang w:val="en-IE"/>
        </w:rPr>
        <w:tab/>
        <w:t xml:space="preserve">Directive </w:t>
      </w:r>
      <w:hyperlink r:id="rId338" w:history="1">
        <w:r>
          <w:rPr>
            <w:rStyle w:val="Hyperlink"/>
            <w:lang w:val="en-IE"/>
          </w:rPr>
          <w:t>652/2015/EC</w:t>
        </w:r>
      </w:hyperlink>
      <w:r>
        <w:rPr>
          <w:rStyle w:val="Hyperlink"/>
          <w:lang w:val="en-IE"/>
        </w:rPr>
        <w:t>.</w:t>
      </w:r>
    </w:p>
  </w:footnote>
  <w:footnote w:id="234">
    <w:p>
      <w:pPr>
        <w:pStyle w:val="FootnoteText"/>
        <w:rPr>
          <w:sz w:val="16"/>
        </w:rPr>
      </w:pPr>
      <w:r>
        <w:rPr>
          <w:rStyle w:val="FootnoteReference"/>
          <w:rFonts w:eastAsia="Calibri" w:cs="Arial"/>
          <w:bCs/>
          <w:kern w:val="20"/>
          <w:sz w:val="20"/>
        </w:rPr>
        <w:footnoteRef/>
      </w:r>
      <w:r>
        <w:rPr>
          <w:rStyle w:val="FootnoteReference"/>
          <w:rFonts w:eastAsia="Calibri" w:cs="Arial"/>
          <w:bCs/>
          <w:kern w:val="20"/>
          <w:sz w:val="20"/>
        </w:rPr>
        <w:t xml:space="preserve"> </w:t>
      </w:r>
      <w:r>
        <w:rPr>
          <w:sz w:val="16"/>
        </w:rPr>
        <w:tab/>
      </w:r>
      <w:r>
        <w:rPr>
          <w:szCs w:val="18"/>
        </w:rPr>
        <w:t>These rulings are almost exclusively handed down in infringement procedures.</w:t>
      </w:r>
    </w:p>
  </w:footnote>
  <w:footnote w:id="235">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Greece,</w:t>
      </w:r>
      <w:r>
        <w:rPr>
          <w:rStyle w:val="Hyperlink"/>
          <w:lang w:val="en-US"/>
        </w:rPr>
        <w:t xml:space="preserve"> </w:t>
      </w:r>
      <w:hyperlink r:id="rId339" w:history="1">
        <w:r>
          <w:rPr>
            <w:rStyle w:val="Hyperlink"/>
            <w:lang w:val="en-US"/>
          </w:rPr>
          <w:t>C-119/02</w:t>
        </w:r>
      </w:hyperlink>
      <w:r>
        <w:rPr>
          <w:rStyle w:val="affairetitle"/>
          <w:lang w:val="en-US"/>
        </w:rPr>
        <w:t>.</w:t>
      </w:r>
    </w:p>
  </w:footnote>
  <w:footnote w:id="236">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Greece,</w:t>
      </w:r>
      <w:r>
        <w:rPr>
          <w:rStyle w:val="Hyperlink"/>
          <w:lang w:val="en-US"/>
        </w:rPr>
        <w:t xml:space="preserve"> </w:t>
      </w:r>
      <w:hyperlink r:id="rId340" w:history="1">
        <w:r>
          <w:rPr>
            <w:rStyle w:val="Hyperlink"/>
            <w:lang w:val="en-US"/>
          </w:rPr>
          <w:t>C-328/16</w:t>
        </w:r>
      </w:hyperlink>
      <w:r>
        <w:rPr>
          <w:rStyle w:val="Hyperlink"/>
          <w:color w:val="auto"/>
          <w:u w:val="none"/>
          <w:lang w:val="en-US"/>
        </w:rPr>
        <w:t xml:space="preserve"> and Court press release </w:t>
      </w:r>
      <w:hyperlink r:id="rId341" w:history="1">
        <w:r>
          <w:rPr>
            <w:rStyle w:val="Hyperlink"/>
            <w:lang w:val="en-US"/>
          </w:rPr>
          <w:t>No 17/18</w:t>
        </w:r>
      </w:hyperlink>
      <w:r>
        <w:rPr>
          <w:rStyle w:val="Hyperlink"/>
          <w:lang w:val="en-US"/>
        </w:rPr>
        <w:t>.</w:t>
      </w:r>
    </w:p>
  </w:footnote>
  <w:footnote w:id="237">
    <w:p>
      <w:pPr>
        <w:pStyle w:val="FootnoteText"/>
        <w:rPr>
          <w:lang w:val="en-US"/>
        </w:rPr>
      </w:pPr>
      <w:r>
        <w:rPr>
          <w:rStyle w:val="FootnoteReference"/>
        </w:rPr>
        <w:footnoteRef/>
      </w:r>
      <w:r>
        <w:t xml:space="preserve"> </w:t>
      </w:r>
      <w:r>
        <w:tab/>
      </w:r>
      <w:r>
        <w:rPr>
          <w:lang w:val="en-US"/>
        </w:rPr>
        <w:t xml:space="preserve">Commission v Greece, </w:t>
      </w:r>
      <w:hyperlink r:id="rId342" w:history="1">
        <w:r>
          <w:rPr>
            <w:rStyle w:val="Hyperlink"/>
            <w:lang w:val="en-US"/>
          </w:rPr>
          <w:t>C-590/16</w:t>
        </w:r>
      </w:hyperlink>
      <w:r>
        <w:rPr>
          <w:lang w:val="en-US"/>
        </w:rPr>
        <w:t>.</w:t>
      </w:r>
    </w:p>
  </w:footnote>
  <w:footnote w:id="238">
    <w:p>
      <w:pPr>
        <w:pStyle w:val="FootnoteText"/>
      </w:pPr>
      <w:r>
        <w:rPr>
          <w:rStyle w:val="FootnoteReference"/>
        </w:rPr>
        <w:footnoteRef/>
      </w:r>
      <w:r>
        <w:t xml:space="preserve"> </w:t>
      </w:r>
      <w:r>
        <w:tab/>
        <w:t xml:space="preserve">Commission v Greece, </w:t>
      </w:r>
      <w:hyperlink r:id="rId343" w:history="1">
        <w:r>
          <w:rPr>
            <w:rStyle w:val="Hyperlink"/>
          </w:rPr>
          <w:t>C-485/10</w:t>
        </w:r>
      </w:hyperlink>
      <w:r>
        <w:t>.</w:t>
      </w:r>
    </w:p>
  </w:footnote>
  <w:footnote w:id="239">
    <w:p>
      <w:pPr>
        <w:pStyle w:val="FootnoteText"/>
      </w:pPr>
      <w:r>
        <w:rPr>
          <w:rStyle w:val="FootnoteReference"/>
        </w:rPr>
        <w:footnoteRef/>
      </w:r>
      <w:r>
        <w:t xml:space="preserve"> </w:t>
      </w:r>
      <w:r>
        <w:tab/>
      </w:r>
      <w:r>
        <w:rPr>
          <w:lang w:val="en-US"/>
        </w:rPr>
        <w:t>Commission v Greece,</w:t>
      </w:r>
      <w:r>
        <w:t xml:space="preserve"> </w:t>
      </w:r>
      <w:hyperlink r:id="rId344" w:history="1">
        <w:r>
          <w:rPr>
            <w:rStyle w:val="Hyperlink"/>
            <w:lang w:val="en-US"/>
          </w:rPr>
          <w:t>C-93/17</w:t>
        </w:r>
      </w:hyperlink>
      <w:r>
        <w:rPr>
          <w:lang w:val="en-US"/>
        </w:rPr>
        <w:t xml:space="preserve"> and Court press release </w:t>
      </w:r>
      <w:hyperlink r:id="rId345" w:history="1">
        <w:r>
          <w:rPr>
            <w:rStyle w:val="Hyperlink"/>
            <w:lang w:val="en-US"/>
          </w:rPr>
          <w:t>No 172/18</w:t>
        </w:r>
      </w:hyperlink>
      <w:r>
        <w:rPr>
          <w:lang w:val="en-US"/>
        </w:rPr>
        <w:t>.</w:t>
      </w:r>
    </w:p>
  </w:footnote>
  <w:footnote w:id="240">
    <w:p>
      <w:pPr>
        <w:pStyle w:val="FootnoteText"/>
        <w:rPr>
          <w:lang w:val="pt-PT"/>
        </w:rPr>
      </w:pPr>
      <w:r>
        <w:rPr>
          <w:rStyle w:val="FootnoteReference"/>
        </w:rPr>
        <w:footnoteRef/>
      </w:r>
      <w:r>
        <w:rPr>
          <w:lang w:val="pt-PT"/>
        </w:rPr>
        <w:t xml:space="preserve"> </w:t>
      </w:r>
      <w:r>
        <w:rPr>
          <w:lang w:val="pt-PT"/>
        </w:rPr>
        <w:tab/>
        <w:t xml:space="preserve">Directive </w:t>
      </w:r>
      <w:r>
        <w:rPr>
          <w:color w:val="0000FF" w:themeColor="hyperlink"/>
          <w:u w:val="single"/>
          <w:lang w:val="pt-PT"/>
        </w:rPr>
        <w:t xml:space="preserve">2008/106/EC. </w:t>
      </w:r>
      <w:hyperlink r:id="rId346" w:history="1">
        <w:r>
          <w:rPr>
            <w:rStyle w:val="Hyperlink"/>
            <w:lang w:val="pt-PT"/>
          </w:rPr>
          <w:t>MEMO/18/3446</w:t>
        </w:r>
      </w:hyperlink>
      <w:r>
        <w:rPr>
          <w:lang w:val="pt-PT"/>
        </w:rPr>
        <w:t>.</w:t>
      </w:r>
    </w:p>
  </w:footnote>
  <w:footnote w:id="241">
    <w:p>
      <w:pPr>
        <w:pStyle w:val="FootnoteText"/>
        <w:rPr>
          <w:lang w:val="pt-PT"/>
        </w:rPr>
      </w:pPr>
      <w:r>
        <w:rPr>
          <w:rStyle w:val="FootnoteReference"/>
        </w:rPr>
        <w:footnoteRef/>
      </w:r>
      <w:r>
        <w:rPr>
          <w:lang w:val="pt-PT"/>
        </w:rPr>
        <w:t xml:space="preserve"> </w:t>
      </w:r>
      <w:r>
        <w:rPr>
          <w:lang w:val="pt-PT"/>
        </w:rPr>
        <w:tab/>
        <w:t xml:space="preserve">Directive </w:t>
      </w:r>
      <w:hyperlink r:id="rId347" w:history="1">
        <w:r>
          <w:rPr>
            <w:rStyle w:val="Hyperlink"/>
            <w:lang w:val="pt-PT"/>
          </w:rPr>
          <w:t>2012/27/EU</w:t>
        </w:r>
      </w:hyperlink>
      <w:r>
        <w:rPr>
          <w:lang w:val="pt-PT"/>
        </w:rPr>
        <w:t xml:space="preserve">, </w:t>
      </w:r>
      <w:hyperlink r:id="rId348" w:history="1">
        <w:r>
          <w:rPr>
            <w:rStyle w:val="Hyperlink"/>
            <w:lang w:val="pt-PT"/>
          </w:rPr>
          <w:t>MEMO/18/6247</w:t>
        </w:r>
      </w:hyperlink>
      <w:r>
        <w:rPr>
          <w:rStyle w:val="Hyperlink"/>
          <w:lang w:val="pt-PT"/>
        </w:rPr>
        <w:t>.</w:t>
      </w:r>
    </w:p>
  </w:footnote>
  <w:footnote w:id="242">
    <w:p>
      <w:pPr>
        <w:pStyle w:val="FootnoteText"/>
        <w:rPr>
          <w:lang w:val="pt-PT"/>
        </w:rPr>
      </w:pPr>
      <w:r>
        <w:rPr>
          <w:rStyle w:val="FootnoteReference"/>
        </w:rPr>
        <w:footnoteRef/>
      </w:r>
      <w:r>
        <w:rPr>
          <w:lang w:val="pt-PT"/>
        </w:rPr>
        <w:t xml:space="preserve"> </w:t>
      </w:r>
      <w:r>
        <w:rPr>
          <w:lang w:val="pt-PT"/>
        </w:rPr>
        <w:tab/>
        <w:t xml:space="preserve">Directive </w:t>
      </w:r>
      <w:hyperlink r:id="rId349" w:history="1">
        <w:r>
          <w:rPr>
            <w:rStyle w:val="Hyperlink"/>
            <w:lang w:val="pt-PT"/>
          </w:rPr>
          <w:t>2012/27/EU</w:t>
        </w:r>
      </w:hyperlink>
      <w:r>
        <w:rPr>
          <w:rStyle w:val="Hyperlink"/>
          <w:lang w:val="pt-PT"/>
        </w:rPr>
        <w:t>,</w:t>
      </w:r>
      <w:r>
        <w:rPr>
          <w:lang w:val="pt-PT"/>
        </w:rPr>
        <w:t xml:space="preserve"> </w:t>
      </w:r>
      <w:hyperlink r:id="rId350" w:history="1">
        <w:r>
          <w:rPr>
            <w:rStyle w:val="Hyperlink"/>
            <w:lang w:val="pt-PT"/>
          </w:rPr>
          <w:t>MEMO/18/1444</w:t>
        </w:r>
      </w:hyperlink>
      <w:r>
        <w:rPr>
          <w:lang w:val="pt-PT"/>
        </w:rPr>
        <w:t>.</w:t>
      </w:r>
    </w:p>
  </w:footnote>
  <w:footnote w:id="243">
    <w:p>
      <w:pPr>
        <w:pStyle w:val="FootnoteText"/>
        <w:rPr>
          <w:lang w:val="pt-PT"/>
        </w:rPr>
      </w:pPr>
      <w:r>
        <w:rPr>
          <w:rStyle w:val="FootnoteReference"/>
        </w:rPr>
        <w:footnoteRef/>
      </w:r>
      <w:r>
        <w:rPr>
          <w:lang w:val="pt-PT"/>
        </w:rPr>
        <w:t xml:space="preserve"> </w:t>
      </w:r>
      <w:r>
        <w:rPr>
          <w:lang w:val="pt-PT"/>
        </w:rPr>
        <w:tab/>
        <w:t xml:space="preserve">Directive </w:t>
      </w:r>
      <w:hyperlink r:id="rId351" w:history="1">
        <w:r>
          <w:rPr>
            <w:rStyle w:val="Hyperlink"/>
            <w:lang w:val="pt-PT"/>
          </w:rPr>
          <w:t>2011/70/Euratom</w:t>
        </w:r>
      </w:hyperlink>
      <w:r>
        <w:rPr>
          <w:rStyle w:val="Hyperlink"/>
          <w:lang w:val="pt-PT"/>
        </w:rPr>
        <w:t xml:space="preserve">, </w:t>
      </w:r>
      <w:hyperlink r:id="rId352" w:history="1">
        <w:r>
          <w:rPr>
            <w:rStyle w:val="Hyperlink"/>
            <w:lang w:val="pt-PT"/>
          </w:rPr>
          <w:t>MEMO/18/3446</w:t>
        </w:r>
      </w:hyperlink>
      <w:r>
        <w:rPr>
          <w:rStyle w:val="Hyperlink"/>
          <w:lang w:val="pt-PT"/>
        </w:rPr>
        <w:t>.</w:t>
      </w:r>
    </w:p>
  </w:footnote>
  <w:footnote w:id="244">
    <w:p>
      <w:pPr>
        <w:pStyle w:val="FootnoteText"/>
        <w:rPr>
          <w:lang w:val="pt-PT"/>
        </w:rPr>
      </w:pPr>
      <w:r>
        <w:rPr>
          <w:rStyle w:val="FootnoteReference"/>
        </w:rPr>
        <w:footnoteRef/>
      </w:r>
      <w:r>
        <w:rPr>
          <w:lang w:val="pt-PT"/>
        </w:rPr>
        <w:tab/>
      </w:r>
      <w:r>
        <w:rPr>
          <w:lang w:val="en-IE"/>
        </w:rPr>
        <w:t xml:space="preserve">Directive </w:t>
      </w:r>
      <w:hyperlink r:id="rId353" w:history="1">
        <w:r>
          <w:rPr>
            <w:rStyle w:val="Hyperlink"/>
            <w:lang w:val="en-IE"/>
          </w:rPr>
          <w:t>2007/60/EC</w:t>
        </w:r>
      </w:hyperlink>
      <w:r>
        <w:rPr>
          <w:lang w:val="en-IE"/>
        </w:rPr>
        <w:t>.</w:t>
      </w:r>
    </w:p>
  </w:footnote>
  <w:footnote w:id="245">
    <w:p>
      <w:pPr>
        <w:pStyle w:val="FootnoteText"/>
        <w:rPr>
          <w:lang w:val="pt-PT"/>
        </w:rPr>
      </w:pPr>
      <w:r>
        <w:rPr>
          <w:rStyle w:val="FootnoteReference"/>
        </w:rPr>
        <w:footnoteRef/>
      </w:r>
      <w:r>
        <w:rPr>
          <w:lang w:val="pt-PT"/>
        </w:rPr>
        <w:t xml:space="preserve"> </w:t>
      </w:r>
      <w:r>
        <w:rPr>
          <w:lang w:val="pt-PT"/>
        </w:rPr>
        <w:tab/>
        <w:t xml:space="preserve">Directive </w:t>
      </w:r>
      <w:hyperlink r:id="rId354" w:history="1">
        <w:r>
          <w:rPr>
            <w:rStyle w:val="Hyperlink"/>
            <w:lang w:val="pt-PT"/>
          </w:rPr>
          <w:t>2005/36/EC</w:t>
        </w:r>
      </w:hyperlink>
      <w:r>
        <w:rPr>
          <w:rStyle w:val="Hyperlink"/>
          <w:lang w:val="pt-PT"/>
        </w:rPr>
        <w:t>,</w:t>
      </w:r>
      <w:r>
        <w:rPr>
          <w:lang w:val="pt-PT"/>
        </w:rPr>
        <w:t xml:space="preserve"> </w:t>
      </w:r>
      <w:hyperlink r:id="rId355" w:history="1">
        <w:r>
          <w:rPr>
            <w:rStyle w:val="Hyperlink"/>
            <w:lang w:val="pt-PT"/>
          </w:rPr>
          <w:t>MEMO/18/4486</w:t>
        </w:r>
      </w:hyperlink>
      <w:r>
        <w:rPr>
          <w:rStyle w:val="Hyperlink"/>
          <w:lang w:val="pt-PT"/>
        </w:rPr>
        <w:t>.</w:t>
      </w:r>
    </w:p>
  </w:footnote>
  <w:footnote w:id="246">
    <w:p>
      <w:pPr>
        <w:pStyle w:val="FootnoteText"/>
        <w:rPr>
          <w:lang w:val="pt-PT"/>
        </w:rPr>
      </w:pPr>
      <w:r>
        <w:rPr>
          <w:rStyle w:val="FootnoteReference"/>
        </w:rPr>
        <w:footnoteRef/>
      </w:r>
      <w:r>
        <w:rPr>
          <w:lang w:val="pt-PT"/>
        </w:rPr>
        <w:t xml:space="preserve"> </w:t>
      </w:r>
      <w:r>
        <w:rPr>
          <w:lang w:val="pt-PT"/>
        </w:rPr>
        <w:tab/>
        <w:t xml:space="preserve">Directive </w:t>
      </w:r>
      <w:hyperlink r:id="rId356" w:history="1">
        <w:r>
          <w:rPr>
            <w:rStyle w:val="Hyperlink"/>
            <w:lang w:val="pt-PT"/>
          </w:rPr>
          <w:t>2010/63/EU</w:t>
        </w:r>
      </w:hyperlink>
      <w:r>
        <w:rPr>
          <w:rStyle w:val="Hyperlink"/>
          <w:lang w:val="pt-PT"/>
        </w:rPr>
        <w:t xml:space="preserve">, </w:t>
      </w:r>
      <w:hyperlink r:id="rId357" w:history="1">
        <w:r>
          <w:rPr>
            <w:rStyle w:val="Hyperlink"/>
            <w:lang w:val="pt-PT"/>
          </w:rPr>
          <w:t>MEMO/18/4486</w:t>
        </w:r>
      </w:hyperlink>
      <w:r>
        <w:rPr>
          <w:lang w:val="pt-PT"/>
        </w:rPr>
        <w:t>.</w:t>
      </w:r>
    </w:p>
  </w:footnote>
  <w:footnote w:id="247">
    <w:p>
      <w:pPr>
        <w:pStyle w:val="FootnoteText"/>
        <w:rPr>
          <w:lang w:val="pt-PT"/>
        </w:rPr>
      </w:pPr>
      <w:r>
        <w:rPr>
          <w:rStyle w:val="FootnoteReference"/>
        </w:rPr>
        <w:footnoteRef/>
      </w:r>
      <w:r>
        <w:rPr>
          <w:lang w:val="pt-PT"/>
        </w:rPr>
        <w:t xml:space="preserve"> </w:t>
      </w:r>
      <w:r>
        <w:rPr>
          <w:lang w:val="pt-PT"/>
        </w:rPr>
        <w:tab/>
        <w:t xml:space="preserve">Directive </w:t>
      </w:r>
      <w:hyperlink r:id="rId358" w:history="1">
        <w:r>
          <w:rPr>
            <w:rStyle w:val="Hyperlink"/>
            <w:lang w:val="pt-PT"/>
          </w:rPr>
          <w:t>91/676/EEC</w:t>
        </w:r>
      </w:hyperlink>
      <w:r>
        <w:rPr>
          <w:rStyle w:val="Hyperlink"/>
          <w:lang w:val="pt-PT"/>
        </w:rPr>
        <w:t xml:space="preserve">, </w:t>
      </w:r>
      <w:hyperlink r:id="rId359" w:history="1">
        <w:r>
          <w:rPr>
            <w:rStyle w:val="Hyperlink"/>
            <w:lang w:val="pt-PT"/>
          </w:rPr>
          <w:t>MEMO/18/6247</w:t>
        </w:r>
      </w:hyperlink>
      <w:r>
        <w:rPr>
          <w:lang w:val="pt-PT"/>
        </w:rPr>
        <w:t>.</w:t>
      </w:r>
    </w:p>
  </w:footnote>
  <w:footnote w:id="248">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360" w:history="1">
        <w:r>
          <w:rPr>
            <w:rStyle w:val="Hyperlink"/>
            <w:lang w:val="pt-PT"/>
          </w:rPr>
          <w:t>2015/2366/EU</w:t>
        </w:r>
      </w:hyperlink>
      <w:r>
        <w:rPr>
          <w:lang w:val="pt-PT"/>
        </w:rPr>
        <w:t>.</w:t>
      </w:r>
    </w:p>
  </w:footnote>
  <w:footnote w:id="249">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361" w:history="1">
        <w:r>
          <w:rPr>
            <w:rStyle w:val="Hyperlink"/>
            <w:lang w:val="pt-PT"/>
          </w:rPr>
          <w:t>2016/97/EU</w:t>
        </w:r>
      </w:hyperlink>
      <w:r>
        <w:rPr>
          <w:lang w:val="pt-PT"/>
        </w:rPr>
        <w:t>.</w:t>
      </w:r>
    </w:p>
  </w:footnote>
  <w:footnote w:id="250">
    <w:p>
      <w:pPr>
        <w:pStyle w:val="FootnoteText"/>
        <w:rPr>
          <w:lang w:val="pt-PT"/>
        </w:rPr>
      </w:pPr>
      <w:r>
        <w:rPr>
          <w:rStyle w:val="FootnoteReference"/>
        </w:rPr>
        <w:footnoteRef/>
      </w:r>
      <w:r>
        <w:rPr>
          <w:lang w:val="pt-PT"/>
        </w:rPr>
        <w:t xml:space="preserve"> </w:t>
      </w:r>
      <w:r>
        <w:rPr>
          <w:lang w:val="pt-PT"/>
        </w:rPr>
        <w:tab/>
      </w:r>
      <w:r>
        <w:rPr>
          <w:rStyle w:val="Hyperlink"/>
          <w:color w:val="auto"/>
          <w:u w:val="none"/>
          <w:bdr w:val="none" w:sz="0" w:space="0" w:color="auto" w:frame="1"/>
          <w:lang w:val="pt-PT"/>
        </w:rPr>
        <w:t xml:space="preserve">Directive </w:t>
      </w:r>
      <w:hyperlink r:id="rId362" w:history="1">
        <w:r>
          <w:rPr>
            <w:rStyle w:val="Hyperlink"/>
            <w:bdr w:val="none" w:sz="0" w:space="0" w:color="auto" w:frame="1"/>
            <w:lang w:val="pt-PT"/>
          </w:rPr>
          <w:t>2014/65/EU</w:t>
        </w:r>
      </w:hyperlink>
      <w:r>
        <w:rPr>
          <w:lang w:val="pt-PT"/>
        </w:rPr>
        <w:t xml:space="preserve">; </w:t>
      </w:r>
      <w:hyperlink r:id="rId363" w:history="1">
        <w:r>
          <w:rPr>
            <w:rStyle w:val="Hyperlink"/>
            <w:lang w:val="pt-PT"/>
          </w:rPr>
          <w:t>MEMO/18/349</w:t>
        </w:r>
      </w:hyperlink>
      <w:r>
        <w:rPr>
          <w:lang w:val="pt-PT"/>
        </w:rPr>
        <w:t>.</w:t>
      </w:r>
    </w:p>
  </w:footnote>
  <w:footnote w:id="251">
    <w:p>
      <w:pPr>
        <w:pStyle w:val="FootnoteText"/>
        <w:rPr>
          <w:lang w:val="pt-PT"/>
        </w:rPr>
      </w:pPr>
      <w:r>
        <w:rPr>
          <w:rStyle w:val="FootnoteReference"/>
        </w:rPr>
        <w:footnoteRef/>
      </w:r>
      <w:r>
        <w:rPr>
          <w:lang w:val="pt-PT"/>
        </w:rPr>
        <w:t xml:space="preserve"> </w:t>
      </w:r>
      <w:r>
        <w:rPr>
          <w:lang w:val="pt-PT"/>
        </w:rPr>
        <w:tab/>
        <w:t xml:space="preserve">Commission Directive </w:t>
      </w:r>
      <w:hyperlink r:id="rId364" w:history="1">
        <w:r>
          <w:rPr>
            <w:rStyle w:val="Hyperlink"/>
            <w:lang w:val="pt-PT"/>
          </w:rPr>
          <w:t>2016/1214/EU.</w:t>
        </w:r>
      </w:hyperlink>
    </w:p>
  </w:footnote>
  <w:footnote w:id="252">
    <w:p>
      <w:pPr>
        <w:pStyle w:val="FootnoteText"/>
        <w:rPr>
          <w:lang w:val="pt-PT"/>
        </w:rPr>
      </w:pPr>
      <w:r>
        <w:rPr>
          <w:rStyle w:val="FootnoteReference"/>
        </w:rPr>
        <w:footnoteRef/>
      </w:r>
      <w:r>
        <w:rPr>
          <w:lang w:val="pt-PT"/>
        </w:rPr>
        <w:t xml:space="preserve"> </w:t>
      </w:r>
      <w:r>
        <w:rPr>
          <w:lang w:val="pt-PT"/>
        </w:rPr>
        <w:tab/>
        <w:t xml:space="preserve">Directive </w:t>
      </w:r>
      <w:hyperlink r:id="rId365" w:history="1">
        <w:r>
          <w:rPr>
            <w:rStyle w:val="Hyperlink"/>
            <w:lang w:val="pt-PT"/>
          </w:rPr>
          <w:t>2014/87/Euratom</w:t>
        </w:r>
      </w:hyperlink>
      <w:r>
        <w:rPr>
          <w:lang w:val="pt-PT"/>
        </w:rPr>
        <w:t xml:space="preserve">, </w:t>
      </w:r>
      <w:hyperlink r:id="rId366" w:history="1">
        <w:r>
          <w:rPr>
            <w:rStyle w:val="Hyperlink"/>
            <w:lang w:val="pt-PT"/>
          </w:rPr>
          <w:t>MEMO/18/3986</w:t>
        </w:r>
      </w:hyperlink>
      <w:r>
        <w:rPr>
          <w:rStyle w:val="Hyperlink"/>
          <w:lang w:val="pt-PT"/>
        </w:rPr>
        <w:t>.</w:t>
      </w:r>
    </w:p>
  </w:footnote>
  <w:footnote w:id="253">
    <w:p>
      <w:pPr>
        <w:pStyle w:val="FootnoteText"/>
        <w:rPr>
          <w:lang w:val="pt-PT"/>
        </w:rPr>
      </w:pPr>
      <w:r>
        <w:rPr>
          <w:rStyle w:val="FootnoteReference"/>
        </w:rPr>
        <w:footnoteRef/>
      </w:r>
      <w:r>
        <w:rPr>
          <w:lang w:val="pt-PT"/>
        </w:rPr>
        <w:t xml:space="preserve"> </w:t>
      </w:r>
      <w:r>
        <w:rPr>
          <w:lang w:val="pt-PT"/>
        </w:rPr>
        <w:tab/>
        <w:t xml:space="preserve">Directive </w:t>
      </w:r>
      <w:r>
        <w:rPr>
          <w:rStyle w:val="Hyperlink"/>
          <w:lang w:val="pt-PT"/>
        </w:rPr>
        <w:t>2016/1148/EU</w:t>
      </w:r>
      <w:r>
        <w:rPr>
          <w:lang w:val="pt-PT"/>
        </w:rPr>
        <w:t xml:space="preserve">; </w:t>
      </w:r>
      <w:hyperlink r:id="rId367" w:history="1">
        <w:r>
          <w:rPr>
            <w:rStyle w:val="Hyperlink"/>
            <w:lang w:val="pt-PT"/>
          </w:rPr>
          <w:t>MEMO/18/4486</w:t>
        </w:r>
      </w:hyperlink>
      <w:r>
        <w:rPr>
          <w:lang w:val="pt-PT"/>
        </w:rPr>
        <w:t>.</w:t>
      </w:r>
    </w:p>
  </w:footnote>
  <w:footnote w:id="254">
    <w:p>
      <w:pPr>
        <w:pStyle w:val="FootnoteText"/>
        <w:rPr>
          <w:lang w:val="pt-PT"/>
        </w:rPr>
      </w:pPr>
      <w:r>
        <w:rPr>
          <w:rStyle w:val="FootnoteReference"/>
        </w:rPr>
        <w:footnoteRef/>
      </w:r>
      <w:r>
        <w:rPr>
          <w:lang w:val="pt-PT"/>
        </w:rPr>
        <w:t xml:space="preserve"> </w:t>
      </w:r>
      <w:r>
        <w:rPr>
          <w:lang w:val="pt-PT"/>
        </w:rPr>
        <w:tab/>
        <w:t xml:space="preserve">Directive </w:t>
      </w:r>
      <w:hyperlink r:id="rId368" w:history="1">
        <w:r>
          <w:rPr>
            <w:rStyle w:val="Hyperlink"/>
            <w:lang w:val="pt-PT"/>
          </w:rPr>
          <w:t>2008/98/EC</w:t>
        </w:r>
      </w:hyperlink>
      <w:r>
        <w:rPr>
          <w:rStyle w:val="Hyperlink"/>
          <w:lang w:val="pt-PT"/>
        </w:rPr>
        <w:t xml:space="preserve">, </w:t>
      </w:r>
      <w:r>
        <w:rPr>
          <w:lang w:val="pt-PT"/>
        </w:rPr>
        <w:t>Commission v Spain,</w:t>
      </w:r>
      <w:r>
        <w:rPr>
          <w:rStyle w:val="Hyperlink"/>
          <w:lang w:val="pt-PT"/>
        </w:rPr>
        <w:t xml:space="preserve"> </w:t>
      </w:r>
      <w:hyperlink r:id="rId369" w:history="1">
        <w:r>
          <w:rPr>
            <w:rStyle w:val="Hyperlink"/>
            <w:lang w:val="pt-PT"/>
          </w:rPr>
          <w:t>C-642/18</w:t>
        </w:r>
      </w:hyperlink>
      <w:r>
        <w:rPr>
          <w:rStyle w:val="Hyperlink"/>
          <w:lang w:val="pt-PT"/>
        </w:rPr>
        <w:t xml:space="preserve">; </w:t>
      </w:r>
      <w:hyperlink r:id="rId370" w:history="1">
        <w:r>
          <w:rPr>
            <w:rStyle w:val="Hyperlink"/>
            <w:lang w:val="pt-PT"/>
          </w:rPr>
          <w:t>IP/18/3987</w:t>
        </w:r>
      </w:hyperlink>
      <w:r>
        <w:rPr>
          <w:rStyle w:val="Hyperlink"/>
          <w:lang w:val="pt-PT"/>
        </w:rPr>
        <w:t>.</w:t>
      </w:r>
    </w:p>
  </w:footnote>
  <w:footnote w:id="255">
    <w:p>
      <w:pPr>
        <w:pStyle w:val="FootnoteText"/>
        <w:rPr>
          <w:lang w:val="pt-PT"/>
        </w:rPr>
      </w:pPr>
      <w:r>
        <w:rPr>
          <w:rStyle w:val="FootnoteReference"/>
        </w:rPr>
        <w:footnoteRef/>
      </w:r>
      <w:r>
        <w:rPr>
          <w:lang w:val="pt-PT"/>
        </w:rPr>
        <w:t xml:space="preserve"> </w:t>
      </w:r>
      <w:r>
        <w:rPr>
          <w:lang w:val="pt-PT"/>
        </w:rPr>
        <w:tab/>
        <w:t xml:space="preserve">Directive </w:t>
      </w:r>
      <w:hyperlink r:id="rId371" w:history="1">
        <w:r>
          <w:rPr>
            <w:rStyle w:val="Hyperlink"/>
            <w:lang w:val="pt-PT"/>
          </w:rPr>
          <w:t>2000/60/EC</w:t>
        </w:r>
      </w:hyperlink>
      <w:r>
        <w:rPr>
          <w:rStyle w:val="Hyperlink"/>
          <w:lang w:val="pt-PT"/>
        </w:rPr>
        <w:t xml:space="preserve">, </w:t>
      </w:r>
      <w:r>
        <w:rPr>
          <w:rStyle w:val="affairetitle"/>
          <w:lang w:val="pt-PT"/>
        </w:rPr>
        <w:t>Commission v Spain,</w:t>
      </w:r>
      <w:r>
        <w:rPr>
          <w:rStyle w:val="Hyperlink"/>
          <w:lang w:val="pt-PT"/>
        </w:rPr>
        <w:t xml:space="preserve"> </w:t>
      </w:r>
      <w:hyperlink r:id="rId372" w:history="1">
        <w:r>
          <w:rPr>
            <w:rStyle w:val="Hyperlink"/>
            <w:lang w:val="pt-PT"/>
          </w:rPr>
          <w:t>C-556/18</w:t>
        </w:r>
      </w:hyperlink>
      <w:r>
        <w:rPr>
          <w:rStyle w:val="Hyperlink"/>
          <w:lang w:val="pt-PT"/>
        </w:rPr>
        <w:t xml:space="preserve">; </w:t>
      </w:r>
      <w:hyperlink r:id="rId373" w:history="1">
        <w:r>
          <w:rPr>
            <w:rStyle w:val="Hyperlink"/>
            <w:lang w:val="pt-PT"/>
          </w:rPr>
          <w:t>IP/18/1445</w:t>
        </w:r>
      </w:hyperlink>
      <w:r>
        <w:rPr>
          <w:rStyle w:val="Hyperlink"/>
          <w:lang w:val="pt-PT"/>
        </w:rPr>
        <w:t>.</w:t>
      </w:r>
    </w:p>
  </w:footnote>
  <w:footnote w:id="256">
    <w:p>
      <w:pPr>
        <w:pStyle w:val="FootnoteText"/>
      </w:pPr>
      <w:r>
        <w:rPr>
          <w:rStyle w:val="FootnoteReference"/>
        </w:rPr>
        <w:footnoteRef/>
      </w:r>
      <w:r>
        <w:rPr>
          <w:lang w:val="fr-BE"/>
        </w:rPr>
        <w:t xml:space="preserve"> </w:t>
      </w:r>
      <w:r>
        <w:rPr>
          <w:lang w:val="fr-BE"/>
        </w:rPr>
        <w:tab/>
        <w:t xml:space="preserve">Commission v Spain, </w:t>
      </w:r>
      <w:hyperlink r:id="rId374" w:history="1">
        <w:r>
          <w:rPr>
            <w:rStyle w:val="Hyperlink"/>
            <w:lang w:val="fr-BE"/>
          </w:rPr>
          <w:t>C-207/18</w:t>
        </w:r>
      </w:hyperlink>
      <w:r>
        <w:rPr>
          <w:lang w:val="fr-BE"/>
        </w:rPr>
        <w:t xml:space="preserve">; Directive </w:t>
      </w:r>
      <w:hyperlink r:id="rId375" w:history="1">
        <w:r>
          <w:rPr>
            <w:rStyle w:val="Hyperlink"/>
            <w:lang w:val="fr-BE"/>
          </w:rPr>
          <w:t>2014/26/EU</w:t>
        </w:r>
      </w:hyperlink>
      <w:r>
        <w:rPr>
          <w:rStyle w:val="Hyperlink"/>
          <w:lang w:val="fr-BE"/>
        </w:rPr>
        <w:t>.</w:t>
      </w:r>
      <w:r>
        <w:rPr>
          <w:lang w:val="fr-BE"/>
        </w:rPr>
        <w:t xml:space="preserve"> </w:t>
      </w:r>
      <w:r>
        <w:t xml:space="preserve">Subsequently Spain took the necessary steps to ensure compliance with EU law and the Commission has therefore withdrawn this case from the Court. </w:t>
      </w:r>
    </w:p>
  </w:footnote>
  <w:footnote w:id="257">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Spain,</w:t>
      </w:r>
      <w:r>
        <w:rPr>
          <w:rStyle w:val="Hyperlink"/>
          <w:lang w:val="fr-BE"/>
        </w:rPr>
        <w:t xml:space="preserve"> </w:t>
      </w:r>
      <w:hyperlink r:id="rId376" w:history="1">
        <w:r>
          <w:rPr>
            <w:rStyle w:val="Hyperlink"/>
            <w:lang w:val="fr-BE"/>
          </w:rPr>
          <w:t>C-164/18</w:t>
        </w:r>
      </w:hyperlink>
      <w:r>
        <w:rPr>
          <w:rStyle w:val="affairetitle"/>
          <w:lang w:val="fr-BE"/>
        </w:rPr>
        <w:t>,</w:t>
      </w:r>
      <w:r>
        <w:rPr>
          <w:lang w:val="fr-BE"/>
        </w:rPr>
        <w:t xml:space="preserve"> Directive </w:t>
      </w:r>
      <w:hyperlink r:id="rId377" w:history="1">
        <w:r>
          <w:rPr>
            <w:rStyle w:val="Hyperlink"/>
            <w:lang w:val="fr-BE"/>
          </w:rPr>
          <w:t>2014/23/EU</w:t>
        </w:r>
      </w:hyperlink>
      <w:r>
        <w:rPr>
          <w:lang w:val="fr-BE"/>
        </w:rPr>
        <w:t>.</w:t>
      </w:r>
    </w:p>
  </w:footnote>
  <w:footnote w:id="258">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Spain,</w:t>
      </w:r>
      <w:r>
        <w:rPr>
          <w:rStyle w:val="Hyperlink"/>
          <w:lang w:val="fr-BE"/>
        </w:rPr>
        <w:t xml:space="preserve"> </w:t>
      </w:r>
      <w:hyperlink r:id="rId378" w:history="1">
        <w:r>
          <w:rPr>
            <w:rStyle w:val="Hyperlink"/>
            <w:lang w:val="fr-BE"/>
          </w:rPr>
          <w:t>C-165/18</w:t>
        </w:r>
      </w:hyperlink>
      <w:r>
        <w:rPr>
          <w:rStyle w:val="Hyperlink"/>
          <w:lang w:val="fr-BE"/>
        </w:rPr>
        <w:t>,</w:t>
      </w:r>
      <w:r>
        <w:rPr>
          <w:lang w:val="fr-BE"/>
        </w:rPr>
        <w:t xml:space="preserve"> Directive </w:t>
      </w:r>
      <w:hyperlink r:id="rId379" w:history="1">
        <w:r>
          <w:rPr>
            <w:rStyle w:val="Hyperlink"/>
            <w:lang w:val="fr-BE"/>
          </w:rPr>
          <w:t>2014/25/UE</w:t>
        </w:r>
      </w:hyperlink>
      <w:r>
        <w:rPr>
          <w:lang w:val="fr-BE"/>
        </w:rPr>
        <w:t>.</w:t>
      </w:r>
    </w:p>
  </w:footnote>
  <w:footnote w:id="259">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Spain,</w:t>
      </w:r>
      <w:r>
        <w:rPr>
          <w:rStyle w:val="Hyperlink"/>
          <w:lang w:val="fr-BE"/>
        </w:rPr>
        <w:t xml:space="preserve"> </w:t>
      </w:r>
      <w:hyperlink r:id="rId380" w:history="1">
        <w:r>
          <w:rPr>
            <w:rStyle w:val="Hyperlink"/>
            <w:lang w:val="fr-BE"/>
          </w:rPr>
          <w:t>C-430/18</w:t>
        </w:r>
      </w:hyperlink>
      <w:r>
        <w:rPr>
          <w:rStyle w:val="affairetitle"/>
          <w:lang w:val="fr-BE"/>
        </w:rPr>
        <w:t>;</w:t>
      </w:r>
      <w:r>
        <w:rPr>
          <w:rStyle w:val="Hyperlink"/>
          <w:lang w:val="fr-BE"/>
        </w:rPr>
        <w:t xml:space="preserve"> </w:t>
      </w:r>
      <w:hyperlink r:id="rId381" w:history="1">
        <w:r>
          <w:rPr>
            <w:rStyle w:val="Hyperlink"/>
            <w:color w:val="auto"/>
            <w:u w:val="none"/>
            <w:lang w:val="fr-BE"/>
          </w:rPr>
          <w:t xml:space="preserve">Directive </w:t>
        </w:r>
        <w:r>
          <w:rPr>
            <w:rStyle w:val="Hyperlink"/>
            <w:lang w:val="fr-BE"/>
          </w:rPr>
          <w:t>2014/92/EU</w:t>
        </w:r>
      </w:hyperlink>
      <w:r>
        <w:rPr>
          <w:rStyle w:val="Hyperlink"/>
          <w:lang w:val="fr-BE"/>
        </w:rPr>
        <w:t>.</w:t>
      </w:r>
    </w:p>
  </w:footnote>
  <w:footnote w:id="260">
    <w:p>
      <w:pPr>
        <w:pStyle w:val="FootnoteText"/>
        <w:rPr>
          <w:lang w:val="fr-BE"/>
        </w:rPr>
      </w:pPr>
      <w:r>
        <w:rPr>
          <w:rStyle w:val="FootnoteReference"/>
        </w:rPr>
        <w:footnoteRef/>
      </w:r>
      <w:r>
        <w:rPr>
          <w:lang w:val="fr-BE"/>
        </w:rPr>
        <w:t xml:space="preserve"> </w:t>
      </w:r>
      <w:r>
        <w:rPr>
          <w:lang w:val="fr-BE"/>
        </w:rPr>
        <w:tab/>
      </w:r>
      <w:hyperlink r:id="rId382" w:history="1">
        <w:r>
          <w:rPr>
            <w:rStyle w:val="Hyperlink"/>
            <w:color w:val="auto"/>
            <w:u w:val="none"/>
            <w:lang w:val="fr-BE"/>
          </w:rPr>
          <w:t xml:space="preserve">Regulation (EU) </w:t>
        </w:r>
        <w:r>
          <w:rPr>
            <w:rStyle w:val="Hyperlink"/>
            <w:lang w:val="fr-BE"/>
          </w:rPr>
          <w:t>98/2013</w:t>
        </w:r>
      </w:hyperlink>
      <w:r>
        <w:rPr>
          <w:rStyle w:val="Hyperlink"/>
          <w:lang w:val="fr-BE"/>
        </w:rPr>
        <w:t>.</w:t>
      </w:r>
    </w:p>
  </w:footnote>
  <w:footnote w:id="261">
    <w:p>
      <w:pPr>
        <w:pStyle w:val="FootnoteText"/>
        <w:rPr>
          <w:lang w:val="fr-BE"/>
        </w:rPr>
      </w:pPr>
      <w:r>
        <w:rPr>
          <w:rStyle w:val="FootnoteReference"/>
        </w:rPr>
        <w:footnoteRef/>
      </w:r>
      <w:r>
        <w:rPr>
          <w:lang w:val="fr-BE"/>
        </w:rPr>
        <w:t xml:space="preserve"> </w:t>
      </w:r>
      <w:r>
        <w:rPr>
          <w:lang w:val="fr-BE"/>
        </w:rPr>
        <w:tab/>
        <w:t xml:space="preserve">Directive </w:t>
      </w:r>
      <w:hyperlink r:id="rId383" w:history="1">
        <w:r>
          <w:rPr>
            <w:rStyle w:val="Hyperlink"/>
            <w:lang w:val="fr-BE"/>
          </w:rPr>
          <w:t>2002/21/EC</w:t>
        </w:r>
      </w:hyperlink>
      <w:r>
        <w:rPr>
          <w:lang w:val="fr-BE"/>
        </w:rPr>
        <w:t>.</w:t>
      </w:r>
    </w:p>
  </w:footnote>
  <w:footnote w:id="262">
    <w:p>
      <w:pPr>
        <w:pStyle w:val="FootnoteText"/>
        <w:rPr>
          <w:lang w:val="fr-BE"/>
        </w:rPr>
      </w:pPr>
      <w:r>
        <w:rPr>
          <w:rStyle w:val="FootnoteReference"/>
        </w:rPr>
        <w:footnoteRef/>
      </w:r>
      <w:r>
        <w:rPr>
          <w:lang w:val="fr-BE"/>
        </w:rPr>
        <w:t xml:space="preserve"> </w:t>
      </w:r>
      <w:r>
        <w:rPr>
          <w:lang w:val="fr-BE"/>
        </w:rPr>
        <w:tab/>
        <w:t xml:space="preserve">Directive </w:t>
      </w:r>
      <w:hyperlink r:id="rId384" w:history="1">
        <w:r>
          <w:rPr>
            <w:rStyle w:val="Hyperlink"/>
            <w:lang w:val="fr-BE"/>
          </w:rPr>
          <w:t>2006/115/EC</w:t>
        </w:r>
      </w:hyperlink>
      <w:r>
        <w:rPr>
          <w:lang w:val="fr-BE"/>
        </w:rPr>
        <w:t>.</w:t>
      </w:r>
    </w:p>
  </w:footnote>
  <w:footnote w:id="263">
    <w:p>
      <w:pPr>
        <w:pStyle w:val="FootnoteText"/>
        <w:rPr>
          <w:lang w:val="fr-BE"/>
        </w:rPr>
      </w:pPr>
      <w:r>
        <w:rPr>
          <w:rStyle w:val="FootnoteReference"/>
        </w:rPr>
        <w:footnoteRef/>
      </w:r>
      <w:r>
        <w:rPr>
          <w:lang w:val="fr-BE"/>
        </w:rPr>
        <w:t xml:space="preserve"> </w:t>
      </w:r>
      <w:r>
        <w:rPr>
          <w:lang w:val="fr-BE"/>
        </w:rPr>
        <w:tab/>
        <w:t xml:space="preserve">Directive </w:t>
      </w:r>
      <w:hyperlink r:id="rId385" w:history="1">
        <w:r>
          <w:rPr>
            <w:rStyle w:val="Hyperlink"/>
            <w:lang w:val="fr-BE"/>
          </w:rPr>
          <w:t>2014/24/EU</w:t>
        </w:r>
      </w:hyperlink>
      <w:r>
        <w:rPr>
          <w:lang w:val="fr-BE"/>
        </w:rPr>
        <w:t>.</w:t>
      </w:r>
    </w:p>
  </w:footnote>
  <w:footnote w:id="264">
    <w:p>
      <w:pPr>
        <w:pStyle w:val="FootnoteText"/>
        <w:rPr>
          <w:lang w:val="fr-BE"/>
        </w:rPr>
      </w:pPr>
      <w:r>
        <w:rPr>
          <w:rStyle w:val="FootnoteReference"/>
        </w:rPr>
        <w:footnoteRef/>
      </w:r>
      <w:r>
        <w:rPr>
          <w:lang w:val="fr-BE"/>
        </w:rPr>
        <w:t xml:space="preserve"> </w:t>
      </w:r>
      <w:r>
        <w:rPr>
          <w:lang w:val="fr-BE"/>
        </w:rPr>
        <w:tab/>
        <w:t xml:space="preserve">Directive </w:t>
      </w:r>
      <w:hyperlink r:id="rId386" w:history="1">
        <w:r>
          <w:rPr>
            <w:rStyle w:val="Hyperlink"/>
            <w:lang w:val="fr-BE"/>
          </w:rPr>
          <w:t>92/43/EEC</w:t>
        </w:r>
      </w:hyperlink>
      <w:r>
        <w:rPr>
          <w:lang w:val="fr-BE"/>
        </w:rPr>
        <w:t>.</w:t>
      </w:r>
    </w:p>
  </w:footnote>
  <w:footnote w:id="265">
    <w:p>
      <w:pPr>
        <w:pStyle w:val="FootnoteText"/>
        <w:rPr>
          <w:lang w:val="fr-BE"/>
        </w:rPr>
      </w:pPr>
      <w:r>
        <w:rPr>
          <w:rStyle w:val="FootnoteReference"/>
        </w:rPr>
        <w:footnoteRef/>
      </w:r>
      <w:r>
        <w:rPr>
          <w:lang w:val="fr-BE"/>
        </w:rPr>
        <w:t xml:space="preserve"> </w:t>
      </w:r>
      <w:r>
        <w:rPr>
          <w:lang w:val="fr-BE"/>
        </w:rPr>
        <w:tab/>
        <w:t xml:space="preserve">Directive </w:t>
      </w:r>
      <w:hyperlink r:id="rId387" w:history="1">
        <w:r>
          <w:rPr>
            <w:rStyle w:val="Hyperlink"/>
            <w:lang w:val="fr-BE"/>
          </w:rPr>
          <w:t>652/2015/EC</w:t>
        </w:r>
      </w:hyperlink>
    </w:p>
  </w:footnote>
  <w:footnote w:id="266">
    <w:p>
      <w:pPr>
        <w:pStyle w:val="FootnoteText"/>
        <w:rPr>
          <w:rFonts w:cs="Arial"/>
          <w:szCs w:val="18"/>
          <w:lang w:val="fr-BE"/>
        </w:rPr>
      </w:pPr>
      <w:r>
        <w:rPr>
          <w:rStyle w:val="FootnoteReference"/>
          <w:rFonts w:cs="Arial"/>
          <w:szCs w:val="18"/>
        </w:rPr>
        <w:footnoteRef/>
      </w:r>
      <w:r>
        <w:rPr>
          <w:rFonts w:cs="Arial"/>
          <w:szCs w:val="18"/>
          <w:lang w:val="fr-BE"/>
        </w:rPr>
        <w:t xml:space="preserve"> </w:t>
      </w:r>
      <w:r>
        <w:rPr>
          <w:rFonts w:cs="Arial"/>
          <w:szCs w:val="18"/>
          <w:lang w:val="fr-BE"/>
        </w:rPr>
        <w:tab/>
      </w:r>
      <w:r>
        <w:rPr>
          <w:lang w:val="fr-BE"/>
        </w:rPr>
        <w:t xml:space="preserve">Commission Directive </w:t>
      </w:r>
      <w:hyperlink r:id="rId388" w:history="1">
        <w:r>
          <w:rPr>
            <w:rStyle w:val="Hyperlink"/>
            <w:lang w:val="fr-BE"/>
          </w:rPr>
          <w:t>2016/1214/EU.</w:t>
        </w:r>
      </w:hyperlink>
    </w:p>
  </w:footnote>
  <w:footnote w:id="267">
    <w:p>
      <w:pPr>
        <w:pStyle w:val="FootnoteText"/>
        <w:rPr>
          <w:rFonts w:cs="Arial"/>
          <w:szCs w:val="18"/>
          <w:lang w:val="fr-BE"/>
        </w:rPr>
      </w:pPr>
      <w:r>
        <w:rPr>
          <w:rStyle w:val="FootnoteReference"/>
          <w:rFonts w:cs="Arial"/>
          <w:szCs w:val="18"/>
        </w:rPr>
        <w:footnoteRef/>
      </w:r>
      <w:r>
        <w:rPr>
          <w:rFonts w:cs="Arial"/>
          <w:szCs w:val="18"/>
          <w:lang w:val="fr-BE"/>
        </w:rPr>
        <w:t xml:space="preserve"> </w:t>
      </w:r>
      <w:r>
        <w:rPr>
          <w:rFonts w:cs="Arial"/>
          <w:szCs w:val="18"/>
          <w:lang w:val="fr-BE"/>
        </w:rPr>
        <w:tab/>
        <w:t xml:space="preserve">Directive </w:t>
      </w:r>
      <w:hyperlink r:id="rId389" w:history="1">
        <w:r>
          <w:rPr>
            <w:rStyle w:val="Hyperlink"/>
            <w:rFonts w:cs="Arial"/>
            <w:szCs w:val="18"/>
            <w:lang w:val="fr-BE"/>
          </w:rPr>
          <w:t>2013/11/EU</w:t>
        </w:r>
      </w:hyperlink>
      <w:r>
        <w:rPr>
          <w:rFonts w:cs="Arial"/>
          <w:szCs w:val="18"/>
          <w:lang w:val="fr-BE"/>
        </w:rPr>
        <w:t>.</w:t>
      </w:r>
    </w:p>
  </w:footnote>
  <w:footnote w:id="268">
    <w:p>
      <w:pPr>
        <w:pStyle w:val="FootnoteText"/>
        <w:rPr>
          <w:lang w:val="fr-BE"/>
        </w:rPr>
      </w:pPr>
      <w:r>
        <w:rPr>
          <w:rStyle w:val="FootnoteReference"/>
        </w:rPr>
        <w:footnoteRef/>
      </w:r>
      <w:r>
        <w:rPr>
          <w:lang w:val="fr-BE"/>
        </w:rPr>
        <w:t xml:space="preserve"> </w:t>
      </w:r>
      <w:r>
        <w:rPr>
          <w:lang w:val="fr-BE"/>
        </w:rPr>
        <w:tab/>
        <w:t xml:space="preserve">Directive </w:t>
      </w:r>
      <w:hyperlink r:id="rId390" w:history="1">
        <w:r>
          <w:rPr>
            <w:rStyle w:val="Hyperlink"/>
            <w:lang w:val="fr-BE"/>
          </w:rPr>
          <w:t>2014/104/EU</w:t>
        </w:r>
      </w:hyperlink>
      <w:r>
        <w:rPr>
          <w:lang w:val="fr-BE"/>
        </w:rPr>
        <w:t xml:space="preserve">; </w:t>
      </w:r>
      <w:hyperlink r:id="rId391" w:history="1">
        <w:r>
          <w:rPr>
            <w:rStyle w:val="Hyperlink"/>
            <w:rFonts w:cs="Arial"/>
            <w:szCs w:val="18"/>
            <w:lang w:val="fr-BE"/>
          </w:rPr>
          <w:t>MEMO/18/1444</w:t>
        </w:r>
      </w:hyperlink>
      <w:r>
        <w:rPr>
          <w:rStyle w:val="Hyperlink"/>
          <w:rFonts w:cs="Arial"/>
          <w:szCs w:val="18"/>
          <w:lang w:val="fr-BE"/>
        </w:rPr>
        <w:t>.</w:t>
      </w:r>
    </w:p>
  </w:footnote>
  <w:footnote w:id="269">
    <w:p>
      <w:pPr>
        <w:pStyle w:val="FootnoteText"/>
      </w:pPr>
      <w:r>
        <w:rPr>
          <w:rStyle w:val="FootnoteReference"/>
        </w:rPr>
        <w:footnoteRef/>
      </w:r>
      <w:r>
        <w:t xml:space="preserve"> </w:t>
      </w:r>
      <w:r>
        <w:tab/>
        <w:t xml:space="preserve">Directive </w:t>
      </w:r>
      <w:hyperlink r:id="rId392" w:history="1">
        <w:r>
          <w:rPr>
            <w:rStyle w:val="Hyperlink"/>
          </w:rPr>
          <w:t>2015/720/EU</w:t>
        </w:r>
      </w:hyperlink>
      <w:r>
        <w:t>.</w:t>
      </w:r>
    </w:p>
  </w:footnote>
  <w:footnote w:id="270">
    <w:p>
      <w:pPr>
        <w:pStyle w:val="FootnoteText"/>
        <w:rPr>
          <w:rFonts w:cs="Arial"/>
          <w:szCs w:val="18"/>
          <w:lang w:val="en-IE"/>
        </w:rPr>
      </w:pPr>
      <w:r>
        <w:rPr>
          <w:rStyle w:val="FootnoteReference"/>
          <w:rFonts w:cs="Arial"/>
          <w:szCs w:val="18"/>
        </w:rPr>
        <w:footnoteRef/>
      </w:r>
      <w:r>
        <w:rPr>
          <w:rFonts w:cs="Arial"/>
          <w:szCs w:val="18"/>
          <w:lang w:val="en-IE"/>
        </w:rPr>
        <w:t xml:space="preserve"> </w:t>
      </w:r>
      <w:r>
        <w:rPr>
          <w:rFonts w:cs="Arial"/>
          <w:szCs w:val="18"/>
          <w:lang w:val="en-IE"/>
        </w:rPr>
        <w:tab/>
        <w:t>These rulings are almost exclusively handed down in infringement procedures.</w:t>
      </w:r>
    </w:p>
  </w:footnote>
  <w:footnote w:id="271">
    <w:p>
      <w:pPr>
        <w:pStyle w:val="FootnoteText"/>
        <w:rPr>
          <w:rFonts w:cs="Arial"/>
          <w:szCs w:val="18"/>
          <w:lang w:val="en-US"/>
        </w:rPr>
      </w:pPr>
      <w:r>
        <w:rPr>
          <w:rStyle w:val="FootnoteReference"/>
          <w:rFonts w:cs="Arial"/>
          <w:szCs w:val="18"/>
        </w:rPr>
        <w:footnoteRef/>
      </w:r>
      <w:r>
        <w:rPr>
          <w:rFonts w:cs="Arial"/>
          <w:szCs w:val="18"/>
          <w:lang w:val="en-US"/>
        </w:rPr>
        <w:t xml:space="preserve"> </w:t>
      </w:r>
      <w:r>
        <w:rPr>
          <w:rFonts w:cs="Arial"/>
          <w:szCs w:val="18"/>
          <w:lang w:val="en-US"/>
        </w:rPr>
        <w:tab/>
      </w:r>
      <w:r>
        <w:rPr>
          <w:rStyle w:val="Hyperlink"/>
          <w:rFonts w:cs="Arial"/>
          <w:color w:val="auto"/>
          <w:szCs w:val="18"/>
          <w:u w:val="none"/>
          <w:lang w:val="en-US"/>
        </w:rPr>
        <w:t xml:space="preserve">Commission Implementing Directive </w:t>
      </w:r>
      <w:hyperlink r:id="rId393" w:history="1">
        <w:r>
          <w:rPr>
            <w:rStyle w:val="Hyperlink"/>
            <w:rFonts w:cs="Arial"/>
            <w:szCs w:val="18"/>
            <w:lang w:val="en-US"/>
          </w:rPr>
          <w:t>2015/2392/EU</w:t>
        </w:r>
      </w:hyperlink>
      <w:r>
        <w:rPr>
          <w:rStyle w:val="Hyperlink"/>
          <w:rFonts w:cs="Arial"/>
          <w:color w:val="auto"/>
          <w:szCs w:val="18"/>
          <w:u w:val="none"/>
          <w:lang w:val="en-US"/>
        </w:rPr>
        <w:t xml:space="preserve"> on Regulation (EU) N°</w:t>
      </w:r>
      <w:hyperlink r:id="rId394" w:history="1">
        <w:r>
          <w:rPr>
            <w:rStyle w:val="Hyperlink"/>
            <w:rFonts w:cs="Arial"/>
            <w:szCs w:val="18"/>
            <w:lang w:val="en-US"/>
          </w:rPr>
          <w:t>596/2014</w:t>
        </w:r>
      </w:hyperlink>
      <w:r>
        <w:rPr>
          <w:rFonts w:cs="Arial"/>
          <w:szCs w:val="18"/>
          <w:lang w:val="en-US"/>
        </w:rPr>
        <w:t>.</w:t>
      </w:r>
    </w:p>
  </w:footnote>
  <w:footnote w:id="272">
    <w:p>
      <w:pPr>
        <w:pStyle w:val="FootnoteText"/>
        <w:rPr>
          <w:rFonts w:cs="Arial"/>
          <w:szCs w:val="18"/>
          <w:lang w:val="en-US"/>
        </w:rPr>
      </w:pPr>
      <w:r>
        <w:rPr>
          <w:rStyle w:val="FootnoteReference"/>
          <w:rFonts w:cs="Arial"/>
          <w:szCs w:val="18"/>
        </w:rPr>
        <w:footnoteRef/>
      </w:r>
      <w:r>
        <w:rPr>
          <w:rFonts w:cs="Arial"/>
          <w:szCs w:val="18"/>
          <w:lang w:val="en-US"/>
        </w:rPr>
        <w:t xml:space="preserve"> </w:t>
      </w:r>
      <w:r>
        <w:rPr>
          <w:rFonts w:cs="Arial"/>
          <w:szCs w:val="18"/>
          <w:lang w:val="en-US"/>
        </w:rPr>
        <w:tab/>
      </w:r>
      <w:r>
        <w:rPr>
          <w:rStyle w:val="affairetitle"/>
          <w:rFonts w:cs="Arial"/>
          <w:szCs w:val="18"/>
          <w:lang w:val="en-US"/>
        </w:rPr>
        <w:t xml:space="preserve">Commission v Spain, </w:t>
      </w:r>
      <w:hyperlink r:id="rId395" w:history="1">
        <w:r>
          <w:rPr>
            <w:rStyle w:val="Hyperlink"/>
            <w:rFonts w:cs="Arial"/>
            <w:szCs w:val="18"/>
            <w:lang w:val="en-US"/>
          </w:rPr>
          <w:t>C-599/17</w:t>
        </w:r>
      </w:hyperlink>
      <w:r>
        <w:rPr>
          <w:rStyle w:val="affairetitle"/>
          <w:rFonts w:cs="Arial"/>
          <w:szCs w:val="18"/>
        </w:rPr>
        <w:t>.</w:t>
      </w:r>
    </w:p>
  </w:footnote>
  <w:footnote w:id="273">
    <w:p>
      <w:pPr>
        <w:pStyle w:val="FootnoteText"/>
        <w:rPr>
          <w:rFonts w:cs="Arial"/>
          <w:szCs w:val="18"/>
          <w:lang w:val="en-IE"/>
        </w:rPr>
      </w:pPr>
      <w:r>
        <w:rPr>
          <w:rStyle w:val="FootnoteReference"/>
          <w:rFonts w:cs="Arial"/>
          <w:szCs w:val="18"/>
        </w:rPr>
        <w:footnoteRef/>
      </w:r>
      <w:r>
        <w:rPr>
          <w:rFonts w:cs="Arial"/>
          <w:szCs w:val="18"/>
        </w:rPr>
        <w:t xml:space="preserve"> </w:t>
      </w:r>
      <w:r>
        <w:rPr>
          <w:rFonts w:cs="Arial"/>
          <w:szCs w:val="18"/>
          <w:lang w:val="en-IE"/>
        </w:rPr>
        <w:tab/>
      </w:r>
      <w:r>
        <w:rPr>
          <w:rFonts w:cs="Arial"/>
          <w:szCs w:val="18"/>
        </w:rPr>
        <w:t xml:space="preserve">Regulation </w:t>
      </w:r>
      <w:hyperlink r:id="rId396">
        <w:r>
          <w:rPr>
            <w:rStyle w:val="LienInternet"/>
            <w:rFonts w:cs="Arial"/>
            <w:szCs w:val="18"/>
          </w:rPr>
          <w:t>(EC) No 1071/2009</w:t>
        </w:r>
      </w:hyperlink>
      <w:r>
        <w:rPr>
          <w:rFonts w:cs="Arial"/>
          <w:szCs w:val="18"/>
        </w:rPr>
        <w:t xml:space="preserve">, Commission v Kingdom of Spain, </w:t>
      </w:r>
      <w:hyperlink r:id="rId397">
        <w:r>
          <w:rPr>
            <w:rStyle w:val="LienInternet"/>
            <w:rFonts w:cs="Arial"/>
            <w:szCs w:val="18"/>
          </w:rPr>
          <w:t>C-181/17</w:t>
        </w:r>
      </w:hyperlink>
      <w:r>
        <w:rPr>
          <w:rFonts w:cs="Arial"/>
          <w:szCs w:val="18"/>
        </w:rPr>
        <w:t>.</w:t>
      </w:r>
    </w:p>
  </w:footnote>
  <w:footnote w:id="274">
    <w:p>
      <w:pPr>
        <w:pStyle w:val="FootnoteText"/>
        <w:rPr>
          <w:rFonts w:cs="Arial"/>
          <w:szCs w:val="18"/>
        </w:rPr>
      </w:pPr>
      <w:r>
        <w:rPr>
          <w:rStyle w:val="FootnoteReference"/>
          <w:rFonts w:cs="Arial"/>
          <w:szCs w:val="18"/>
        </w:rPr>
        <w:footnoteRef/>
      </w:r>
      <w:r>
        <w:rPr>
          <w:rFonts w:cs="Arial"/>
          <w:szCs w:val="18"/>
        </w:rPr>
        <w:t xml:space="preserve"> </w:t>
      </w:r>
      <w:r>
        <w:rPr>
          <w:rFonts w:cs="Arial"/>
          <w:szCs w:val="18"/>
        </w:rPr>
        <w:tab/>
      </w:r>
      <w:r>
        <w:t xml:space="preserve">Commission v Spain, </w:t>
      </w:r>
      <w:hyperlink r:id="rId398" w:history="1">
        <w:r>
          <w:rPr>
            <w:rStyle w:val="Hyperlink"/>
          </w:rPr>
          <w:t>C</w:t>
        </w:r>
        <w:r>
          <w:rPr>
            <w:rStyle w:val="Hyperlink"/>
            <w:rFonts w:ascii="Cambria Math" w:hAnsi="Cambria Math" w:cs="Cambria Math"/>
          </w:rPr>
          <w:t>‑</w:t>
        </w:r>
        <w:r>
          <w:rPr>
            <w:rStyle w:val="Hyperlink"/>
          </w:rPr>
          <w:t>343/10</w:t>
        </w:r>
      </w:hyperlink>
      <w:r>
        <w:t>.</w:t>
      </w:r>
    </w:p>
  </w:footnote>
  <w:footnote w:id="275">
    <w:p>
      <w:pPr>
        <w:pStyle w:val="FootnoteText"/>
        <w:rPr>
          <w:rStyle w:val="Hyperlink"/>
          <w:rFonts w:cs="Arial"/>
          <w:szCs w:val="18"/>
          <w:lang w:val="en-US"/>
        </w:rPr>
      </w:pPr>
      <w:r>
        <w:rPr>
          <w:rStyle w:val="FootnoteReference"/>
          <w:rFonts w:cs="Arial"/>
          <w:szCs w:val="18"/>
        </w:rPr>
        <w:footnoteRef/>
      </w:r>
      <w:r>
        <w:rPr>
          <w:rFonts w:cs="Arial"/>
          <w:szCs w:val="18"/>
          <w:lang w:val="en-US"/>
        </w:rPr>
        <w:t xml:space="preserve"> </w:t>
      </w:r>
      <w:r>
        <w:rPr>
          <w:rFonts w:cs="Arial"/>
          <w:szCs w:val="18"/>
          <w:lang w:val="en-US"/>
        </w:rPr>
        <w:tab/>
      </w:r>
      <w:r>
        <w:rPr>
          <w:rStyle w:val="affairetitle"/>
          <w:rFonts w:cs="Arial"/>
          <w:szCs w:val="18"/>
          <w:lang w:val="en-US"/>
        </w:rPr>
        <w:t xml:space="preserve">Commission v Spain, </w:t>
      </w:r>
      <w:hyperlink r:id="rId399" w:history="1">
        <w:r>
          <w:rPr>
            <w:rStyle w:val="Hyperlink"/>
            <w:rFonts w:cs="Arial"/>
            <w:szCs w:val="18"/>
            <w:lang w:val="en-US"/>
          </w:rPr>
          <w:t>C-205/17</w:t>
        </w:r>
      </w:hyperlink>
      <w:r>
        <w:rPr>
          <w:rStyle w:val="Hyperlink"/>
          <w:rFonts w:cs="Arial"/>
          <w:szCs w:val="18"/>
          <w:lang w:val="en-US"/>
        </w:rPr>
        <w:t xml:space="preserve"> and Court press release </w:t>
      </w:r>
      <w:hyperlink r:id="rId400" w:history="1">
        <w:r>
          <w:rPr>
            <w:rStyle w:val="Hyperlink"/>
            <w:rFonts w:cs="Arial"/>
            <w:szCs w:val="18"/>
            <w:lang w:val="en-US"/>
          </w:rPr>
          <w:t>No 120/18</w:t>
        </w:r>
      </w:hyperlink>
      <w:r>
        <w:rPr>
          <w:rStyle w:val="Hyperlink"/>
          <w:rFonts w:cs="Arial"/>
          <w:szCs w:val="18"/>
          <w:lang w:val="en-US"/>
        </w:rPr>
        <w:t>.</w:t>
      </w:r>
    </w:p>
  </w:footnote>
  <w:footnote w:id="276">
    <w:p>
      <w:pPr>
        <w:pStyle w:val="FootnoteText"/>
        <w:rPr>
          <w:lang w:val="en-US"/>
        </w:rPr>
      </w:pPr>
      <w:r>
        <w:rPr>
          <w:rStyle w:val="FootnoteReference"/>
        </w:rPr>
        <w:footnoteRef/>
      </w:r>
      <w:r>
        <w:rPr>
          <w:lang w:val="en-US"/>
        </w:rPr>
        <w:t xml:space="preserve"> </w:t>
      </w:r>
      <w:r>
        <w:rPr>
          <w:lang w:val="en-US"/>
        </w:rPr>
        <w:tab/>
        <w:t>Ministerio Fiscal</w:t>
      </w:r>
      <w:r>
        <w:rPr>
          <w:b/>
          <w:lang w:val="en-US"/>
        </w:rPr>
        <w:t xml:space="preserve"> </w:t>
      </w:r>
      <w:hyperlink r:id="rId401" w:history="1">
        <w:r>
          <w:rPr>
            <w:rStyle w:val="Hyperlink"/>
            <w:lang w:val="en-US"/>
          </w:rPr>
          <w:t>C</w:t>
        </w:r>
        <w:r>
          <w:rPr>
            <w:rStyle w:val="Hyperlink"/>
            <w:rFonts w:ascii="Cambria Math" w:hAnsi="Cambria Math"/>
            <w:lang w:val="en-US"/>
          </w:rPr>
          <w:t>‑</w:t>
        </w:r>
        <w:r>
          <w:rPr>
            <w:rStyle w:val="Hyperlink"/>
            <w:lang w:val="en-US"/>
          </w:rPr>
          <w:t>207/16</w:t>
        </w:r>
      </w:hyperlink>
      <w:r>
        <w:rPr>
          <w:rStyle w:val="Hyperlink"/>
          <w:lang w:val="en-US"/>
        </w:rPr>
        <w:t>.</w:t>
      </w:r>
    </w:p>
  </w:footnote>
  <w:footnote w:id="277">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Montero Mateos, </w:t>
      </w:r>
      <w:hyperlink r:id="rId402" w:history="1">
        <w:r>
          <w:rPr>
            <w:rStyle w:val="Hyperlink"/>
            <w:lang w:val="en-US"/>
          </w:rPr>
          <w:t>C-677/16</w:t>
        </w:r>
      </w:hyperlink>
      <w:r>
        <w:rPr>
          <w:rStyle w:val="affairetitle"/>
          <w:lang w:val="en-US"/>
        </w:rPr>
        <w:t>, Grupo Norte Facility,</w:t>
      </w:r>
      <w:r>
        <w:rPr>
          <w:rStyle w:val="Hyperlink"/>
          <w:u w:val="none"/>
          <w:lang w:val="en-US"/>
        </w:rPr>
        <w:t xml:space="preserve"> </w:t>
      </w:r>
      <w:hyperlink r:id="rId403" w:history="1">
        <w:r>
          <w:rPr>
            <w:rStyle w:val="Hyperlink"/>
            <w:lang w:val="en-US"/>
          </w:rPr>
          <w:t>C-574/16</w:t>
        </w:r>
      </w:hyperlink>
      <w:r>
        <w:rPr>
          <w:rStyle w:val="affairetitle"/>
          <w:lang w:val="en-US"/>
        </w:rPr>
        <w:t xml:space="preserve"> and </w:t>
      </w:r>
      <w:r>
        <w:rPr>
          <w:rStyle w:val="Hyperlink"/>
          <w:color w:val="auto"/>
          <w:u w:val="none"/>
          <w:lang w:val="en-US"/>
        </w:rPr>
        <w:t xml:space="preserve">de Diego Porras, </w:t>
      </w:r>
      <w:hyperlink r:id="rId404" w:history="1">
        <w:r>
          <w:rPr>
            <w:rStyle w:val="Hyperlink"/>
            <w:lang w:val="en-US"/>
          </w:rPr>
          <w:t>C-619/17</w:t>
        </w:r>
      </w:hyperlink>
      <w:r>
        <w:rPr>
          <w:rStyle w:val="Hyperlink"/>
          <w:color w:val="auto"/>
          <w:u w:val="none"/>
          <w:lang w:val="en-US"/>
        </w:rPr>
        <w:t>.</w:t>
      </w:r>
    </w:p>
  </w:footnote>
  <w:footnote w:id="278">
    <w:p>
      <w:pPr>
        <w:pStyle w:val="FootnoteText"/>
        <w:rPr>
          <w:lang w:val="en-US"/>
        </w:rPr>
      </w:pPr>
      <w:r>
        <w:rPr>
          <w:rStyle w:val="FootnoteReference"/>
        </w:rPr>
        <w:footnoteRef/>
      </w:r>
      <w:r>
        <w:rPr>
          <w:lang w:val="en-US"/>
        </w:rPr>
        <w:t xml:space="preserve"> </w:t>
      </w:r>
      <w:r>
        <w:rPr>
          <w:lang w:val="en-US"/>
        </w:rPr>
        <w:tab/>
      </w:r>
      <w:r>
        <w:rPr>
          <w:rStyle w:val="Hyperlink"/>
          <w:color w:val="auto"/>
          <w:u w:val="none"/>
          <w:lang w:val="en-US"/>
        </w:rPr>
        <w:t>Gonzalez Castro</w:t>
      </w:r>
      <w:r>
        <w:rPr>
          <w:rStyle w:val="Hyperlink"/>
          <w:lang w:val="en-US"/>
        </w:rPr>
        <w:t>,</w:t>
      </w:r>
      <w:r>
        <w:rPr>
          <w:lang w:val="en-US"/>
        </w:rPr>
        <w:t xml:space="preserve"> </w:t>
      </w:r>
      <w:hyperlink r:id="rId405" w:history="1">
        <w:r>
          <w:rPr>
            <w:rStyle w:val="Hyperlink"/>
            <w:lang w:val="en-US"/>
          </w:rPr>
          <w:t>C-41/17</w:t>
        </w:r>
      </w:hyperlink>
      <w:r>
        <w:rPr>
          <w:rStyle w:val="Hyperlink"/>
          <w:lang w:val="en-US"/>
        </w:rPr>
        <w:t>.</w:t>
      </w:r>
    </w:p>
  </w:footnote>
  <w:footnote w:id="279">
    <w:p>
      <w:pPr>
        <w:pStyle w:val="FootnoteText"/>
        <w:rPr>
          <w:lang w:val="en-US"/>
        </w:rPr>
      </w:pPr>
      <w:r>
        <w:rPr>
          <w:rStyle w:val="FootnoteReference"/>
        </w:rPr>
        <w:footnoteRef/>
      </w:r>
      <w:r>
        <w:rPr>
          <w:lang w:val="en-US"/>
        </w:rPr>
        <w:t xml:space="preserve"> </w:t>
      </w:r>
      <w:r>
        <w:rPr>
          <w:lang w:val="en-US"/>
        </w:rPr>
        <w:tab/>
      </w:r>
      <w:r>
        <w:rPr>
          <w:rFonts w:cs="Arial"/>
          <w:szCs w:val="20"/>
          <w:lang w:val="en-US"/>
        </w:rPr>
        <w:t xml:space="preserve">Porras Guisado, </w:t>
      </w:r>
      <w:hyperlink r:id="rId406" w:history="1">
        <w:r>
          <w:rPr>
            <w:rStyle w:val="Hyperlink"/>
            <w:rFonts w:cs="Arial"/>
            <w:szCs w:val="20"/>
            <w:lang w:val="en-US"/>
          </w:rPr>
          <w:t>C-103/16.</w:t>
        </w:r>
      </w:hyperlink>
    </w:p>
  </w:footnote>
  <w:footnote w:id="280">
    <w:p>
      <w:pPr>
        <w:pStyle w:val="FootnoteText"/>
        <w:rPr>
          <w:lang w:val="fr-BE"/>
        </w:rPr>
      </w:pPr>
      <w:r>
        <w:rPr>
          <w:rStyle w:val="FootnoteReference"/>
        </w:rPr>
        <w:footnoteRef/>
      </w:r>
      <w:r>
        <w:rPr>
          <w:lang w:val="fr-BE"/>
        </w:rPr>
        <w:t xml:space="preserve"> </w:t>
      </w:r>
      <w:r>
        <w:rPr>
          <w:lang w:val="fr-BE"/>
        </w:rPr>
        <w:tab/>
        <w:t xml:space="preserve">Lu Zheng, </w:t>
      </w:r>
      <w:hyperlink r:id="rId407" w:history="1">
        <w:r>
          <w:rPr>
            <w:rStyle w:val="Hyperlink"/>
            <w:lang w:val="fr-BE"/>
          </w:rPr>
          <w:t>C-190/17</w:t>
        </w:r>
      </w:hyperlink>
      <w:r>
        <w:rPr>
          <w:lang w:val="fr-BE"/>
        </w:rPr>
        <w:t>.</w:t>
      </w:r>
    </w:p>
  </w:footnote>
  <w:footnote w:id="281">
    <w:p>
      <w:pPr>
        <w:pStyle w:val="FootnoteText"/>
        <w:rPr>
          <w:lang w:val="es-ES"/>
        </w:rPr>
      </w:pPr>
      <w:r>
        <w:rPr>
          <w:rStyle w:val="FootnoteReference"/>
        </w:rPr>
        <w:footnoteRef/>
      </w:r>
      <w:r>
        <w:rPr>
          <w:lang w:val="es-ES"/>
        </w:rPr>
        <w:t xml:space="preserve"> </w:t>
      </w:r>
      <w:r>
        <w:rPr>
          <w:lang w:val="es-ES"/>
        </w:rPr>
        <w:tab/>
        <w:t xml:space="preserve">Asociación Nacional de Productores de Ganado Porcino, </w:t>
      </w:r>
      <w:hyperlink r:id="rId408" w:history="1">
        <w:r>
          <w:rPr>
            <w:rStyle w:val="Hyperlink"/>
            <w:lang w:val="es-ES"/>
          </w:rPr>
          <w:t>C-169/17</w:t>
        </w:r>
      </w:hyperlink>
      <w:r>
        <w:rPr>
          <w:rStyle w:val="Hyperlink"/>
          <w:lang w:val="es-ES"/>
        </w:rPr>
        <w:t>.</w:t>
      </w:r>
    </w:p>
  </w:footnote>
  <w:footnote w:id="282">
    <w:p>
      <w:pPr>
        <w:pStyle w:val="FootnoteText"/>
        <w:rPr>
          <w:lang w:val="pt-PT"/>
        </w:rPr>
      </w:pPr>
      <w:r>
        <w:rPr>
          <w:rStyle w:val="FootnoteReference"/>
        </w:rPr>
        <w:footnoteRef/>
      </w:r>
      <w:r>
        <w:rPr>
          <w:lang w:val="pt-PT"/>
        </w:rPr>
        <w:t xml:space="preserve"> </w:t>
      </w:r>
      <w:r>
        <w:rPr>
          <w:lang w:val="pt-PT"/>
        </w:rPr>
        <w:tab/>
        <w:t xml:space="preserve">Directive </w:t>
      </w:r>
      <w:hyperlink r:id="rId409" w:history="1">
        <w:r>
          <w:rPr>
            <w:rStyle w:val="Hyperlink"/>
            <w:lang w:val="pt-PT"/>
          </w:rPr>
          <w:t>2012/27/EU</w:t>
        </w:r>
      </w:hyperlink>
      <w:r>
        <w:rPr>
          <w:rStyle w:val="Hyperlink"/>
          <w:lang w:val="pt-PT"/>
        </w:rPr>
        <w:t>,</w:t>
      </w:r>
      <w:r>
        <w:rPr>
          <w:rStyle w:val="affairetitle"/>
          <w:lang w:val="pt-PT"/>
        </w:rPr>
        <w:t xml:space="preserve"> Saras Energía, </w:t>
      </w:r>
      <w:hyperlink r:id="rId410" w:history="1">
        <w:r>
          <w:rPr>
            <w:rStyle w:val="Hyperlink"/>
            <w:lang w:val="pt-PT"/>
          </w:rPr>
          <w:t>C-561/16</w:t>
        </w:r>
      </w:hyperlink>
      <w:r>
        <w:rPr>
          <w:rStyle w:val="affairetitle"/>
          <w:lang w:val="pt-PT"/>
        </w:rPr>
        <w:t>.</w:t>
      </w:r>
    </w:p>
  </w:footnote>
  <w:footnote w:id="283">
    <w:p>
      <w:pPr>
        <w:pStyle w:val="FootnoteText"/>
        <w:rPr>
          <w:lang w:val="pt-PT"/>
        </w:rPr>
      </w:pPr>
      <w:r>
        <w:rPr>
          <w:rStyle w:val="FootnoteReference"/>
        </w:rPr>
        <w:footnoteRef/>
      </w:r>
      <w:r>
        <w:rPr>
          <w:lang w:val="pt-PT"/>
        </w:rPr>
        <w:t xml:space="preserve"> </w:t>
      </w:r>
      <w:r>
        <w:rPr>
          <w:lang w:val="pt-PT"/>
        </w:rPr>
        <w:tab/>
        <w:t xml:space="preserve">Directive </w:t>
      </w:r>
      <w:hyperlink r:id="rId411" w:history="1">
        <w:r>
          <w:rPr>
            <w:rStyle w:val="Hyperlink"/>
            <w:lang w:val="pt-PT"/>
          </w:rPr>
          <w:t>2008/50/EC</w:t>
        </w:r>
      </w:hyperlink>
      <w:r>
        <w:rPr>
          <w:lang w:val="pt-PT"/>
        </w:rPr>
        <w:t>.</w:t>
      </w:r>
    </w:p>
  </w:footnote>
  <w:footnote w:id="284">
    <w:p>
      <w:pPr>
        <w:pStyle w:val="FootnoteText"/>
        <w:rPr>
          <w:lang w:val="pt-PT"/>
        </w:rPr>
      </w:pPr>
      <w:r>
        <w:rPr>
          <w:rStyle w:val="FootnoteReference"/>
        </w:rPr>
        <w:footnoteRef/>
      </w:r>
      <w:r>
        <w:rPr>
          <w:lang w:val="pt-PT"/>
        </w:rPr>
        <w:t xml:space="preserve"> </w:t>
      </w:r>
      <w:r>
        <w:rPr>
          <w:lang w:val="pt-PT"/>
        </w:rPr>
        <w:tab/>
      </w:r>
      <w:r>
        <w:rPr>
          <w:szCs w:val="18"/>
          <w:lang w:val="pt-PT"/>
        </w:rPr>
        <w:t xml:space="preserve">Directive </w:t>
      </w:r>
      <w:hyperlink r:id="rId412" w:history="1">
        <w:r>
          <w:rPr>
            <w:rStyle w:val="Hyperlink"/>
            <w:rFonts w:cs="Arial"/>
            <w:szCs w:val="18"/>
            <w:lang w:val="pt-PT"/>
          </w:rPr>
          <w:t>2008/98/EC</w:t>
        </w:r>
      </w:hyperlink>
      <w:r>
        <w:rPr>
          <w:rFonts w:cs="Arial"/>
          <w:szCs w:val="18"/>
          <w:lang w:val="pt-PT"/>
        </w:rPr>
        <w:t>.</w:t>
      </w:r>
    </w:p>
  </w:footnote>
  <w:footnote w:id="285">
    <w:p>
      <w:pPr>
        <w:pStyle w:val="FootnoteText"/>
        <w:rPr>
          <w:lang w:val="pt-PT"/>
        </w:rPr>
      </w:pPr>
      <w:r>
        <w:rPr>
          <w:rStyle w:val="FootnoteReference"/>
        </w:rPr>
        <w:footnoteRef/>
      </w:r>
      <w:r>
        <w:rPr>
          <w:lang w:val="pt-PT"/>
        </w:rPr>
        <w:t xml:space="preserve"> </w:t>
      </w:r>
      <w:r>
        <w:rPr>
          <w:lang w:val="pt-PT"/>
        </w:rPr>
        <w:tab/>
        <w:t xml:space="preserve">Directive </w:t>
      </w:r>
      <w:hyperlink r:id="rId413" w:history="1">
        <w:r>
          <w:rPr>
            <w:rStyle w:val="Hyperlink"/>
            <w:lang w:val="pt-PT"/>
          </w:rPr>
          <w:t>2002/49/EC</w:t>
        </w:r>
      </w:hyperlink>
      <w:r>
        <w:rPr>
          <w:lang w:val="pt-PT"/>
        </w:rPr>
        <w:t>.</w:t>
      </w:r>
    </w:p>
  </w:footnote>
  <w:footnote w:id="286">
    <w:p>
      <w:pPr>
        <w:pStyle w:val="FootnoteText"/>
        <w:rPr>
          <w:lang w:val="pt-PT"/>
        </w:rPr>
      </w:pPr>
      <w:r>
        <w:rPr>
          <w:rStyle w:val="FootnoteReference"/>
        </w:rPr>
        <w:footnoteRef/>
      </w:r>
      <w:r>
        <w:rPr>
          <w:lang w:val="pt-PT"/>
        </w:rPr>
        <w:t xml:space="preserve"> </w:t>
      </w:r>
      <w:r>
        <w:rPr>
          <w:lang w:val="pt-PT"/>
        </w:rPr>
        <w:tab/>
        <w:t xml:space="preserve">Directive </w:t>
      </w:r>
      <w:hyperlink r:id="rId414" w:history="1">
        <w:r>
          <w:rPr>
            <w:rStyle w:val="Hyperlink"/>
            <w:lang w:val="pt-PT"/>
          </w:rPr>
          <w:t>2002/49/EC</w:t>
        </w:r>
      </w:hyperlink>
      <w:r>
        <w:rPr>
          <w:lang w:val="pt-PT"/>
        </w:rPr>
        <w:t>.</w:t>
      </w:r>
    </w:p>
  </w:footnote>
  <w:footnote w:id="287">
    <w:p>
      <w:pPr>
        <w:pStyle w:val="FootnoteText"/>
        <w:rPr>
          <w:lang w:val="pt-PT"/>
        </w:rPr>
      </w:pPr>
      <w:r>
        <w:rPr>
          <w:rStyle w:val="FootnoteReference"/>
        </w:rPr>
        <w:footnoteRef/>
      </w:r>
      <w:r>
        <w:rPr>
          <w:lang w:val="pt-PT"/>
        </w:rPr>
        <w:t xml:space="preserve"> </w:t>
      </w:r>
      <w:r>
        <w:rPr>
          <w:lang w:val="pt-PT"/>
        </w:rPr>
        <w:tab/>
        <w:t xml:space="preserve">Directive </w:t>
      </w:r>
      <w:hyperlink r:id="rId415" w:history="1">
        <w:r>
          <w:rPr>
            <w:rStyle w:val="Hyperlink"/>
            <w:lang w:val="pt-PT"/>
          </w:rPr>
          <w:t>91/271/EEC</w:t>
        </w:r>
      </w:hyperlink>
      <w:r>
        <w:rPr>
          <w:lang w:val="pt-PT"/>
        </w:rPr>
        <w:t>.</w:t>
      </w:r>
    </w:p>
  </w:footnote>
  <w:footnote w:id="288">
    <w:p>
      <w:pPr>
        <w:pStyle w:val="FootnoteText"/>
        <w:rPr>
          <w:lang w:val="pt-PT"/>
        </w:rPr>
      </w:pPr>
      <w:r>
        <w:rPr>
          <w:rStyle w:val="FootnoteReference"/>
        </w:rPr>
        <w:footnoteRef/>
      </w:r>
      <w:r>
        <w:rPr>
          <w:lang w:val="pt-PT"/>
        </w:rPr>
        <w:t xml:space="preserve"> </w:t>
      </w:r>
      <w:r>
        <w:rPr>
          <w:lang w:val="pt-PT"/>
        </w:rPr>
        <w:tab/>
        <w:t xml:space="preserve">Directive </w:t>
      </w:r>
      <w:hyperlink r:id="rId416" w:history="1">
        <w:r>
          <w:rPr>
            <w:rStyle w:val="Hyperlink"/>
            <w:lang w:val="pt-PT"/>
          </w:rPr>
          <w:t>2005/36/EC</w:t>
        </w:r>
      </w:hyperlink>
      <w:r>
        <w:rPr>
          <w:lang w:val="pt-PT"/>
        </w:rPr>
        <w:t xml:space="preserve">, </w:t>
      </w:r>
      <w:hyperlink r:id="rId417" w:history="1">
        <w:r>
          <w:rPr>
            <w:rStyle w:val="Hyperlink"/>
            <w:lang w:val="pt-PT"/>
          </w:rPr>
          <w:t>MEMO/18/4486</w:t>
        </w:r>
      </w:hyperlink>
      <w:r>
        <w:rPr>
          <w:rStyle w:val="Hyperlink"/>
          <w:lang w:val="pt-PT"/>
        </w:rPr>
        <w:t>.</w:t>
      </w:r>
    </w:p>
  </w:footnote>
  <w:footnote w:id="289">
    <w:p>
      <w:pPr>
        <w:pStyle w:val="FootnoteText"/>
        <w:rPr>
          <w:lang w:val="pt-PT"/>
        </w:rPr>
      </w:pPr>
      <w:r>
        <w:rPr>
          <w:rStyle w:val="FootnoteReference"/>
        </w:rPr>
        <w:footnoteRef/>
      </w:r>
      <w:r>
        <w:rPr>
          <w:lang w:val="pt-PT"/>
        </w:rPr>
        <w:t xml:space="preserve"> </w:t>
      </w:r>
      <w:r>
        <w:rPr>
          <w:lang w:val="pt-PT"/>
        </w:rPr>
        <w:tab/>
        <w:t xml:space="preserve">Directive </w:t>
      </w:r>
      <w:hyperlink r:id="rId418" w:history="1">
        <w:r>
          <w:rPr>
            <w:rStyle w:val="Hyperlink"/>
            <w:lang w:val="pt-PT"/>
          </w:rPr>
          <w:t>2015/2193/EU</w:t>
        </w:r>
      </w:hyperlink>
      <w:r>
        <w:rPr>
          <w:lang w:val="pt-PT"/>
        </w:rPr>
        <w:t xml:space="preserve">, </w:t>
      </w:r>
      <w:hyperlink r:id="rId419" w:history="1">
        <w:r>
          <w:rPr>
            <w:rStyle w:val="Hyperlink"/>
            <w:lang w:val="pt-PT"/>
          </w:rPr>
          <w:t>MEMO/18/3986</w:t>
        </w:r>
      </w:hyperlink>
      <w:r>
        <w:rPr>
          <w:lang w:val="pt-PT"/>
        </w:rPr>
        <w:t>.</w:t>
      </w:r>
    </w:p>
  </w:footnote>
  <w:footnote w:id="290">
    <w:p>
      <w:pPr>
        <w:pStyle w:val="FootnoteText"/>
        <w:rPr>
          <w:lang w:val="pt-PT"/>
        </w:rPr>
      </w:pPr>
      <w:r>
        <w:rPr>
          <w:rStyle w:val="FootnoteReference"/>
        </w:rPr>
        <w:footnoteRef/>
      </w:r>
      <w:r>
        <w:rPr>
          <w:lang w:val="pt-PT"/>
        </w:rPr>
        <w:t xml:space="preserve"> </w:t>
      </w:r>
      <w:r>
        <w:rPr>
          <w:lang w:val="pt-PT"/>
        </w:rPr>
        <w:tab/>
        <w:t xml:space="preserve">Commission Directive </w:t>
      </w:r>
      <w:hyperlink r:id="rId420" w:history="1">
        <w:r>
          <w:rPr>
            <w:rStyle w:val="Hyperlink"/>
            <w:lang w:val="pt-PT"/>
          </w:rPr>
          <w:t>2016/1214/EU</w:t>
        </w:r>
      </w:hyperlink>
      <w:r>
        <w:rPr>
          <w:lang w:val="pt-PT"/>
        </w:rPr>
        <w:t>.</w:t>
      </w:r>
    </w:p>
  </w:footnote>
  <w:footnote w:id="291">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421" w:history="1">
        <w:r>
          <w:rPr>
            <w:rStyle w:val="Hyperlink"/>
            <w:lang w:val="pt-PT"/>
          </w:rPr>
          <w:t>2016/97/EU</w:t>
        </w:r>
      </w:hyperlink>
      <w:r>
        <w:rPr>
          <w:lang w:val="pt-PT"/>
        </w:rPr>
        <w:t>.</w:t>
      </w:r>
    </w:p>
  </w:footnote>
  <w:footnote w:id="292">
    <w:p>
      <w:pPr>
        <w:pStyle w:val="FootnoteText"/>
        <w:rPr>
          <w:lang w:val="pt-PT"/>
        </w:rPr>
      </w:pPr>
      <w:r>
        <w:rPr>
          <w:rStyle w:val="FootnoteReference"/>
        </w:rPr>
        <w:footnoteRef/>
      </w:r>
      <w:r>
        <w:rPr>
          <w:lang w:val="pt-PT"/>
        </w:rPr>
        <w:t xml:space="preserve"> </w:t>
      </w:r>
      <w:r>
        <w:rPr>
          <w:lang w:val="pt-PT"/>
        </w:rPr>
        <w:tab/>
        <w:t xml:space="preserve">Directive </w:t>
      </w:r>
      <w:hyperlink r:id="rId422" w:history="1">
        <w:r>
          <w:rPr>
            <w:rStyle w:val="Hyperlink"/>
            <w:lang w:val="pt-PT"/>
          </w:rPr>
          <w:t>2016/1148/EU</w:t>
        </w:r>
      </w:hyperlink>
      <w:r>
        <w:rPr>
          <w:lang w:val="pt-PT"/>
        </w:rPr>
        <w:t xml:space="preserve">; </w:t>
      </w:r>
      <w:hyperlink r:id="rId423" w:history="1">
        <w:r>
          <w:rPr>
            <w:rStyle w:val="Hyperlink"/>
            <w:lang w:val="pt-PT"/>
          </w:rPr>
          <w:t>MEMO/18/4486</w:t>
        </w:r>
      </w:hyperlink>
      <w:r>
        <w:rPr>
          <w:lang w:val="pt-PT"/>
        </w:rPr>
        <w:t>.</w:t>
      </w:r>
    </w:p>
  </w:footnote>
  <w:footnote w:id="293">
    <w:p>
      <w:pPr>
        <w:pStyle w:val="FootnoteText"/>
        <w:rPr>
          <w:lang w:val="pt-PT"/>
        </w:rPr>
      </w:pPr>
      <w:r>
        <w:rPr>
          <w:rStyle w:val="FootnoteReference"/>
        </w:rPr>
        <w:footnoteRef/>
      </w:r>
      <w:r>
        <w:rPr>
          <w:lang w:val="pt-PT"/>
        </w:rPr>
        <w:t xml:space="preserve"> </w:t>
      </w:r>
      <w:r>
        <w:rPr>
          <w:lang w:val="pt-PT"/>
        </w:rPr>
        <w:tab/>
      </w:r>
      <w:r>
        <w:rPr>
          <w:rFonts w:cs="Arial"/>
          <w:szCs w:val="18"/>
          <w:lang w:val="pt-PT"/>
        </w:rPr>
        <w:t xml:space="preserve">Directive </w:t>
      </w:r>
      <w:hyperlink r:id="rId424" w:history="1">
        <w:r>
          <w:rPr>
            <w:rStyle w:val="Hyperlink"/>
            <w:rFonts w:cs="Arial"/>
            <w:szCs w:val="18"/>
            <w:lang w:val="pt-PT"/>
          </w:rPr>
          <w:t>2016/2102/EU</w:t>
        </w:r>
      </w:hyperlink>
      <w:r>
        <w:rPr>
          <w:rFonts w:cs="Arial"/>
          <w:szCs w:val="18"/>
          <w:lang w:val="pt-PT"/>
        </w:rPr>
        <w:t>.</w:t>
      </w:r>
    </w:p>
  </w:footnote>
  <w:footnote w:id="294">
    <w:p>
      <w:pPr>
        <w:pStyle w:val="FootnoteText"/>
        <w:rPr>
          <w:lang w:val="fr-BE"/>
        </w:rPr>
      </w:pPr>
      <w:r>
        <w:rPr>
          <w:rStyle w:val="FootnoteReference"/>
        </w:rPr>
        <w:footnoteRef/>
      </w:r>
      <w:r>
        <w:rPr>
          <w:lang w:val="fr-BE"/>
        </w:rPr>
        <w:t xml:space="preserve"> </w:t>
      </w:r>
      <w:r>
        <w:rPr>
          <w:lang w:val="fr-BE"/>
        </w:rPr>
        <w:tab/>
        <w:t xml:space="preserve">Directive </w:t>
      </w:r>
      <w:hyperlink r:id="rId425" w:history="1">
        <w:r>
          <w:rPr>
            <w:rStyle w:val="Hyperlink"/>
            <w:rFonts w:cs="Arial"/>
            <w:szCs w:val="18"/>
            <w:lang w:val="fr-BE"/>
          </w:rPr>
          <w:t>2017/1564/EU</w:t>
        </w:r>
      </w:hyperlink>
      <w:r>
        <w:rPr>
          <w:rFonts w:cs="Arial"/>
          <w:szCs w:val="18"/>
          <w:lang w:val="fr-BE"/>
        </w:rPr>
        <w:t>.</w:t>
      </w:r>
    </w:p>
  </w:footnote>
  <w:footnote w:id="295">
    <w:p>
      <w:pPr>
        <w:pStyle w:val="FootnoteText"/>
        <w:rPr>
          <w:lang w:val="fr-BE"/>
        </w:rPr>
      </w:pPr>
      <w:r>
        <w:rPr>
          <w:rStyle w:val="FootnoteReference"/>
        </w:rPr>
        <w:footnoteRef/>
      </w:r>
      <w:r>
        <w:rPr>
          <w:lang w:val="fr-BE"/>
        </w:rPr>
        <w:t xml:space="preserve"> </w:t>
      </w:r>
      <w:r>
        <w:rPr>
          <w:lang w:val="fr-BE"/>
        </w:rPr>
        <w:tab/>
        <w:t xml:space="preserve">Directive </w:t>
      </w:r>
      <w:hyperlink r:id="rId426" w:history="1">
        <w:r>
          <w:rPr>
            <w:rStyle w:val="Hyperlink"/>
            <w:lang w:val="fr-BE"/>
          </w:rPr>
          <w:t>2015/849/EU</w:t>
        </w:r>
      </w:hyperlink>
      <w:r>
        <w:rPr>
          <w:lang w:val="fr-BE"/>
        </w:rPr>
        <w:t>.</w:t>
      </w:r>
    </w:p>
  </w:footnote>
  <w:footnote w:id="296">
    <w:p>
      <w:pPr>
        <w:pStyle w:val="FootnoteText"/>
        <w:rPr>
          <w:lang w:val="fr-BE"/>
        </w:rPr>
      </w:pPr>
      <w:r>
        <w:rPr>
          <w:rStyle w:val="FootnoteReference"/>
        </w:rPr>
        <w:footnoteRef/>
      </w:r>
      <w:r>
        <w:rPr>
          <w:lang w:val="fr-BE"/>
        </w:rPr>
        <w:t xml:space="preserve"> </w:t>
      </w:r>
      <w:r>
        <w:rPr>
          <w:color w:val="FF0000"/>
          <w:lang w:val="fr-BE"/>
        </w:rPr>
        <w:tab/>
      </w:r>
      <w:r>
        <w:rPr>
          <w:szCs w:val="18"/>
          <w:lang w:val="fr-BE"/>
        </w:rPr>
        <w:t xml:space="preserve">Commission Directive </w:t>
      </w:r>
      <w:hyperlink r:id="rId427" w:history="1">
        <w:r>
          <w:rPr>
            <w:rStyle w:val="Hyperlink"/>
            <w:szCs w:val="18"/>
            <w:lang w:val="fr-BE"/>
          </w:rPr>
          <w:t>2017/164/EU</w:t>
        </w:r>
      </w:hyperlink>
      <w:r>
        <w:rPr>
          <w:szCs w:val="18"/>
          <w:lang w:val="fr-BE"/>
        </w:rPr>
        <w:t>.</w:t>
      </w:r>
    </w:p>
  </w:footnote>
  <w:footnote w:id="297">
    <w:p>
      <w:pPr>
        <w:pStyle w:val="FootnoteText"/>
        <w:rPr>
          <w:lang w:val="fr-BE"/>
        </w:rPr>
      </w:pPr>
      <w:r>
        <w:rPr>
          <w:rStyle w:val="FootnoteReference"/>
        </w:rPr>
        <w:footnoteRef/>
      </w:r>
      <w:r>
        <w:rPr>
          <w:lang w:val="fr-BE"/>
        </w:rPr>
        <w:t xml:space="preserve"> </w:t>
      </w:r>
      <w:r>
        <w:rPr>
          <w:lang w:val="fr-BE"/>
        </w:rPr>
        <w:tab/>
        <w:t xml:space="preserve">Directive </w:t>
      </w:r>
      <w:hyperlink r:id="rId428" w:history="1">
        <w:r>
          <w:rPr>
            <w:rStyle w:val="Hyperlink"/>
            <w:lang w:val="fr-BE"/>
          </w:rPr>
          <w:t>2008/50/EC</w:t>
        </w:r>
      </w:hyperlink>
      <w:hyperlink r:id="rId429" w:history="1"/>
      <w:r>
        <w:rPr>
          <w:rStyle w:val="Hyperlink"/>
          <w:lang w:val="fr-BE"/>
        </w:rPr>
        <w:t>,</w:t>
      </w:r>
      <w:r>
        <w:rPr>
          <w:rStyle w:val="affairetitle"/>
          <w:lang w:val="fr-BE"/>
        </w:rPr>
        <w:t xml:space="preserve"> Commission v France,</w:t>
      </w:r>
      <w:r>
        <w:rPr>
          <w:rStyle w:val="Hyperlink"/>
          <w:lang w:val="fr-BE"/>
        </w:rPr>
        <w:t xml:space="preserve"> </w:t>
      </w:r>
      <w:hyperlink r:id="rId430" w:history="1">
        <w:r>
          <w:rPr>
            <w:rStyle w:val="Hyperlink"/>
            <w:lang w:val="fr-BE"/>
          </w:rPr>
          <w:t>C-636/18</w:t>
        </w:r>
      </w:hyperlink>
      <w:r>
        <w:rPr>
          <w:rStyle w:val="Hyperlink"/>
          <w:lang w:val="fr-BE"/>
        </w:rPr>
        <w:t xml:space="preserve">; </w:t>
      </w:r>
      <w:hyperlink r:id="rId431" w:history="1">
        <w:r>
          <w:rPr>
            <w:rStyle w:val="Hyperlink"/>
            <w:lang w:val="fr-BE"/>
          </w:rPr>
          <w:t>IP/18/3450</w:t>
        </w:r>
      </w:hyperlink>
      <w:r>
        <w:rPr>
          <w:rStyle w:val="affairetitle"/>
          <w:lang w:val="fr-BE"/>
        </w:rPr>
        <w:t>.</w:t>
      </w:r>
    </w:p>
  </w:footnote>
  <w:footnote w:id="298">
    <w:p>
      <w:pPr>
        <w:pStyle w:val="FootnoteText"/>
        <w:rPr>
          <w:lang w:val="fr-BE"/>
        </w:rPr>
      </w:pPr>
      <w:r>
        <w:rPr>
          <w:rStyle w:val="FootnoteReference"/>
        </w:rPr>
        <w:footnoteRef/>
      </w:r>
      <w:r>
        <w:rPr>
          <w:lang w:val="fr-BE"/>
        </w:rPr>
        <w:t xml:space="preserve"> </w:t>
      </w:r>
      <w:r>
        <w:rPr>
          <w:lang w:val="fr-BE"/>
        </w:rPr>
        <w:tab/>
        <w:t xml:space="preserve">Directive </w:t>
      </w:r>
      <w:hyperlink r:id="rId432" w:history="1">
        <w:r>
          <w:rPr>
            <w:rStyle w:val="Hyperlink"/>
            <w:lang w:val="fr-BE"/>
          </w:rPr>
          <w:t>2016/2284/EU</w:t>
        </w:r>
      </w:hyperlink>
      <w:r>
        <w:rPr>
          <w:lang w:val="fr-BE"/>
        </w:rPr>
        <w:t>.</w:t>
      </w:r>
    </w:p>
  </w:footnote>
  <w:footnote w:id="299">
    <w:p>
      <w:pPr>
        <w:pStyle w:val="FootnoteText"/>
        <w:rPr>
          <w:lang w:val="fr-BE"/>
        </w:rPr>
      </w:pPr>
      <w:r>
        <w:rPr>
          <w:rStyle w:val="FootnoteReference"/>
        </w:rPr>
        <w:footnoteRef/>
      </w:r>
      <w:r>
        <w:rPr>
          <w:lang w:val="fr-BE"/>
        </w:rPr>
        <w:t xml:space="preserve"> </w:t>
      </w:r>
      <w:r>
        <w:rPr>
          <w:lang w:val="fr-BE"/>
        </w:rPr>
        <w:tab/>
        <w:t xml:space="preserve">Directives </w:t>
      </w:r>
      <w:hyperlink r:id="rId433" w:history="1">
        <w:r>
          <w:rPr>
            <w:rStyle w:val="Hyperlink"/>
            <w:lang w:val="fr-BE"/>
          </w:rPr>
          <w:t>2009/72/EC</w:t>
        </w:r>
      </w:hyperlink>
      <w:r>
        <w:rPr>
          <w:rStyle w:val="Hyperlink"/>
          <w:lang w:val="fr-BE"/>
        </w:rPr>
        <w:t xml:space="preserve"> and </w:t>
      </w:r>
      <w:hyperlink r:id="rId434" w:history="1">
        <w:r>
          <w:rPr>
            <w:rStyle w:val="Hyperlink"/>
            <w:lang w:val="fr-BE"/>
          </w:rPr>
          <w:t>2009/73/EC</w:t>
        </w:r>
      </w:hyperlink>
      <w:r>
        <w:rPr>
          <w:rStyle w:val="Hyperlink"/>
          <w:lang w:val="fr-BE"/>
        </w:rPr>
        <w:t>.</w:t>
      </w:r>
    </w:p>
  </w:footnote>
  <w:footnote w:id="300">
    <w:p>
      <w:pPr>
        <w:pStyle w:val="FootnoteText"/>
        <w:rPr>
          <w:lang w:val="fr-BE"/>
        </w:rPr>
      </w:pPr>
      <w:r>
        <w:rPr>
          <w:rStyle w:val="FootnoteReference"/>
        </w:rPr>
        <w:footnoteRef/>
      </w:r>
      <w:r>
        <w:rPr>
          <w:lang w:val="fr-BE"/>
        </w:rPr>
        <w:t xml:space="preserve"> </w:t>
      </w:r>
      <w:r>
        <w:rPr>
          <w:lang w:val="fr-BE"/>
        </w:rPr>
        <w:tab/>
        <w:t xml:space="preserve">Directive </w:t>
      </w:r>
      <w:hyperlink r:id="rId435" w:history="1">
        <w:r>
          <w:rPr>
            <w:rStyle w:val="Hyperlink"/>
            <w:lang w:val="fr-BE"/>
          </w:rPr>
          <w:t>2014/104/EU</w:t>
        </w:r>
      </w:hyperlink>
      <w:r>
        <w:rPr>
          <w:lang w:val="fr-BE"/>
        </w:rPr>
        <w:t xml:space="preserve">; </w:t>
      </w:r>
      <w:hyperlink r:id="rId436" w:history="1">
        <w:r>
          <w:rPr>
            <w:rStyle w:val="Hyperlink"/>
            <w:rFonts w:cs="Arial"/>
            <w:szCs w:val="18"/>
            <w:lang w:val="fr-BE"/>
          </w:rPr>
          <w:t>MEMO/18/1444</w:t>
        </w:r>
      </w:hyperlink>
      <w:r>
        <w:rPr>
          <w:rStyle w:val="Hyperlink"/>
          <w:rFonts w:cs="Arial"/>
          <w:szCs w:val="18"/>
          <w:lang w:val="fr-BE"/>
        </w:rPr>
        <w:t>.</w:t>
      </w:r>
    </w:p>
  </w:footnote>
  <w:footnote w:id="301">
    <w:p>
      <w:pPr>
        <w:pStyle w:val="FootnoteText"/>
        <w:rPr>
          <w:lang w:val="fr-BE"/>
        </w:rPr>
      </w:pPr>
      <w:r>
        <w:rPr>
          <w:rStyle w:val="FootnoteReference"/>
        </w:rPr>
        <w:footnoteRef/>
      </w:r>
      <w:r>
        <w:rPr>
          <w:lang w:val="fr-BE"/>
        </w:rPr>
        <w:t xml:space="preserve"> </w:t>
      </w:r>
      <w:r>
        <w:rPr>
          <w:lang w:val="fr-BE"/>
        </w:rPr>
        <w:tab/>
        <w:t xml:space="preserve">Directive </w:t>
      </w:r>
      <w:hyperlink r:id="rId437" w:history="1">
        <w:r>
          <w:rPr>
            <w:rStyle w:val="Hyperlink"/>
            <w:lang w:val="fr-BE"/>
          </w:rPr>
          <w:t>2014/26/EU</w:t>
        </w:r>
      </w:hyperlink>
      <w:r>
        <w:rPr>
          <w:lang w:val="fr-BE"/>
        </w:rPr>
        <w:t xml:space="preserve">; </w:t>
      </w:r>
      <w:hyperlink r:id="rId438" w:history="1">
        <w:r>
          <w:rPr>
            <w:rStyle w:val="Hyperlink"/>
            <w:lang w:val="fr-BE"/>
          </w:rPr>
          <w:t>IP/18/353</w:t>
        </w:r>
      </w:hyperlink>
      <w:r>
        <w:rPr>
          <w:lang w:val="fr-BE"/>
        </w:rPr>
        <w:t>.</w:t>
      </w:r>
    </w:p>
  </w:footnote>
  <w:footnote w:id="302">
    <w:p>
      <w:pPr>
        <w:pStyle w:val="FootnoteText"/>
        <w:rPr>
          <w:lang w:val="fr-BE"/>
        </w:rPr>
      </w:pPr>
      <w:r>
        <w:rPr>
          <w:rStyle w:val="FootnoteReference"/>
        </w:rPr>
        <w:footnoteRef/>
      </w:r>
      <w:r>
        <w:rPr>
          <w:lang w:val="fr-BE"/>
        </w:rPr>
        <w:t xml:space="preserve"> </w:t>
      </w:r>
      <w:r>
        <w:rPr>
          <w:lang w:val="fr-BE"/>
        </w:rPr>
        <w:tab/>
        <w:t xml:space="preserve">Directive </w:t>
      </w:r>
      <w:hyperlink r:id="rId439" w:history="1">
        <w:r>
          <w:rPr>
            <w:rStyle w:val="Hyperlink"/>
            <w:lang w:val="fr-BE"/>
          </w:rPr>
          <w:t>652/2015/EC</w:t>
        </w:r>
      </w:hyperlink>
    </w:p>
  </w:footnote>
  <w:footnote w:id="303">
    <w:p>
      <w:pPr>
        <w:pStyle w:val="FootnoteText"/>
        <w:rPr>
          <w:lang w:val="fr-BE"/>
        </w:rPr>
      </w:pPr>
      <w:r>
        <w:rPr>
          <w:rStyle w:val="FootnoteReference"/>
        </w:rPr>
        <w:footnoteRef/>
      </w:r>
      <w:r>
        <w:rPr>
          <w:lang w:val="fr-BE"/>
        </w:rPr>
        <w:t xml:space="preserve"> </w:t>
      </w:r>
      <w:r>
        <w:rPr>
          <w:lang w:val="fr-BE"/>
        </w:rPr>
        <w:tab/>
        <w:t xml:space="preserve">Directive </w:t>
      </w:r>
      <w:hyperlink r:id="rId440" w:history="1">
        <w:r>
          <w:rPr>
            <w:rStyle w:val="Hyperlink"/>
            <w:lang w:val="fr-BE"/>
          </w:rPr>
          <w:t>2014/40/EU</w:t>
        </w:r>
      </w:hyperlink>
      <w:r>
        <w:rPr>
          <w:lang w:val="fr-BE"/>
        </w:rPr>
        <w:t>.</w:t>
      </w:r>
    </w:p>
  </w:footnote>
  <w:footnote w:id="304">
    <w:p>
      <w:pPr>
        <w:pStyle w:val="FootnoteText"/>
        <w:rPr>
          <w:lang w:val="fr-BE"/>
        </w:rPr>
      </w:pPr>
      <w:r>
        <w:rPr>
          <w:rStyle w:val="FootnoteReference"/>
        </w:rPr>
        <w:footnoteRef/>
      </w:r>
      <w:r>
        <w:rPr>
          <w:lang w:val="fr-BE"/>
        </w:rPr>
        <w:t xml:space="preserve"> </w:t>
      </w:r>
      <w:r>
        <w:rPr>
          <w:lang w:val="fr-BE"/>
        </w:rPr>
        <w:tab/>
        <w:t xml:space="preserve">Commission Directive </w:t>
      </w:r>
      <w:hyperlink r:id="rId441" w:history="1">
        <w:r>
          <w:rPr>
            <w:rStyle w:val="Hyperlink"/>
            <w:lang w:val="fr-BE"/>
          </w:rPr>
          <w:t>2016/1214EU</w:t>
        </w:r>
      </w:hyperlink>
      <w:r>
        <w:rPr>
          <w:lang w:val="fr-BE"/>
        </w:rPr>
        <w:t>.</w:t>
      </w:r>
    </w:p>
  </w:footnote>
  <w:footnote w:id="305">
    <w:p>
      <w:pPr>
        <w:pStyle w:val="FootnoteText"/>
        <w:jc w:val="both"/>
        <w:rPr>
          <w:rFonts w:cs="Arial"/>
          <w:lang w:val="fr-BE"/>
        </w:rPr>
      </w:pPr>
      <w:r>
        <w:rPr>
          <w:rStyle w:val="FootnoteReference"/>
          <w:rFonts w:cs="Arial"/>
        </w:rPr>
        <w:footnoteRef/>
      </w:r>
      <w:r>
        <w:rPr>
          <w:rFonts w:cs="Arial"/>
          <w:lang w:val="fr-BE"/>
        </w:rPr>
        <w:t xml:space="preserve"> </w:t>
      </w:r>
      <w:r>
        <w:rPr>
          <w:rFonts w:cs="Arial"/>
          <w:lang w:val="fr-BE"/>
        </w:rPr>
        <w:tab/>
      </w:r>
      <w:r>
        <w:rPr>
          <w:lang w:val="fr-BE"/>
        </w:rPr>
        <w:t xml:space="preserve">Commission v France </w:t>
      </w:r>
      <w:r>
        <w:rPr>
          <w:rStyle w:val="affairetitle"/>
          <w:lang w:val="fr-BE"/>
        </w:rPr>
        <w:t>(Précompte mobilier)</w:t>
      </w:r>
      <w:r>
        <w:rPr>
          <w:lang w:val="fr-BE"/>
        </w:rPr>
        <w:t xml:space="preserve">, </w:t>
      </w:r>
      <w:hyperlink r:id="rId442" w:history="1">
        <w:r>
          <w:rPr>
            <w:rStyle w:val="Hyperlink"/>
            <w:lang w:val="fr-BE"/>
          </w:rPr>
          <w:t>C-416/17</w:t>
        </w:r>
      </w:hyperlink>
      <w:r>
        <w:rPr>
          <w:lang w:val="fr-BE"/>
        </w:rPr>
        <w:t>.</w:t>
      </w:r>
    </w:p>
  </w:footnote>
  <w:footnote w:id="306">
    <w:p>
      <w:pPr>
        <w:pStyle w:val="FootnoteText"/>
        <w:jc w:val="both"/>
        <w:rPr>
          <w:rFonts w:cs="Arial"/>
          <w:sz w:val="20"/>
        </w:rPr>
      </w:pPr>
      <w:r>
        <w:rPr>
          <w:rStyle w:val="FootnoteReference"/>
          <w:rFonts w:cs="Arial"/>
        </w:rPr>
        <w:footnoteRef/>
      </w:r>
      <w:r>
        <w:rPr>
          <w:rFonts w:cs="Arial"/>
        </w:rPr>
        <w:t xml:space="preserve"> </w:t>
      </w:r>
      <w:r>
        <w:rPr>
          <w:rFonts w:cs="Arial"/>
        </w:rPr>
        <w:tab/>
      </w:r>
      <w:r>
        <w:rPr>
          <w:lang w:val="en-US"/>
        </w:rPr>
        <w:t xml:space="preserve">Messer, </w:t>
      </w:r>
      <w:hyperlink r:id="rId443" w:history="1">
        <w:r>
          <w:rPr>
            <w:rStyle w:val="Hyperlink"/>
            <w:lang w:val="en-US"/>
          </w:rPr>
          <w:t>C-103/17</w:t>
        </w:r>
      </w:hyperlink>
      <w:r>
        <w:rPr>
          <w:lang w:val="en-US"/>
        </w:rPr>
        <w:t>.</w:t>
      </w:r>
    </w:p>
  </w:footnote>
  <w:footnote w:id="307">
    <w:p>
      <w:pPr>
        <w:pStyle w:val="FootnoteText"/>
        <w:jc w:val="both"/>
        <w:rPr>
          <w:rFonts w:cs="Arial"/>
        </w:rPr>
      </w:pPr>
      <w:r>
        <w:rPr>
          <w:rStyle w:val="FootnoteReference"/>
          <w:rFonts w:cs="Arial"/>
        </w:rPr>
        <w:footnoteRef/>
      </w:r>
      <w:r>
        <w:rPr>
          <w:rFonts w:cs="Arial"/>
        </w:rPr>
        <w:t xml:space="preserve"> </w:t>
      </w:r>
      <w:r>
        <w:rPr>
          <w:rFonts w:cs="Arial"/>
        </w:rPr>
        <w:tab/>
      </w:r>
      <w:r>
        <w:rPr>
          <w:lang w:val="en-US"/>
        </w:rPr>
        <w:t xml:space="preserve">SOFINA, </w:t>
      </w:r>
      <w:hyperlink r:id="rId444" w:history="1">
        <w:r>
          <w:rPr>
            <w:rStyle w:val="Hyperlink"/>
            <w:lang w:val="en-US"/>
          </w:rPr>
          <w:t>C-575/17</w:t>
        </w:r>
      </w:hyperlink>
      <w:r>
        <w:rPr>
          <w:lang w:val="en-US"/>
        </w:rPr>
        <w:t>.</w:t>
      </w:r>
    </w:p>
  </w:footnote>
  <w:footnote w:id="308">
    <w:p>
      <w:pPr>
        <w:pStyle w:val="FootnoteText"/>
        <w:jc w:val="both"/>
        <w:rPr>
          <w:rFonts w:cs="Arial"/>
          <w:lang w:val="en-IE"/>
        </w:rPr>
      </w:pPr>
      <w:r>
        <w:rPr>
          <w:rStyle w:val="FootnoteReference"/>
          <w:rFonts w:cs="Arial"/>
        </w:rPr>
        <w:footnoteRef/>
      </w:r>
      <w:r>
        <w:rPr>
          <w:rFonts w:cs="Arial"/>
        </w:rPr>
        <w:t xml:space="preserve"> </w:t>
      </w:r>
      <w:r>
        <w:rPr>
          <w:rFonts w:cs="Arial"/>
          <w:lang w:val="en-IE"/>
        </w:rPr>
        <w:tab/>
      </w:r>
      <w:r>
        <w:rPr>
          <w:rFonts w:cs="Arial"/>
        </w:rPr>
        <w:t xml:space="preserve">Directive </w:t>
      </w:r>
      <w:hyperlink r:id="rId445">
        <w:r>
          <w:rPr>
            <w:rStyle w:val="LienInternet"/>
            <w:rFonts w:cs="Arial"/>
          </w:rPr>
          <w:t>98/34/EC</w:t>
        </w:r>
      </w:hyperlink>
      <w:r>
        <w:rPr>
          <w:rFonts w:cs="Arial"/>
        </w:rPr>
        <w:t xml:space="preserve"> and Directive </w:t>
      </w:r>
      <w:hyperlink r:id="rId446">
        <w:r>
          <w:rPr>
            <w:rStyle w:val="LienInternet"/>
            <w:rFonts w:cs="Arial"/>
          </w:rPr>
          <w:t>2006/123/EC</w:t>
        </w:r>
      </w:hyperlink>
      <w:r>
        <w:rPr>
          <w:rFonts w:cs="Arial"/>
        </w:rPr>
        <w:t xml:space="preserve">, Criminal proceedings against Uber France, </w:t>
      </w:r>
      <w:hyperlink r:id="rId447">
        <w:r>
          <w:rPr>
            <w:rStyle w:val="LienInternet"/>
            <w:rFonts w:cs="Arial"/>
          </w:rPr>
          <w:t>C-320/16</w:t>
        </w:r>
      </w:hyperlink>
      <w:r>
        <w:rPr>
          <w:rFonts w:cs="Arial"/>
        </w:rPr>
        <w:t xml:space="preserve"> and Court press release </w:t>
      </w:r>
      <w:hyperlink r:id="rId448">
        <w:r>
          <w:rPr>
            <w:rStyle w:val="LienInternet"/>
            <w:rFonts w:cs="Arial"/>
          </w:rPr>
          <w:t>No 39/18</w:t>
        </w:r>
      </w:hyperlink>
      <w:r>
        <w:rPr>
          <w:rFonts w:cs="Arial"/>
        </w:rPr>
        <w:t>.</w:t>
      </w:r>
    </w:p>
  </w:footnote>
  <w:footnote w:id="309">
    <w:p>
      <w:pPr>
        <w:pStyle w:val="FootnoteText"/>
        <w:jc w:val="both"/>
        <w:rPr>
          <w:rFonts w:cs="Arial"/>
          <w:lang w:val="fr-BE"/>
        </w:rPr>
      </w:pPr>
      <w:r>
        <w:rPr>
          <w:rStyle w:val="FootnoteReference"/>
          <w:rFonts w:cs="Arial"/>
        </w:rPr>
        <w:footnoteRef/>
      </w:r>
      <w:r>
        <w:rPr>
          <w:rFonts w:cs="Arial"/>
          <w:lang w:val="fr-BE"/>
        </w:rPr>
        <w:t xml:space="preserve"> </w:t>
      </w:r>
      <w:r>
        <w:rPr>
          <w:rFonts w:cs="Arial"/>
          <w:lang w:val="fr-BE"/>
        </w:rPr>
        <w:tab/>
      </w:r>
      <w:r>
        <w:rPr>
          <w:rStyle w:val="affairetitle"/>
          <w:lang w:val="fr-BE"/>
        </w:rPr>
        <w:t xml:space="preserve">Hassan, </w:t>
      </w:r>
      <w:hyperlink r:id="rId449" w:history="1">
        <w:r>
          <w:rPr>
            <w:rStyle w:val="Hyperlink"/>
            <w:lang w:val="fr-BE"/>
          </w:rPr>
          <w:t>C</w:t>
        </w:r>
        <w:r>
          <w:rPr>
            <w:rStyle w:val="Hyperlink"/>
            <w:rFonts w:ascii="Cambria Math" w:hAnsi="Cambria Math" w:cs="Cambria Math"/>
            <w:lang w:val="fr-BE"/>
          </w:rPr>
          <w:noBreakHyphen/>
        </w:r>
        <w:r>
          <w:rPr>
            <w:rStyle w:val="Hyperlink"/>
            <w:lang w:val="fr-BE"/>
          </w:rPr>
          <w:t>647/16.</w:t>
        </w:r>
      </w:hyperlink>
    </w:p>
  </w:footnote>
  <w:footnote w:id="310">
    <w:p>
      <w:pPr>
        <w:pStyle w:val="FootnoteText"/>
        <w:rPr>
          <w:rStyle w:val="affairetitle"/>
          <w:rFonts w:asciiTheme="minorHAnsi" w:hAnsiTheme="minorHAnsi"/>
          <w:sz w:val="22"/>
          <w:lang w:val="fr-BE"/>
        </w:rPr>
      </w:pPr>
      <w:r>
        <w:rPr>
          <w:rStyle w:val="FootnoteReference"/>
        </w:rPr>
        <w:footnoteRef/>
      </w:r>
      <w:r>
        <w:rPr>
          <w:lang w:val="fr-BE"/>
        </w:rPr>
        <w:t xml:space="preserve"> </w:t>
      </w:r>
      <w:r>
        <w:rPr>
          <w:lang w:val="fr-BE"/>
        </w:rPr>
        <w:tab/>
        <w:t xml:space="preserve">SCI Château du Grand Bois, </w:t>
      </w:r>
      <w:hyperlink r:id="rId450" w:history="1">
        <w:r>
          <w:rPr>
            <w:rStyle w:val="Hyperlink"/>
            <w:lang w:val="fr-BE"/>
          </w:rPr>
          <w:t>C-59/17</w:t>
        </w:r>
      </w:hyperlink>
      <w:r>
        <w:rPr>
          <w:rStyle w:val="affairetitle"/>
          <w:lang w:val="fr-BE"/>
        </w:rPr>
        <w:t>.</w:t>
      </w:r>
    </w:p>
  </w:footnote>
  <w:footnote w:id="311">
    <w:p>
      <w:pPr>
        <w:pStyle w:val="FootnoteText"/>
        <w:jc w:val="both"/>
        <w:rPr>
          <w:rFonts w:cs="Arial"/>
          <w:lang w:val="en-IE"/>
        </w:rPr>
      </w:pPr>
      <w:r>
        <w:rPr>
          <w:rStyle w:val="FootnoteReference"/>
          <w:rFonts w:cs="Arial"/>
        </w:rPr>
        <w:footnoteRef/>
      </w:r>
      <w:r>
        <w:rPr>
          <w:rFonts w:cs="Arial"/>
          <w:lang w:val="en-IE"/>
        </w:rPr>
        <w:t xml:space="preserve"> </w:t>
      </w:r>
      <w:r>
        <w:rPr>
          <w:rFonts w:cs="Arial"/>
          <w:lang w:val="en-IE"/>
        </w:rPr>
        <w:tab/>
        <w:t xml:space="preserve">Directive </w:t>
      </w:r>
      <w:hyperlink r:id="rId451" w:history="1">
        <w:r>
          <w:rPr>
            <w:rStyle w:val="Hyperlink"/>
            <w:rFonts w:cs="Arial"/>
            <w:lang w:val="en-IE"/>
          </w:rPr>
          <w:t>2001/18/EC</w:t>
        </w:r>
      </w:hyperlink>
      <w:r>
        <w:rPr>
          <w:rFonts w:cs="Arial"/>
          <w:lang w:val="en-IE"/>
        </w:rPr>
        <w:t>.</w:t>
      </w:r>
    </w:p>
  </w:footnote>
  <w:footnote w:id="312">
    <w:p>
      <w:pPr>
        <w:pStyle w:val="FootnoteText"/>
        <w:jc w:val="both"/>
      </w:pPr>
      <w:r>
        <w:rPr>
          <w:rStyle w:val="FootnoteReference"/>
          <w:rFonts w:cs="Arial"/>
        </w:rPr>
        <w:footnoteRef/>
      </w:r>
      <w:r>
        <w:rPr>
          <w:rFonts w:cs="Arial"/>
        </w:rPr>
        <w:t xml:space="preserve"> </w:t>
      </w:r>
      <w:r>
        <w:rPr>
          <w:rFonts w:cs="Arial"/>
        </w:rPr>
        <w:tab/>
        <w:t xml:space="preserve">Confédération paysanne and Others, </w:t>
      </w:r>
      <w:hyperlink r:id="rId452" w:history="1">
        <w:r>
          <w:rPr>
            <w:rStyle w:val="Hyperlink"/>
            <w:rFonts w:cs="Arial"/>
          </w:rPr>
          <w:t>C-528/16</w:t>
        </w:r>
      </w:hyperlink>
      <w:r>
        <w:rPr>
          <w:rFonts w:cs="Arial"/>
        </w:rPr>
        <w:t xml:space="preserve"> and </w:t>
      </w:r>
      <w:hyperlink r:id="rId453" w:history="1">
        <w:r>
          <w:rPr>
            <w:rStyle w:val="Hyperlink"/>
            <w:rFonts w:cs="Arial"/>
          </w:rPr>
          <w:t>press release</w:t>
        </w:r>
      </w:hyperlink>
      <w:r>
        <w:rPr>
          <w:rFonts w:cs="Arial"/>
        </w:rPr>
        <w:t>.</w:t>
      </w:r>
    </w:p>
  </w:footnote>
  <w:footnote w:id="313">
    <w:p>
      <w:pPr>
        <w:pStyle w:val="FootnoteText"/>
        <w:rPr>
          <w:sz w:val="16"/>
        </w:rPr>
      </w:pPr>
      <w:r>
        <w:rPr>
          <w:rStyle w:val="FootnoteReference"/>
          <w:sz w:val="16"/>
        </w:rPr>
        <w:footnoteRef/>
      </w:r>
      <w:r>
        <w:rPr>
          <w:sz w:val="16"/>
        </w:rPr>
        <w:t xml:space="preserve"> </w:t>
      </w:r>
      <w:r>
        <w:t>Croatia joined the EU on 1 July 2014.</w:t>
      </w:r>
    </w:p>
  </w:footnote>
  <w:footnote w:id="314">
    <w:p>
      <w:pPr>
        <w:pStyle w:val="FootnoteText"/>
      </w:pPr>
      <w:r>
        <w:rPr>
          <w:rStyle w:val="FootnoteReference"/>
        </w:rPr>
        <w:footnoteRef/>
      </w:r>
      <w:r>
        <w:t xml:space="preserve"> Croatia joined the EU Pilot system in July 2014.</w:t>
      </w:r>
    </w:p>
  </w:footnote>
  <w:footnote w:id="315">
    <w:p>
      <w:pPr>
        <w:pStyle w:val="FootnoteText"/>
        <w:rPr>
          <w:lang w:val="pt-PT"/>
        </w:rPr>
      </w:pPr>
      <w:r>
        <w:rPr>
          <w:rStyle w:val="FootnoteReference"/>
        </w:rPr>
        <w:footnoteRef/>
      </w:r>
      <w:r>
        <w:rPr>
          <w:lang w:val="pt-PT"/>
        </w:rPr>
        <w:t xml:space="preserve"> </w:t>
      </w:r>
      <w:r>
        <w:rPr>
          <w:lang w:val="pt-PT"/>
        </w:rPr>
        <w:tab/>
        <w:t xml:space="preserve">Directive </w:t>
      </w:r>
      <w:hyperlink r:id="rId454" w:history="1">
        <w:r>
          <w:rPr>
            <w:rStyle w:val="Hyperlink"/>
            <w:lang w:val="pt-PT"/>
          </w:rPr>
          <w:t>92/43/EEC</w:t>
        </w:r>
      </w:hyperlink>
      <w:r>
        <w:rPr>
          <w:lang w:val="pt-PT"/>
        </w:rPr>
        <w:t>.</w:t>
      </w:r>
    </w:p>
  </w:footnote>
  <w:footnote w:id="316">
    <w:p>
      <w:pPr>
        <w:pStyle w:val="FootnoteText"/>
        <w:rPr>
          <w:lang w:val="pt-PT"/>
        </w:rPr>
      </w:pPr>
      <w:r>
        <w:rPr>
          <w:rStyle w:val="FootnoteReference"/>
        </w:rPr>
        <w:footnoteRef/>
      </w:r>
      <w:r>
        <w:rPr>
          <w:lang w:val="pt-PT"/>
        </w:rPr>
        <w:t xml:space="preserve"> </w:t>
      </w:r>
      <w:r>
        <w:rPr>
          <w:lang w:val="pt-PT"/>
        </w:rPr>
        <w:tab/>
        <w:t xml:space="preserve">Directive </w:t>
      </w:r>
      <w:hyperlink r:id="rId455" w:history="1">
        <w:r>
          <w:rPr>
            <w:rStyle w:val="Hyperlink"/>
            <w:lang w:val="pt-PT"/>
          </w:rPr>
          <w:t>2009/147/EC</w:t>
        </w:r>
      </w:hyperlink>
      <w:r>
        <w:rPr>
          <w:lang w:val="pt-PT"/>
        </w:rPr>
        <w:t>.</w:t>
      </w:r>
    </w:p>
  </w:footnote>
  <w:footnote w:id="317">
    <w:p>
      <w:pPr>
        <w:pStyle w:val="FootnoteText"/>
        <w:rPr>
          <w:lang w:val="pt-PT"/>
        </w:rPr>
      </w:pPr>
      <w:r>
        <w:rPr>
          <w:rStyle w:val="FootnoteReference"/>
        </w:rPr>
        <w:footnoteRef/>
      </w:r>
      <w:r>
        <w:rPr>
          <w:lang w:val="pt-PT"/>
        </w:rPr>
        <w:t xml:space="preserve"> </w:t>
      </w:r>
      <w:r>
        <w:rPr>
          <w:lang w:val="pt-PT"/>
        </w:rPr>
        <w:tab/>
        <w:t xml:space="preserve">Directive </w:t>
      </w:r>
      <w:hyperlink r:id="rId456" w:history="1">
        <w:r>
          <w:rPr>
            <w:rStyle w:val="Hyperlink"/>
            <w:lang w:val="pt-PT"/>
          </w:rPr>
          <w:t>2011/92/EU</w:t>
        </w:r>
      </w:hyperlink>
      <w:r>
        <w:rPr>
          <w:lang w:val="pt-PT"/>
        </w:rPr>
        <w:t>.</w:t>
      </w:r>
    </w:p>
  </w:footnote>
  <w:footnote w:id="318">
    <w:p>
      <w:pPr>
        <w:pStyle w:val="FootnoteText"/>
        <w:rPr>
          <w:lang w:val="pt-PT"/>
        </w:rPr>
      </w:pPr>
      <w:r>
        <w:rPr>
          <w:rStyle w:val="FootnoteReference"/>
        </w:rPr>
        <w:footnoteRef/>
      </w:r>
      <w:r>
        <w:rPr>
          <w:lang w:val="pt-PT"/>
        </w:rPr>
        <w:t xml:space="preserve"> </w:t>
      </w:r>
      <w:r>
        <w:rPr>
          <w:lang w:val="pt-PT"/>
        </w:rPr>
        <w:tab/>
        <w:t xml:space="preserve">Directive </w:t>
      </w:r>
      <w:hyperlink r:id="rId457" w:history="1">
        <w:r>
          <w:rPr>
            <w:rStyle w:val="Hyperlink"/>
            <w:lang w:val="pt-PT"/>
          </w:rPr>
          <w:t>2009/21/EC</w:t>
        </w:r>
      </w:hyperlink>
      <w:r>
        <w:rPr>
          <w:lang w:val="pt-PT"/>
        </w:rPr>
        <w:t xml:space="preserve">; </w:t>
      </w:r>
      <w:hyperlink r:id="rId458" w:history="1">
        <w:r>
          <w:rPr>
            <w:rStyle w:val="Hyperlink"/>
            <w:lang w:val="pt-PT"/>
          </w:rPr>
          <w:t>MEMO/18/4486</w:t>
        </w:r>
      </w:hyperlink>
    </w:p>
  </w:footnote>
  <w:footnote w:id="319">
    <w:p>
      <w:pPr>
        <w:pStyle w:val="FootnoteText"/>
        <w:rPr>
          <w:lang w:val="pt-PT"/>
        </w:rPr>
      </w:pPr>
      <w:r>
        <w:rPr>
          <w:rStyle w:val="FootnoteReference"/>
        </w:rPr>
        <w:footnoteRef/>
      </w:r>
      <w:r>
        <w:rPr>
          <w:lang w:val="pt-PT"/>
        </w:rPr>
        <w:t xml:space="preserve"> </w:t>
      </w:r>
      <w:r>
        <w:rPr>
          <w:lang w:val="pt-PT"/>
        </w:rPr>
        <w:tab/>
        <w:t xml:space="preserve">Directive </w:t>
      </w:r>
      <w:hyperlink r:id="rId459" w:history="1">
        <w:r>
          <w:rPr>
            <w:rStyle w:val="Hyperlink"/>
            <w:lang w:val="pt-PT"/>
          </w:rPr>
          <w:t>2011/70/Euratom</w:t>
        </w:r>
      </w:hyperlink>
      <w:r>
        <w:rPr>
          <w:lang w:val="pt-PT"/>
        </w:rPr>
        <w:t xml:space="preserve">, </w:t>
      </w:r>
      <w:hyperlink r:id="rId460" w:history="1">
        <w:r>
          <w:rPr>
            <w:rStyle w:val="Hyperlink"/>
            <w:lang w:val="pt-PT"/>
          </w:rPr>
          <w:t>MEMO/18/3986</w:t>
        </w:r>
      </w:hyperlink>
      <w:r>
        <w:rPr>
          <w:rStyle w:val="Hyperlink"/>
          <w:lang w:val="pt-PT"/>
        </w:rPr>
        <w:t>.</w:t>
      </w:r>
    </w:p>
  </w:footnote>
  <w:footnote w:id="320">
    <w:p>
      <w:pPr>
        <w:pStyle w:val="FootnoteText"/>
        <w:rPr>
          <w:lang w:val="pt-PT"/>
        </w:rPr>
      </w:pPr>
      <w:r>
        <w:rPr>
          <w:rStyle w:val="FootnoteReference"/>
        </w:rPr>
        <w:footnoteRef/>
      </w:r>
      <w:r>
        <w:rPr>
          <w:lang w:val="pt-PT"/>
        </w:rPr>
        <w:t xml:space="preserve"> </w:t>
      </w:r>
      <w:r>
        <w:rPr>
          <w:lang w:val="pt-PT"/>
        </w:rPr>
        <w:tab/>
        <w:t xml:space="preserve">Decision </w:t>
      </w:r>
      <w:hyperlink r:id="rId461" w:history="1">
        <w:r>
          <w:rPr>
            <w:rStyle w:val="Hyperlink"/>
            <w:lang w:val="pt-PT"/>
          </w:rPr>
          <w:t>2017/899/EU</w:t>
        </w:r>
      </w:hyperlink>
      <w:r>
        <w:rPr>
          <w:lang w:val="pt-PT"/>
        </w:rPr>
        <w:t xml:space="preserve">; </w:t>
      </w:r>
      <w:hyperlink r:id="rId462" w:history="1">
        <w:r>
          <w:rPr>
            <w:rStyle w:val="Hyperlink"/>
            <w:lang w:val="pt-PT"/>
          </w:rPr>
          <w:t>MEMO/18/6247</w:t>
        </w:r>
      </w:hyperlink>
      <w:r>
        <w:rPr>
          <w:rStyle w:val="Hyperlink"/>
          <w:lang w:val="pt-PT"/>
        </w:rPr>
        <w:t>.</w:t>
      </w:r>
    </w:p>
  </w:footnote>
  <w:footnote w:id="321">
    <w:p>
      <w:pPr>
        <w:pStyle w:val="FootnoteText"/>
        <w:rPr>
          <w:lang w:val="pt-PT"/>
        </w:rPr>
      </w:pPr>
      <w:r>
        <w:rPr>
          <w:rStyle w:val="FootnoteReference"/>
        </w:rPr>
        <w:footnoteRef/>
      </w:r>
      <w:r>
        <w:rPr>
          <w:lang w:val="pt-PT"/>
        </w:rPr>
        <w:t xml:space="preserve"> </w:t>
      </w:r>
      <w:r>
        <w:rPr>
          <w:lang w:val="pt-PT"/>
        </w:rPr>
        <w:tab/>
        <w:t xml:space="preserve">Directive </w:t>
      </w:r>
      <w:hyperlink r:id="rId463" w:history="1">
        <w:r>
          <w:rPr>
            <w:rStyle w:val="Hyperlink"/>
            <w:lang w:val="pt-PT"/>
          </w:rPr>
          <w:t>2005/36/EC</w:t>
        </w:r>
      </w:hyperlink>
      <w:r>
        <w:rPr>
          <w:rStyle w:val="Hyperlink"/>
          <w:lang w:val="pt-PT"/>
        </w:rPr>
        <w:t>,</w:t>
      </w:r>
      <w:r>
        <w:rPr>
          <w:lang w:val="pt-PT"/>
        </w:rPr>
        <w:t xml:space="preserve"> </w:t>
      </w:r>
      <w:hyperlink r:id="rId464" w:history="1">
        <w:r>
          <w:rPr>
            <w:rStyle w:val="Hyperlink"/>
            <w:lang w:val="pt-PT"/>
          </w:rPr>
          <w:t>MEMO/18/4486</w:t>
        </w:r>
      </w:hyperlink>
      <w:r>
        <w:rPr>
          <w:rStyle w:val="Hyperlink"/>
          <w:lang w:val="pt-PT"/>
        </w:rPr>
        <w:t>.</w:t>
      </w:r>
    </w:p>
  </w:footnote>
  <w:footnote w:id="322">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465" w:history="1">
        <w:r>
          <w:rPr>
            <w:rStyle w:val="Hyperlink"/>
            <w:lang w:val="pt-PT"/>
          </w:rPr>
          <w:t>2015/2366/EU</w:t>
        </w:r>
      </w:hyperlink>
      <w:r>
        <w:rPr>
          <w:lang w:val="pt-PT"/>
        </w:rPr>
        <w:t>.</w:t>
      </w:r>
    </w:p>
  </w:footnote>
  <w:footnote w:id="323">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466" w:history="1">
        <w:r>
          <w:rPr>
            <w:rStyle w:val="Hyperlink"/>
            <w:lang w:val="pt-PT"/>
          </w:rPr>
          <w:t>2016/97/EU</w:t>
        </w:r>
      </w:hyperlink>
      <w:r>
        <w:rPr>
          <w:lang w:val="pt-PT"/>
        </w:rPr>
        <w:t>.</w:t>
      </w:r>
    </w:p>
  </w:footnote>
  <w:footnote w:id="324">
    <w:p>
      <w:pPr>
        <w:pStyle w:val="FootnoteText"/>
        <w:rPr>
          <w:lang w:val="pt-PT"/>
        </w:rPr>
      </w:pPr>
      <w:r>
        <w:rPr>
          <w:rStyle w:val="FootnoteReference"/>
        </w:rPr>
        <w:footnoteRef/>
      </w:r>
      <w:r>
        <w:rPr>
          <w:lang w:val="pt-PT"/>
        </w:rPr>
        <w:t xml:space="preserve"> </w:t>
      </w:r>
      <w:r>
        <w:rPr>
          <w:lang w:val="pt-PT"/>
        </w:rPr>
        <w:tab/>
      </w:r>
      <w:hyperlink r:id="rId467" w:history="1">
        <w:r>
          <w:rPr>
            <w:rStyle w:val="Hyperlink"/>
            <w:color w:val="auto"/>
            <w:u w:val="none"/>
            <w:bdr w:val="none" w:sz="0" w:space="0" w:color="auto" w:frame="1"/>
            <w:lang w:val="pt-PT"/>
          </w:rPr>
          <w:t>Directive</w:t>
        </w:r>
        <w:r>
          <w:rPr>
            <w:rStyle w:val="Hyperlink"/>
            <w:color w:val="347C98"/>
            <w:bdr w:val="none" w:sz="0" w:space="0" w:color="auto" w:frame="1"/>
            <w:lang w:val="pt-PT"/>
          </w:rPr>
          <w:t xml:space="preserve"> 2014/65/EU</w:t>
        </w:r>
      </w:hyperlink>
      <w:r>
        <w:rPr>
          <w:lang w:val="pt-PT"/>
        </w:rPr>
        <w:t xml:space="preserve">; </w:t>
      </w:r>
      <w:hyperlink r:id="rId468" w:history="1">
        <w:r>
          <w:rPr>
            <w:rStyle w:val="Hyperlink"/>
            <w:lang w:val="pt-PT"/>
          </w:rPr>
          <w:t>MEMO/18/349</w:t>
        </w:r>
      </w:hyperlink>
      <w:r>
        <w:rPr>
          <w:lang w:val="pt-PT"/>
        </w:rPr>
        <w:t>.</w:t>
      </w:r>
    </w:p>
  </w:footnote>
  <w:footnote w:id="325">
    <w:p>
      <w:pPr>
        <w:pStyle w:val="FootnoteText"/>
        <w:rPr>
          <w:lang w:val="pt-PT"/>
        </w:rPr>
      </w:pPr>
      <w:r>
        <w:rPr>
          <w:rStyle w:val="FootnoteReference"/>
        </w:rPr>
        <w:footnoteRef/>
      </w:r>
      <w:r>
        <w:rPr>
          <w:lang w:val="pt-PT"/>
        </w:rPr>
        <w:t xml:space="preserve"> </w:t>
      </w:r>
      <w:r>
        <w:rPr>
          <w:lang w:val="pt-PT"/>
        </w:rPr>
        <w:tab/>
        <w:t xml:space="preserve">Directive </w:t>
      </w:r>
      <w:hyperlink r:id="rId469" w:history="1">
        <w:r>
          <w:rPr>
            <w:rStyle w:val="Hyperlink"/>
            <w:lang w:val="pt-PT"/>
          </w:rPr>
          <w:t>2016/1148/EU</w:t>
        </w:r>
      </w:hyperlink>
      <w:r>
        <w:rPr>
          <w:lang w:val="pt-PT"/>
        </w:rPr>
        <w:t xml:space="preserve">; </w:t>
      </w:r>
      <w:hyperlink r:id="rId470" w:history="1">
        <w:r>
          <w:rPr>
            <w:rStyle w:val="Hyperlink"/>
            <w:lang w:val="pt-PT"/>
          </w:rPr>
          <w:t>MEMO/18/4486</w:t>
        </w:r>
      </w:hyperlink>
      <w:r>
        <w:rPr>
          <w:rStyle w:val="Hyperlink"/>
          <w:lang w:val="pt-PT"/>
        </w:rPr>
        <w:t>.</w:t>
      </w:r>
    </w:p>
  </w:footnote>
  <w:footnote w:id="326">
    <w:p>
      <w:pPr>
        <w:pStyle w:val="FootnoteText"/>
        <w:rPr>
          <w:lang w:val="pt-PT"/>
        </w:rPr>
      </w:pPr>
      <w:r>
        <w:rPr>
          <w:rStyle w:val="FootnoteReference"/>
        </w:rPr>
        <w:footnoteRef/>
      </w:r>
      <w:r>
        <w:rPr>
          <w:lang w:val="pt-PT"/>
        </w:rPr>
        <w:t xml:space="preserve"> </w:t>
      </w:r>
      <w:r>
        <w:rPr>
          <w:lang w:val="pt-PT"/>
        </w:rPr>
        <w:tab/>
      </w:r>
      <w:r>
        <w:rPr>
          <w:rFonts w:cs="Arial"/>
          <w:szCs w:val="18"/>
          <w:lang w:val="pt-PT"/>
        </w:rPr>
        <w:t xml:space="preserve">Directive </w:t>
      </w:r>
      <w:hyperlink r:id="rId471" w:history="1">
        <w:r>
          <w:rPr>
            <w:rStyle w:val="Hyperlink"/>
            <w:rFonts w:cs="Arial"/>
            <w:szCs w:val="18"/>
            <w:lang w:val="pt-PT"/>
          </w:rPr>
          <w:t>2016/2102/EU</w:t>
        </w:r>
      </w:hyperlink>
      <w:r>
        <w:rPr>
          <w:rFonts w:cs="Arial"/>
          <w:szCs w:val="18"/>
          <w:lang w:val="pt-PT"/>
        </w:rPr>
        <w:t>.</w:t>
      </w:r>
    </w:p>
  </w:footnote>
  <w:footnote w:id="327">
    <w:p>
      <w:pPr>
        <w:pStyle w:val="FootnoteText"/>
        <w:rPr>
          <w:lang w:val="pt-PT"/>
        </w:rPr>
      </w:pPr>
      <w:r>
        <w:rPr>
          <w:rStyle w:val="FootnoteReference"/>
        </w:rPr>
        <w:footnoteRef/>
      </w:r>
      <w:r>
        <w:rPr>
          <w:lang w:val="pt-PT"/>
        </w:rPr>
        <w:t xml:space="preserve"> </w:t>
      </w:r>
      <w:r>
        <w:rPr>
          <w:lang w:val="pt-PT"/>
        </w:rPr>
        <w:tab/>
        <w:t xml:space="preserve">Directive </w:t>
      </w:r>
      <w:hyperlink r:id="rId472" w:history="1">
        <w:r>
          <w:rPr>
            <w:rStyle w:val="Hyperlink"/>
            <w:lang w:val="pt-PT"/>
          </w:rPr>
          <w:t>2016/680/EU</w:t>
        </w:r>
      </w:hyperlink>
      <w:r>
        <w:rPr>
          <w:lang w:val="pt-PT"/>
        </w:rPr>
        <w:t>.</w:t>
      </w:r>
    </w:p>
  </w:footnote>
  <w:footnote w:id="328">
    <w:p>
      <w:pPr>
        <w:pStyle w:val="FootnoteText"/>
        <w:rPr>
          <w:lang w:val="pt-PT"/>
        </w:rPr>
      </w:pPr>
      <w:r>
        <w:rPr>
          <w:rStyle w:val="FootnoteReference"/>
        </w:rPr>
        <w:footnoteRef/>
      </w:r>
      <w:r>
        <w:rPr>
          <w:lang w:val="pt-PT"/>
        </w:rPr>
        <w:t xml:space="preserve"> </w:t>
      </w:r>
      <w:r>
        <w:rPr>
          <w:lang w:val="pt-PT"/>
        </w:rPr>
        <w:tab/>
        <w:t xml:space="preserve">Directive </w:t>
      </w:r>
      <w:hyperlink r:id="rId473" w:history="1">
        <w:r>
          <w:rPr>
            <w:rStyle w:val="Hyperlink"/>
            <w:lang w:val="pt-PT"/>
          </w:rPr>
          <w:t>2016/343/EU</w:t>
        </w:r>
      </w:hyperlink>
      <w:r>
        <w:rPr>
          <w:lang w:val="pt-PT"/>
        </w:rPr>
        <w:t>.</w:t>
      </w:r>
    </w:p>
  </w:footnote>
  <w:footnote w:id="329">
    <w:p>
      <w:pPr>
        <w:pStyle w:val="FootnoteText"/>
        <w:rPr>
          <w:lang w:val="pt-PT"/>
        </w:rPr>
      </w:pPr>
      <w:r>
        <w:rPr>
          <w:rStyle w:val="FootnoteReference"/>
        </w:rPr>
        <w:footnoteRef/>
      </w:r>
      <w:r>
        <w:rPr>
          <w:lang w:val="pt-PT"/>
        </w:rPr>
        <w:t xml:space="preserve"> </w:t>
      </w:r>
      <w:r>
        <w:rPr>
          <w:lang w:val="pt-PT"/>
        </w:rPr>
        <w:tab/>
        <w:t xml:space="preserve">Directive </w:t>
      </w:r>
      <w:hyperlink r:id="rId474" w:history="1">
        <w:r>
          <w:rPr>
            <w:rStyle w:val="Hyperlink"/>
            <w:lang w:val="pt-PT"/>
          </w:rPr>
          <w:t>2008/98/EC</w:t>
        </w:r>
      </w:hyperlink>
      <w:r>
        <w:rPr>
          <w:rStyle w:val="Hyperlink"/>
          <w:lang w:val="pt-PT"/>
        </w:rPr>
        <w:t>,</w:t>
      </w:r>
      <w:r>
        <w:rPr>
          <w:rStyle w:val="affairetitle"/>
          <w:lang w:val="pt-PT"/>
        </w:rPr>
        <w:t xml:space="preserve"> Commission v Croatia,</w:t>
      </w:r>
      <w:r>
        <w:rPr>
          <w:rStyle w:val="Hyperlink"/>
          <w:lang w:val="pt-PT"/>
        </w:rPr>
        <w:t xml:space="preserve"> </w:t>
      </w:r>
      <w:hyperlink r:id="rId475" w:history="1">
        <w:r>
          <w:rPr>
            <w:rStyle w:val="Hyperlink"/>
            <w:lang w:val="pt-PT"/>
          </w:rPr>
          <w:t>C-250/18</w:t>
        </w:r>
      </w:hyperlink>
      <w:r>
        <w:rPr>
          <w:rStyle w:val="Hyperlink"/>
          <w:lang w:val="pt-PT"/>
        </w:rPr>
        <w:t xml:space="preserve">; </w:t>
      </w:r>
      <w:hyperlink r:id="rId476" w:history="1">
        <w:r>
          <w:rPr>
            <w:rStyle w:val="Hyperlink"/>
            <w:lang w:val="pt-PT"/>
          </w:rPr>
          <w:t>IP/18/1448</w:t>
        </w:r>
      </w:hyperlink>
      <w:r>
        <w:rPr>
          <w:lang w:val="pt-PT"/>
        </w:rPr>
        <w:t>.</w:t>
      </w:r>
    </w:p>
  </w:footnote>
  <w:footnote w:id="330">
    <w:p>
      <w:pPr>
        <w:pStyle w:val="FootnoteText"/>
        <w:rPr>
          <w:lang w:val="pt-PT"/>
        </w:rPr>
      </w:pPr>
      <w:r>
        <w:rPr>
          <w:rStyle w:val="FootnoteReference"/>
        </w:rPr>
        <w:footnoteRef/>
      </w:r>
      <w:r>
        <w:rPr>
          <w:lang w:val="pt-PT"/>
        </w:rPr>
        <w:t xml:space="preserve"> </w:t>
      </w:r>
      <w:r>
        <w:rPr>
          <w:lang w:val="pt-PT"/>
        </w:rPr>
        <w:tab/>
        <w:t xml:space="preserve">Directive </w:t>
      </w:r>
      <w:hyperlink r:id="rId477" w:history="1">
        <w:r>
          <w:rPr>
            <w:rStyle w:val="Hyperlink"/>
            <w:lang w:val="pt-PT"/>
          </w:rPr>
          <w:t>2011/70/Euratom</w:t>
        </w:r>
      </w:hyperlink>
      <w:r>
        <w:rPr>
          <w:rStyle w:val="Hyperlink"/>
          <w:lang w:val="pt-PT"/>
        </w:rPr>
        <w:t xml:space="preserve">, </w:t>
      </w:r>
      <w:r>
        <w:rPr>
          <w:rStyle w:val="affairetitle"/>
          <w:lang w:val="pt-PT"/>
        </w:rPr>
        <w:t xml:space="preserve">Commission v Croatia; </w:t>
      </w:r>
      <w:hyperlink r:id="rId478" w:history="1">
        <w:r>
          <w:rPr>
            <w:rStyle w:val="Hyperlink"/>
            <w:lang w:val="pt-PT"/>
          </w:rPr>
          <w:t>C-391/18</w:t>
        </w:r>
      </w:hyperlink>
      <w:r>
        <w:rPr>
          <w:rStyle w:val="Hyperlink"/>
          <w:lang w:val="pt-PT"/>
        </w:rPr>
        <w:t xml:space="preserve">, </w:t>
      </w:r>
      <w:hyperlink r:id="rId479" w:history="1">
        <w:r>
          <w:rPr>
            <w:rStyle w:val="Hyperlink"/>
            <w:lang w:val="pt-PT"/>
          </w:rPr>
          <w:t>MEMO/18/3446</w:t>
        </w:r>
      </w:hyperlink>
      <w:r>
        <w:rPr>
          <w:rStyle w:val="Hyperlink"/>
          <w:lang w:val="pt-PT"/>
        </w:rPr>
        <w:t>.</w:t>
      </w:r>
    </w:p>
  </w:footnote>
  <w:footnote w:id="331">
    <w:p>
      <w:pPr>
        <w:pStyle w:val="FootnoteText"/>
        <w:rPr>
          <w:lang w:val="pt-PT"/>
        </w:rPr>
      </w:pPr>
      <w:r>
        <w:rPr>
          <w:rStyle w:val="Caractresdenotedebasdepage"/>
          <w:vertAlign w:val="superscript"/>
        </w:rPr>
        <w:footnoteRef/>
      </w:r>
      <w:r>
        <w:rPr>
          <w:rStyle w:val="Caractresdenotedebasdepage"/>
          <w:lang w:val="pt-PT"/>
        </w:rPr>
        <w:tab/>
      </w:r>
      <w:r>
        <w:rPr>
          <w:lang w:val="pt-PT"/>
        </w:rPr>
        <w:t xml:space="preserve">Regulation </w:t>
      </w:r>
      <w:hyperlink r:id="rId480">
        <w:r>
          <w:rPr>
            <w:rStyle w:val="LienInternet"/>
            <w:lang w:val="pt-PT"/>
          </w:rPr>
          <w:t>(EC) No 300/2008</w:t>
        </w:r>
      </w:hyperlink>
      <w:r>
        <w:rPr>
          <w:lang w:val="pt-PT"/>
        </w:rPr>
        <w:t xml:space="preserve"> , </w:t>
      </w:r>
      <w:hyperlink r:id="rId481">
        <w:r>
          <w:rPr>
            <w:rStyle w:val="LienInternet"/>
            <w:lang w:val="pt-PT"/>
          </w:rPr>
          <w:t>IP/18/1450</w:t>
        </w:r>
      </w:hyperlink>
      <w:r>
        <w:rPr>
          <w:rStyle w:val="LienInternet"/>
          <w:lang w:val="pt-PT"/>
        </w:rPr>
        <w:t xml:space="preserve">, </w:t>
      </w:r>
      <w:hyperlink r:id="rId482">
        <w:r>
          <w:rPr>
            <w:rStyle w:val="LienInternet"/>
            <w:lang w:val="pt-PT"/>
          </w:rPr>
          <w:t>MEMO/18/1444</w:t>
        </w:r>
      </w:hyperlink>
      <w:r>
        <w:rPr>
          <w:rStyle w:val="LienInternet"/>
          <w:lang w:val="pt-PT"/>
        </w:rPr>
        <w:t>.</w:t>
      </w:r>
    </w:p>
  </w:footnote>
  <w:footnote w:id="332">
    <w:p>
      <w:pPr>
        <w:pStyle w:val="FootnoteText"/>
        <w:rPr>
          <w:lang w:val="pt-PT"/>
        </w:rPr>
      </w:pPr>
      <w:r>
        <w:rPr>
          <w:rStyle w:val="FootnoteReference"/>
        </w:rPr>
        <w:footnoteRef/>
      </w:r>
      <w:r>
        <w:rPr>
          <w:lang w:val="pt-PT"/>
        </w:rPr>
        <w:t xml:space="preserve"> </w:t>
      </w:r>
      <w:r>
        <w:rPr>
          <w:lang w:val="pt-PT"/>
        </w:rPr>
        <w:tab/>
        <w:t xml:space="preserve">Regulation (EU) No </w:t>
      </w:r>
      <w:hyperlink r:id="rId483" w:history="1">
        <w:r>
          <w:rPr>
            <w:rStyle w:val="Hyperlink"/>
            <w:lang w:val="pt-PT"/>
          </w:rPr>
          <w:t>511/2014</w:t>
        </w:r>
      </w:hyperlink>
      <w:r>
        <w:rPr>
          <w:lang w:val="pt-PT"/>
        </w:rPr>
        <w:t>.</w:t>
      </w:r>
    </w:p>
  </w:footnote>
  <w:footnote w:id="333">
    <w:p>
      <w:pPr>
        <w:pStyle w:val="FootnoteText"/>
        <w:rPr>
          <w:lang w:val="pt-PT"/>
        </w:rPr>
      </w:pPr>
      <w:r>
        <w:rPr>
          <w:rStyle w:val="FootnoteReference"/>
        </w:rPr>
        <w:footnoteRef/>
      </w:r>
      <w:r>
        <w:rPr>
          <w:lang w:val="pt-PT"/>
        </w:rPr>
        <w:t xml:space="preserve"> </w:t>
      </w:r>
      <w:r>
        <w:rPr>
          <w:lang w:val="pt-PT"/>
        </w:rPr>
        <w:tab/>
      </w:r>
      <w:r>
        <w:rPr>
          <w:szCs w:val="18"/>
          <w:lang w:val="pt-PT"/>
        </w:rPr>
        <w:t xml:space="preserve">Directive </w:t>
      </w:r>
      <w:hyperlink r:id="rId484" w:history="1">
        <w:r>
          <w:rPr>
            <w:rStyle w:val="Hyperlink"/>
            <w:rFonts w:cs="Arial"/>
            <w:szCs w:val="18"/>
            <w:lang w:val="pt-PT"/>
          </w:rPr>
          <w:t>2008/98/EC</w:t>
        </w:r>
      </w:hyperlink>
      <w:r>
        <w:rPr>
          <w:rFonts w:cs="Arial"/>
          <w:szCs w:val="18"/>
          <w:lang w:val="pt-PT"/>
        </w:rPr>
        <w:t>.</w:t>
      </w:r>
    </w:p>
  </w:footnote>
  <w:footnote w:id="334">
    <w:p>
      <w:pPr>
        <w:pStyle w:val="FootnoteText"/>
        <w:rPr>
          <w:lang w:val="pt-PT"/>
        </w:rPr>
      </w:pPr>
      <w:r>
        <w:rPr>
          <w:rStyle w:val="FootnoteReference"/>
        </w:rPr>
        <w:footnoteRef/>
      </w:r>
      <w:r>
        <w:rPr>
          <w:lang w:val="pt-PT"/>
        </w:rPr>
        <w:t xml:space="preserve"> </w:t>
      </w:r>
      <w:r>
        <w:rPr>
          <w:lang w:val="pt-PT"/>
        </w:rPr>
        <w:tab/>
        <w:t xml:space="preserve">Directive </w:t>
      </w:r>
      <w:hyperlink r:id="rId485" w:history="1">
        <w:r>
          <w:rPr>
            <w:rStyle w:val="Hyperlink"/>
            <w:lang w:val="pt-PT"/>
          </w:rPr>
          <w:t>2002/49/EC</w:t>
        </w:r>
      </w:hyperlink>
      <w:r>
        <w:rPr>
          <w:lang w:val="pt-PT"/>
        </w:rPr>
        <w:t>.</w:t>
      </w:r>
    </w:p>
  </w:footnote>
  <w:footnote w:id="335">
    <w:p>
      <w:pPr>
        <w:pStyle w:val="FootnoteText"/>
        <w:rPr>
          <w:lang w:val="pt-PT"/>
        </w:rPr>
      </w:pPr>
      <w:r>
        <w:rPr>
          <w:rStyle w:val="FootnoteReference"/>
        </w:rPr>
        <w:footnoteRef/>
      </w:r>
      <w:r>
        <w:rPr>
          <w:lang w:val="pt-PT"/>
        </w:rPr>
        <w:t xml:space="preserve"> </w:t>
      </w:r>
      <w:r>
        <w:rPr>
          <w:lang w:val="pt-PT"/>
        </w:rPr>
        <w:tab/>
        <w:t xml:space="preserve">Directive </w:t>
      </w:r>
      <w:hyperlink r:id="rId486" w:history="1">
        <w:r>
          <w:rPr>
            <w:rStyle w:val="Hyperlink"/>
            <w:lang w:val="pt-PT"/>
          </w:rPr>
          <w:t>2008/56/EC</w:t>
        </w:r>
      </w:hyperlink>
      <w:r>
        <w:rPr>
          <w:lang w:val="pt-PT"/>
        </w:rPr>
        <w:t>.</w:t>
      </w:r>
    </w:p>
  </w:footnote>
  <w:footnote w:id="336">
    <w:p>
      <w:pPr>
        <w:pStyle w:val="FootnoteText"/>
        <w:rPr>
          <w:lang w:val="pt-PT"/>
        </w:rPr>
      </w:pPr>
      <w:r>
        <w:rPr>
          <w:rStyle w:val="FootnoteReference"/>
        </w:rPr>
        <w:footnoteRef/>
      </w:r>
      <w:r>
        <w:rPr>
          <w:lang w:val="pt-PT"/>
        </w:rPr>
        <w:t xml:space="preserve"> </w:t>
      </w:r>
      <w:r>
        <w:rPr>
          <w:lang w:val="pt-PT"/>
        </w:rPr>
        <w:tab/>
        <w:t xml:space="preserve">Directive </w:t>
      </w:r>
      <w:hyperlink r:id="rId487" w:history="1">
        <w:r>
          <w:rPr>
            <w:rStyle w:val="Hyperlink"/>
            <w:lang w:val="pt-PT"/>
          </w:rPr>
          <w:t>2014/104/EU</w:t>
        </w:r>
      </w:hyperlink>
      <w:r>
        <w:rPr>
          <w:lang w:val="pt-PT"/>
        </w:rPr>
        <w:t xml:space="preserve">; </w:t>
      </w:r>
      <w:hyperlink r:id="rId488" w:history="1">
        <w:r>
          <w:rPr>
            <w:rStyle w:val="Hyperlink"/>
            <w:rFonts w:cs="Arial"/>
            <w:szCs w:val="18"/>
            <w:lang w:val="pt-PT"/>
          </w:rPr>
          <w:t>MEMO/18/1444</w:t>
        </w:r>
      </w:hyperlink>
      <w:r>
        <w:rPr>
          <w:rStyle w:val="Hyperlink"/>
          <w:rFonts w:cs="Arial"/>
          <w:szCs w:val="18"/>
          <w:lang w:val="pt-PT"/>
        </w:rPr>
        <w:t>.</w:t>
      </w:r>
    </w:p>
  </w:footnote>
  <w:footnote w:id="337">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489" w:history="1">
        <w:r>
          <w:rPr>
            <w:rStyle w:val="Hyperlink"/>
            <w:lang w:val="pt-PT"/>
          </w:rPr>
          <w:t>2014/17/EU</w:t>
        </w:r>
      </w:hyperlink>
      <w:r>
        <w:rPr>
          <w:lang w:val="pt-PT"/>
        </w:rPr>
        <w:t xml:space="preserve">; </w:t>
      </w:r>
      <w:r>
        <w:rPr>
          <w:rFonts w:eastAsia="Times New Roman" w:cs="Arial"/>
          <w:color w:val="0000FF"/>
          <w:szCs w:val="18"/>
          <w:u w:val="single"/>
          <w:lang w:val="pt-PT" w:eastAsia="en-GB"/>
        </w:rPr>
        <w:t>MEMO/18/1444.</w:t>
      </w:r>
    </w:p>
  </w:footnote>
  <w:footnote w:id="338">
    <w:p>
      <w:pPr>
        <w:pStyle w:val="FootnoteText"/>
        <w:rPr>
          <w:lang w:val="pt-PT"/>
        </w:rPr>
      </w:pPr>
      <w:r>
        <w:rPr>
          <w:rStyle w:val="FootnoteReference"/>
        </w:rPr>
        <w:footnoteRef/>
      </w:r>
      <w:r>
        <w:rPr>
          <w:lang w:val="pt-PT"/>
        </w:rPr>
        <w:t xml:space="preserve"> </w:t>
      </w:r>
      <w:r>
        <w:rPr>
          <w:lang w:val="pt-PT"/>
        </w:rPr>
        <w:tab/>
        <w:t xml:space="preserve">Directive </w:t>
      </w:r>
      <w:hyperlink r:id="rId490" w:history="1">
        <w:r>
          <w:rPr>
            <w:rStyle w:val="Hyperlink"/>
            <w:lang w:val="pt-PT"/>
          </w:rPr>
          <w:t>2013/30/EU</w:t>
        </w:r>
      </w:hyperlink>
      <w:r>
        <w:rPr>
          <w:lang w:val="pt-PT"/>
        </w:rPr>
        <w:t>.</w:t>
      </w:r>
    </w:p>
  </w:footnote>
  <w:footnote w:id="339">
    <w:p>
      <w:pPr>
        <w:pStyle w:val="FootnoteText"/>
        <w:rPr>
          <w:lang w:val="pt-PT"/>
        </w:rPr>
      </w:pPr>
      <w:r>
        <w:rPr>
          <w:rStyle w:val="FootnoteReference"/>
        </w:rPr>
        <w:footnoteRef/>
      </w:r>
      <w:r>
        <w:rPr>
          <w:lang w:val="pt-PT"/>
        </w:rPr>
        <w:t xml:space="preserve"> </w:t>
      </w:r>
      <w:r>
        <w:rPr>
          <w:lang w:val="pt-PT"/>
        </w:rPr>
        <w:tab/>
      </w:r>
      <w:r>
        <w:rPr>
          <w:rFonts w:cs="Arial"/>
          <w:szCs w:val="18"/>
          <w:lang w:val="pt-PT"/>
        </w:rPr>
        <w:t xml:space="preserve">Directive </w:t>
      </w:r>
      <w:hyperlink r:id="rId491" w:history="1">
        <w:r>
          <w:rPr>
            <w:rStyle w:val="Hyperlink"/>
            <w:rFonts w:cs="Arial"/>
            <w:szCs w:val="18"/>
            <w:lang w:val="pt-PT"/>
          </w:rPr>
          <w:t>2013/11/EU</w:t>
        </w:r>
      </w:hyperlink>
      <w:r>
        <w:rPr>
          <w:rFonts w:cs="Arial"/>
          <w:szCs w:val="18"/>
          <w:lang w:val="pt-PT"/>
        </w:rPr>
        <w:t>.</w:t>
      </w:r>
    </w:p>
  </w:footnote>
  <w:footnote w:id="340">
    <w:p>
      <w:pPr>
        <w:pStyle w:val="FootnoteText"/>
        <w:rPr>
          <w:lang w:val="pt-PT"/>
        </w:rPr>
      </w:pPr>
      <w:r>
        <w:rPr>
          <w:rStyle w:val="FootnoteReference"/>
        </w:rPr>
        <w:footnoteRef/>
      </w:r>
      <w:r>
        <w:rPr>
          <w:lang w:val="pt-PT"/>
        </w:rPr>
        <w:t xml:space="preserve"> </w:t>
      </w:r>
      <w:r>
        <w:rPr>
          <w:lang w:val="pt-PT"/>
        </w:rPr>
        <w:tab/>
        <w:t xml:space="preserve">Directive </w:t>
      </w:r>
      <w:hyperlink r:id="rId492" w:history="1">
        <w:r>
          <w:rPr>
            <w:rStyle w:val="Hyperlink"/>
            <w:lang w:val="pt-PT"/>
          </w:rPr>
          <w:t>2014/66/EU</w:t>
        </w:r>
      </w:hyperlink>
      <w:r>
        <w:rPr>
          <w:lang w:val="pt-PT"/>
        </w:rPr>
        <w:t>.</w:t>
      </w:r>
    </w:p>
  </w:footnote>
  <w:footnote w:id="341">
    <w:p>
      <w:pPr>
        <w:pStyle w:val="FootnoteText"/>
        <w:rPr>
          <w:lang w:val="pt-PT"/>
        </w:rPr>
      </w:pPr>
      <w:r>
        <w:rPr>
          <w:rStyle w:val="FootnoteReference"/>
        </w:rPr>
        <w:footnoteRef/>
      </w:r>
      <w:r>
        <w:rPr>
          <w:lang w:val="pt-PT"/>
        </w:rPr>
        <w:t xml:space="preserve"> </w:t>
      </w:r>
      <w:r>
        <w:rPr>
          <w:lang w:val="pt-PT"/>
        </w:rPr>
        <w:tab/>
        <w:t xml:space="preserve">Directive </w:t>
      </w:r>
      <w:hyperlink r:id="rId493" w:history="1">
        <w:r>
          <w:rPr>
            <w:rStyle w:val="Hyperlink"/>
            <w:lang w:val="pt-PT"/>
          </w:rPr>
          <w:t>2015/720/EU</w:t>
        </w:r>
      </w:hyperlink>
      <w:r>
        <w:rPr>
          <w:lang w:val="pt-PT"/>
        </w:rPr>
        <w:t>.</w:t>
      </w:r>
    </w:p>
  </w:footnote>
  <w:footnote w:id="342">
    <w:p>
      <w:pPr>
        <w:pStyle w:val="FootnoteText"/>
        <w:rPr>
          <w:lang w:val="pt-PT"/>
        </w:rPr>
      </w:pPr>
      <w:r>
        <w:rPr>
          <w:rStyle w:val="FootnoteReference"/>
        </w:rPr>
        <w:footnoteRef/>
      </w:r>
      <w:r>
        <w:rPr>
          <w:lang w:val="pt-PT"/>
        </w:rPr>
        <w:t xml:space="preserve"> </w:t>
      </w:r>
      <w:r>
        <w:rPr>
          <w:lang w:val="pt-PT"/>
        </w:rPr>
        <w:tab/>
      </w:r>
      <w:hyperlink r:id="rId494" w:history="1">
        <w:r>
          <w:rPr>
            <w:rStyle w:val="Hyperlink"/>
            <w:rFonts w:cs="Arial"/>
            <w:szCs w:val="18"/>
            <w:lang w:val="pt-PT"/>
          </w:rPr>
          <w:t>IP/18/6265</w:t>
        </w:r>
      </w:hyperlink>
      <w:r>
        <w:rPr>
          <w:rStyle w:val="Hyperlink"/>
          <w:rFonts w:cs="Arial"/>
          <w:szCs w:val="18"/>
          <w:lang w:val="pt-PT"/>
        </w:rPr>
        <w:t>.</w:t>
      </w:r>
    </w:p>
  </w:footnote>
  <w:footnote w:id="343">
    <w:p>
      <w:pPr>
        <w:pStyle w:val="FootnoteText"/>
        <w:rPr>
          <w:lang w:val="pt-PT"/>
        </w:rPr>
      </w:pPr>
      <w:r>
        <w:rPr>
          <w:rStyle w:val="FootnoteReference"/>
        </w:rPr>
        <w:footnoteRef/>
      </w:r>
      <w:r>
        <w:rPr>
          <w:lang w:val="pt-PT"/>
        </w:rPr>
        <w:t xml:space="preserve"> </w:t>
      </w:r>
      <w:r>
        <w:rPr>
          <w:lang w:val="pt-PT"/>
        </w:rPr>
        <w:tab/>
      </w:r>
      <w:hyperlink r:id="rId495" w:history="1">
        <w:r>
          <w:rPr>
            <w:rStyle w:val="Hyperlink"/>
            <w:rFonts w:cs="Arial"/>
            <w:szCs w:val="18"/>
            <w:lang w:val="pt-PT"/>
          </w:rPr>
          <w:t>IP/18/6265</w:t>
        </w:r>
      </w:hyperlink>
      <w:r>
        <w:rPr>
          <w:rStyle w:val="Hyperlink"/>
          <w:rFonts w:cs="Arial"/>
          <w:szCs w:val="18"/>
          <w:lang w:val="pt-PT"/>
        </w:rPr>
        <w:t>.</w:t>
      </w:r>
    </w:p>
  </w:footnote>
  <w:footnote w:id="344">
    <w:p>
      <w:pPr>
        <w:pStyle w:val="FootnoteText"/>
        <w:rPr>
          <w:lang w:val="pt-PT"/>
        </w:rPr>
      </w:pPr>
      <w:r>
        <w:rPr>
          <w:rStyle w:val="FootnoteReference"/>
        </w:rPr>
        <w:footnoteRef/>
      </w:r>
      <w:r>
        <w:rPr>
          <w:lang w:val="pt-PT"/>
        </w:rPr>
        <w:t xml:space="preserve"> </w:t>
      </w:r>
      <w:r>
        <w:rPr>
          <w:lang w:val="pt-PT"/>
        </w:rPr>
        <w:tab/>
        <w:t xml:space="preserve">Directive </w:t>
      </w:r>
      <w:r>
        <w:rPr>
          <w:color w:val="0000FF" w:themeColor="hyperlink"/>
          <w:u w:val="single"/>
          <w:lang w:val="pt-PT"/>
        </w:rPr>
        <w:t xml:space="preserve">2008/106/EC., </w:t>
      </w:r>
      <w:hyperlink r:id="rId496" w:history="1">
        <w:r>
          <w:rPr>
            <w:rStyle w:val="Hyperlink"/>
            <w:lang w:val="pt-PT"/>
          </w:rPr>
          <w:t>MEMO/18/3446</w:t>
        </w:r>
      </w:hyperlink>
      <w:r>
        <w:rPr>
          <w:rStyle w:val="Hyperlink"/>
          <w:lang w:val="pt-PT"/>
        </w:rPr>
        <w:t>.</w:t>
      </w:r>
    </w:p>
  </w:footnote>
  <w:footnote w:id="345">
    <w:p>
      <w:pPr>
        <w:pStyle w:val="FootnoteText"/>
        <w:rPr>
          <w:lang w:val="pt-PT"/>
        </w:rPr>
      </w:pPr>
      <w:r>
        <w:rPr>
          <w:rStyle w:val="FootnoteReference"/>
        </w:rPr>
        <w:footnoteRef/>
      </w:r>
      <w:r>
        <w:rPr>
          <w:lang w:val="pt-PT"/>
        </w:rPr>
        <w:t xml:space="preserve"> </w:t>
      </w:r>
      <w:r>
        <w:rPr>
          <w:lang w:val="pt-PT"/>
        </w:rPr>
        <w:tab/>
        <w:t xml:space="preserve">Directive </w:t>
      </w:r>
      <w:hyperlink r:id="rId497" w:history="1">
        <w:r>
          <w:rPr>
            <w:rStyle w:val="Hyperlink"/>
            <w:lang w:val="pt-PT"/>
          </w:rPr>
          <w:t>2009/81/EC</w:t>
        </w:r>
      </w:hyperlink>
      <w:r>
        <w:rPr>
          <w:lang w:val="pt-PT"/>
        </w:rPr>
        <w:t xml:space="preserve">; </w:t>
      </w:r>
      <w:hyperlink r:id="rId498" w:history="1">
        <w:r>
          <w:rPr>
            <w:rStyle w:val="Hyperlink"/>
            <w:lang w:val="pt-PT"/>
          </w:rPr>
          <w:t>IP/18/357</w:t>
        </w:r>
      </w:hyperlink>
      <w:r>
        <w:rPr>
          <w:lang w:val="pt-PT"/>
        </w:rPr>
        <w:t>.</w:t>
      </w:r>
    </w:p>
  </w:footnote>
  <w:footnote w:id="346">
    <w:p>
      <w:pPr>
        <w:pStyle w:val="FootnoteText"/>
        <w:rPr>
          <w:lang w:val="pt-PT"/>
        </w:rPr>
      </w:pPr>
      <w:r>
        <w:rPr>
          <w:rStyle w:val="FootnoteReference"/>
        </w:rPr>
        <w:footnoteRef/>
      </w:r>
      <w:r>
        <w:rPr>
          <w:lang w:val="pt-PT"/>
        </w:rPr>
        <w:t xml:space="preserve"> </w:t>
      </w:r>
      <w:r>
        <w:rPr>
          <w:lang w:val="pt-PT"/>
        </w:rPr>
        <w:tab/>
        <w:t xml:space="preserve">Directive </w:t>
      </w:r>
      <w:hyperlink r:id="rId499" w:history="1">
        <w:r>
          <w:rPr>
            <w:rStyle w:val="Hyperlink"/>
            <w:lang w:val="pt-PT"/>
          </w:rPr>
          <w:t>2005/36/EC</w:t>
        </w:r>
      </w:hyperlink>
      <w:r>
        <w:rPr>
          <w:rStyle w:val="Hyperlink"/>
          <w:lang w:val="pt-PT"/>
        </w:rPr>
        <w:t>,</w:t>
      </w:r>
      <w:r>
        <w:rPr>
          <w:lang w:val="pt-PT"/>
        </w:rPr>
        <w:t xml:space="preserve"> </w:t>
      </w:r>
      <w:hyperlink r:id="rId500" w:history="1">
        <w:r>
          <w:rPr>
            <w:rStyle w:val="Hyperlink"/>
            <w:lang w:val="pt-PT"/>
          </w:rPr>
          <w:t>MEMO/18/4486</w:t>
        </w:r>
      </w:hyperlink>
      <w:r>
        <w:rPr>
          <w:rStyle w:val="Hyperlink"/>
          <w:lang w:val="pt-PT"/>
        </w:rPr>
        <w:t>.</w:t>
      </w:r>
    </w:p>
  </w:footnote>
  <w:footnote w:id="347">
    <w:p>
      <w:pPr>
        <w:pStyle w:val="FootnoteText"/>
        <w:rPr>
          <w:lang w:val="pt-PT"/>
        </w:rPr>
      </w:pPr>
      <w:r>
        <w:rPr>
          <w:rStyle w:val="FootnoteReference"/>
        </w:rPr>
        <w:footnoteRef/>
      </w:r>
      <w:r>
        <w:rPr>
          <w:lang w:val="pt-PT"/>
        </w:rPr>
        <w:t xml:space="preserve"> </w:t>
      </w:r>
      <w:r>
        <w:rPr>
          <w:lang w:val="pt-PT"/>
        </w:rPr>
        <w:tab/>
        <w:t xml:space="preserve">Directive </w:t>
      </w:r>
      <w:hyperlink r:id="rId501" w:history="1">
        <w:r>
          <w:rPr>
            <w:rStyle w:val="Hyperlink"/>
            <w:lang w:val="pt-PT"/>
          </w:rPr>
          <w:t>2011/70/Euratom</w:t>
        </w:r>
      </w:hyperlink>
      <w:r>
        <w:rPr>
          <w:lang w:val="pt-PT"/>
        </w:rPr>
        <w:t xml:space="preserve">, </w:t>
      </w:r>
      <w:hyperlink r:id="rId502" w:history="1">
        <w:r>
          <w:rPr>
            <w:rStyle w:val="Hyperlink"/>
            <w:lang w:val="pt-PT"/>
          </w:rPr>
          <w:t>MEMO/18/3446</w:t>
        </w:r>
      </w:hyperlink>
      <w:r>
        <w:rPr>
          <w:rStyle w:val="Hyperlink"/>
          <w:lang w:val="pt-PT"/>
        </w:rPr>
        <w:t>.</w:t>
      </w:r>
    </w:p>
  </w:footnote>
  <w:footnote w:id="348">
    <w:p>
      <w:pPr>
        <w:pStyle w:val="FootnoteText"/>
        <w:rPr>
          <w:rFonts w:cs="Arial"/>
          <w:szCs w:val="18"/>
          <w:lang w:val="pt-PT"/>
        </w:rPr>
      </w:pPr>
      <w:r>
        <w:rPr>
          <w:rStyle w:val="FootnoteReference"/>
        </w:rPr>
        <w:footnoteRef/>
      </w:r>
      <w:r>
        <w:rPr>
          <w:lang w:val="pt-PT"/>
        </w:rPr>
        <w:t xml:space="preserve"> </w:t>
      </w:r>
      <w:r>
        <w:rPr>
          <w:lang w:val="pt-PT"/>
        </w:rPr>
        <w:tab/>
        <w:t xml:space="preserve">Directive </w:t>
      </w:r>
      <w:hyperlink r:id="rId503" w:history="1">
        <w:r>
          <w:rPr>
            <w:rStyle w:val="Hyperlink"/>
            <w:lang w:val="pt-PT"/>
          </w:rPr>
          <w:t>2008/56/EC</w:t>
        </w:r>
      </w:hyperlink>
    </w:p>
  </w:footnote>
  <w:footnote w:id="349">
    <w:p>
      <w:pPr>
        <w:pStyle w:val="FootnoteText"/>
        <w:rPr>
          <w:lang w:val="pt-PT"/>
        </w:rPr>
      </w:pPr>
      <w:r>
        <w:rPr>
          <w:rStyle w:val="FootnoteReference"/>
        </w:rPr>
        <w:footnoteRef/>
      </w:r>
      <w:r>
        <w:rPr>
          <w:lang w:val="pt-PT"/>
        </w:rPr>
        <w:t xml:space="preserve"> </w:t>
      </w:r>
      <w:r>
        <w:rPr>
          <w:lang w:val="pt-PT"/>
        </w:rPr>
        <w:tab/>
        <w:t xml:space="preserve">Directive </w:t>
      </w:r>
      <w:hyperlink r:id="rId504" w:history="1">
        <w:r>
          <w:rPr>
            <w:rStyle w:val="Hyperlink"/>
            <w:lang w:val="pt-PT"/>
          </w:rPr>
          <w:t>91/676/EEC</w:t>
        </w:r>
      </w:hyperlink>
      <w:r>
        <w:rPr>
          <w:rStyle w:val="Hyperlink"/>
          <w:lang w:val="pt-PT"/>
        </w:rPr>
        <w:t xml:space="preserve">, </w:t>
      </w:r>
      <w:hyperlink r:id="rId505" w:history="1">
        <w:r>
          <w:rPr>
            <w:rStyle w:val="Hyperlink"/>
            <w:lang w:val="pt-PT"/>
          </w:rPr>
          <w:t>MEMO/18/6247</w:t>
        </w:r>
      </w:hyperlink>
      <w:r>
        <w:rPr>
          <w:lang w:val="pt-PT"/>
        </w:rPr>
        <w:t>.</w:t>
      </w:r>
    </w:p>
  </w:footnote>
  <w:footnote w:id="350">
    <w:p>
      <w:pPr>
        <w:pStyle w:val="FootnoteText"/>
        <w:rPr>
          <w:lang w:val="pt-PT"/>
        </w:rPr>
      </w:pPr>
      <w:r>
        <w:rPr>
          <w:rStyle w:val="FootnoteReference"/>
        </w:rPr>
        <w:footnoteRef/>
      </w:r>
      <w:r>
        <w:rPr>
          <w:lang w:val="pt-PT"/>
        </w:rPr>
        <w:t xml:space="preserve"> </w:t>
      </w:r>
      <w:r>
        <w:rPr>
          <w:lang w:val="pt-PT"/>
        </w:rPr>
        <w:tab/>
        <w:t xml:space="preserve">Directive </w:t>
      </w:r>
      <w:hyperlink r:id="rId506" w:history="1">
        <w:r>
          <w:rPr>
            <w:rStyle w:val="Hyperlink"/>
            <w:lang w:val="pt-PT"/>
          </w:rPr>
          <w:t>91/271/EEC</w:t>
        </w:r>
      </w:hyperlink>
      <w:r>
        <w:rPr>
          <w:lang w:val="pt-PT"/>
        </w:rPr>
        <w:t>,</w:t>
      </w:r>
      <w:r>
        <w:rPr>
          <w:rStyle w:val="Hyperlink"/>
          <w:lang w:val="pt-PT"/>
        </w:rPr>
        <w:t xml:space="preserve"> </w:t>
      </w:r>
      <w:hyperlink r:id="rId507" w:history="1">
        <w:r>
          <w:rPr>
            <w:rStyle w:val="Hyperlink"/>
            <w:lang w:val="pt-PT"/>
          </w:rPr>
          <w:t>MEMO/18/4486</w:t>
        </w:r>
      </w:hyperlink>
      <w:r>
        <w:rPr>
          <w:lang w:val="pt-PT"/>
        </w:rPr>
        <w:t>.</w:t>
      </w:r>
    </w:p>
  </w:footnote>
  <w:footnote w:id="351">
    <w:p>
      <w:pPr>
        <w:pStyle w:val="FootnoteText"/>
        <w:rPr>
          <w:lang w:val="pt-PT"/>
        </w:rPr>
      </w:pPr>
      <w:r>
        <w:rPr>
          <w:rStyle w:val="FootnoteReference"/>
        </w:rPr>
        <w:footnoteRef/>
      </w:r>
      <w:r>
        <w:rPr>
          <w:lang w:val="pt-PT"/>
        </w:rPr>
        <w:t xml:space="preserve"> </w:t>
      </w:r>
      <w:r>
        <w:rPr>
          <w:lang w:val="pt-PT"/>
        </w:rPr>
        <w:tab/>
        <w:t xml:space="preserve">Directive </w:t>
      </w:r>
      <w:hyperlink r:id="rId508" w:history="1">
        <w:r>
          <w:rPr>
            <w:rStyle w:val="Hyperlink"/>
            <w:lang w:val="pt-PT"/>
          </w:rPr>
          <w:t>91/271/EEC</w:t>
        </w:r>
      </w:hyperlink>
      <w:r>
        <w:rPr>
          <w:rStyle w:val="Hyperlink"/>
          <w:lang w:val="pt-PT"/>
        </w:rPr>
        <w:t xml:space="preserve">, </w:t>
      </w:r>
      <w:hyperlink r:id="rId509" w:history="1">
        <w:r>
          <w:rPr>
            <w:rStyle w:val="Hyperlink"/>
            <w:lang w:val="pt-PT"/>
          </w:rPr>
          <w:t>MEMO/18/3446</w:t>
        </w:r>
      </w:hyperlink>
      <w:r>
        <w:rPr>
          <w:lang w:val="pt-PT"/>
        </w:rPr>
        <w:t xml:space="preserve">, Commission v Italy, </w:t>
      </w:r>
      <w:hyperlink r:id="rId510" w:history="1">
        <w:r>
          <w:rPr>
            <w:rStyle w:val="Hyperlink"/>
            <w:lang w:val="pt-PT"/>
          </w:rPr>
          <w:t>C-85/13</w:t>
        </w:r>
      </w:hyperlink>
      <w:r>
        <w:rPr>
          <w:lang w:val="pt-PT"/>
        </w:rPr>
        <w:t>.</w:t>
      </w:r>
    </w:p>
  </w:footnote>
  <w:footnote w:id="352">
    <w:p>
      <w:pPr>
        <w:pStyle w:val="FootnoteText"/>
        <w:rPr>
          <w:lang w:val="pt-PT"/>
        </w:rPr>
      </w:pPr>
      <w:r>
        <w:rPr>
          <w:rStyle w:val="FootnoteReference"/>
        </w:rPr>
        <w:footnoteRef/>
      </w:r>
      <w:r>
        <w:rPr>
          <w:lang w:val="pt-PT"/>
        </w:rPr>
        <w:t xml:space="preserve"> </w:t>
      </w:r>
      <w:r>
        <w:rPr>
          <w:lang w:val="pt-PT"/>
        </w:rPr>
        <w:tab/>
        <w:t xml:space="preserve">Directive </w:t>
      </w:r>
      <w:hyperlink r:id="rId511" w:history="1">
        <w:r>
          <w:rPr>
            <w:rStyle w:val="Hyperlink"/>
            <w:lang w:val="pt-PT"/>
          </w:rPr>
          <w:t>2017/2096/EU</w:t>
        </w:r>
      </w:hyperlink>
      <w:r>
        <w:rPr>
          <w:lang w:val="pt-PT"/>
        </w:rPr>
        <w:t>.</w:t>
      </w:r>
    </w:p>
  </w:footnote>
  <w:footnote w:id="353">
    <w:p>
      <w:pPr>
        <w:pStyle w:val="FootnoteText"/>
        <w:rPr>
          <w:lang w:val="pt-PT"/>
        </w:rPr>
      </w:pPr>
      <w:r>
        <w:rPr>
          <w:rStyle w:val="FootnoteReference"/>
        </w:rPr>
        <w:footnoteRef/>
      </w:r>
      <w:r>
        <w:rPr>
          <w:lang w:val="pt-PT"/>
        </w:rPr>
        <w:t xml:space="preserve"> </w:t>
      </w:r>
      <w:r>
        <w:rPr>
          <w:lang w:val="pt-PT"/>
        </w:rPr>
        <w:tab/>
        <w:t xml:space="preserve">Commission Directive </w:t>
      </w:r>
      <w:hyperlink r:id="rId512" w:history="1">
        <w:r>
          <w:rPr>
            <w:rStyle w:val="Hyperlink"/>
            <w:lang w:val="pt-PT"/>
          </w:rPr>
          <w:t>2016/1214</w:t>
        </w:r>
      </w:hyperlink>
      <w:r>
        <w:rPr>
          <w:rStyle w:val="Hyperlink"/>
          <w:lang w:val="pt-PT"/>
        </w:rPr>
        <w:t>/EU</w:t>
      </w:r>
      <w:r>
        <w:rPr>
          <w:lang w:val="pt-PT"/>
        </w:rPr>
        <w:t>.</w:t>
      </w:r>
    </w:p>
  </w:footnote>
  <w:footnote w:id="354">
    <w:p>
      <w:pPr>
        <w:pStyle w:val="FootnoteText"/>
        <w:rPr>
          <w:lang w:val="pt-PT"/>
        </w:rPr>
      </w:pPr>
      <w:r>
        <w:rPr>
          <w:rStyle w:val="FootnoteReference"/>
        </w:rPr>
        <w:footnoteRef/>
      </w:r>
      <w:r>
        <w:rPr>
          <w:lang w:val="pt-PT"/>
        </w:rPr>
        <w:t xml:space="preserve"> </w:t>
      </w:r>
      <w:r>
        <w:rPr>
          <w:lang w:val="pt-PT"/>
        </w:rPr>
        <w:tab/>
        <w:t xml:space="preserve">Commission Implementing Directive </w:t>
      </w:r>
      <w:hyperlink r:id="rId513" w:history="1">
        <w:r>
          <w:rPr>
            <w:rStyle w:val="Hyperlink"/>
            <w:lang w:val="pt-PT"/>
          </w:rPr>
          <w:t>2017/1279</w:t>
        </w:r>
      </w:hyperlink>
      <w:r>
        <w:rPr>
          <w:rStyle w:val="Hyperlink"/>
          <w:lang w:val="pt-PT"/>
        </w:rPr>
        <w:t>/EU</w:t>
      </w:r>
      <w:r>
        <w:rPr>
          <w:lang w:val="pt-PT"/>
        </w:rPr>
        <w:t>.</w:t>
      </w:r>
    </w:p>
  </w:footnote>
  <w:footnote w:id="355">
    <w:p>
      <w:pPr>
        <w:pStyle w:val="FootnoteText"/>
        <w:rPr>
          <w:lang w:val="pt-PT"/>
        </w:rPr>
      </w:pPr>
      <w:r>
        <w:rPr>
          <w:rStyle w:val="FootnoteReference"/>
        </w:rPr>
        <w:footnoteRef/>
      </w:r>
      <w:r>
        <w:rPr>
          <w:lang w:val="pt-PT"/>
        </w:rPr>
        <w:t xml:space="preserve"> </w:t>
      </w:r>
      <w:r>
        <w:rPr>
          <w:lang w:val="pt-PT"/>
        </w:rPr>
        <w:tab/>
        <w:t xml:space="preserve">Directive </w:t>
      </w:r>
      <w:hyperlink r:id="rId514" w:history="1">
        <w:r>
          <w:rPr>
            <w:rStyle w:val="Hyperlink"/>
            <w:lang w:val="pt-PT"/>
          </w:rPr>
          <w:t>2013/59/Euratom</w:t>
        </w:r>
      </w:hyperlink>
      <w:r>
        <w:rPr>
          <w:lang w:val="pt-PT"/>
        </w:rPr>
        <w:t xml:space="preserve">, </w:t>
      </w:r>
      <w:hyperlink r:id="rId515" w:history="1">
        <w:r>
          <w:rPr>
            <w:rStyle w:val="Hyperlink"/>
            <w:lang w:val="pt-PT"/>
          </w:rPr>
          <w:t>MEMO/18/3446</w:t>
        </w:r>
      </w:hyperlink>
      <w:r>
        <w:rPr>
          <w:rStyle w:val="Hyperlink"/>
          <w:lang w:val="pt-PT"/>
        </w:rPr>
        <w:t>.</w:t>
      </w:r>
    </w:p>
  </w:footnote>
  <w:footnote w:id="356">
    <w:p>
      <w:pPr>
        <w:pStyle w:val="FootnoteText"/>
        <w:rPr>
          <w:lang w:val="pt-PT"/>
        </w:rPr>
      </w:pPr>
      <w:r>
        <w:rPr>
          <w:rStyle w:val="FootnoteReference"/>
        </w:rPr>
        <w:footnoteRef/>
      </w:r>
      <w:r>
        <w:rPr>
          <w:lang w:val="pt-PT"/>
        </w:rPr>
        <w:t xml:space="preserve"> </w:t>
      </w:r>
      <w:r>
        <w:rPr>
          <w:lang w:val="pt-PT"/>
        </w:rPr>
        <w:tab/>
        <w:t xml:space="preserve">Directive </w:t>
      </w:r>
      <w:hyperlink r:id="rId516" w:history="1">
        <w:r>
          <w:rPr>
            <w:rStyle w:val="Hyperlink"/>
            <w:rFonts w:cs="Arial"/>
            <w:szCs w:val="18"/>
            <w:lang w:val="pt-PT"/>
          </w:rPr>
          <w:t>2017/1564/EU</w:t>
        </w:r>
      </w:hyperlink>
      <w:r>
        <w:rPr>
          <w:rFonts w:cs="Arial"/>
          <w:szCs w:val="18"/>
          <w:lang w:val="pt-PT"/>
        </w:rPr>
        <w:t>.</w:t>
      </w:r>
    </w:p>
  </w:footnote>
  <w:footnote w:id="357">
    <w:p>
      <w:pPr>
        <w:pStyle w:val="FootnoteText"/>
        <w:rPr>
          <w:lang w:val="pt-PT"/>
        </w:rPr>
      </w:pPr>
      <w:r>
        <w:rPr>
          <w:rStyle w:val="FootnoteReference"/>
          <w:sz w:val="20"/>
          <w:szCs w:val="20"/>
        </w:rPr>
        <w:footnoteRef/>
      </w:r>
      <w:r>
        <w:rPr>
          <w:sz w:val="20"/>
          <w:szCs w:val="20"/>
          <w:lang w:val="pt-PT"/>
        </w:rPr>
        <w:t xml:space="preserve"> </w:t>
      </w:r>
      <w:r>
        <w:rPr>
          <w:sz w:val="20"/>
          <w:szCs w:val="20"/>
          <w:lang w:val="pt-PT"/>
        </w:rPr>
        <w:tab/>
      </w:r>
      <w:r>
        <w:rPr>
          <w:rStyle w:val="Hyperlink"/>
          <w:color w:val="auto"/>
          <w:szCs w:val="18"/>
          <w:u w:val="none"/>
          <w:bdr w:val="none" w:sz="0" w:space="0" w:color="auto" w:frame="1"/>
          <w:lang w:val="pt-PT"/>
        </w:rPr>
        <w:t xml:space="preserve">Directive </w:t>
      </w:r>
      <w:hyperlink r:id="rId517" w:history="1">
        <w:r>
          <w:rPr>
            <w:rStyle w:val="Hyperlink"/>
            <w:szCs w:val="18"/>
            <w:bdr w:val="none" w:sz="0" w:space="0" w:color="auto" w:frame="1"/>
            <w:lang w:val="pt-PT"/>
          </w:rPr>
          <w:t>2015/1794/EU</w:t>
        </w:r>
      </w:hyperlink>
      <w:r>
        <w:rPr>
          <w:szCs w:val="18"/>
          <w:lang w:val="pt-PT"/>
        </w:rPr>
        <w:t xml:space="preserve">, </w:t>
      </w:r>
      <w:hyperlink r:id="rId518" w:history="1">
        <w:r>
          <w:rPr>
            <w:rStyle w:val="Hyperlink"/>
            <w:lang w:val="pt-PT"/>
          </w:rPr>
          <w:t>MEMO/18/3446</w:t>
        </w:r>
      </w:hyperlink>
      <w:r>
        <w:rPr>
          <w:rStyle w:val="Hyperlink"/>
          <w:color w:val="auto"/>
          <w:szCs w:val="18"/>
          <w:u w:val="none"/>
          <w:lang w:val="pt-PT"/>
        </w:rPr>
        <w:t>.</w:t>
      </w:r>
    </w:p>
  </w:footnote>
  <w:footnote w:id="358">
    <w:p>
      <w:pPr>
        <w:pStyle w:val="FootnoteText"/>
        <w:rPr>
          <w:lang w:val="pt-PT"/>
        </w:rPr>
      </w:pPr>
      <w:r>
        <w:rPr>
          <w:rStyle w:val="FootnoteReference"/>
        </w:rPr>
        <w:footnoteRef/>
      </w:r>
      <w:r>
        <w:rPr>
          <w:lang w:val="pt-PT"/>
        </w:rPr>
        <w:t xml:space="preserve"> </w:t>
      </w:r>
      <w:r>
        <w:rPr>
          <w:lang w:val="pt-PT"/>
        </w:rPr>
        <w:tab/>
        <w:t xml:space="preserve">Directive </w:t>
      </w:r>
      <w:hyperlink r:id="rId519" w:history="1">
        <w:r>
          <w:rPr>
            <w:rStyle w:val="Hyperlink"/>
            <w:lang w:val="pt-PT"/>
          </w:rPr>
          <w:t>2015/2302/EU</w:t>
        </w:r>
      </w:hyperlink>
      <w:r>
        <w:rPr>
          <w:lang w:val="pt-PT"/>
        </w:rPr>
        <w:t>.</w:t>
      </w:r>
    </w:p>
  </w:footnote>
  <w:footnote w:id="359">
    <w:p>
      <w:pPr>
        <w:pStyle w:val="FootnoteText"/>
        <w:rPr>
          <w:lang w:val="pt-PT"/>
        </w:rPr>
      </w:pPr>
      <w:r>
        <w:rPr>
          <w:rStyle w:val="FootnoteReference"/>
        </w:rPr>
        <w:footnoteRef/>
      </w:r>
      <w:r>
        <w:rPr>
          <w:lang w:val="pt-PT"/>
        </w:rPr>
        <w:t xml:space="preserve"> </w:t>
      </w:r>
      <w:r>
        <w:rPr>
          <w:lang w:val="pt-PT"/>
        </w:rPr>
        <w:tab/>
        <w:t xml:space="preserve">Commission Directive </w:t>
      </w:r>
      <w:hyperlink r:id="rId520" w:history="1">
        <w:r>
          <w:rPr>
            <w:rStyle w:val="Hyperlink"/>
            <w:lang w:val="pt-PT"/>
          </w:rPr>
          <w:t>2017/164/EU</w:t>
        </w:r>
      </w:hyperlink>
      <w:r>
        <w:rPr>
          <w:lang w:val="pt-PT"/>
        </w:rPr>
        <w:t>.</w:t>
      </w:r>
    </w:p>
  </w:footnote>
  <w:footnote w:id="360">
    <w:p>
      <w:pPr>
        <w:pStyle w:val="FootnoteText"/>
        <w:rPr>
          <w:lang w:val="pt-PT"/>
        </w:rPr>
      </w:pPr>
      <w:r>
        <w:rPr>
          <w:rStyle w:val="FootnoteReference"/>
        </w:rPr>
        <w:footnoteRef/>
      </w:r>
      <w:r>
        <w:rPr>
          <w:lang w:val="pt-PT"/>
        </w:rPr>
        <w:t xml:space="preserve"> </w:t>
      </w:r>
      <w:r>
        <w:rPr>
          <w:lang w:val="pt-PT"/>
        </w:rPr>
        <w:tab/>
        <w:t xml:space="preserve">Directive </w:t>
      </w:r>
      <w:hyperlink r:id="rId521" w:history="1">
        <w:r>
          <w:rPr>
            <w:rStyle w:val="Hyperlink"/>
            <w:lang w:val="pt-PT"/>
          </w:rPr>
          <w:t>2011/70/Euratom</w:t>
        </w:r>
      </w:hyperlink>
      <w:r>
        <w:rPr>
          <w:rStyle w:val="Hyperlink"/>
          <w:lang w:val="pt-PT"/>
        </w:rPr>
        <w:t xml:space="preserve">, </w:t>
      </w:r>
      <w:r>
        <w:rPr>
          <w:rStyle w:val="affairetitle"/>
          <w:lang w:val="pt-PT"/>
        </w:rPr>
        <w:t>Commission v Italy, ;</w:t>
      </w:r>
      <w:hyperlink r:id="rId522" w:history="1">
        <w:r>
          <w:rPr>
            <w:rStyle w:val="Hyperlink"/>
            <w:lang w:val="pt-PT"/>
          </w:rPr>
          <w:t>C-434/18</w:t>
        </w:r>
      </w:hyperlink>
      <w:r>
        <w:rPr>
          <w:rStyle w:val="affairetitle"/>
          <w:lang w:val="pt-PT"/>
        </w:rPr>
        <w:t xml:space="preserve"> </w:t>
      </w:r>
      <w:r>
        <w:rPr>
          <w:rStyle w:val="Hyperlink"/>
          <w:lang w:val="pt-PT"/>
        </w:rPr>
        <w:t xml:space="preserve">, </w:t>
      </w:r>
      <w:hyperlink r:id="rId523" w:history="1">
        <w:r>
          <w:rPr>
            <w:rStyle w:val="Hyperlink"/>
            <w:lang w:val="pt-PT"/>
          </w:rPr>
          <w:t>MEMO/18/3446</w:t>
        </w:r>
      </w:hyperlink>
      <w:r>
        <w:rPr>
          <w:rStyle w:val="Hyperlink"/>
          <w:lang w:val="pt-PT"/>
        </w:rPr>
        <w:t>.</w:t>
      </w:r>
    </w:p>
  </w:footnote>
  <w:footnote w:id="361">
    <w:p>
      <w:pPr>
        <w:pStyle w:val="FootnoteText"/>
      </w:pPr>
      <w:r>
        <w:rPr>
          <w:rStyle w:val="FootnoteReference"/>
        </w:rPr>
        <w:footnoteRef/>
      </w:r>
      <w:r>
        <w:t xml:space="preserve"> </w:t>
      </w:r>
      <w:r>
        <w:tab/>
        <w:t>PM</w:t>
      </w:r>
      <w:r>
        <w:rPr>
          <w:vertAlign w:val="subscript"/>
        </w:rPr>
        <w:t>10</w:t>
      </w:r>
      <w:r>
        <w:t xml:space="preserve"> is an air pollutant consisting of small particles with an aerodynamic diameter less than or equal to a nominal 10 micrometres. The particles’ small size allows them to penetrate deep into the lungs where they may be deposited and cause adverse health effects. (Source: European Environment Agency)).</w:t>
      </w:r>
    </w:p>
  </w:footnote>
  <w:footnote w:id="362">
    <w:p>
      <w:pPr>
        <w:pStyle w:val="FootnoteText"/>
      </w:pPr>
      <w:r>
        <w:rPr>
          <w:rStyle w:val="FootnoteReference"/>
        </w:rPr>
        <w:footnoteRef/>
      </w:r>
      <w:r>
        <w:t xml:space="preserve"> </w:t>
      </w:r>
      <w:r>
        <w:tab/>
        <w:t xml:space="preserve">Directive </w:t>
      </w:r>
      <w:hyperlink r:id="rId524" w:history="1">
        <w:r>
          <w:rPr>
            <w:rStyle w:val="Hyperlink"/>
          </w:rPr>
          <w:t>2008/50/EC</w:t>
        </w:r>
      </w:hyperlink>
      <w:r>
        <w:rPr>
          <w:rStyle w:val="Hyperlink"/>
        </w:rPr>
        <w:t>,</w:t>
      </w:r>
      <w:r>
        <w:rPr>
          <w:rStyle w:val="affairetitle"/>
        </w:rPr>
        <w:t xml:space="preserve"> Commission v Italy,</w:t>
      </w:r>
      <w:r>
        <w:rPr>
          <w:rStyle w:val="Hyperlink"/>
        </w:rPr>
        <w:t xml:space="preserve"> </w:t>
      </w:r>
      <w:hyperlink r:id="rId525" w:history="1">
        <w:r>
          <w:rPr>
            <w:rStyle w:val="Hyperlink"/>
          </w:rPr>
          <w:t>C-644/18</w:t>
        </w:r>
      </w:hyperlink>
      <w:r>
        <w:rPr>
          <w:rStyle w:val="Hyperlink"/>
        </w:rPr>
        <w:t xml:space="preserve">; </w:t>
      </w:r>
      <w:hyperlink r:id="rId526" w:history="1">
        <w:r>
          <w:rPr>
            <w:rStyle w:val="Hyperlink"/>
          </w:rPr>
          <w:t>IP/18/3450</w:t>
        </w:r>
      </w:hyperlink>
      <w:r>
        <w:rPr>
          <w:rStyle w:val="affairetitle"/>
        </w:rPr>
        <w:t>.</w:t>
      </w:r>
    </w:p>
  </w:footnote>
  <w:footnote w:id="363">
    <w:p>
      <w:pPr>
        <w:pStyle w:val="FootnoteText"/>
      </w:pPr>
      <w:r>
        <w:rPr>
          <w:rStyle w:val="FootnoteReference"/>
        </w:rPr>
        <w:footnoteRef/>
      </w:r>
      <w:r>
        <w:t xml:space="preserve"> </w:t>
      </w:r>
      <w:r>
        <w:tab/>
      </w:r>
      <w:r>
        <w:rPr>
          <w:rStyle w:val="affairetitle"/>
        </w:rPr>
        <w:t>Commission v Italy,</w:t>
      </w:r>
      <w:r>
        <w:t xml:space="preserve"> </w:t>
      </w:r>
      <w:hyperlink r:id="rId527" w:history="1">
        <w:r>
          <w:rPr>
            <w:rStyle w:val="Hyperlink"/>
          </w:rPr>
          <w:t>C-481/18</w:t>
        </w:r>
      </w:hyperlink>
      <w:r>
        <w:rPr>
          <w:rStyle w:val="affairetitle"/>
        </w:rPr>
        <w:t>,</w:t>
      </w:r>
      <w:r>
        <w:t xml:space="preserve"> </w:t>
      </w:r>
      <w:hyperlink r:id="rId528" w:history="1">
        <w:r>
          <w:rPr>
            <w:rStyle w:val="Hyperlink"/>
          </w:rPr>
          <w:t>IP/18/3806</w:t>
        </w:r>
      </w:hyperlink>
      <w:r>
        <w:t>.</w:t>
      </w:r>
    </w:p>
  </w:footnote>
  <w:footnote w:id="364">
    <w:p>
      <w:pPr>
        <w:pStyle w:val="FootnoteText"/>
      </w:pPr>
      <w:r>
        <w:rPr>
          <w:rStyle w:val="FootnoteReference"/>
        </w:rPr>
        <w:footnoteRef/>
      </w:r>
      <w:r>
        <w:t xml:space="preserve"> </w:t>
      </w:r>
      <w:r>
        <w:tab/>
      </w:r>
      <w:r>
        <w:rPr>
          <w:rStyle w:val="affairetitle"/>
        </w:rPr>
        <w:t>Commission v Italy,</w:t>
      </w:r>
      <w:r>
        <w:t xml:space="preserve"> </w:t>
      </w:r>
      <w:hyperlink r:id="rId529" w:history="1">
        <w:r>
          <w:rPr>
            <w:rStyle w:val="Hyperlink"/>
          </w:rPr>
          <w:t>C-443/18</w:t>
        </w:r>
      </w:hyperlink>
      <w:r>
        <w:rPr>
          <w:rStyle w:val="affairetitle"/>
        </w:rPr>
        <w:t>,</w:t>
      </w:r>
      <w:r>
        <w:t xml:space="preserve"> </w:t>
      </w:r>
      <w:hyperlink r:id="rId530" w:history="1">
        <w:r>
          <w:rPr>
            <w:rStyle w:val="Hyperlink"/>
          </w:rPr>
          <w:t>IP/18/3805.</w:t>
        </w:r>
      </w:hyperlink>
    </w:p>
  </w:footnote>
  <w:footnote w:id="365">
    <w:p>
      <w:pPr>
        <w:pStyle w:val="FootnoteText"/>
        <w:rPr>
          <w:lang w:val="fr-BE"/>
        </w:rPr>
      </w:pPr>
      <w:r>
        <w:rPr>
          <w:rStyle w:val="FootnoteReference"/>
        </w:rPr>
        <w:footnoteRef/>
      </w:r>
      <w:r>
        <w:rPr>
          <w:lang w:val="fr-BE"/>
        </w:rPr>
        <w:t xml:space="preserve"> </w:t>
      </w:r>
      <w:r>
        <w:rPr>
          <w:lang w:val="fr-BE"/>
        </w:rPr>
        <w:tab/>
      </w:r>
      <w:r>
        <w:rPr>
          <w:rStyle w:val="affairetitle"/>
          <w:lang w:val="fr-BE"/>
        </w:rPr>
        <w:t xml:space="preserve">Commission v Italy, </w:t>
      </w:r>
      <w:hyperlink r:id="rId531" w:history="1">
        <w:r>
          <w:rPr>
            <w:rStyle w:val="Hyperlink"/>
            <w:lang w:val="fr-BE"/>
          </w:rPr>
          <w:t>C-122/18</w:t>
        </w:r>
      </w:hyperlink>
      <w:r>
        <w:rPr>
          <w:rStyle w:val="affairetitle"/>
          <w:lang w:val="fr-BE"/>
        </w:rPr>
        <w:t xml:space="preserve">, Directive </w:t>
      </w:r>
      <w:hyperlink r:id="rId532" w:history="1">
        <w:r>
          <w:rPr>
            <w:rStyle w:val="Hyperlink"/>
            <w:rFonts w:cs="Arial"/>
            <w:szCs w:val="20"/>
            <w:lang w:val="fr-BE"/>
          </w:rPr>
          <w:t>2011/7/EU</w:t>
        </w:r>
      </w:hyperlink>
      <w:r>
        <w:rPr>
          <w:rFonts w:cs="Arial"/>
          <w:szCs w:val="20"/>
          <w:lang w:val="fr-BE"/>
        </w:rPr>
        <w:t>.</w:t>
      </w:r>
    </w:p>
  </w:footnote>
  <w:footnote w:id="366">
    <w:p>
      <w:pPr>
        <w:pStyle w:val="FootnoteText"/>
        <w:rPr>
          <w:lang w:val="fr-BE"/>
        </w:rPr>
      </w:pPr>
      <w:r>
        <w:rPr>
          <w:rStyle w:val="FootnoteReference"/>
        </w:rPr>
        <w:footnoteRef/>
      </w:r>
      <w:r>
        <w:rPr>
          <w:lang w:val="fr-BE"/>
        </w:rPr>
        <w:t xml:space="preserve"> </w:t>
      </w:r>
      <w:r>
        <w:rPr>
          <w:lang w:val="fr-BE"/>
        </w:rPr>
        <w:tab/>
      </w:r>
      <w:r>
        <w:rPr>
          <w:rStyle w:val="affairetitle"/>
          <w:lang w:val="fr-BE"/>
        </w:rPr>
        <w:t>Commission v Italy,</w:t>
      </w:r>
      <w:r>
        <w:rPr>
          <w:rStyle w:val="Hyperlink"/>
          <w:lang w:val="fr-BE"/>
        </w:rPr>
        <w:t xml:space="preserve"> </w:t>
      </w:r>
      <w:hyperlink r:id="rId533" w:history="1">
        <w:r>
          <w:rPr>
            <w:rStyle w:val="Hyperlink"/>
            <w:lang w:val="fr-BE"/>
          </w:rPr>
          <w:t>C-304/18</w:t>
        </w:r>
      </w:hyperlink>
      <w:r>
        <w:rPr>
          <w:rStyle w:val="affairetitle"/>
          <w:lang w:val="fr-BE"/>
        </w:rPr>
        <w:t>.</w:t>
      </w:r>
    </w:p>
  </w:footnote>
  <w:footnote w:id="367">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Commission v Italy,</w:t>
      </w:r>
      <w:r>
        <w:rPr>
          <w:lang w:val="fr-BE"/>
        </w:rPr>
        <w:t xml:space="preserve"> </w:t>
      </w:r>
      <w:hyperlink r:id="rId534" w:history="1">
        <w:r>
          <w:rPr>
            <w:rStyle w:val="Hyperlink"/>
            <w:lang w:val="fr-BE"/>
          </w:rPr>
          <w:t>C-576/18</w:t>
        </w:r>
      </w:hyperlink>
      <w:r>
        <w:rPr>
          <w:rStyle w:val="Hyperlink"/>
          <w:color w:val="auto"/>
          <w:u w:val="none"/>
          <w:lang w:val="fr-BE"/>
        </w:rPr>
        <w:t>.</w:t>
      </w:r>
    </w:p>
  </w:footnote>
  <w:footnote w:id="368">
    <w:p>
      <w:pPr>
        <w:pStyle w:val="FootnoteText"/>
        <w:rPr>
          <w:lang w:val="fr-BE"/>
        </w:rPr>
      </w:pPr>
      <w:r>
        <w:rPr>
          <w:rStyle w:val="FootnoteReference"/>
        </w:rPr>
        <w:footnoteRef/>
      </w:r>
      <w:r>
        <w:rPr>
          <w:lang w:val="fr-BE"/>
        </w:rPr>
        <w:t xml:space="preserve"> </w:t>
      </w:r>
      <w:r>
        <w:rPr>
          <w:lang w:val="fr-BE"/>
        </w:rPr>
        <w:tab/>
      </w:r>
      <w:r>
        <w:rPr>
          <w:szCs w:val="18"/>
          <w:lang w:val="fr-BE"/>
        </w:rPr>
        <w:t xml:space="preserve">Directive </w:t>
      </w:r>
      <w:hyperlink r:id="rId535" w:history="1">
        <w:r>
          <w:rPr>
            <w:rStyle w:val="Hyperlink"/>
            <w:rFonts w:cs="Arial"/>
            <w:szCs w:val="18"/>
            <w:lang w:val="fr-BE"/>
          </w:rPr>
          <w:t>2008/98/EC</w:t>
        </w:r>
      </w:hyperlink>
      <w:r>
        <w:rPr>
          <w:lang w:val="fr-BE"/>
        </w:rPr>
        <w:t>.</w:t>
      </w:r>
    </w:p>
  </w:footnote>
  <w:footnote w:id="369">
    <w:p>
      <w:pPr>
        <w:pStyle w:val="FootnoteText"/>
        <w:rPr>
          <w:lang w:val="fr-BE"/>
        </w:rPr>
      </w:pPr>
      <w:r>
        <w:rPr>
          <w:rStyle w:val="FootnoteReference"/>
        </w:rPr>
        <w:footnoteRef/>
      </w:r>
      <w:r>
        <w:rPr>
          <w:lang w:val="fr-BE"/>
        </w:rPr>
        <w:t xml:space="preserve"> </w:t>
      </w:r>
      <w:r>
        <w:rPr>
          <w:lang w:val="fr-BE"/>
        </w:rPr>
        <w:tab/>
        <w:t>Directive;</w:t>
      </w:r>
      <w:hyperlink r:id="rId536" w:history="1">
        <w:r>
          <w:rPr>
            <w:rStyle w:val="Hyperlink"/>
            <w:lang w:val="fr-BE"/>
          </w:rPr>
          <w:t>2014/104/EU</w:t>
        </w:r>
      </w:hyperlink>
      <w:r>
        <w:rPr>
          <w:lang w:val="fr-BE"/>
        </w:rPr>
        <w:t xml:space="preserve">; </w:t>
      </w:r>
      <w:hyperlink r:id="rId537" w:history="1">
        <w:r>
          <w:rPr>
            <w:rStyle w:val="Hyperlink"/>
            <w:rFonts w:cs="Arial"/>
            <w:szCs w:val="18"/>
            <w:lang w:val="fr-BE"/>
          </w:rPr>
          <w:t>MEMO/18/1444</w:t>
        </w:r>
      </w:hyperlink>
      <w:r>
        <w:rPr>
          <w:rStyle w:val="Hyperlink"/>
          <w:rFonts w:cs="Arial"/>
          <w:szCs w:val="18"/>
          <w:lang w:val="fr-BE"/>
        </w:rPr>
        <w:t>.</w:t>
      </w:r>
    </w:p>
  </w:footnote>
  <w:footnote w:id="370">
    <w:p>
      <w:pPr>
        <w:pStyle w:val="FootnoteText"/>
        <w:rPr>
          <w:lang w:val="fr-BE"/>
        </w:rPr>
      </w:pPr>
      <w:r>
        <w:rPr>
          <w:rStyle w:val="FootnoteReference"/>
        </w:rPr>
        <w:footnoteRef/>
      </w:r>
      <w:r>
        <w:rPr>
          <w:lang w:val="fr-BE"/>
        </w:rPr>
        <w:t xml:space="preserve"> </w:t>
      </w:r>
      <w:r>
        <w:rPr>
          <w:lang w:val="fr-BE"/>
        </w:rPr>
        <w:tab/>
        <w:t xml:space="preserve">Commission Directive </w:t>
      </w:r>
      <w:hyperlink r:id="rId538" w:history="1">
        <w:r>
          <w:rPr>
            <w:rStyle w:val="Hyperlink"/>
            <w:lang w:val="fr-BE"/>
          </w:rPr>
          <w:t>2016/1214/EU.</w:t>
        </w:r>
      </w:hyperlink>
    </w:p>
  </w:footnote>
  <w:footnote w:id="371">
    <w:p>
      <w:pPr>
        <w:pStyle w:val="FootnoteText"/>
        <w:rPr>
          <w:lang w:val="fr-BE"/>
        </w:rPr>
      </w:pPr>
      <w:r>
        <w:rPr>
          <w:rStyle w:val="FootnoteReference"/>
        </w:rPr>
        <w:footnoteRef/>
      </w:r>
      <w:r>
        <w:rPr>
          <w:lang w:val="fr-BE"/>
        </w:rPr>
        <w:t xml:space="preserve"> </w:t>
      </w:r>
      <w:r>
        <w:rPr>
          <w:lang w:val="fr-BE"/>
        </w:rPr>
        <w:tab/>
        <w:t xml:space="preserve">Directive </w:t>
      </w:r>
      <w:hyperlink r:id="rId539" w:history="1">
        <w:r>
          <w:rPr>
            <w:rStyle w:val="Hyperlink"/>
            <w:lang w:val="fr-BE"/>
          </w:rPr>
          <w:t>2015/2203</w:t>
        </w:r>
      </w:hyperlink>
      <w:r>
        <w:rPr>
          <w:rStyle w:val="Hyperlink"/>
          <w:lang w:val="fr-BE"/>
        </w:rPr>
        <w:t>/EU</w:t>
      </w:r>
      <w:r>
        <w:rPr>
          <w:lang w:val="fr-BE"/>
        </w:rPr>
        <w:t>.</w:t>
      </w:r>
    </w:p>
  </w:footnote>
  <w:footnote w:id="372">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540" w:history="1">
        <w:r>
          <w:rPr>
            <w:rStyle w:val="Hyperlink"/>
            <w:lang w:val="fr-BE"/>
          </w:rPr>
          <w:t>2017/1279</w:t>
        </w:r>
      </w:hyperlink>
      <w:r>
        <w:rPr>
          <w:rStyle w:val="Hyperlink"/>
          <w:lang w:val="fr-BE"/>
        </w:rPr>
        <w:t>/EU</w:t>
      </w:r>
      <w:r>
        <w:rPr>
          <w:lang w:val="fr-BE"/>
        </w:rPr>
        <w:t>.</w:t>
      </w:r>
    </w:p>
  </w:footnote>
  <w:footnote w:id="373">
    <w:p>
      <w:pPr>
        <w:pStyle w:val="FootnoteText"/>
        <w:rPr>
          <w:lang w:val="en-US"/>
        </w:rPr>
      </w:pPr>
      <w:r>
        <w:rPr>
          <w:rStyle w:val="FootnoteReference"/>
        </w:rPr>
        <w:footnoteRef/>
      </w:r>
      <w:r>
        <w:rPr>
          <w:lang w:val="en-US"/>
        </w:rPr>
        <w:t xml:space="preserve"> </w:t>
      </w:r>
      <w:r>
        <w:rPr>
          <w:lang w:val="en-US"/>
        </w:rPr>
        <w:tab/>
      </w:r>
      <w:r>
        <w:rPr>
          <w:rStyle w:val="affairetitle"/>
          <w:lang w:val="en-US"/>
        </w:rPr>
        <w:t xml:space="preserve">Commission v Italy, </w:t>
      </w:r>
      <w:hyperlink r:id="rId541" w:history="1">
        <w:r>
          <w:rPr>
            <w:rStyle w:val="Hyperlink"/>
            <w:lang w:val="en-US"/>
          </w:rPr>
          <w:t>C-433/15</w:t>
        </w:r>
      </w:hyperlink>
      <w:r>
        <w:rPr>
          <w:rStyle w:val="Hyperlink"/>
          <w:lang w:val="en-US"/>
        </w:rPr>
        <w:t>.</w:t>
      </w:r>
    </w:p>
  </w:footnote>
  <w:footnote w:id="374">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Italy,</w:t>
      </w:r>
      <w:r>
        <w:rPr>
          <w:rStyle w:val="Hyperlink"/>
          <w:lang w:val="en-US"/>
        </w:rPr>
        <w:t xml:space="preserve"> </w:t>
      </w:r>
      <w:hyperlink r:id="rId542" w:history="1">
        <w:r>
          <w:rPr>
            <w:rStyle w:val="Hyperlink"/>
            <w:lang w:val="en-US"/>
          </w:rPr>
          <w:t>C-565/10</w:t>
        </w:r>
      </w:hyperlink>
      <w:r>
        <w:rPr>
          <w:rStyle w:val="affairetitle"/>
          <w:lang w:val="en-US"/>
        </w:rPr>
        <w:t>.</w:t>
      </w:r>
    </w:p>
  </w:footnote>
  <w:footnote w:id="375">
    <w:p>
      <w:pPr>
        <w:pStyle w:val="FootnoteText"/>
        <w:rPr>
          <w:rStyle w:val="affairetitle"/>
          <w:lang w:val="en-US"/>
        </w:rPr>
      </w:pPr>
      <w:r>
        <w:rPr>
          <w:rStyle w:val="FootnoteReference"/>
        </w:rPr>
        <w:footnoteRef/>
      </w:r>
      <w:r>
        <w:rPr>
          <w:lang w:val="en-US"/>
        </w:rPr>
        <w:t xml:space="preserve"> </w:t>
      </w:r>
      <w:r>
        <w:rPr>
          <w:lang w:val="en-US"/>
        </w:rPr>
        <w:tab/>
      </w:r>
      <w:r>
        <w:rPr>
          <w:rStyle w:val="affairetitle"/>
          <w:lang w:val="en-US"/>
        </w:rPr>
        <w:t xml:space="preserve">Commission v Italy, </w:t>
      </w:r>
      <w:hyperlink r:id="rId543" w:history="1">
        <w:r>
          <w:rPr>
            <w:rStyle w:val="Hyperlink"/>
            <w:lang w:val="en-US"/>
          </w:rPr>
          <w:t>C-251/17</w:t>
        </w:r>
      </w:hyperlink>
      <w:r>
        <w:rPr>
          <w:rStyle w:val="Hyperlink"/>
          <w:lang w:val="en-US"/>
        </w:rPr>
        <w:t xml:space="preserve"> and Court press release</w:t>
      </w:r>
      <w:r>
        <w:t xml:space="preserve"> </w:t>
      </w:r>
      <w:hyperlink r:id="rId544" w:history="1">
        <w:r>
          <w:rPr>
            <w:rStyle w:val="Hyperlink"/>
            <w:lang w:val="en-US"/>
          </w:rPr>
          <w:t>No 74/18</w:t>
        </w:r>
      </w:hyperlink>
      <w:r>
        <w:rPr>
          <w:rStyle w:val="affairetitle"/>
          <w:lang w:val="en-US"/>
        </w:rPr>
        <w:t>.</w:t>
      </w:r>
    </w:p>
  </w:footnote>
  <w:footnote w:id="376">
    <w:p>
      <w:pPr>
        <w:pStyle w:val="FootnoteText"/>
        <w:rPr>
          <w:lang w:val="it-IT"/>
        </w:rPr>
      </w:pPr>
      <w:r>
        <w:rPr>
          <w:rStyle w:val="FootnoteReference"/>
        </w:rPr>
        <w:footnoteRef/>
      </w:r>
      <w:r>
        <w:rPr>
          <w:lang w:val="it-IT"/>
        </w:rPr>
        <w:t xml:space="preserve"> </w:t>
      </w:r>
      <w:r>
        <w:rPr>
          <w:lang w:val="it-IT"/>
        </w:rPr>
        <w:tab/>
        <w:t xml:space="preserve">Menci, </w:t>
      </w:r>
      <w:hyperlink r:id="rId545" w:history="1">
        <w:r>
          <w:rPr>
            <w:rStyle w:val="Hyperlink"/>
            <w:lang w:val="it-IT"/>
          </w:rPr>
          <w:t>C-524/15</w:t>
        </w:r>
      </w:hyperlink>
      <w:r>
        <w:rPr>
          <w:lang w:val="it-IT"/>
        </w:rPr>
        <w:t>.</w:t>
      </w:r>
    </w:p>
  </w:footnote>
  <w:footnote w:id="377">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Santoro, </w:t>
      </w:r>
      <w:hyperlink r:id="rId546" w:history="1">
        <w:r>
          <w:rPr>
            <w:rStyle w:val="Hyperlink"/>
            <w:lang w:val="it-IT"/>
          </w:rPr>
          <w:t>C-494/16</w:t>
        </w:r>
      </w:hyperlink>
      <w:r>
        <w:rPr>
          <w:rStyle w:val="affairetitle"/>
          <w:lang w:val="it-IT"/>
        </w:rPr>
        <w:t>.</w:t>
      </w:r>
    </w:p>
  </w:footnote>
  <w:footnote w:id="378">
    <w:p>
      <w:pPr>
        <w:pStyle w:val="FootnoteText"/>
        <w:rPr>
          <w:lang w:val="it-IT"/>
        </w:rPr>
      </w:pPr>
      <w:r>
        <w:rPr>
          <w:rStyle w:val="FootnoteReference"/>
        </w:rPr>
        <w:footnoteRef/>
      </w:r>
      <w:r>
        <w:rPr>
          <w:lang w:val="it-IT"/>
        </w:rPr>
        <w:t xml:space="preserve"> </w:t>
      </w:r>
      <w:r>
        <w:rPr>
          <w:lang w:val="it-IT"/>
        </w:rPr>
        <w:tab/>
      </w:r>
      <w:r>
        <w:rPr>
          <w:rStyle w:val="affairetitle"/>
          <w:lang w:val="it-IT"/>
        </w:rPr>
        <w:t xml:space="preserve">Sciotto, </w:t>
      </w:r>
      <w:hyperlink r:id="rId547" w:history="1">
        <w:r>
          <w:rPr>
            <w:rStyle w:val="Hyperlink"/>
            <w:lang w:val="it-IT"/>
          </w:rPr>
          <w:t>C-331/17</w:t>
        </w:r>
      </w:hyperlink>
      <w:r>
        <w:rPr>
          <w:rStyle w:val="affairetitle"/>
          <w:lang w:val="it-IT"/>
        </w:rPr>
        <w:t>;</w:t>
      </w:r>
      <w:r>
        <w:rPr>
          <w:lang w:val="it-IT"/>
        </w:rPr>
        <w:t xml:space="preserve"> Council Directive </w:t>
      </w:r>
      <w:hyperlink r:id="rId548" w:history="1">
        <w:r>
          <w:rPr>
            <w:rStyle w:val="Hyperlink"/>
            <w:lang w:val="it-IT"/>
          </w:rPr>
          <w:t>1999/70/EC</w:t>
        </w:r>
      </w:hyperlink>
      <w:r>
        <w:rPr>
          <w:lang w:val="it-IT"/>
        </w:rPr>
        <w:t>.</w:t>
      </w:r>
    </w:p>
  </w:footnote>
  <w:footnote w:id="379">
    <w:p>
      <w:pPr>
        <w:pStyle w:val="FootnoteText"/>
      </w:pPr>
      <w:r>
        <w:rPr>
          <w:rStyle w:val="FootnoteReference"/>
        </w:rPr>
        <w:footnoteRef/>
      </w:r>
      <w:r>
        <w:t xml:space="preserve"> </w:t>
      </w:r>
      <w:r>
        <w:tab/>
        <w:t>Pantuso,</w:t>
      </w:r>
      <w:r>
        <w:rPr>
          <w:rStyle w:val="Hyperlink"/>
        </w:rPr>
        <w:t xml:space="preserve"> </w:t>
      </w:r>
      <w:hyperlink r:id="rId549" w:history="1">
        <w:r>
          <w:rPr>
            <w:rStyle w:val="Hyperlink"/>
          </w:rPr>
          <w:t>C-616/16</w:t>
        </w:r>
      </w:hyperlink>
      <w:r>
        <w:rPr>
          <w:rStyle w:val="Hyperlink"/>
        </w:rPr>
        <w:t>.</w:t>
      </w:r>
    </w:p>
  </w:footnote>
  <w:footnote w:id="380">
    <w:p>
      <w:pPr>
        <w:pStyle w:val="FootnoteText"/>
      </w:pPr>
      <w:r>
        <w:rPr>
          <w:rStyle w:val="FootnoteReference"/>
        </w:rPr>
        <w:footnoteRef/>
      </w:r>
      <w:r>
        <w:t xml:space="preserve"> </w:t>
      </w:r>
      <w:r>
        <w:tab/>
        <w:t>Preindl,</w:t>
      </w:r>
      <w:r>
        <w:rPr>
          <w:rStyle w:val="Hyperlink"/>
        </w:rPr>
        <w:t xml:space="preserve"> </w:t>
      </w:r>
      <w:hyperlink r:id="rId550" w:history="1">
        <w:r>
          <w:rPr>
            <w:rStyle w:val="Hyperlink"/>
          </w:rPr>
          <w:t>C-675/17</w:t>
        </w:r>
      </w:hyperlink>
      <w:r>
        <w:t>.</w:t>
      </w:r>
    </w:p>
  </w:footnote>
  <w:footnote w:id="381">
    <w:p>
      <w:pPr>
        <w:pStyle w:val="FootnoteText"/>
      </w:pPr>
      <w:r>
        <w:rPr>
          <w:rStyle w:val="FootnoteReference"/>
        </w:rPr>
        <w:footnoteRef/>
      </w:r>
      <w:r>
        <w:t xml:space="preserve"> </w:t>
      </w:r>
      <w:r>
        <w:tab/>
        <w:t xml:space="preserve">Novartis Farma, </w:t>
      </w:r>
      <w:hyperlink r:id="rId551" w:history="1">
        <w:r>
          <w:rPr>
            <w:rStyle w:val="Hyperlink"/>
          </w:rPr>
          <w:t>C-29/17</w:t>
        </w:r>
      </w:hyperlink>
      <w:r>
        <w:t xml:space="preserve"> and </w:t>
      </w:r>
      <w:hyperlink r:id="rId552" w:history="1">
        <w:r>
          <w:rPr>
            <w:rStyle w:val="Hyperlink"/>
          </w:rPr>
          <w:t>press release</w:t>
        </w:r>
      </w:hyperlink>
      <w:r>
        <w:rPr>
          <w:lang w:val="en-US"/>
        </w:rPr>
        <w:t>.</w:t>
      </w:r>
    </w:p>
  </w:footnote>
  <w:footnote w:id="382">
    <w:p>
      <w:pPr>
        <w:pStyle w:val="FootnoteText"/>
        <w:rPr>
          <w:lang w:val="en-IE"/>
        </w:rPr>
      </w:pPr>
      <w:r>
        <w:rPr>
          <w:rStyle w:val="FootnoteReference"/>
        </w:rPr>
        <w:footnoteRef/>
      </w:r>
      <w:r>
        <w:rPr>
          <w:lang w:val="en-IE"/>
        </w:rPr>
        <w:t xml:space="preserve"> </w:t>
      </w:r>
      <w:r>
        <w:rPr>
          <w:lang w:val="en-IE"/>
        </w:rPr>
        <w:tab/>
        <w:t xml:space="preserve">Stanley International Betting, </w:t>
      </w:r>
      <w:hyperlink r:id="rId553" w:history="1">
        <w:r>
          <w:rPr>
            <w:rStyle w:val="Hyperlink"/>
            <w:lang w:val="en-IE"/>
          </w:rPr>
          <w:t>C-375/17</w:t>
        </w:r>
      </w:hyperlink>
      <w:r>
        <w:rPr>
          <w:lang w:val="en-IE"/>
        </w:rPr>
        <w:t>.</w:t>
      </w:r>
    </w:p>
  </w:footnote>
  <w:footnote w:id="383">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554" w:history="1">
        <w:r>
          <w:rPr>
            <w:rStyle w:val="Hyperlink"/>
            <w:lang w:val="pt-PT"/>
          </w:rPr>
          <w:t>97/9/EC</w:t>
        </w:r>
      </w:hyperlink>
      <w:r>
        <w:rPr>
          <w:lang w:val="pt-PT"/>
        </w:rPr>
        <w:t>.</w:t>
      </w:r>
    </w:p>
  </w:footnote>
  <w:footnote w:id="384">
    <w:p>
      <w:pPr>
        <w:pStyle w:val="FootnoteText"/>
        <w:rPr>
          <w:lang w:val="pt-PT"/>
        </w:rPr>
      </w:pPr>
      <w:r>
        <w:rPr>
          <w:rStyle w:val="FootnoteReference"/>
        </w:rPr>
        <w:footnoteRef/>
      </w:r>
      <w:r>
        <w:rPr>
          <w:lang w:val="pt-PT"/>
        </w:rPr>
        <w:t xml:space="preserve"> </w:t>
      </w:r>
      <w:r>
        <w:rPr>
          <w:lang w:val="pt-PT"/>
        </w:rPr>
        <w:tab/>
        <w:t xml:space="preserve">Directive </w:t>
      </w:r>
      <w:hyperlink r:id="rId555" w:history="1">
        <w:r>
          <w:rPr>
            <w:rStyle w:val="Hyperlink"/>
            <w:lang w:val="pt-PT"/>
          </w:rPr>
          <w:t>2005/36/EC</w:t>
        </w:r>
      </w:hyperlink>
      <w:r>
        <w:rPr>
          <w:rStyle w:val="Hyperlink"/>
          <w:lang w:val="pt-PT"/>
        </w:rPr>
        <w:t>,</w:t>
      </w:r>
      <w:r>
        <w:rPr>
          <w:lang w:val="pt-PT"/>
        </w:rPr>
        <w:t xml:space="preserve"> </w:t>
      </w:r>
      <w:hyperlink r:id="rId556" w:history="1">
        <w:r>
          <w:rPr>
            <w:rStyle w:val="Hyperlink"/>
            <w:lang w:val="pt-PT"/>
          </w:rPr>
          <w:t>MEMO/18/4486</w:t>
        </w:r>
      </w:hyperlink>
      <w:r>
        <w:rPr>
          <w:rStyle w:val="Hyperlink"/>
          <w:lang w:val="pt-PT"/>
        </w:rPr>
        <w:t>.</w:t>
      </w:r>
    </w:p>
  </w:footnote>
  <w:footnote w:id="385">
    <w:p>
      <w:pPr>
        <w:pStyle w:val="FootnoteText"/>
        <w:rPr>
          <w:lang w:val="pt-PT"/>
        </w:rPr>
      </w:pPr>
      <w:r>
        <w:rPr>
          <w:rStyle w:val="FootnoteReference"/>
        </w:rPr>
        <w:footnoteRef/>
      </w:r>
      <w:r>
        <w:rPr>
          <w:lang w:val="pt-PT"/>
        </w:rPr>
        <w:t xml:space="preserve"> </w:t>
      </w:r>
      <w:r>
        <w:rPr>
          <w:lang w:val="pt-PT"/>
        </w:rPr>
        <w:tab/>
        <w:t xml:space="preserve">Directive </w:t>
      </w:r>
      <w:hyperlink r:id="rId557" w:history="1">
        <w:r>
          <w:rPr>
            <w:rStyle w:val="Hyperlink"/>
            <w:lang w:val="pt-PT"/>
          </w:rPr>
          <w:t>2009/21/EC</w:t>
        </w:r>
      </w:hyperlink>
      <w:r>
        <w:rPr>
          <w:lang w:val="pt-PT"/>
        </w:rPr>
        <w:t xml:space="preserve">; </w:t>
      </w:r>
      <w:hyperlink r:id="rId558" w:history="1">
        <w:r>
          <w:rPr>
            <w:rStyle w:val="Hyperlink"/>
            <w:lang w:val="pt-PT"/>
          </w:rPr>
          <w:t>MEMO/18/4486</w:t>
        </w:r>
      </w:hyperlink>
      <w:r>
        <w:rPr>
          <w:lang w:val="pt-PT"/>
        </w:rPr>
        <w:t>.</w:t>
      </w:r>
    </w:p>
  </w:footnote>
  <w:footnote w:id="386">
    <w:p>
      <w:pPr>
        <w:pStyle w:val="FootnoteText"/>
        <w:rPr>
          <w:lang w:val="pt-PT"/>
        </w:rPr>
      </w:pPr>
      <w:r>
        <w:rPr>
          <w:rStyle w:val="FootnoteReference"/>
        </w:rPr>
        <w:footnoteRef/>
      </w:r>
      <w:r>
        <w:rPr>
          <w:lang w:val="pt-PT"/>
        </w:rPr>
        <w:t xml:space="preserve"> </w:t>
      </w:r>
      <w:r>
        <w:rPr>
          <w:lang w:val="pt-PT"/>
        </w:rPr>
        <w:tab/>
      </w:r>
      <w:hyperlink r:id="rId559" w:history="1">
        <w:r>
          <w:rPr>
            <w:rStyle w:val="Hyperlink"/>
            <w:szCs w:val="20"/>
            <w:lang w:val="pt-PT"/>
          </w:rPr>
          <w:t>IP/18/1451</w:t>
        </w:r>
      </w:hyperlink>
      <w:r>
        <w:rPr>
          <w:rStyle w:val="Hyperlink"/>
          <w:szCs w:val="20"/>
          <w:lang w:val="pt-PT"/>
        </w:rPr>
        <w:t>.</w:t>
      </w:r>
    </w:p>
  </w:footnote>
  <w:footnote w:id="387">
    <w:p>
      <w:pPr>
        <w:pStyle w:val="FootnoteText"/>
        <w:rPr>
          <w:lang w:val="pt-PT"/>
        </w:rPr>
      </w:pPr>
      <w:r>
        <w:rPr>
          <w:rStyle w:val="FootnoteReference"/>
        </w:rPr>
        <w:footnoteRef/>
      </w:r>
      <w:r>
        <w:rPr>
          <w:lang w:val="pt-PT"/>
        </w:rPr>
        <w:t xml:space="preserve"> </w:t>
      </w:r>
      <w:r>
        <w:rPr>
          <w:lang w:val="pt-PT"/>
        </w:rPr>
        <w:tab/>
        <w:t xml:space="preserve">Directive </w:t>
      </w:r>
      <w:hyperlink r:id="rId560" w:history="1">
        <w:r>
          <w:rPr>
            <w:rStyle w:val="Hyperlink"/>
            <w:lang w:val="pt-PT"/>
          </w:rPr>
          <w:t>2012/27/EU</w:t>
        </w:r>
      </w:hyperlink>
      <w:r>
        <w:rPr>
          <w:lang w:val="pt-PT"/>
        </w:rPr>
        <w:t xml:space="preserve">, </w:t>
      </w:r>
      <w:hyperlink r:id="rId561" w:history="1">
        <w:r>
          <w:rPr>
            <w:rStyle w:val="Hyperlink"/>
            <w:lang w:val="pt-PT"/>
          </w:rPr>
          <w:t>MEMO/18/4486</w:t>
        </w:r>
      </w:hyperlink>
      <w:r>
        <w:rPr>
          <w:rStyle w:val="Hyperlink"/>
          <w:lang w:val="pt-PT"/>
        </w:rPr>
        <w:t>.</w:t>
      </w:r>
    </w:p>
  </w:footnote>
  <w:footnote w:id="388">
    <w:p>
      <w:pPr>
        <w:pStyle w:val="FootnoteText"/>
        <w:rPr>
          <w:lang w:val="pt-PT"/>
        </w:rPr>
      </w:pPr>
      <w:r>
        <w:rPr>
          <w:rStyle w:val="FootnoteReference"/>
        </w:rPr>
        <w:footnoteRef/>
      </w:r>
      <w:r>
        <w:rPr>
          <w:lang w:val="pt-PT"/>
        </w:rPr>
        <w:t xml:space="preserve"> </w:t>
      </w:r>
      <w:r>
        <w:rPr>
          <w:lang w:val="pt-PT"/>
        </w:rPr>
        <w:tab/>
        <w:t xml:space="preserve">Directive </w:t>
      </w:r>
      <w:hyperlink r:id="rId562" w:history="1">
        <w:r>
          <w:rPr>
            <w:rStyle w:val="Hyperlink"/>
            <w:lang w:val="pt-PT"/>
          </w:rPr>
          <w:t>92/43/EEC</w:t>
        </w:r>
      </w:hyperlink>
      <w:r>
        <w:rPr>
          <w:rStyle w:val="Hyperlink"/>
          <w:lang w:val="pt-PT"/>
        </w:rPr>
        <w:t xml:space="preserve">, </w:t>
      </w:r>
      <w:hyperlink r:id="rId563" w:history="1">
        <w:r>
          <w:rPr>
            <w:rStyle w:val="Hyperlink"/>
            <w:lang w:val="pt-PT"/>
          </w:rPr>
          <w:t>MEMO/18/3446</w:t>
        </w:r>
      </w:hyperlink>
      <w:r>
        <w:rPr>
          <w:lang w:val="pt-PT"/>
        </w:rPr>
        <w:t>.</w:t>
      </w:r>
    </w:p>
  </w:footnote>
  <w:footnote w:id="389">
    <w:p>
      <w:pPr>
        <w:pStyle w:val="FootnoteText"/>
        <w:rPr>
          <w:lang w:val="fr-BE"/>
        </w:rPr>
      </w:pPr>
      <w:r>
        <w:rPr>
          <w:rStyle w:val="FootnoteReference"/>
        </w:rPr>
        <w:footnoteRef/>
      </w:r>
      <w:r>
        <w:rPr>
          <w:lang w:val="fr-BE"/>
        </w:rPr>
        <w:t xml:space="preserve"> </w:t>
      </w:r>
      <w:r>
        <w:rPr>
          <w:lang w:val="fr-BE"/>
        </w:rPr>
        <w:tab/>
        <w:t xml:space="preserve">Directive </w:t>
      </w:r>
      <w:hyperlink r:id="rId564" w:history="1">
        <w:r>
          <w:rPr>
            <w:rStyle w:val="Hyperlink"/>
            <w:lang w:val="fr-BE"/>
          </w:rPr>
          <w:t>91/271/EEC</w:t>
        </w:r>
      </w:hyperlink>
      <w:r>
        <w:rPr>
          <w:lang w:val="fr-BE"/>
        </w:rPr>
        <w:t>,</w:t>
      </w:r>
      <w:r>
        <w:rPr>
          <w:rStyle w:val="Hyperlink"/>
          <w:lang w:val="fr-BE"/>
        </w:rPr>
        <w:t xml:space="preserve"> </w:t>
      </w:r>
      <w:hyperlink r:id="rId565" w:history="1">
        <w:r>
          <w:rPr>
            <w:rStyle w:val="Hyperlink"/>
            <w:lang w:val="fr-BE"/>
          </w:rPr>
          <w:t>MEMO/18/3986</w:t>
        </w:r>
      </w:hyperlink>
      <w:r>
        <w:rPr>
          <w:lang w:val="fr-BE"/>
        </w:rPr>
        <w:t>.</w:t>
      </w:r>
    </w:p>
  </w:footnote>
  <w:footnote w:id="390">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566" w:history="1">
        <w:r>
          <w:rPr>
            <w:rStyle w:val="Hyperlink"/>
            <w:lang w:val="fr-BE"/>
          </w:rPr>
          <w:t>2015/2366/EU</w:t>
        </w:r>
      </w:hyperlink>
      <w:r>
        <w:rPr>
          <w:lang w:val="fr-BE"/>
        </w:rPr>
        <w:t>.</w:t>
      </w:r>
    </w:p>
  </w:footnote>
  <w:footnote w:id="391">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567" w:history="1">
        <w:r>
          <w:rPr>
            <w:rStyle w:val="Hyperlink"/>
            <w:lang w:val="fr-BE"/>
          </w:rPr>
          <w:t>2016/97/EU</w:t>
        </w:r>
      </w:hyperlink>
      <w:r>
        <w:rPr>
          <w:lang w:val="fr-BE"/>
        </w:rPr>
        <w:t>.</w:t>
      </w:r>
    </w:p>
  </w:footnote>
  <w:footnote w:id="392">
    <w:p>
      <w:pPr>
        <w:pStyle w:val="FootnoteText"/>
        <w:rPr>
          <w:lang w:val="fr-BE"/>
        </w:rPr>
      </w:pPr>
      <w:r>
        <w:rPr>
          <w:rStyle w:val="FootnoteReference"/>
        </w:rPr>
        <w:footnoteRef/>
      </w:r>
      <w:r>
        <w:rPr>
          <w:lang w:val="fr-BE"/>
        </w:rPr>
        <w:t xml:space="preserve"> </w:t>
      </w:r>
      <w:r>
        <w:rPr>
          <w:lang w:val="fr-BE"/>
        </w:rPr>
        <w:tab/>
        <w:t xml:space="preserve">Commission Directive </w:t>
      </w:r>
      <w:hyperlink r:id="rId568" w:history="1">
        <w:r>
          <w:rPr>
            <w:rStyle w:val="Hyperlink"/>
            <w:lang w:val="fr-BE"/>
          </w:rPr>
          <w:t>2016/1214/EU.</w:t>
        </w:r>
      </w:hyperlink>
    </w:p>
  </w:footnote>
  <w:footnote w:id="393">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569" w:history="1">
        <w:r>
          <w:rPr>
            <w:rStyle w:val="Hyperlink"/>
            <w:lang w:val="fr-BE"/>
          </w:rPr>
          <w:t>2018/100</w:t>
        </w:r>
      </w:hyperlink>
      <w:r>
        <w:rPr>
          <w:rStyle w:val="Hyperlink"/>
          <w:lang w:val="fr-BE"/>
        </w:rPr>
        <w:t>/EU</w:t>
      </w:r>
      <w:r>
        <w:rPr>
          <w:lang w:val="fr-BE"/>
        </w:rPr>
        <w:t>.</w:t>
      </w:r>
    </w:p>
  </w:footnote>
  <w:footnote w:id="394">
    <w:p>
      <w:pPr>
        <w:pStyle w:val="FootnoteText"/>
        <w:rPr>
          <w:lang w:val="pt-PT"/>
        </w:rPr>
      </w:pPr>
      <w:r>
        <w:rPr>
          <w:rStyle w:val="FootnoteReference"/>
        </w:rPr>
        <w:footnoteRef/>
      </w:r>
      <w:r>
        <w:rPr>
          <w:lang w:val="pt-PT"/>
        </w:rPr>
        <w:t xml:space="preserve"> </w:t>
      </w:r>
      <w:r>
        <w:rPr>
          <w:lang w:val="pt-PT"/>
        </w:rPr>
        <w:tab/>
        <w:t xml:space="preserve">Directive </w:t>
      </w:r>
      <w:hyperlink r:id="rId570" w:history="1">
        <w:r>
          <w:rPr>
            <w:rStyle w:val="Hyperlink"/>
            <w:lang w:val="pt-PT"/>
          </w:rPr>
          <w:t>2013/59/Euratom</w:t>
        </w:r>
      </w:hyperlink>
      <w:r>
        <w:rPr>
          <w:lang w:val="pt-PT"/>
        </w:rPr>
        <w:t xml:space="preserve">, </w:t>
      </w:r>
      <w:hyperlink r:id="rId571" w:history="1">
        <w:r>
          <w:rPr>
            <w:rStyle w:val="Hyperlink"/>
            <w:lang w:val="pt-PT"/>
          </w:rPr>
          <w:t>MEMO/18/3446</w:t>
        </w:r>
      </w:hyperlink>
      <w:r>
        <w:rPr>
          <w:rStyle w:val="Hyperlink"/>
          <w:lang w:val="pt-PT"/>
        </w:rPr>
        <w:t>.</w:t>
      </w:r>
    </w:p>
  </w:footnote>
  <w:footnote w:id="395">
    <w:p>
      <w:pPr>
        <w:pStyle w:val="FootnoteText"/>
        <w:rPr>
          <w:lang w:val="pt-PT"/>
        </w:rPr>
      </w:pPr>
      <w:r>
        <w:rPr>
          <w:rStyle w:val="FootnoteReference"/>
        </w:rPr>
        <w:footnoteRef/>
      </w:r>
      <w:r>
        <w:rPr>
          <w:lang w:val="pt-PT"/>
        </w:rPr>
        <w:t xml:space="preserve"> </w:t>
      </w:r>
      <w:r>
        <w:rPr>
          <w:lang w:val="pt-PT"/>
        </w:rPr>
        <w:tab/>
        <w:t xml:space="preserve">Directive </w:t>
      </w:r>
      <w:hyperlink r:id="rId572" w:history="1">
        <w:r>
          <w:rPr>
            <w:rStyle w:val="Hyperlink"/>
            <w:lang w:val="pt-PT"/>
          </w:rPr>
          <w:t>2016/2102</w:t>
        </w:r>
      </w:hyperlink>
      <w:r>
        <w:rPr>
          <w:rStyle w:val="Hyperlink"/>
          <w:lang w:val="pt-PT"/>
        </w:rPr>
        <w:t>/EU</w:t>
      </w:r>
      <w:r>
        <w:rPr>
          <w:lang w:val="pt-PT"/>
        </w:rPr>
        <w:t>.</w:t>
      </w:r>
    </w:p>
  </w:footnote>
  <w:footnote w:id="396">
    <w:p>
      <w:pPr>
        <w:pStyle w:val="FootnoteText"/>
        <w:rPr>
          <w:lang w:val="pt-PT"/>
        </w:rPr>
      </w:pPr>
      <w:r>
        <w:rPr>
          <w:rStyle w:val="FootnoteReference"/>
        </w:rPr>
        <w:footnoteRef/>
      </w:r>
      <w:r>
        <w:rPr>
          <w:lang w:val="pt-PT"/>
        </w:rPr>
        <w:t xml:space="preserve"> </w:t>
      </w:r>
      <w:r>
        <w:rPr>
          <w:lang w:val="pt-PT"/>
        </w:rPr>
        <w:tab/>
        <w:t xml:space="preserve">Directive </w:t>
      </w:r>
      <w:hyperlink r:id="rId573" w:history="1">
        <w:r>
          <w:rPr>
            <w:rStyle w:val="Hyperlink"/>
            <w:lang w:val="pt-PT"/>
          </w:rPr>
          <w:t>2017/1564</w:t>
        </w:r>
      </w:hyperlink>
      <w:r>
        <w:rPr>
          <w:rStyle w:val="Hyperlink"/>
          <w:lang w:val="pt-PT"/>
        </w:rPr>
        <w:t>/EU</w:t>
      </w:r>
      <w:r>
        <w:rPr>
          <w:lang w:val="pt-PT"/>
        </w:rPr>
        <w:t>.</w:t>
      </w:r>
    </w:p>
  </w:footnote>
  <w:footnote w:id="397">
    <w:p>
      <w:pPr>
        <w:pStyle w:val="FootnoteText"/>
        <w:rPr>
          <w:lang w:val="pt-PT"/>
        </w:rPr>
      </w:pPr>
      <w:r>
        <w:rPr>
          <w:rStyle w:val="FootnoteReference"/>
        </w:rPr>
        <w:footnoteRef/>
      </w:r>
      <w:r>
        <w:rPr>
          <w:lang w:val="pt-PT"/>
        </w:rPr>
        <w:t xml:space="preserve"> </w:t>
      </w:r>
      <w:r>
        <w:rPr>
          <w:lang w:val="pt-PT"/>
        </w:rPr>
        <w:tab/>
        <w:t xml:space="preserve">Directive </w:t>
      </w:r>
      <w:hyperlink r:id="rId574" w:history="1">
        <w:r>
          <w:rPr>
            <w:rStyle w:val="Hyperlink"/>
            <w:lang w:val="pt-PT"/>
          </w:rPr>
          <w:t>2016/343/EU</w:t>
        </w:r>
      </w:hyperlink>
      <w:r>
        <w:rPr>
          <w:lang w:val="pt-PT"/>
        </w:rPr>
        <w:t>.</w:t>
      </w:r>
    </w:p>
  </w:footnote>
  <w:footnote w:id="398">
    <w:p>
      <w:pPr>
        <w:pStyle w:val="FootnoteText"/>
        <w:rPr>
          <w:lang w:val="pt-PT"/>
        </w:rPr>
      </w:pPr>
      <w:r>
        <w:rPr>
          <w:rStyle w:val="FootnoteReference"/>
        </w:rPr>
        <w:footnoteRef/>
      </w:r>
      <w:r>
        <w:rPr>
          <w:lang w:val="pt-PT"/>
        </w:rPr>
        <w:t xml:space="preserve"> </w:t>
      </w:r>
      <w:r>
        <w:rPr>
          <w:lang w:val="pt-PT"/>
        </w:rPr>
        <w:tab/>
        <w:t xml:space="preserve">Directive </w:t>
      </w:r>
      <w:hyperlink r:id="rId575" w:history="1">
        <w:r>
          <w:rPr>
            <w:rStyle w:val="Hyperlink"/>
            <w:lang w:val="pt-PT"/>
          </w:rPr>
          <w:t>2016/680/EU</w:t>
        </w:r>
      </w:hyperlink>
      <w:r>
        <w:rPr>
          <w:lang w:val="pt-PT"/>
        </w:rPr>
        <w:t>.</w:t>
      </w:r>
    </w:p>
  </w:footnote>
  <w:footnote w:id="399">
    <w:p>
      <w:pPr>
        <w:pStyle w:val="FootnoteText"/>
        <w:rPr>
          <w:lang w:val="pt-PT"/>
        </w:rPr>
      </w:pPr>
      <w:r>
        <w:rPr>
          <w:rStyle w:val="FootnoteReference"/>
        </w:rPr>
        <w:footnoteRef/>
      </w:r>
      <w:r>
        <w:rPr>
          <w:lang w:val="pt-PT"/>
        </w:rPr>
        <w:t xml:space="preserve"> </w:t>
      </w:r>
      <w:r>
        <w:rPr>
          <w:lang w:val="pt-PT"/>
        </w:rPr>
        <w:tab/>
        <w:t xml:space="preserve">Directive </w:t>
      </w:r>
      <w:hyperlink r:id="rId576" w:history="1">
        <w:r>
          <w:rPr>
            <w:rStyle w:val="Hyperlink"/>
            <w:lang w:val="pt-PT"/>
          </w:rPr>
          <w:t>2009/16/EC</w:t>
        </w:r>
      </w:hyperlink>
      <w:r>
        <w:rPr>
          <w:rStyle w:val="Hyperlink"/>
          <w:lang w:val="pt-PT"/>
        </w:rPr>
        <w:t>.</w:t>
      </w:r>
    </w:p>
  </w:footnote>
  <w:footnote w:id="400">
    <w:p>
      <w:pPr>
        <w:pStyle w:val="FootnoteText"/>
        <w:rPr>
          <w:lang w:val="pt-PT"/>
        </w:rPr>
      </w:pPr>
      <w:r>
        <w:rPr>
          <w:rStyle w:val="FootnoteReference"/>
        </w:rPr>
        <w:footnoteRef/>
      </w:r>
      <w:r>
        <w:rPr>
          <w:lang w:val="pt-PT"/>
        </w:rPr>
        <w:t xml:space="preserve"> </w:t>
      </w:r>
      <w:r>
        <w:rPr>
          <w:lang w:val="pt-PT"/>
        </w:rPr>
        <w:tab/>
        <w:t xml:space="preserve">Directive </w:t>
      </w:r>
      <w:hyperlink r:id="rId577" w:history="1">
        <w:r>
          <w:rPr>
            <w:rStyle w:val="Hyperlink"/>
            <w:lang w:val="pt-PT"/>
          </w:rPr>
          <w:t>92/43/EEC</w:t>
        </w:r>
      </w:hyperlink>
      <w:r>
        <w:rPr>
          <w:lang w:val="pt-PT"/>
        </w:rPr>
        <w:t>.</w:t>
      </w:r>
    </w:p>
  </w:footnote>
  <w:footnote w:id="401">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578" w:history="1">
        <w:r>
          <w:rPr>
            <w:rStyle w:val="Hyperlink"/>
            <w:lang w:val="pt-PT"/>
          </w:rPr>
          <w:t>2009/138/EC</w:t>
        </w:r>
      </w:hyperlink>
      <w:r>
        <w:rPr>
          <w:lang w:val="pt-PT"/>
        </w:rPr>
        <w:t>,</w:t>
      </w:r>
      <w:r>
        <w:rPr>
          <w:rFonts w:eastAsia="Times New Roman"/>
          <w:lang w:val="pt-PT" w:eastAsia="en-GB"/>
        </w:rPr>
        <w:t xml:space="preserve"> </w:t>
      </w:r>
      <w:hyperlink r:id="rId579" w:history="1">
        <w:r>
          <w:rPr>
            <w:rStyle w:val="Hyperlink"/>
            <w:lang w:val="pt-PT"/>
          </w:rPr>
          <w:t>MEMO/18/349</w:t>
        </w:r>
      </w:hyperlink>
      <w:r>
        <w:rPr>
          <w:lang w:val="pt-PT"/>
        </w:rPr>
        <w:t>.</w:t>
      </w:r>
    </w:p>
  </w:footnote>
  <w:footnote w:id="402">
    <w:p>
      <w:pPr>
        <w:pStyle w:val="FootnoteText"/>
        <w:rPr>
          <w:lang w:val="pt-PT"/>
        </w:rPr>
      </w:pPr>
      <w:r>
        <w:rPr>
          <w:rStyle w:val="FootnoteReference"/>
        </w:rPr>
        <w:footnoteRef/>
      </w:r>
      <w:r>
        <w:rPr>
          <w:lang w:val="pt-PT"/>
        </w:rPr>
        <w:t xml:space="preserve"> </w:t>
      </w:r>
      <w:r>
        <w:rPr>
          <w:lang w:val="pt-PT"/>
        </w:rPr>
        <w:tab/>
        <w:t xml:space="preserve">Commission Directive </w:t>
      </w:r>
      <w:hyperlink r:id="rId580" w:history="1">
        <w:r>
          <w:rPr>
            <w:rStyle w:val="Hyperlink"/>
            <w:lang w:val="pt-PT"/>
          </w:rPr>
          <w:t>2016/1214/EU.</w:t>
        </w:r>
      </w:hyperlink>
    </w:p>
  </w:footnote>
  <w:footnote w:id="403">
    <w:p>
      <w:pPr>
        <w:pStyle w:val="FootnoteText"/>
        <w:rPr>
          <w:lang w:val="pt-PT"/>
        </w:rPr>
      </w:pPr>
      <w:r>
        <w:rPr>
          <w:rStyle w:val="FootnoteReference"/>
        </w:rPr>
        <w:footnoteRef/>
      </w:r>
      <w:r>
        <w:rPr>
          <w:lang w:val="pt-PT"/>
        </w:rPr>
        <w:t xml:space="preserve"> </w:t>
      </w:r>
      <w:r>
        <w:rPr>
          <w:lang w:val="pt-PT"/>
        </w:rPr>
        <w:tab/>
        <w:t xml:space="preserve">Directive </w:t>
      </w:r>
      <w:hyperlink r:id="rId581" w:history="1">
        <w:r>
          <w:rPr>
            <w:rStyle w:val="Hyperlink"/>
            <w:lang w:val="pt-PT"/>
          </w:rPr>
          <w:t>2015/2203</w:t>
        </w:r>
      </w:hyperlink>
      <w:r>
        <w:rPr>
          <w:rStyle w:val="Hyperlink"/>
          <w:lang w:val="pt-PT"/>
        </w:rPr>
        <w:t>/EU</w:t>
      </w:r>
      <w:r>
        <w:rPr>
          <w:lang w:val="pt-PT"/>
        </w:rPr>
        <w:t>.</w:t>
      </w:r>
    </w:p>
  </w:footnote>
  <w:footnote w:id="404">
    <w:p>
      <w:pPr>
        <w:pStyle w:val="FootnoteText"/>
        <w:rPr>
          <w:lang w:val="pt-PT"/>
        </w:rPr>
      </w:pPr>
      <w:r>
        <w:rPr>
          <w:rStyle w:val="FootnoteReference"/>
        </w:rPr>
        <w:footnoteRef/>
      </w:r>
      <w:r>
        <w:rPr>
          <w:lang w:val="pt-PT"/>
        </w:rPr>
        <w:t xml:space="preserve"> </w:t>
      </w:r>
      <w:r>
        <w:rPr>
          <w:lang w:val="pt-PT"/>
        </w:rPr>
        <w:tab/>
        <w:t xml:space="preserve">Directive </w:t>
      </w:r>
      <w:hyperlink r:id="rId582" w:history="1">
        <w:r>
          <w:rPr>
            <w:rStyle w:val="Hyperlink"/>
            <w:lang w:val="pt-PT"/>
          </w:rPr>
          <w:t>2014/104/EU</w:t>
        </w:r>
      </w:hyperlink>
      <w:r>
        <w:rPr>
          <w:lang w:val="pt-PT"/>
        </w:rPr>
        <w:t xml:space="preserve">, </w:t>
      </w:r>
      <w:hyperlink r:id="rId583" w:history="1">
        <w:r>
          <w:rPr>
            <w:rStyle w:val="Hyperlink"/>
            <w:lang w:val="pt-PT"/>
          </w:rPr>
          <w:t>MEMO/18/1444</w:t>
        </w:r>
      </w:hyperlink>
      <w:r>
        <w:rPr>
          <w:rStyle w:val="Hyperlink"/>
          <w:lang w:val="pt-PT"/>
        </w:rPr>
        <w:t>.</w:t>
      </w:r>
    </w:p>
  </w:footnote>
  <w:footnote w:id="405">
    <w:p>
      <w:pPr>
        <w:pStyle w:val="FootnoteText"/>
        <w:rPr>
          <w:lang w:val="pt-PT"/>
        </w:rPr>
      </w:pPr>
      <w:r>
        <w:rPr>
          <w:rStyle w:val="FootnoteReference"/>
        </w:rPr>
        <w:footnoteRef/>
      </w:r>
      <w:r>
        <w:rPr>
          <w:lang w:val="pt-PT"/>
        </w:rPr>
        <w:t xml:space="preserve"> </w:t>
      </w:r>
      <w:r>
        <w:rPr>
          <w:lang w:val="pt-PT"/>
        </w:rPr>
        <w:tab/>
        <w:t xml:space="preserve">Directive </w:t>
      </w:r>
      <w:hyperlink r:id="rId584" w:history="1">
        <w:r>
          <w:rPr>
            <w:rStyle w:val="Hyperlink"/>
            <w:lang w:val="pt-PT"/>
          </w:rPr>
          <w:t>2014/36/EU</w:t>
        </w:r>
      </w:hyperlink>
      <w:r>
        <w:rPr>
          <w:lang w:val="pt-PT"/>
        </w:rPr>
        <w:t>.</w:t>
      </w:r>
    </w:p>
  </w:footnote>
  <w:footnote w:id="406">
    <w:p>
      <w:pPr>
        <w:pStyle w:val="FootnoteText"/>
        <w:rPr>
          <w:lang w:val="pt-PT"/>
        </w:rPr>
      </w:pPr>
      <w:r>
        <w:rPr>
          <w:rStyle w:val="FootnoteReference"/>
        </w:rPr>
        <w:footnoteRef/>
      </w:r>
      <w:r>
        <w:rPr>
          <w:lang w:val="pt-PT"/>
        </w:rPr>
        <w:t xml:space="preserve"> </w:t>
      </w:r>
      <w:r>
        <w:rPr>
          <w:lang w:val="pt-PT"/>
        </w:rPr>
        <w:tab/>
        <w:t xml:space="preserve">Directive </w:t>
      </w:r>
      <w:hyperlink r:id="rId585" w:history="1">
        <w:r>
          <w:rPr>
            <w:rStyle w:val="Hyperlink"/>
            <w:lang w:val="pt-PT"/>
          </w:rPr>
          <w:t>2015/720</w:t>
        </w:r>
      </w:hyperlink>
      <w:r>
        <w:rPr>
          <w:rStyle w:val="Hyperlink"/>
          <w:lang w:val="pt-PT"/>
        </w:rPr>
        <w:t>/EU</w:t>
      </w:r>
      <w:r>
        <w:rPr>
          <w:lang w:val="pt-PT"/>
        </w:rPr>
        <w:t>.</w:t>
      </w:r>
    </w:p>
  </w:footnote>
  <w:footnote w:id="407">
    <w:p>
      <w:pPr>
        <w:pStyle w:val="FootnoteText"/>
        <w:rPr>
          <w:lang w:val="pt-PT"/>
        </w:rPr>
      </w:pPr>
      <w:r>
        <w:rPr>
          <w:rStyle w:val="FootnoteReference"/>
        </w:rPr>
        <w:footnoteRef/>
      </w:r>
      <w:r>
        <w:rPr>
          <w:lang w:val="pt-PT"/>
        </w:rPr>
        <w:t xml:space="preserve"> </w:t>
      </w:r>
      <w:r>
        <w:rPr>
          <w:lang w:val="pt-PT"/>
        </w:rPr>
        <w:tab/>
        <w:t xml:space="preserve">Directive </w:t>
      </w:r>
      <w:hyperlink r:id="rId586" w:history="1">
        <w:r>
          <w:rPr>
            <w:rStyle w:val="Hyperlink"/>
            <w:lang w:val="pt-PT"/>
          </w:rPr>
          <w:t>652/2015/EC</w:t>
        </w:r>
      </w:hyperlink>
      <w:r>
        <w:rPr>
          <w:rStyle w:val="Hyperlink"/>
          <w:lang w:val="pt-PT"/>
        </w:rPr>
        <w:t>.</w:t>
      </w:r>
    </w:p>
  </w:footnote>
  <w:footnote w:id="408">
    <w:p>
      <w:pPr>
        <w:pStyle w:val="FootnoteText"/>
        <w:rPr>
          <w:lang w:val="pt-PT"/>
        </w:rPr>
      </w:pPr>
      <w:r>
        <w:rPr>
          <w:rStyle w:val="FootnoteReference"/>
        </w:rPr>
        <w:footnoteRef/>
      </w:r>
      <w:r>
        <w:rPr>
          <w:lang w:val="pt-PT"/>
        </w:rPr>
        <w:t xml:space="preserve"> </w:t>
      </w:r>
      <w:r>
        <w:rPr>
          <w:lang w:val="pt-PT"/>
        </w:rPr>
        <w:tab/>
        <w:t xml:space="preserve">Directive </w:t>
      </w:r>
      <w:r>
        <w:rPr>
          <w:color w:val="0000FF" w:themeColor="hyperlink"/>
          <w:u w:val="single"/>
          <w:lang w:val="pt-PT"/>
        </w:rPr>
        <w:t xml:space="preserve">2008/106/EC. </w:t>
      </w:r>
      <w:hyperlink r:id="rId587" w:history="1">
        <w:r>
          <w:rPr>
            <w:rStyle w:val="Hyperlink"/>
            <w:lang w:val="pt-PT"/>
          </w:rPr>
          <w:t>MEMO/18/3446</w:t>
        </w:r>
      </w:hyperlink>
      <w:r>
        <w:rPr>
          <w:lang w:val="pt-PT"/>
        </w:rPr>
        <w:t>.</w:t>
      </w:r>
    </w:p>
  </w:footnote>
  <w:footnote w:id="409">
    <w:p>
      <w:pPr>
        <w:pStyle w:val="FootnoteText"/>
        <w:rPr>
          <w:lang w:val="pt-PT"/>
        </w:rPr>
      </w:pPr>
      <w:r>
        <w:rPr>
          <w:rStyle w:val="FootnoteReference"/>
        </w:rPr>
        <w:footnoteRef/>
      </w:r>
      <w:r>
        <w:rPr>
          <w:lang w:val="pt-PT"/>
        </w:rPr>
        <w:t xml:space="preserve"> </w:t>
      </w:r>
      <w:r>
        <w:rPr>
          <w:lang w:val="pt-PT"/>
        </w:rPr>
        <w:tab/>
      </w:r>
      <w:hyperlink r:id="rId588" w:history="1">
        <w:r>
          <w:rPr>
            <w:rStyle w:val="Hyperlink"/>
            <w:szCs w:val="20"/>
            <w:lang w:val="pt-PT"/>
          </w:rPr>
          <w:t>MEMO/18/3986</w:t>
        </w:r>
      </w:hyperlink>
      <w:r>
        <w:rPr>
          <w:rStyle w:val="Hyperlink"/>
          <w:szCs w:val="20"/>
          <w:lang w:val="pt-PT"/>
        </w:rPr>
        <w:t>.</w:t>
      </w:r>
    </w:p>
  </w:footnote>
  <w:footnote w:id="410">
    <w:p>
      <w:pPr>
        <w:pStyle w:val="FootnoteText"/>
        <w:rPr>
          <w:lang w:val="pt-PT"/>
        </w:rPr>
      </w:pPr>
      <w:r>
        <w:rPr>
          <w:rStyle w:val="FootnoteReference"/>
        </w:rPr>
        <w:footnoteRef/>
      </w:r>
      <w:r>
        <w:rPr>
          <w:lang w:val="pt-PT"/>
        </w:rPr>
        <w:t xml:space="preserve"> </w:t>
      </w:r>
      <w:r>
        <w:rPr>
          <w:lang w:val="pt-PT"/>
        </w:rPr>
        <w:tab/>
        <w:t xml:space="preserve">Directive </w:t>
      </w:r>
      <w:hyperlink r:id="rId589" w:history="1">
        <w:r>
          <w:rPr>
            <w:rStyle w:val="Hyperlink"/>
            <w:lang w:val="pt-PT"/>
          </w:rPr>
          <w:t>2011/70/Euratom</w:t>
        </w:r>
      </w:hyperlink>
      <w:r>
        <w:rPr>
          <w:lang w:val="pt-PT"/>
        </w:rPr>
        <w:t xml:space="preserve">, </w:t>
      </w:r>
      <w:hyperlink r:id="rId590" w:history="1">
        <w:r>
          <w:rPr>
            <w:rStyle w:val="Hyperlink"/>
            <w:lang w:val="pt-PT"/>
          </w:rPr>
          <w:t>MEMO/18/3986</w:t>
        </w:r>
      </w:hyperlink>
      <w:r>
        <w:rPr>
          <w:rStyle w:val="Hyperlink"/>
          <w:lang w:val="pt-PT"/>
        </w:rPr>
        <w:t>.</w:t>
      </w:r>
    </w:p>
  </w:footnote>
  <w:footnote w:id="411">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591" w:history="1">
        <w:r>
          <w:rPr>
            <w:rStyle w:val="Hyperlink"/>
            <w:lang w:val="pt-PT"/>
          </w:rPr>
          <w:t>2015/2366/EU</w:t>
        </w:r>
      </w:hyperlink>
      <w:r>
        <w:rPr>
          <w:lang w:val="pt-PT"/>
        </w:rPr>
        <w:t>.</w:t>
      </w:r>
    </w:p>
  </w:footnote>
  <w:footnote w:id="412">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592" w:history="1">
        <w:r>
          <w:rPr>
            <w:rStyle w:val="Hyperlink"/>
            <w:lang w:val="pt-PT"/>
          </w:rPr>
          <w:t>2016/97/EU</w:t>
        </w:r>
      </w:hyperlink>
      <w:r>
        <w:rPr>
          <w:lang w:val="pt-PT"/>
        </w:rPr>
        <w:t>.</w:t>
      </w:r>
    </w:p>
  </w:footnote>
  <w:footnote w:id="413">
    <w:p>
      <w:pPr>
        <w:pStyle w:val="FootnoteText"/>
        <w:rPr>
          <w:lang w:val="pt-PT"/>
        </w:rPr>
      </w:pPr>
      <w:r>
        <w:rPr>
          <w:rStyle w:val="FootnoteReference"/>
        </w:rPr>
        <w:footnoteRef/>
      </w:r>
      <w:r>
        <w:rPr>
          <w:lang w:val="pt-PT"/>
        </w:rPr>
        <w:t xml:space="preserve"> </w:t>
      </w:r>
      <w:r>
        <w:rPr>
          <w:lang w:val="pt-PT"/>
        </w:rPr>
        <w:tab/>
      </w:r>
      <w:r>
        <w:rPr>
          <w:rStyle w:val="Hyperlink"/>
          <w:color w:val="auto"/>
          <w:u w:val="none"/>
          <w:bdr w:val="none" w:sz="0" w:space="0" w:color="auto" w:frame="1"/>
          <w:lang w:val="pt-PT"/>
        </w:rPr>
        <w:t xml:space="preserve">Directive </w:t>
      </w:r>
      <w:hyperlink r:id="rId593" w:history="1">
        <w:r>
          <w:rPr>
            <w:rStyle w:val="Hyperlink"/>
            <w:bdr w:val="none" w:sz="0" w:space="0" w:color="auto" w:frame="1"/>
            <w:lang w:val="pt-PT"/>
          </w:rPr>
          <w:t>2014/65/EU</w:t>
        </w:r>
      </w:hyperlink>
      <w:r>
        <w:rPr>
          <w:lang w:val="pt-PT"/>
        </w:rPr>
        <w:t xml:space="preserve">; </w:t>
      </w:r>
      <w:hyperlink r:id="rId594" w:history="1">
        <w:r>
          <w:rPr>
            <w:rStyle w:val="Hyperlink"/>
            <w:lang w:val="pt-PT"/>
          </w:rPr>
          <w:t>MEMO/18/349</w:t>
        </w:r>
      </w:hyperlink>
    </w:p>
  </w:footnote>
  <w:footnote w:id="414">
    <w:p>
      <w:pPr>
        <w:pStyle w:val="FootnoteText"/>
        <w:rPr>
          <w:lang w:val="pt-PT"/>
        </w:rPr>
      </w:pPr>
      <w:r>
        <w:rPr>
          <w:rStyle w:val="FootnoteReference"/>
        </w:rPr>
        <w:footnoteRef/>
      </w:r>
      <w:r>
        <w:rPr>
          <w:lang w:val="pt-PT"/>
        </w:rPr>
        <w:t xml:space="preserve"> </w:t>
      </w:r>
      <w:r>
        <w:rPr>
          <w:lang w:val="pt-PT"/>
        </w:rPr>
        <w:tab/>
        <w:t xml:space="preserve">Directive </w:t>
      </w:r>
      <w:hyperlink r:id="rId595" w:history="1">
        <w:r>
          <w:rPr>
            <w:rStyle w:val="Hyperlink"/>
            <w:lang w:val="pt-PT"/>
          </w:rPr>
          <w:t>2016/1148/EU</w:t>
        </w:r>
      </w:hyperlink>
      <w:r>
        <w:rPr>
          <w:lang w:val="pt-PT"/>
        </w:rPr>
        <w:t xml:space="preserve">; </w:t>
      </w:r>
      <w:hyperlink r:id="rId596" w:history="1">
        <w:r>
          <w:rPr>
            <w:rStyle w:val="Hyperlink"/>
            <w:lang w:val="pt-PT"/>
          </w:rPr>
          <w:t>MEMO/18/4486</w:t>
        </w:r>
      </w:hyperlink>
      <w:r>
        <w:rPr>
          <w:rStyle w:val="Hyperlink"/>
          <w:lang w:val="pt-PT"/>
        </w:rPr>
        <w:t>.</w:t>
      </w:r>
    </w:p>
  </w:footnote>
  <w:footnote w:id="415">
    <w:p>
      <w:pPr>
        <w:pStyle w:val="FootnoteText"/>
        <w:rPr>
          <w:lang w:val="pt-PT"/>
        </w:rPr>
      </w:pPr>
      <w:r>
        <w:rPr>
          <w:rStyle w:val="FootnoteReference"/>
        </w:rPr>
        <w:footnoteRef/>
      </w:r>
      <w:r>
        <w:rPr>
          <w:lang w:val="pt-PT"/>
        </w:rPr>
        <w:t xml:space="preserve"> </w:t>
      </w:r>
      <w:r>
        <w:rPr>
          <w:lang w:val="pt-PT"/>
        </w:rPr>
        <w:tab/>
        <w:t xml:space="preserve">Directive </w:t>
      </w:r>
      <w:hyperlink r:id="rId597" w:history="1">
        <w:r>
          <w:rPr>
            <w:rStyle w:val="Hyperlink"/>
            <w:rFonts w:cs="Arial"/>
            <w:szCs w:val="18"/>
            <w:lang w:val="pt-PT"/>
          </w:rPr>
          <w:t>2017/1564/EU</w:t>
        </w:r>
      </w:hyperlink>
      <w:r>
        <w:rPr>
          <w:rFonts w:cs="Arial"/>
          <w:szCs w:val="18"/>
          <w:lang w:val="pt-PT"/>
        </w:rPr>
        <w:t>.</w:t>
      </w:r>
    </w:p>
  </w:footnote>
  <w:footnote w:id="416">
    <w:p>
      <w:pPr>
        <w:pStyle w:val="FootnoteText"/>
        <w:rPr>
          <w:lang w:val="pt-PT"/>
        </w:rPr>
      </w:pPr>
      <w:r>
        <w:rPr>
          <w:rStyle w:val="FootnoteReference"/>
        </w:rPr>
        <w:footnoteRef/>
      </w:r>
      <w:r>
        <w:rPr>
          <w:lang w:val="pt-PT"/>
        </w:rPr>
        <w:t xml:space="preserve"> </w:t>
      </w:r>
      <w:r>
        <w:rPr>
          <w:lang w:val="pt-PT"/>
        </w:rPr>
        <w:tab/>
        <w:t xml:space="preserve">Directive </w:t>
      </w:r>
      <w:hyperlink r:id="rId598" w:history="1">
        <w:r>
          <w:rPr>
            <w:rStyle w:val="Hyperlink"/>
            <w:lang w:val="pt-PT"/>
          </w:rPr>
          <w:t>2017/2096/EU</w:t>
        </w:r>
      </w:hyperlink>
      <w:r>
        <w:rPr>
          <w:lang w:val="pt-PT"/>
        </w:rPr>
        <w:t>.</w:t>
      </w:r>
    </w:p>
  </w:footnote>
  <w:footnote w:id="417">
    <w:p>
      <w:pPr>
        <w:pStyle w:val="FootnoteText"/>
        <w:rPr>
          <w:lang w:val="pt-PT"/>
        </w:rPr>
      </w:pPr>
      <w:r>
        <w:rPr>
          <w:rStyle w:val="FootnoteReference"/>
        </w:rPr>
        <w:footnoteRef/>
      </w:r>
      <w:r>
        <w:rPr>
          <w:lang w:val="pt-PT"/>
        </w:rPr>
        <w:t xml:space="preserve"> </w:t>
      </w:r>
      <w:r>
        <w:rPr>
          <w:lang w:val="pt-PT"/>
        </w:rPr>
        <w:tab/>
      </w:r>
      <w:hyperlink r:id="rId599" w:history="1">
        <w:r>
          <w:rPr>
            <w:rStyle w:val="Hyperlink"/>
            <w:color w:val="auto"/>
            <w:u w:val="none"/>
            <w:lang w:val="pt-PT"/>
          </w:rPr>
          <w:t xml:space="preserve">Directive </w:t>
        </w:r>
        <w:r>
          <w:rPr>
            <w:rStyle w:val="Hyperlink"/>
            <w:lang w:val="pt-PT"/>
          </w:rPr>
          <w:t>2009/138/EC</w:t>
        </w:r>
      </w:hyperlink>
      <w:r>
        <w:rPr>
          <w:lang w:val="pt-PT"/>
        </w:rPr>
        <w:t>,</w:t>
      </w:r>
      <w:r>
        <w:rPr>
          <w:rFonts w:eastAsia="Times New Roman"/>
          <w:lang w:val="pt-PT" w:eastAsia="en-GB"/>
        </w:rPr>
        <w:t xml:space="preserve"> </w:t>
      </w:r>
      <w:hyperlink r:id="rId600" w:history="1">
        <w:r>
          <w:rPr>
            <w:rStyle w:val="Hyperlink"/>
            <w:lang w:val="pt-PT"/>
          </w:rPr>
          <w:t>MEMO/18/349</w:t>
        </w:r>
      </w:hyperlink>
      <w:r>
        <w:rPr>
          <w:lang w:val="pt-PT"/>
        </w:rPr>
        <w:t>.</w:t>
      </w:r>
    </w:p>
  </w:footnote>
  <w:footnote w:id="418">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601" w:history="1">
        <w:r>
          <w:rPr>
            <w:rStyle w:val="Hyperlink"/>
            <w:lang w:val="pt-PT"/>
          </w:rPr>
          <w:t>2014/91/EU</w:t>
        </w:r>
      </w:hyperlink>
      <w:r>
        <w:rPr>
          <w:lang w:val="pt-PT"/>
        </w:rPr>
        <w:t>.</w:t>
      </w:r>
    </w:p>
  </w:footnote>
  <w:footnote w:id="419">
    <w:p>
      <w:pPr>
        <w:pStyle w:val="FootnoteText"/>
        <w:rPr>
          <w:lang w:val="pt-PT"/>
        </w:rPr>
      </w:pPr>
      <w:r>
        <w:rPr>
          <w:rStyle w:val="FootnoteReference"/>
        </w:rPr>
        <w:footnoteRef/>
      </w:r>
      <w:r>
        <w:rPr>
          <w:lang w:val="pt-PT"/>
        </w:rPr>
        <w:t xml:space="preserve"> </w:t>
      </w:r>
      <w:r>
        <w:rPr>
          <w:lang w:val="pt-PT"/>
        </w:rPr>
        <w:tab/>
        <w:t xml:space="preserve">Directive </w:t>
      </w:r>
      <w:hyperlink r:id="rId602" w:history="1">
        <w:r>
          <w:rPr>
            <w:rStyle w:val="Hyperlink"/>
            <w:lang w:val="pt-PT"/>
          </w:rPr>
          <w:t>2014/40/EU</w:t>
        </w:r>
      </w:hyperlink>
      <w:r>
        <w:rPr>
          <w:lang w:val="pt-PT"/>
        </w:rPr>
        <w:t>.</w:t>
      </w:r>
    </w:p>
  </w:footnote>
  <w:footnote w:id="420">
    <w:p>
      <w:pPr>
        <w:pStyle w:val="FootnoteText"/>
        <w:rPr>
          <w:lang w:val="pt-PT"/>
        </w:rPr>
      </w:pPr>
      <w:r>
        <w:rPr>
          <w:rStyle w:val="FootnoteReference"/>
        </w:rPr>
        <w:footnoteRef/>
      </w:r>
      <w:r>
        <w:rPr>
          <w:lang w:val="pt-PT"/>
        </w:rPr>
        <w:t xml:space="preserve"> </w:t>
      </w:r>
      <w:r>
        <w:rPr>
          <w:lang w:val="pt-PT"/>
        </w:rPr>
        <w:tab/>
        <w:t xml:space="preserve">Directive </w:t>
      </w:r>
      <w:hyperlink r:id="rId603" w:history="1">
        <w:r>
          <w:rPr>
            <w:rStyle w:val="Hyperlink"/>
            <w:lang w:val="pt-PT"/>
          </w:rPr>
          <w:t>2011/70/Euratom</w:t>
        </w:r>
      </w:hyperlink>
      <w:r>
        <w:rPr>
          <w:rStyle w:val="Hyperlink"/>
          <w:lang w:val="pt-PT"/>
        </w:rPr>
        <w:t>.</w:t>
      </w:r>
    </w:p>
  </w:footnote>
  <w:footnote w:id="421">
    <w:p>
      <w:pPr>
        <w:pStyle w:val="FootnoteText"/>
        <w:rPr>
          <w:lang w:val="pt-PT"/>
        </w:rPr>
      </w:pPr>
      <w:r>
        <w:rPr>
          <w:rStyle w:val="FootnoteReference"/>
        </w:rPr>
        <w:footnoteRef/>
      </w:r>
      <w:r>
        <w:rPr>
          <w:lang w:val="pt-PT"/>
        </w:rPr>
        <w:t xml:space="preserve"> </w:t>
      </w:r>
      <w:r>
        <w:rPr>
          <w:lang w:val="pt-PT"/>
        </w:rPr>
        <w:tab/>
        <w:t xml:space="preserve">Directive </w:t>
      </w:r>
      <w:hyperlink r:id="rId604" w:history="1">
        <w:r>
          <w:rPr>
            <w:rStyle w:val="Hyperlink"/>
            <w:lang w:val="pt-PT"/>
          </w:rPr>
          <w:t>2014/104/EU</w:t>
        </w:r>
      </w:hyperlink>
      <w:r>
        <w:rPr>
          <w:lang w:val="pt-PT"/>
        </w:rPr>
        <w:t xml:space="preserve">, </w:t>
      </w:r>
      <w:hyperlink r:id="rId605" w:history="1">
        <w:r>
          <w:rPr>
            <w:rStyle w:val="Hyperlink"/>
            <w:lang w:val="pt-PT"/>
          </w:rPr>
          <w:t>MEMO/18/1444</w:t>
        </w:r>
      </w:hyperlink>
      <w:r>
        <w:rPr>
          <w:rStyle w:val="Hyperlink"/>
          <w:lang w:val="pt-PT"/>
        </w:rPr>
        <w:t>.</w:t>
      </w:r>
    </w:p>
  </w:footnote>
  <w:footnote w:id="422">
    <w:p>
      <w:pPr>
        <w:pStyle w:val="FootnoteText"/>
        <w:rPr>
          <w:lang w:val="pt-PT"/>
        </w:rPr>
      </w:pPr>
      <w:r>
        <w:rPr>
          <w:rStyle w:val="FootnoteReference"/>
        </w:rPr>
        <w:footnoteRef/>
      </w:r>
      <w:r>
        <w:rPr>
          <w:lang w:val="pt-PT"/>
        </w:rPr>
        <w:t xml:space="preserve"> </w:t>
      </w:r>
      <w:r>
        <w:rPr>
          <w:lang w:val="pt-PT"/>
        </w:rPr>
        <w:tab/>
        <w:t xml:space="preserve">Directive </w:t>
      </w:r>
      <w:hyperlink r:id="rId606" w:history="1">
        <w:r>
          <w:rPr>
            <w:rStyle w:val="Hyperlink"/>
            <w:lang w:val="pt-PT"/>
          </w:rPr>
          <w:t>2011/70/Euratom</w:t>
        </w:r>
      </w:hyperlink>
      <w:r>
        <w:rPr>
          <w:rStyle w:val="Hyperlink"/>
          <w:lang w:val="pt-PT"/>
        </w:rPr>
        <w:t xml:space="preserve">, </w:t>
      </w:r>
      <w:hyperlink r:id="rId607" w:history="1">
        <w:r>
          <w:rPr>
            <w:rStyle w:val="Hyperlink"/>
            <w:lang w:val="pt-PT"/>
          </w:rPr>
          <w:t>MEMO/18/3446</w:t>
        </w:r>
      </w:hyperlink>
      <w:r>
        <w:rPr>
          <w:rStyle w:val="Hyperlink"/>
          <w:lang w:val="pt-PT"/>
        </w:rPr>
        <w:t>.</w:t>
      </w:r>
    </w:p>
  </w:footnote>
  <w:footnote w:id="423">
    <w:p>
      <w:pPr>
        <w:pStyle w:val="FootnoteText"/>
        <w:rPr>
          <w:lang w:val="pt-PT"/>
        </w:rPr>
      </w:pPr>
      <w:r>
        <w:rPr>
          <w:rStyle w:val="FootnoteReference"/>
        </w:rPr>
        <w:footnoteRef/>
      </w:r>
      <w:r>
        <w:rPr>
          <w:lang w:val="pt-PT"/>
        </w:rPr>
        <w:t xml:space="preserve"> </w:t>
      </w:r>
      <w:r>
        <w:rPr>
          <w:lang w:val="pt-PT"/>
        </w:rPr>
        <w:tab/>
        <w:t xml:space="preserve">Directive </w:t>
      </w:r>
      <w:hyperlink r:id="rId608" w:history="1">
        <w:r>
          <w:rPr>
            <w:rStyle w:val="Hyperlink"/>
            <w:lang w:val="pt-PT"/>
          </w:rPr>
          <w:t>92/43/EEC</w:t>
        </w:r>
      </w:hyperlink>
      <w:r>
        <w:rPr>
          <w:rStyle w:val="Hyperlink"/>
          <w:lang w:val="pt-PT"/>
        </w:rPr>
        <w:t xml:space="preserve">, </w:t>
      </w:r>
      <w:hyperlink r:id="rId609" w:history="1">
        <w:r>
          <w:rPr>
            <w:rStyle w:val="Hyperlink"/>
            <w:lang w:val="pt-PT"/>
          </w:rPr>
          <w:t>MEMO/18/3446</w:t>
        </w:r>
      </w:hyperlink>
      <w:r>
        <w:rPr>
          <w:lang w:val="pt-PT"/>
        </w:rPr>
        <w:t>.</w:t>
      </w:r>
    </w:p>
  </w:footnote>
  <w:footnote w:id="424">
    <w:p>
      <w:pPr>
        <w:pStyle w:val="FootnoteText"/>
        <w:rPr>
          <w:lang w:val="pt-PT"/>
        </w:rPr>
      </w:pPr>
      <w:r>
        <w:rPr>
          <w:rStyle w:val="FootnoteReference"/>
        </w:rPr>
        <w:footnoteRef/>
      </w:r>
      <w:r>
        <w:rPr>
          <w:lang w:val="pt-PT"/>
        </w:rPr>
        <w:t xml:space="preserve"> </w:t>
      </w:r>
      <w:r>
        <w:rPr>
          <w:lang w:val="pt-PT"/>
        </w:rPr>
        <w:tab/>
        <w:t xml:space="preserve">Directive </w:t>
      </w:r>
      <w:hyperlink r:id="rId610" w:history="1">
        <w:r>
          <w:rPr>
            <w:rStyle w:val="Hyperlink"/>
            <w:lang w:val="pt-PT"/>
          </w:rPr>
          <w:t>2005/36/EC</w:t>
        </w:r>
      </w:hyperlink>
      <w:r>
        <w:rPr>
          <w:rStyle w:val="Hyperlink"/>
          <w:lang w:val="pt-PT"/>
        </w:rPr>
        <w:t>,</w:t>
      </w:r>
      <w:r>
        <w:rPr>
          <w:lang w:val="pt-PT"/>
        </w:rPr>
        <w:t xml:space="preserve"> </w:t>
      </w:r>
      <w:hyperlink r:id="rId611" w:history="1">
        <w:r>
          <w:rPr>
            <w:rStyle w:val="Hyperlink"/>
            <w:lang w:val="pt-PT"/>
          </w:rPr>
          <w:t>MEMO/18/4486</w:t>
        </w:r>
      </w:hyperlink>
      <w:r>
        <w:rPr>
          <w:rStyle w:val="Hyperlink"/>
          <w:lang w:val="pt-PT"/>
        </w:rPr>
        <w:t>.</w:t>
      </w:r>
    </w:p>
  </w:footnote>
  <w:footnote w:id="425">
    <w:p>
      <w:pPr>
        <w:pStyle w:val="FootnoteText"/>
        <w:rPr>
          <w:lang w:val="pt-PT"/>
        </w:rPr>
      </w:pPr>
      <w:r>
        <w:rPr>
          <w:rStyle w:val="FootnoteReference"/>
        </w:rPr>
        <w:footnoteRef/>
      </w:r>
      <w:r>
        <w:rPr>
          <w:lang w:val="pt-PT"/>
        </w:rPr>
        <w:t xml:space="preserve"> </w:t>
      </w:r>
      <w:r>
        <w:rPr>
          <w:lang w:val="pt-PT"/>
        </w:rPr>
        <w:tab/>
      </w:r>
      <w:hyperlink r:id="rId612" w:history="1">
        <w:r>
          <w:rPr>
            <w:rStyle w:val="Hyperlink"/>
            <w:lang w:val="pt-PT"/>
          </w:rPr>
          <w:t>MEMO/18/349</w:t>
        </w:r>
      </w:hyperlink>
      <w:r>
        <w:rPr>
          <w:lang w:val="pt-PT"/>
        </w:rPr>
        <w:t>.</w:t>
      </w:r>
    </w:p>
  </w:footnote>
  <w:footnote w:id="426">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613" w:history="1">
        <w:r>
          <w:rPr>
            <w:rStyle w:val="Hyperlink"/>
            <w:lang w:val="pt-PT"/>
          </w:rPr>
          <w:t>2015/2366/EU</w:t>
        </w:r>
      </w:hyperlink>
      <w:r>
        <w:rPr>
          <w:lang w:val="pt-PT"/>
        </w:rPr>
        <w:t>.</w:t>
      </w:r>
    </w:p>
  </w:footnote>
  <w:footnote w:id="427">
    <w:p>
      <w:pPr>
        <w:pStyle w:val="FootnoteText"/>
        <w:rPr>
          <w:lang w:val="pt-PT"/>
        </w:rPr>
      </w:pPr>
      <w:r>
        <w:rPr>
          <w:rStyle w:val="FootnoteReference"/>
        </w:rPr>
        <w:footnoteRef/>
      </w:r>
      <w:r>
        <w:rPr>
          <w:lang w:val="pt-PT"/>
        </w:rPr>
        <w:t xml:space="preserve"> </w:t>
      </w:r>
      <w:r>
        <w:rPr>
          <w:lang w:val="pt-PT"/>
        </w:rPr>
        <w:tab/>
      </w:r>
      <w:hyperlink r:id="rId614" w:history="1">
        <w:r>
          <w:rPr>
            <w:rStyle w:val="Hyperlink"/>
            <w:color w:val="auto"/>
            <w:u w:val="none"/>
            <w:bdr w:val="none" w:sz="0" w:space="0" w:color="auto" w:frame="1"/>
            <w:lang w:val="pt-PT"/>
          </w:rPr>
          <w:t>Directive</w:t>
        </w:r>
        <w:r>
          <w:rPr>
            <w:rStyle w:val="Hyperlink"/>
            <w:color w:val="347C98"/>
            <w:bdr w:val="none" w:sz="0" w:space="0" w:color="auto" w:frame="1"/>
            <w:lang w:val="pt-PT"/>
          </w:rPr>
          <w:t xml:space="preserve"> 2014/65/EU</w:t>
        </w:r>
      </w:hyperlink>
      <w:r>
        <w:rPr>
          <w:lang w:val="pt-PT"/>
        </w:rPr>
        <w:t xml:space="preserve">, </w:t>
      </w:r>
      <w:hyperlink r:id="rId615" w:history="1">
        <w:r>
          <w:rPr>
            <w:rStyle w:val="Hyperlink"/>
            <w:lang w:val="pt-PT"/>
          </w:rPr>
          <w:t>MEMO/18/349</w:t>
        </w:r>
      </w:hyperlink>
      <w:r>
        <w:rPr>
          <w:lang w:val="pt-PT"/>
        </w:rPr>
        <w:t>.</w:t>
      </w:r>
    </w:p>
  </w:footnote>
  <w:footnote w:id="428">
    <w:p>
      <w:pPr>
        <w:pStyle w:val="FootnoteText"/>
        <w:rPr>
          <w:lang w:val="pt-PT"/>
        </w:rPr>
      </w:pPr>
      <w:r>
        <w:rPr>
          <w:rStyle w:val="FootnoteReference"/>
        </w:rPr>
        <w:footnoteRef/>
      </w:r>
      <w:r>
        <w:rPr>
          <w:lang w:val="pt-PT"/>
        </w:rPr>
        <w:t xml:space="preserve"> </w:t>
      </w:r>
      <w:r>
        <w:rPr>
          <w:lang w:val="pt-PT"/>
        </w:rPr>
        <w:tab/>
        <w:t xml:space="preserve">Directive </w:t>
      </w:r>
      <w:hyperlink r:id="rId616" w:history="1">
        <w:r>
          <w:rPr>
            <w:rStyle w:val="Hyperlink"/>
            <w:lang w:val="pt-PT"/>
          </w:rPr>
          <w:t>2016/1148/EU</w:t>
        </w:r>
      </w:hyperlink>
      <w:r>
        <w:rPr>
          <w:lang w:val="pt-PT"/>
        </w:rPr>
        <w:t xml:space="preserve">; </w:t>
      </w:r>
      <w:hyperlink r:id="rId617" w:history="1">
        <w:r>
          <w:rPr>
            <w:rStyle w:val="Hyperlink"/>
            <w:lang w:val="pt-PT"/>
          </w:rPr>
          <w:t>MEMO/18/4486</w:t>
        </w:r>
      </w:hyperlink>
      <w:r>
        <w:rPr>
          <w:rStyle w:val="Hyperlink"/>
          <w:lang w:val="pt-PT"/>
        </w:rPr>
        <w:t>.</w:t>
      </w:r>
    </w:p>
  </w:footnote>
  <w:footnote w:id="429">
    <w:p>
      <w:pPr>
        <w:pStyle w:val="FootnoteText"/>
        <w:rPr>
          <w:lang w:val="pt-PT"/>
        </w:rPr>
      </w:pPr>
      <w:r>
        <w:rPr>
          <w:rStyle w:val="FootnoteReference"/>
        </w:rPr>
        <w:footnoteRef/>
      </w:r>
      <w:r>
        <w:rPr>
          <w:lang w:val="pt-PT"/>
        </w:rPr>
        <w:t xml:space="preserve"> </w:t>
      </w:r>
      <w:r>
        <w:rPr>
          <w:lang w:val="pt-PT"/>
        </w:rPr>
        <w:tab/>
        <w:t xml:space="preserve">Directive </w:t>
      </w:r>
      <w:hyperlink r:id="rId618" w:history="1">
        <w:r>
          <w:rPr>
            <w:rStyle w:val="Hyperlink"/>
            <w:lang w:val="pt-PT"/>
          </w:rPr>
          <w:t>2016/2102</w:t>
        </w:r>
      </w:hyperlink>
      <w:r>
        <w:rPr>
          <w:rStyle w:val="Hyperlink"/>
          <w:lang w:val="pt-PT"/>
        </w:rPr>
        <w:t>/EU</w:t>
      </w:r>
      <w:r>
        <w:rPr>
          <w:lang w:val="pt-PT"/>
        </w:rPr>
        <w:t>.</w:t>
      </w:r>
    </w:p>
  </w:footnote>
  <w:footnote w:id="430">
    <w:p>
      <w:pPr>
        <w:pStyle w:val="FootnoteText"/>
        <w:rPr>
          <w:lang w:val="pt-PT"/>
        </w:rPr>
      </w:pPr>
      <w:r>
        <w:rPr>
          <w:rStyle w:val="FootnoteReference"/>
        </w:rPr>
        <w:footnoteRef/>
      </w:r>
      <w:r>
        <w:rPr>
          <w:lang w:val="pt-PT"/>
        </w:rPr>
        <w:t xml:space="preserve"> </w:t>
      </w:r>
      <w:r>
        <w:rPr>
          <w:lang w:val="pt-PT"/>
        </w:rPr>
        <w:tab/>
        <w:t xml:space="preserve">Directive </w:t>
      </w:r>
      <w:hyperlink r:id="rId619" w:history="1">
        <w:r>
          <w:rPr>
            <w:rStyle w:val="Hyperlink"/>
            <w:lang w:val="pt-PT"/>
          </w:rPr>
          <w:t>2017/1564</w:t>
        </w:r>
      </w:hyperlink>
      <w:r>
        <w:rPr>
          <w:rStyle w:val="Hyperlink"/>
          <w:lang w:val="pt-PT"/>
        </w:rPr>
        <w:t>/EU</w:t>
      </w:r>
      <w:r>
        <w:rPr>
          <w:lang w:val="pt-PT"/>
        </w:rPr>
        <w:t>.</w:t>
      </w:r>
    </w:p>
  </w:footnote>
  <w:footnote w:id="431">
    <w:p>
      <w:pPr>
        <w:pStyle w:val="FootnoteText"/>
        <w:rPr>
          <w:lang w:val="pt-PT"/>
        </w:rPr>
      </w:pPr>
      <w:r>
        <w:rPr>
          <w:rStyle w:val="FootnoteReference"/>
        </w:rPr>
        <w:footnoteRef/>
      </w:r>
      <w:r>
        <w:rPr>
          <w:lang w:val="pt-PT"/>
        </w:rPr>
        <w:t xml:space="preserve"> </w:t>
      </w:r>
      <w:r>
        <w:rPr>
          <w:lang w:val="pt-PT"/>
        </w:rPr>
        <w:tab/>
        <w:t xml:space="preserve">Directive </w:t>
      </w:r>
      <w:hyperlink r:id="rId620" w:history="1">
        <w:r>
          <w:rPr>
            <w:rStyle w:val="Hyperlink"/>
            <w:lang w:val="pt-PT"/>
          </w:rPr>
          <w:t>2016/680/EU</w:t>
        </w:r>
      </w:hyperlink>
      <w:r>
        <w:rPr>
          <w:lang w:val="pt-PT"/>
        </w:rPr>
        <w:t>.</w:t>
      </w:r>
    </w:p>
  </w:footnote>
  <w:footnote w:id="432">
    <w:p>
      <w:pPr>
        <w:pStyle w:val="FootnoteText"/>
        <w:rPr>
          <w:lang w:val="pt-PT"/>
        </w:rPr>
      </w:pPr>
      <w:r>
        <w:rPr>
          <w:rStyle w:val="FootnoteReference"/>
        </w:rPr>
        <w:footnoteRef/>
      </w:r>
      <w:r>
        <w:rPr>
          <w:lang w:val="pt-PT"/>
        </w:rPr>
        <w:t xml:space="preserve"> </w:t>
      </w:r>
      <w:r>
        <w:rPr>
          <w:lang w:val="pt-PT"/>
        </w:rPr>
        <w:tab/>
        <w:t xml:space="preserve">Directive </w:t>
      </w:r>
      <w:hyperlink r:id="rId621" w:history="1">
        <w:r>
          <w:rPr>
            <w:rStyle w:val="Hyperlink"/>
            <w:lang w:val="pt-PT"/>
          </w:rPr>
          <w:t>2015/2302</w:t>
        </w:r>
      </w:hyperlink>
      <w:r>
        <w:rPr>
          <w:rStyle w:val="Hyperlink"/>
          <w:lang w:val="pt-PT"/>
        </w:rPr>
        <w:t>/EU</w:t>
      </w:r>
      <w:r>
        <w:rPr>
          <w:lang w:val="pt-PT"/>
        </w:rPr>
        <w:t>.</w:t>
      </w:r>
    </w:p>
  </w:footnote>
  <w:footnote w:id="433">
    <w:p>
      <w:pPr>
        <w:pStyle w:val="FootnoteText"/>
        <w:rPr>
          <w:color w:val="0070C0"/>
          <w:lang w:val="pt-PT"/>
        </w:rPr>
      </w:pPr>
      <w:r>
        <w:rPr>
          <w:rStyle w:val="FootnoteReference"/>
        </w:rPr>
        <w:footnoteRef/>
      </w:r>
      <w:r>
        <w:rPr>
          <w:lang w:val="pt-PT"/>
        </w:rPr>
        <w:t xml:space="preserve"> </w:t>
      </w:r>
      <w:r>
        <w:rPr>
          <w:lang w:val="pt-PT"/>
        </w:rPr>
        <w:tab/>
        <w:t xml:space="preserve">Directive </w:t>
      </w:r>
      <w:hyperlink r:id="rId622" w:history="1">
        <w:r>
          <w:rPr>
            <w:rStyle w:val="LienInternet"/>
            <w:lang w:val="pt-PT"/>
          </w:rPr>
          <w:t>2009/18/EC</w:t>
        </w:r>
      </w:hyperlink>
      <w:r>
        <w:rPr>
          <w:rStyle w:val="LienInternet"/>
          <w:lang w:val="pt-PT"/>
        </w:rPr>
        <w:t>.</w:t>
      </w:r>
    </w:p>
  </w:footnote>
  <w:footnote w:id="434">
    <w:p>
      <w:pPr>
        <w:pStyle w:val="FootnoteText"/>
        <w:rPr>
          <w:lang w:val="pt-PT"/>
        </w:rPr>
      </w:pPr>
      <w:r>
        <w:rPr>
          <w:rStyle w:val="FootnoteReference"/>
        </w:rPr>
        <w:footnoteRef/>
      </w:r>
      <w:r>
        <w:rPr>
          <w:lang w:val="pt-PT"/>
        </w:rPr>
        <w:t xml:space="preserve"> </w:t>
      </w:r>
      <w:r>
        <w:rPr>
          <w:lang w:val="pt-PT"/>
        </w:rPr>
        <w:tab/>
        <w:t xml:space="preserve">Regulation (EEC) </w:t>
      </w:r>
      <w:hyperlink r:id="rId623" w:history="1">
        <w:r>
          <w:rPr>
            <w:rStyle w:val="LienInternet"/>
            <w:lang w:val="pt-PT"/>
          </w:rPr>
          <w:t>4055/86</w:t>
        </w:r>
      </w:hyperlink>
      <w:r>
        <w:rPr>
          <w:rStyle w:val="LienInternet"/>
          <w:lang w:val="pt-PT"/>
        </w:rPr>
        <w:t>.</w:t>
      </w:r>
    </w:p>
  </w:footnote>
  <w:footnote w:id="435">
    <w:p>
      <w:pPr>
        <w:pStyle w:val="FootnoteText"/>
        <w:rPr>
          <w:lang w:val="pt-PT"/>
        </w:rPr>
      </w:pPr>
      <w:r>
        <w:rPr>
          <w:rStyle w:val="FootnoteReference"/>
        </w:rPr>
        <w:footnoteRef/>
      </w:r>
      <w:r>
        <w:rPr>
          <w:lang w:val="pt-PT"/>
        </w:rPr>
        <w:t xml:space="preserve"> </w:t>
      </w:r>
      <w:r>
        <w:rPr>
          <w:lang w:val="pt-PT"/>
        </w:rPr>
        <w:tab/>
        <w:t xml:space="preserve">Directives </w:t>
      </w:r>
      <w:hyperlink r:id="rId624" w:history="1">
        <w:r>
          <w:rPr>
            <w:rStyle w:val="Hyperlink"/>
            <w:lang w:val="pt-PT"/>
          </w:rPr>
          <w:t>2004/23/EC</w:t>
        </w:r>
      </w:hyperlink>
      <w:r>
        <w:rPr>
          <w:lang w:val="pt-PT"/>
        </w:rPr>
        <w:t xml:space="preserve">, </w:t>
      </w:r>
      <w:hyperlink r:id="rId625" w:history="1">
        <w:r>
          <w:rPr>
            <w:rStyle w:val="Hyperlink"/>
            <w:lang w:val="pt-PT"/>
          </w:rPr>
          <w:t>2006/17/EC</w:t>
        </w:r>
      </w:hyperlink>
      <w:r>
        <w:rPr>
          <w:lang w:val="pt-PT"/>
        </w:rPr>
        <w:t xml:space="preserve"> and </w:t>
      </w:r>
      <w:hyperlink r:id="rId626" w:history="1">
        <w:r>
          <w:rPr>
            <w:rStyle w:val="Hyperlink"/>
            <w:lang w:val="pt-PT"/>
          </w:rPr>
          <w:t>2006/86/EC</w:t>
        </w:r>
      </w:hyperlink>
      <w:r>
        <w:rPr>
          <w:lang w:val="pt-PT"/>
        </w:rPr>
        <w:t>.</w:t>
      </w:r>
    </w:p>
  </w:footnote>
  <w:footnote w:id="436">
    <w:p>
      <w:pPr>
        <w:pStyle w:val="FootnoteText"/>
        <w:rPr>
          <w:lang w:val="pt-PT"/>
        </w:rPr>
      </w:pPr>
      <w:r>
        <w:rPr>
          <w:rStyle w:val="FootnoteReference"/>
        </w:rPr>
        <w:footnoteRef/>
      </w:r>
      <w:r>
        <w:rPr>
          <w:lang w:val="pt-PT"/>
        </w:rPr>
        <w:t xml:space="preserve"> </w:t>
      </w:r>
      <w:r>
        <w:rPr>
          <w:lang w:val="pt-PT"/>
        </w:rPr>
        <w:tab/>
        <w:t xml:space="preserve">Directive </w:t>
      </w:r>
      <w:hyperlink r:id="rId627" w:history="1">
        <w:r>
          <w:rPr>
            <w:rStyle w:val="Hyperlink"/>
            <w:lang w:val="pt-PT"/>
          </w:rPr>
          <w:t>2014/66/EU</w:t>
        </w:r>
      </w:hyperlink>
      <w:r>
        <w:rPr>
          <w:lang w:val="pt-PT"/>
        </w:rPr>
        <w:t>.</w:t>
      </w:r>
    </w:p>
  </w:footnote>
  <w:footnote w:id="437">
    <w:p>
      <w:pPr>
        <w:pStyle w:val="FootnoteText"/>
        <w:rPr>
          <w:lang w:val="pt-PT"/>
        </w:rPr>
      </w:pPr>
      <w:r>
        <w:rPr>
          <w:rStyle w:val="FootnoteReference"/>
        </w:rPr>
        <w:footnoteRef/>
      </w:r>
      <w:r>
        <w:rPr>
          <w:lang w:val="pt-PT"/>
        </w:rPr>
        <w:t xml:space="preserve"> </w:t>
      </w:r>
      <w:r>
        <w:rPr>
          <w:lang w:val="pt-PT"/>
        </w:rPr>
        <w:tab/>
        <w:t xml:space="preserve">Directive </w:t>
      </w:r>
      <w:hyperlink r:id="rId628" w:history="1">
        <w:r>
          <w:rPr>
            <w:rStyle w:val="Hyperlink"/>
            <w:lang w:val="pt-PT"/>
          </w:rPr>
          <w:t>2014/36/EU</w:t>
        </w:r>
      </w:hyperlink>
      <w:r>
        <w:rPr>
          <w:lang w:val="pt-PT"/>
        </w:rPr>
        <w:t>.</w:t>
      </w:r>
    </w:p>
  </w:footnote>
  <w:footnote w:id="438">
    <w:p>
      <w:pPr>
        <w:pStyle w:val="FootnoteText"/>
        <w:rPr>
          <w:lang w:val="pt-PT"/>
        </w:rPr>
      </w:pPr>
      <w:r>
        <w:rPr>
          <w:rStyle w:val="FootnoteReference"/>
        </w:rPr>
        <w:footnoteRef/>
      </w:r>
      <w:r>
        <w:rPr>
          <w:lang w:val="pt-PT"/>
        </w:rPr>
        <w:t xml:space="preserve"> </w:t>
      </w:r>
      <w:r>
        <w:rPr>
          <w:lang w:val="pt-PT"/>
        </w:rPr>
        <w:tab/>
        <w:t xml:space="preserve">Directives </w:t>
      </w:r>
      <w:hyperlink r:id="rId629" w:history="1">
        <w:r>
          <w:rPr>
            <w:rStyle w:val="Hyperlink"/>
            <w:lang w:val="pt-PT"/>
          </w:rPr>
          <w:t>2010/64/EU</w:t>
        </w:r>
      </w:hyperlink>
      <w:r>
        <w:rPr>
          <w:lang w:val="pt-PT"/>
        </w:rPr>
        <w:t xml:space="preserve"> and </w:t>
      </w:r>
      <w:hyperlink r:id="rId630" w:history="1">
        <w:r>
          <w:rPr>
            <w:rStyle w:val="Hyperlink"/>
            <w:lang w:val="pt-PT"/>
          </w:rPr>
          <w:t>2012/13/EU</w:t>
        </w:r>
      </w:hyperlink>
      <w:r>
        <w:rPr>
          <w:lang w:val="pt-PT"/>
        </w:rPr>
        <w:t>.</w:t>
      </w:r>
    </w:p>
  </w:footnote>
  <w:footnote w:id="439">
    <w:p>
      <w:pPr>
        <w:pStyle w:val="FootnoteText"/>
        <w:rPr>
          <w:lang w:val="pt-PT"/>
        </w:rPr>
      </w:pPr>
      <w:r>
        <w:rPr>
          <w:rStyle w:val="FootnoteReference"/>
        </w:rPr>
        <w:footnoteRef/>
      </w:r>
      <w:r>
        <w:rPr>
          <w:lang w:val="pt-PT"/>
        </w:rPr>
        <w:t xml:space="preserve"> </w:t>
      </w:r>
      <w:r>
        <w:rPr>
          <w:lang w:val="pt-PT"/>
        </w:rPr>
        <w:tab/>
        <w:t xml:space="preserve">Directive </w:t>
      </w:r>
      <w:hyperlink r:id="rId631" w:history="1">
        <w:r>
          <w:rPr>
            <w:rStyle w:val="Hyperlink"/>
            <w:lang w:val="pt-PT"/>
          </w:rPr>
          <w:t>2014/87/Euratom</w:t>
        </w:r>
      </w:hyperlink>
      <w:r>
        <w:rPr>
          <w:rStyle w:val="Hyperlink"/>
          <w:lang w:val="pt-PT"/>
        </w:rPr>
        <w:t>.</w:t>
      </w:r>
    </w:p>
  </w:footnote>
  <w:footnote w:id="440">
    <w:p>
      <w:pPr>
        <w:pStyle w:val="FootnoteText"/>
        <w:rPr>
          <w:lang w:val="pt-PT"/>
        </w:rPr>
      </w:pPr>
      <w:r>
        <w:rPr>
          <w:rStyle w:val="FootnoteReference"/>
        </w:rPr>
        <w:footnoteRef/>
      </w:r>
      <w:r>
        <w:rPr>
          <w:lang w:val="pt-PT"/>
        </w:rPr>
        <w:t xml:space="preserve"> </w:t>
      </w:r>
      <w:r>
        <w:rPr>
          <w:lang w:val="pt-PT"/>
        </w:rPr>
        <w:tab/>
        <w:t xml:space="preserve">Regulation </w:t>
      </w:r>
      <w:hyperlink r:id="rId632" w:history="1">
        <w:r>
          <w:rPr>
            <w:rStyle w:val="Hyperlink"/>
            <w:lang w:val="pt-PT"/>
          </w:rPr>
          <w:t>(EU) 1380/2013</w:t>
        </w:r>
      </w:hyperlink>
      <w:r>
        <w:rPr>
          <w:rStyle w:val="Hyperlink"/>
          <w:lang w:val="pt-PT"/>
        </w:rPr>
        <w:t>.</w:t>
      </w:r>
    </w:p>
  </w:footnote>
  <w:footnote w:id="441">
    <w:p>
      <w:pPr>
        <w:pStyle w:val="FootnoteText"/>
      </w:pPr>
      <w:r>
        <w:rPr>
          <w:rStyle w:val="FootnoteReference"/>
        </w:rPr>
        <w:footnoteRef/>
      </w:r>
      <w:r>
        <w:tab/>
      </w:r>
      <w:r>
        <w:rPr>
          <w:rStyle w:val="affairetitle"/>
        </w:rPr>
        <w:t>Spika and Others,</w:t>
      </w:r>
      <w:r>
        <w:rPr>
          <w:rStyle w:val="Hyperlink"/>
        </w:rPr>
        <w:t xml:space="preserve"> </w:t>
      </w:r>
      <w:hyperlink r:id="rId633" w:history="1">
        <w:r>
          <w:rPr>
            <w:rStyle w:val="Hyperlink"/>
          </w:rPr>
          <w:t>C-540/16</w:t>
        </w:r>
      </w:hyperlink>
      <w:r>
        <w:rPr>
          <w:rStyle w:val="affairetitle"/>
        </w:rPr>
        <w:t>.</w:t>
      </w:r>
    </w:p>
  </w:footnote>
  <w:footnote w:id="442">
    <w:p>
      <w:pPr>
        <w:pStyle w:val="FootnoteText"/>
        <w:rPr>
          <w:lang w:val="fr-BE"/>
        </w:rPr>
      </w:pPr>
      <w:r>
        <w:rPr>
          <w:rStyle w:val="FootnoteReference"/>
        </w:rPr>
        <w:footnoteRef/>
      </w:r>
      <w:r>
        <w:rPr>
          <w:lang w:val="fr-BE"/>
        </w:rPr>
        <w:t xml:space="preserve"> </w:t>
      </w:r>
      <w:r>
        <w:rPr>
          <w:lang w:val="fr-BE"/>
        </w:rPr>
        <w:tab/>
        <w:t>Specializuotas transportas,</w:t>
      </w:r>
      <w:r>
        <w:rPr>
          <w:rStyle w:val="Hyperlink"/>
          <w:szCs w:val="20"/>
          <w:lang w:val="fr-BE"/>
        </w:rPr>
        <w:t xml:space="preserve"> </w:t>
      </w:r>
      <w:hyperlink r:id="rId634" w:history="1">
        <w:r>
          <w:rPr>
            <w:rStyle w:val="Hyperlink"/>
            <w:szCs w:val="20"/>
            <w:lang w:val="fr-BE"/>
          </w:rPr>
          <w:t>C-531/16</w:t>
        </w:r>
      </w:hyperlink>
      <w:r>
        <w:rPr>
          <w:rStyle w:val="Hyperlink"/>
          <w:szCs w:val="20"/>
          <w:lang w:val="fr-BE"/>
        </w:rPr>
        <w:t>.</w:t>
      </w:r>
    </w:p>
  </w:footnote>
  <w:footnote w:id="443">
    <w:p>
      <w:pPr>
        <w:pStyle w:val="FootnoteText"/>
        <w:rPr>
          <w:lang w:val="fr-BE"/>
        </w:rPr>
      </w:pPr>
      <w:r>
        <w:rPr>
          <w:rStyle w:val="FootnoteReference"/>
        </w:rPr>
        <w:footnoteRef/>
      </w:r>
      <w:r>
        <w:rPr>
          <w:lang w:val="fr-BE"/>
        </w:rPr>
        <w:t xml:space="preserve"> </w:t>
      </w:r>
      <w:r>
        <w:rPr>
          <w:lang w:val="fr-BE"/>
        </w:rPr>
        <w:tab/>
        <w:t>Roche Lietuva,</w:t>
      </w:r>
      <w:r>
        <w:rPr>
          <w:rStyle w:val="Hyperlink"/>
          <w:szCs w:val="20"/>
          <w:lang w:val="fr-BE"/>
        </w:rPr>
        <w:t xml:space="preserve"> </w:t>
      </w:r>
      <w:hyperlink r:id="rId635" w:history="1">
        <w:r>
          <w:rPr>
            <w:rStyle w:val="Hyperlink"/>
            <w:szCs w:val="20"/>
            <w:lang w:val="fr-BE"/>
          </w:rPr>
          <w:t>C-413/17</w:t>
        </w:r>
      </w:hyperlink>
      <w:r>
        <w:rPr>
          <w:lang w:val="fr-BE"/>
        </w:rPr>
        <w:t>.</w:t>
      </w:r>
    </w:p>
  </w:footnote>
  <w:footnote w:id="444">
    <w:p>
      <w:pPr>
        <w:pStyle w:val="FootnoteText"/>
        <w:rPr>
          <w:lang w:val="fr-BE"/>
        </w:rPr>
      </w:pPr>
      <w:r>
        <w:rPr>
          <w:rStyle w:val="FootnoteReference"/>
        </w:rPr>
        <w:footnoteRef/>
      </w:r>
      <w:r>
        <w:rPr>
          <w:lang w:val="fr-BE"/>
        </w:rPr>
        <w:t xml:space="preserve"> </w:t>
      </w:r>
      <w:r>
        <w:rPr>
          <w:lang w:val="fr-BE"/>
        </w:rPr>
        <w:tab/>
        <w:t xml:space="preserve">Directive </w:t>
      </w:r>
      <w:hyperlink r:id="rId636" w:history="1">
        <w:r>
          <w:rPr>
            <w:rStyle w:val="Hyperlink"/>
            <w:lang w:val="fr-BE"/>
          </w:rPr>
          <w:t>2005/36/EC</w:t>
        </w:r>
      </w:hyperlink>
      <w:r>
        <w:rPr>
          <w:rStyle w:val="Hyperlink"/>
          <w:lang w:val="fr-BE"/>
        </w:rPr>
        <w:t>.</w:t>
      </w:r>
    </w:p>
  </w:footnote>
  <w:footnote w:id="445">
    <w:p>
      <w:pPr>
        <w:pStyle w:val="FootnoteText"/>
        <w:rPr>
          <w:lang w:val="fr-BE"/>
        </w:rPr>
      </w:pPr>
      <w:r>
        <w:rPr>
          <w:rStyle w:val="FootnoteReference"/>
        </w:rPr>
        <w:footnoteRef/>
      </w:r>
      <w:r>
        <w:rPr>
          <w:lang w:val="fr-BE"/>
        </w:rPr>
        <w:t xml:space="preserve"> </w:t>
      </w:r>
      <w:r>
        <w:rPr>
          <w:lang w:val="fr-BE"/>
        </w:rPr>
        <w:tab/>
        <w:t>Commission Directive</w:t>
      </w:r>
      <w:r>
        <w:rPr>
          <w:rStyle w:val="Hyperlink"/>
          <w:lang w:val="fr-BE"/>
        </w:rPr>
        <w:t xml:space="preserve"> </w:t>
      </w:r>
      <w:hyperlink r:id="rId637" w:history="1">
        <w:r>
          <w:rPr>
            <w:rStyle w:val="Hyperlink"/>
            <w:lang w:val="fr-BE"/>
          </w:rPr>
          <w:t>2016/1214/EU.</w:t>
        </w:r>
      </w:hyperlink>
    </w:p>
  </w:footnote>
  <w:footnote w:id="446">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638" w:history="1">
        <w:r>
          <w:rPr>
            <w:rStyle w:val="Hyperlink"/>
            <w:lang w:val="fr-BE"/>
          </w:rPr>
          <w:t>2017/1279</w:t>
        </w:r>
      </w:hyperlink>
      <w:r>
        <w:rPr>
          <w:rStyle w:val="Hyperlink"/>
          <w:lang w:val="fr-BE"/>
        </w:rPr>
        <w:t>/EU</w:t>
      </w:r>
      <w:r>
        <w:rPr>
          <w:lang w:val="fr-BE"/>
        </w:rPr>
        <w:t>.</w:t>
      </w:r>
    </w:p>
  </w:footnote>
  <w:footnote w:id="447">
    <w:p>
      <w:pPr>
        <w:pStyle w:val="FootnoteText"/>
        <w:rPr>
          <w:lang w:val="fr-BE"/>
        </w:rPr>
      </w:pPr>
      <w:r>
        <w:rPr>
          <w:rStyle w:val="FootnoteReference"/>
        </w:rPr>
        <w:footnoteRef/>
      </w:r>
      <w:r>
        <w:rPr>
          <w:lang w:val="fr-BE"/>
        </w:rPr>
        <w:t xml:space="preserve"> </w:t>
      </w:r>
      <w:r>
        <w:rPr>
          <w:lang w:val="fr-BE"/>
        </w:rPr>
        <w:tab/>
      </w:r>
      <w:r>
        <w:rPr>
          <w:rStyle w:val="Hyperlink"/>
          <w:color w:val="auto"/>
          <w:u w:val="none"/>
          <w:lang w:val="fr-BE"/>
        </w:rPr>
        <w:t xml:space="preserve">Directive </w:t>
      </w:r>
      <w:hyperlink r:id="rId639" w:history="1">
        <w:r>
          <w:rPr>
            <w:rStyle w:val="Hyperlink"/>
            <w:lang w:val="fr-BE"/>
          </w:rPr>
          <w:t>2015/2366/EU</w:t>
        </w:r>
      </w:hyperlink>
      <w:r>
        <w:rPr>
          <w:lang w:val="fr-BE"/>
        </w:rPr>
        <w:t>.</w:t>
      </w:r>
    </w:p>
  </w:footnote>
  <w:footnote w:id="448">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640" w:history="1">
        <w:r>
          <w:rPr>
            <w:rStyle w:val="Hyperlink"/>
            <w:lang w:val="pt-PT"/>
          </w:rPr>
          <w:t>2016/97/EU</w:t>
        </w:r>
      </w:hyperlink>
      <w:r>
        <w:rPr>
          <w:lang w:val="pt-PT"/>
        </w:rPr>
        <w:t>.</w:t>
      </w:r>
    </w:p>
  </w:footnote>
  <w:footnote w:id="449">
    <w:p>
      <w:pPr>
        <w:pStyle w:val="FootnoteText"/>
        <w:rPr>
          <w:lang w:val="pt-PT"/>
        </w:rPr>
      </w:pPr>
      <w:r>
        <w:rPr>
          <w:rStyle w:val="FootnoteReference"/>
        </w:rPr>
        <w:footnoteRef/>
      </w:r>
      <w:r>
        <w:rPr>
          <w:lang w:val="pt-PT"/>
        </w:rPr>
        <w:t xml:space="preserve"> </w:t>
      </w:r>
      <w:r>
        <w:rPr>
          <w:lang w:val="pt-PT"/>
        </w:rPr>
        <w:tab/>
      </w:r>
      <w:r>
        <w:rPr>
          <w:rStyle w:val="Hyperlink"/>
          <w:color w:val="auto"/>
          <w:u w:val="none"/>
          <w:bdr w:val="none" w:sz="0" w:space="0" w:color="auto" w:frame="1"/>
          <w:lang w:val="pt-PT"/>
        </w:rPr>
        <w:t xml:space="preserve">Directive </w:t>
      </w:r>
      <w:hyperlink r:id="rId641" w:history="1">
        <w:r>
          <w:rPr>
            <w:rStyle w:val="Hyperlink"/>
            <w:bdr w:val="none" w:sz="0" w:space="0" w:color="auto" w:frame="1"/>
            <w:lang w:val="pt-PT"/>
          </w:rPr>
          <w:t>2014/65/EU</w:t>
        </w:r>
      </w:hyperlink>
      <w:r>
        <w:rPr>
          <w:lang w:val="pt-PT"/>
        </w:rPr>
        <w:t xml:space="preserve">; </w:t>
      </w:r>
      <w:hyperlink r:id="rId642" w:history="1">
        <w:r>
          <w:rPr>
            <w:rStyle w:val="Hyperlink"/>
            <w:lang w:val="pt-PT"/>
          </w:rPr>
          <w:t>MEMO/18/349</w:t>
        </w:r>
      </w:hyperlink>
      <w:r>
        <w:rPr>
          <w:lang w:val="pt-PT"/>
        </w:rPr>
        <w:t>.</w:t>
      </w:r>
    </w:p>
  </w:footnote>
  <w:footnote w:id="450">
    <w:p>
      <w:pPr>
        <w:pStyle w:val="FootnoteText"/>
        <w:rPr>
          <w:lang w:val="pt-PT"/>
        </w:rPr>
      </w:pPr>
      <w:r>
        <w:rPr>
          <w:rStyle w:val="FootnoteReference"/>
        </w:rPr>
        <w:footnoteRef/>
      </w:r>
      <w:r>
        <w:rPr>
          <w:lang w:val="pt-PT"/>
        </w:rPr>
        <w:t xml:space="preserve"> </w:t>
      </w:r>
      <w:r>
        <w:rPr>
          <w:lang w:val="pt-PT"/>
        </w:rPr>
        <w:tab/>
        <w:t xml:space="preserve">Directive </w:t>
      </w:r>
      <w:hyperlink r:id="rId643" w:history="1">
        <w:r>
          <w:rPr>
            <w:rStyle w:val="Hyperlink"/>
            <w:lang w:val="pt-PT"/>
          </w:rPr>
          <w:t>2013/59/Euratom</w:t>
        </w:r>
      </w:hyperlink>
      <w:r>
        <w:rPr>
          <w:lang w:val="pt-PT"/>
        </w:rPr>
        <w:t xml:space="preserve">, </w:t>
      </w:r>
      <w:hyperlink r:id="rId644" w:history="1">
        <w:r>
          <w:rPr>
            <w:rStyle w:val="Hyperlink"/>
            <w:lang w:val="pt-PT"/>
          </w:rPr>
          <w:t>MEMO/18/3446</w:t>
        </w:r>
      </w:hyperlink>
    </w:p>
  </w:footnote>
  <w:footnote w:id="451">
    <w:p>
      <w:pPr>
        <w:pStyle w:val="FootnoteText"/>
        <w:rPr>
          <w:lang w:val="fr-BE"/>
        </w:rPr>
      </w:pPr>
      <w:r>
        <w:rPr>
          <w:rStyle w:val="FootnoteReference"/>
        </w:rPr>
        <w:footnoteRef/>
      </w:r>
      <w:r>
        <w:rPr>
          <w:lang w:val="fr-BE"/>
        </w:rPr>
        <w:t xml:space="preserve"> </w:t>
      </w:r>
      <w:r>
        <w:rPr>
          <w:lang w:val="fr-BE"/>
        </w:rPr>
        <w:tab/>
        <w:t xml:space="preserve">Directive </w:t>
      </w:r>
      <w:hyperlink r:id="rId645" w:history="1">
        <w:r>
          <w:rPr>
            <w:rStyle w:val="Hyperlink"/>
            <w:lang w:val="fr-BE"/>
          </w:rPr>
          <w:t>2015/2193/EU</w:t>
        </w:r>
      </w:hyperlink>
      <w:r>
        <w:rPr>
          <w:lang w:val="fr-BE"/>
        </w:rPr>
        <w:t>.</w:t>
      </w:r>
    </w:p>
  </w:footnote>
  <w:footnote w:id="452">
    <w:p>
      <w:pPr>
        <w:pStyle w:val="FootnoteText"/>
        <w:rPr>
          <w:lang w:val="fr-BE"/>
        </w:rPr>
      </w:pPr>
      <w:r>
        <w:rPr>
          <w:rStyle w:val="FootnoteReference"/>
        </w:rPr>
        <w:footnoteRef/>
      </w:r>
      <w:r>
        <w:rPr>
          <w:lang w:val="fr-BE"/>
        </w:rPr>
        <w:t xml:space="preserve"> </w:t>
      </w:r>
      <w:r>
        <w:rPr>
          <w:lang w:val="fr-BE"/>
        </w:rPr>
        <w:tab/>
        <w:t xml:space="preserve">Directive </w:t>
      </w:r>
      <w:hyperlink r:id="rId646" w:history="1">
        <w:r>
          <w:rPr>
            <w:rStyle w:val="Hyperlink"/>
            <w:lang w:val="fr-BE"/>
          </w:rPr>
          <w:t>2016/1148/EU</w:t>
        </w:r>
      </w:hyperlink>
      <w:r>
        <w:rPr>
          <w:lang w:val="fr-BE"/>
        </w:rPr>
        <w:t xml:space="preserve">; </w:t>
      </w:r>
      <w:hyperlink r:id="rId647" w:history="1">
        <w:r>
          <w:rPr>
            <w:rStyle w:val="Hyperlink"/>
            <w:lang w:val="fr-BE"/>
          </w:rPr>
          <w:t>MEMO/18/4486</w:t>
        </w:r>
      </w:hyperlink>
      <w:r>
        <w:rPr>
          <w:rStyle w:val="Hyperlink"/>
          <w:lang w:val="fr-BE"/>
        </w:rPr>
        <w:t>.</w:t>
      </w:r>
    </w:p>
  </w:footnote>
  <w:footnote w:id="453">
    <w:p>
      <w:pPr>
        <w:pStyle w:val="FootnoteText"/>
        <w:rPr>
          <w:lang w:val="fr-BE"/>
        </w:rPr>
      </w:pPr>
      <w:r>
        <w:rPr>
          <w:rStyle w:val="FootnoteReference"/>
        </w:rPr>
        <w:footnoteRef/>
      </w:r>
      <w:r>
        <w:rPr>
          <w:lang w:val="fr-BE"/>
        </w:rPr>
        <w:t xml:space="preserve"> </w:t>
      </w:r>
      <w:r>
        <w:rPr>
          <w:lang w:val="fr-BE"/>
        </w:rPr>
        <w:tab/>
      </w:r>
      <w:r>
        <w:rPr>
          <w:rFonts w:cs="Arial"/>
          <w:szCs w:val="18"/>
          <w:lang w:val="fr-BE"/>
        </w:rPr>
        <w:t xml:space="preserve">Directive </w:t>
      </w:r>
      <w:hyperlink r:id="rId648" w:history="1">
        <w:r>
          <w:rPr>
            <w:rStyle w:val="Hyperlink"/>
            <w:rFonts w:cs="Arial"/>
            <w:szCs w:val="18"/>
            <w:lang w:val="fr-BE"/>
          </w:rPr>
          <w:t>2016/2102/EU</w:t>
        </w:r>
      </w:hyperlink>
      <w:r>
        <w:rPr>
          <w:rFonts w:cs="Arial"/>
          <w:szCs w:val="18"/>
          <w:lang w:val="fr-BE"/>
        </w:rPr>
        <w:t>.</w:t>
      </w:r>
    </w:p>
  </w:footnote>
  <w:footnote w:id="454">
    <w:p>
      <w:pPr>
        <w:pStyle w:val="FootnoteText"/>
        <w:rPr>
          <w:lang w:val="fr-BE"/>
        </w:rPr>
      </w:pPr>
      <w:r>
        <w:rPr>
          <w:rStyle w:val="FootnoteReference"/>
        </w:rPr>
        <w:footnoteRef/>
      </w:r>
      <w:r>
        <w:rPr>
          <w:lang w:val="fr-BE"/>
        </w:rPr>
        <w:t xml:space="preserve"> </w:t>
      </w:r>
      <w:r>
        <w:rPr>
          <w:lang w:val="fr-BE"/>
        </w:rPr>
        <w:tab/>
        <w:t xml:space="preserve">Directive </w:t>
      </w:r>
      <w:hyperlink r:id="rId649" w:history="1">
        <w:r>
          <w:rPr>
            <w:rStyle w:val="Hyperlink"/>
            <w:rFonts w:cs="Arial"/>
            <w:szCs w:val="18"/>
            <w:lang w:val="fr-BE"/>
          </w:rPr>
          <w:t>2017/1564/EU</w:t>
        </w:r>
      </w:hyperlink>
      <w:r>
        <w:rPr>
          <w:rFonts w:cs="Arial"/>
          <w:szCs w:val="18"/>
          <w:lang w:val="fr-BE"/>
        </w:rPr>
        <w:t>.</w:t>
      </w:r>
    </w:p>
  </w:footnote>
  <w:footnote w:id="455">
    <w:p>
      <w:pPr>
        <w:pStyle w:val="FootnoteText"/>
        <w:rPr>
          <w:lang w:val="fr-BE"/>
        </w:rPr>
      </w:pPr>
      <w:r>
        <w:rPr>
          <w:rStyle w:val="FootnoteReference"/>
        </w:rPr>
        <w:footnoteRef/>
      </w:r>
      <w:r>
        <w:rPr>
          <w:lang w:val="fr-BE"/>
        </w:rPr>
        <w:t xml:space="preserve"> </w:t>
      </w:r>
      <w:r>
        <w:rPr>
          <w:lang w:val="fr-BE"/>
        </w:rPr>
        <w:tab/>
        <w:t xml:space="preserve">Directive </w:t>
      </w:r>
      <w:hyperlink r:id="rId650" w:history="1">
        <w:r>
          <w:rPr>
            <w:rStyle w:val="Hyperlink"/>
            <w:rFonts w:cs="Arial"/>
            <w:szCs w:val="20"/>
            <w:lang w:val="fr-BE"/>
          </w:rPr>
          <w:t>2015/2302/EU</w:t>
        </w:r>
      </w:hyperlink>
      <w:r>
        <w:rPr>
          <w:rFonts w:cs="Arial"/>
          <w:szCs w:val="20"/>
          <w:lang w:val="fr-BE"/>
        </w:rPr>
        <w:t>.</w:t>
      </w:r>
    </w:p>
  </w:footnote>
  <w:footnote w:id="456">
    <w:p>
      <w:pPr>
        <w:pStyle w:val="FootnoteText"/>
        <w:rPr>
          <w:lang w:val="fr-BE"/>
        </w:rPr>
      </w:pPr>
      <w:r>
        <w:rPr>
          <w:rStyle w:val="FootnoteReference"/>
        </w:rPr>
        <w:footnoteRef/>
      </w:r>
      <w:r>
        <w:rPr>
          <w:lang w:val="fr-BE"/>
        </w:rPr>
        <w:t xml:space="preserve"> </w:t>
      </w:r>
      <w:r>
        <w:rPr>
          <w:lang w:val="fr-BE"/>
        </w:rPr>
        <w:tab/>
        <w:t xml:space="preserve">Directive </w:t>
      </w:r>
      <w:hyperlink r:id="rId651" w:history="1">
        <w:r>
          <w:rPr>
            <w:rStyle w:val="Hyperlink"/>
            <w:rFonts w:cs="Arial"/>
            <w:szCs w:val="20"/>
            <w:lang w:val="fr-BE"/>
          </w:rPr>
          <w:t>2014/41/EU </w:t>
        </w:r>
      </w:hyperlink>
      <w:r>
        <w:rPr>
          <w:rFonts w:cs="Arial"/>
          <w:szCs w:val="20"/>
          <w:lang w:val="fr-BE"/>
        </w:rPr>
        <w:t xml:space="preserve">; </w:t>
      </w:r>
      <w:hyperlink r:id="rId652" w:history="1">
        <w:r>
          <w:rPr>
            <w:rStyle w:val="Hyperlink"/>
            <w:lang w:val="fr-BE"/>
          </w:rPr>
          <w:t>MEMO/18/349</w:t>
        </w:r>
      </w:hyperlink>
      <w:r>
        <w:rPr>
          <w:lang w:val="fr-BE"/>
        </w:rPr>
        <w:t>.</w:t>
      </w:r>
    </w:p>
  </w:footnote>
  <w:footnote w:id="457">
    <w:p>
      <w:pPr>
        <w:pStyle w:val="FootnoteText"/>
        <w:jc w:val="both"/>
      </w:pPr>
      <w:r>
        <w:rPr>
          <w:rStyle w:val="FootnoteReference"/>
        </w:rPr>
        <w:footnoteRef/>
      </w:r>
      <w:r>
        <w:rPr>
          <w:lang w:val="fr-BE"/>
        </w:rPr>
        <w:t xml:space="preserve"> </w:t>
      </w:r>
      <w:r>
        <w:rPr>
          <w:lang w:val="fr-BE"/>
        </w:rPr>
        <w:tab/>
      </w:r>
      <w:r>
        <w:rPr>
          <w:rStyle w:val="affairetitle"/>
          <w:lang w:val="fr-BE"/>
        </w:rPr>
        <w:t xml:space="preserve">Commission v Luxembourg, </w:t>
      </w:r>
      <w:hyperlink r:id="rId653" w:history="1">
        <w:r>
          <w:rPr>
            <w:rStyle w:val="Hyperlink"/>
            <w:lang w:val="fr-BE"/>
          </w:rPr>
          <w:t>C-20/18</w:t>
        </w:r>
      </w:hyperlink>
      <w:r>
        <w:rPr>
          <w:rStyle w:val="affairetitle"/>
          <w:lang w:val="fr-BE"/>
        </w:rPr>
        <w:t xml:space="preserve">. </w:t>
      </w:r>
      <w:r>
        <w:t>Luxembourg subsequently took the necessary steps to ensure compliance with EU law and the Commission has therefore withdrawn this case from the Court.</w:t>
      </w:r>
    </w:p>
  </w:footnote>
  <w:footnote w:id="458">
    <w:p>
      <w:pPr>
        <w:pStyle w:val="FootnoteText"/>
        <w:jc w:val="both"/>
      </w:pPr>
      <w:r>
        <w:rPr>
          <w:rStyle w:val="FootnoteReference"/>
        </w:rPr>
        <w:footnoteRef/>
      </w:r>
      <w:r>
        <w:t xml:space="preserve"> </w:t>
      </w:r>
      <w:r>
        <w:tab/>
      </w:r>
      <w:r>
        <w:rPr>
          <w:rStyle w:val="affairetitle"/>
        </w:rPr>
        <w:t xml:space="preserve">Commission v Luxembourg, </w:t>
      </w:r>
      <w:hyperlink r:id="rId654" w:history="1">
        <w:r>
          <w:rPr>
            <w:rStyle w:val="Hyperlink"/>
          </w:rPr>
          <w:t>C-86/18</w:t>
        </w:r>
      </w:hyperlink>
      <w:r>
        <w:rPr>
          <w:rStyle w:val="affairetitle"/>
        </w:rPr>
        <w:t xml:space="preserve">. </w:t>
      </w:r>
      <w:r>
        <w:t>Luxembourg subsequently took the necessary steps to ensure compliance with EU law and the Commission has therefore withdrawn this case from the Court.</w:t>
      </w:r>
    </w:p>
  </w:footnote>
  <w:footnote w:id="459">
    <w:p>
      <w:pPr>
        <w:pStyle w:val="FootnoteText"/>
        <w:rPr>
          <w:lang w:val="en-US"/>
        </w:rPr>
      </w:pPr>
      <w:r>
        <w:rPr>
          <w:rStyle w:val="FootnoteReference"/>
        </w:rPr>
        <w:footnoteRef/>
      </w:r>
      <w:r>
        <w:rPr>
          <w:lang w:val="en-US"/>
        </w:rPr>
        <w:t xml:space="preserve"> </w:t>
      </w:r>
      <w:r>
        <w:rPr>
          <w:lang w:val="en-US"/>
        </w:rPr>
        <w:tab/>
      </w:r>
      <w:r>
        <w:rPr>
          <w:rStyle w:val="affairetitle"/>
          <w:lang w:val="en-US"/>
        </w:rPr>
        <w:t>Commission v Luxembourg,</w:t>
      </w:r>
      <w:r>
        <w:rPr>
          <w:rStyle w:val="Hyperlink"/>
          <w:lang w:val="en-US"/>
        </w:rPr>
        <w:t xml:space="preserve"> </w:t>
      </w:r>
      <w:hyperlink r:id="rId655" w:history="1">
        <w:r>
          <w:rPr>
            <w:rStyle w:val="Hyperlink"/>
            <w:lang w:val="en-US"/>
          </w:rPr>
          <w:t>C-87/18</w:t>
        </w:r>
      </w:hyperlink>
      <w:r>
        <w:rPr>
          <w:rStyle w:val="affairetitle"/>
          <w:lang w:val="en-US"/>
        </w:rPr>
        <w:t>.</w:t>
      </w:r>
      <w:r>
        <w:rPr>
          <w:lang w:val="en-US"/>
        </w:rPr>
        <w:t xml:space="preserve"> Luxembourg subsequently took the necessary measures and the case has been withdrawn from the Court. </w:t>
      </w:r>
    </w:p>
  </w:footnote>
  <w:footnote w:id="460">
    <w:p>
      <w:pPr>
        <w:pStyle w:val="FootnoteText"/>
        <w:jc w:val="both"/>
      </w:pPr>
      <w:r>
        <w:rPr>
          <w:rStyle w:val="FootnoteReference"/>
        </w:rPr>
        <w:footnoteRef/>
      </w:r>
      <w:r>
        <w:rPr>
          <w:lang w:val="en-IE"/>
        </w:rPr>
        <w:t xml:space="preserve"> </w:t>
      </w:r>
      <w:r>
        <w:rPr>
          <w:lang w:val="en-IE"/>
        </w:rPr>
        <w:tab/>
      </w:r>
      <w:r>
        <w:rPr>
          <w:rStyle w:val="affairetitle"/>
          <w:lang w:val="en-IE"/>
        </w:rPr>
        <w:t>Commission v Luxembourg,</w:t>
      </w:r>
      <w:r>
        <w:rPr>
          <w:rStyle w:val="Hyperlink"/>
          <w:lang w:val="en-IE"/>
        </w:rPr>
        <w:t xml:space="preserve"> </w:t>
      </w:r>
      <w:hyperlink r:id="rId656" w:history="1">
        <w:r>
          <w:rPr>
            <w:rStyle w:val="Hyperlink"/>
            <w:lang w:val="en-IE"/>
          </w:rPr>
          <w:t>C-88/18</w:t>
        </w:r>
      </w:hyperlink>
      <w:r>
        <w:rPr>
          <w:rStyle w:val="affairetitle"/>
          <w:lang w:val="en-IE"/>
        </w:rPr>
        <w:t xml:space="preserve">. </w:t>
      </w:r>
      <w:r>
        <w:t>Luxembourg subsequently took the necessary steps to ensure compliance with EU law and the Commission has therefore withdrawn this case from the Court.</w:t>
      </w:r>
    </w:p>
  </w:footnote>
  <w:footnote w:id="461">
    <w:p>
      <w:pPr>
        <w:pStyle w:val="FootnoteText"/>
        <w:jc w:val="both"/>
        <w:rPr>
          <w:lang w:val="fr-BE"/>
        </w:rPr>
      </w:pPr>
      <w:r>
        <w:rPr>
          <w:rStyle w:val="FootnoteReference"/>
        </w:rPr>
        <w:footnoteRef/>
      </w:r>
      <w:r>
        <w:rPr>
          <w:lang w:val="fr-BE"/>
        </w:rPr>
        <w:t xml:space="preserve"> </w:t>
      </w:r>
      <w:r>
        <w:rPr>
          <w:lang w:val="fr-BE"/>
        </w:rPr>
        <w:tab/>
        <w:t xml:space="preserve">Commission Directive </w:t>
      </w:r>
      <w:hyperlink r:id="rId657" w:history="1">
        <w:r>
          <w:rPr>
            <w:rStyle w:val="Hyperlink"/>
            <w:lang w:val="fr-BE"/>
          </w:rPr>
          <w:t>2016/1214/EU.</w:t>
        </w:r>
      </w:hyperlink>
    </w:p>
  </w:footnote>
  <w:footnote w:id="462">
    <w:p>
      <w:pPr>
        <w:pStyle w:val="FootnoteText"/>
        <w:rPr>
          <w:lang w:val="fr-BE"/>
        </w:rPr>
      </w:pPr>
      <w:r>
        <w:rPr>
          <w:rStyle w:val="FootnoteReference"/>
        </w:rPr>
        <w:footnoteRef/>
      </w:r>
      <w:r>
        <w:rPr>
          <w:lang w:val="fr-BE"/>
        </w:rPr>
        <w:t xml:space="preserve"> </w:t>
      </w:r>
      <w:r>
        <w:rPr>
          <w:lang w:val="fr-BE"/>
        </w:rPr>
        <w:tab/>
        <w:t xml:space="preserve">Commission Implementing Directive </w:t>
      </w:r>
      <w:hyperlink r:id="rId658" w:history="1">
        <w:r>
          <w:rPr>
            <w:rStyle w:val="Hyperlink"/>
            <w:lang w:val="fr-BE"/>
          </w:rPr>
          <w:t>2017/1279</w:t>
        </w:r>
      </w:hyperlink>
      <w:r>
        <w:rPr>
          <w:rStyle w:val="Hyperlink"/>
          <w:lang w:val="fr-BE"/>
        </w:rPr>
        <w:t>/EU</w:t>
      </w:r>
      <w:r>
        <w:rPr>
          <w:lang w:val="fr-BE"/>
        </w:rPr>
        <w:t>.</w:t>
      </w:r>
    </w:p>
  </w:footnote>
  <w:footnote w:id="463">
    <w:p>
      <w:pPr>
        <w:pStyle w:val="FootnoteText"/>
        <w:rPr>
          <w:lang w:val="pt-PT"/>
        </w:rPr>
      </w:pPr>
      <w:r>
        <w:rPr>
          <w:rStyle w:val="FootnoteReference"/>
        </w:rPr>
        <w:footnoteRef/>
      </w:r>
      <w:r>
        <w:rPr>
          <w:lang w:val="pt-PT"/>
        </w:rPr>
        <w:t xml:space="preserve"> </w:t>
      </w:r>
      <w:r>
        <w:rPr>
          <w:lang w:val="pt-PT"/>
        </w:rPr>
        <w:tab/>
      </w:r>
      <w:r>
        <w:rPr>
          <w:rStyle w:val="Hyperlink"/>
          <w:color w:val="auto"/>
          <w:u w:val="none"/>
          <w:lang w:val="pt-PT"/>
        </w:rPr>
        <w:t xml:space="preserve">Directive </w:t>
      </w:r>
      <w:hyperlink r:id="rId659" w:history="1">
        <w:r>
          <w:rPr>
            <w:rStyle w:val="Hyperlink"/>
            <w:lang w:val="pt-PT"/>
          </w:rPr>
          <w:t>2014/17/EU</w:t>
        </w:r>
      </w:hyperlink>
      <w:r>
        <w:rPr>
          <w:lang w:val="pt-PT"/>
        </w:rPr>
        <w:t xml:space="preserve">, </w:t>
      </w:r>
      <w:r>
        <w:rPr>
          <w:rFonts w:eastAsia="Times New Roman" w:cs="Arial"/>
          <w:color w:val="0000FF"/>
          <w:szCs w:val="18"/>
          <w:u w:val="single"/>
          <w:lang w:val="pt-PT" w:eastAsia="en-GB"/>
        </w:rPr>
        <w:t>MEMO/18/1444.</w:t>
      </w:r>
    </w:p>
  </w:footnote>
  <w:footnote w:id="464">
    <w:p>
      <w:pPr>
        <w:pStyle w:val="FootnoteText"/>
        <w:rPr>
          <w:lang w:val="pt-PT"/>
        </w:rPr>
      </w:pPr>
      <w:r>
        <w:rPr>
          <w:rStyle w:val="FootnoteReference"/>
        </w:rPr>
        <w:footnoteRef/>
      </w:r>
      <w:r>
        <w:rPr>
          <w:lang w:val="pt-PT"/>
        </w:rPr>
        <w:t xml:space="preserve"> </w:t>
      </w:r>
      <w:r>
        <w:rPr>
          <w:lang w:val="pt-PT"/>
        </w:rPr>
        <w:tab/>
        <w:t xml:space="preserve">Directive ; </w:t>
      </w:r>
      <w:hyperlink r:id="rId660" w:history="1">
        <w:r>
          <w:rPr>
            <w:rStyle w:val="Hyperlink"/>
            <w:lang w:val="pt-PT"/>
          </w:rPr>
          <w:t>2014/61/EU</w:t>
        </w:r>
      </w:hyperlink>
      <w:r>
        <w:rPr>
          <w:lang w:val="pt-PT"/>
        </w:rPr>
        <w:t xml:space="preserve">, </w:t>
      </w:r>
      <w:hyperlink r:id="rId661" w:history="1">
        <w:r>
          <w:rPr>
            <w:rStyle w:val="Hyperlink"/>
            <w:lang w:val="pt-PT"/>
          </w:rPr>
          <w:t>IP/18/352</w:t>
        </w:r>
      </w:hyperlink>
      <w:r>
        <w:rPr>
          <w:lang w:val="pt-PT"/>
        </w:rPr>
        <w:t>.</w:t>
      </w:r>
    </w:p>
  </w:footnote>
  <w:footnote w:id="465">
    <w:p>
      <w:pPr>
        <w:pStyle w:val="FootnoteText"/>
        <w:rPr>
          <w:lang w:val="pt-PT"/>
        </w:rPr>
      </w:pPr>
      <w:r>
        <w:rPr>
          <w:rStyle w:val="FootnoteReference"/>
        </w:rPr>
        <w:footnoteRef/>
      </w:r>
      <w:r>
        <w:rPr>
          <w:lang w:val="pt-PT"/>
        </w:rPr>
        <w:t xml:space="preserve"> </w:t>
      </w:r>
      <w:r>
        <w:rPr>
          <w:lang w:val="pt-PT"/>
        </w:rPr>
        <w:tab/>
        <w:t xml:space="preserve">Council Directive </w:t>
      </w:r>
      <w:hyperlink r:id="rId662" w:history="1">
        <w:r>
          <w:rPr>
            <w:rStyle w:val="Hyperlink"/>
            <w:lang w:val="pt-PT"/>
          </w:rPr>
          <w:t>2016/2258/EU </w:t>
        </w:r>
      </w:hyperlink>
      <w:r>
        <w:rPr>
          <w:lang w:val="pt-PT"/>
        </w:rPr>
        <w:t xml:space="preserve">; </w:t>
      </w:r>
      <w:hyperlink r:id="rId663" w:history="1">
        <w:r>
          <w:rPr>
            <w:rStyle w:val="Hyperlink"/>
            <w:lang w:val="pt-PT"/>
          </w:rPr>
          <w:t>MEMO/18/6247</w:t>
        </w:r>
      </w:hyperlink>
      <w:r>
        <w:rPr>
          <w:rStyle w:val="Hyperlink"/>
          <w:lang w:val="pt-PT"/>
        </w:rPr>
        <w:t>.</w:t>
      </w:r>
    </w:p>
  </w:footnote>
  <w:footnote w:id="466">
    <w:p>
      <w:pPr>
        <w:pStyle w:val="FootnoteText"/>
        <w:rPr>
          <w:lang w:val="pt-PT"/>
        </w:rPr>
      </w:pPr>
      <w:r>
        <w:rPr>
          <w:rStyle w:val="FootnoteReference"/>
        </w:rPr>
        <w:footnoteRef/>
      </w:r>
      <w:r>
        <w:rPr>
          <w:lang w:val="pt-PT"/>
        </w:rPr>
        <w:t xml:space="preserve"> </w:t>
      </w:r>
      <w:r>
        <w:rPr>
          <w:lang w:val="pt-PT"/>
        </w:rPr>
        <w:tab/>
        <w:t xml:space="preserve">Directive </w:t>
      </w:r>
      <w:hyperlink r:id="rId664" w:history="1">
        <w:r>
          <w:rPr>
            <w:rStyle w:val="Hyperlink"/>
            <w:lang w:val="pt-PT"/>
          </w:rPr>
          <w:t>2014/52/EU</w:t>
        </w:r>
      </w:hyperlink>
      <w:r>
        <w:rPr>
          <w:lang w:val="pt-PT"/>
        </w:rPr>
        <w:t>.</w:t>
      </w:r>
    </w:p>
  </w:footnote>
  <w:footnote w:id="467">
    <w:p>
      <w:pPr>
        <w:pStyle w:val="FootnoteText"/>
        <w:rPr>
          <w:lang w:val="fr-BE"/>
        </w:rPr>
      </w:pPr>
      <w:r>
        <w:rPr>
          <w:rStyle w:val="FootnoteReference"/>
        </w:rPr>
        <w:footnoteRef/>
      </w:r>
      <w:r>
        <w:rPr>
          <w:lang w:val="fr-BE"/>
        </w:rPr>
        <w:t xml:space="preserve"> </w:t>
      </w:r>
      <w:r>
        <w:rPr>
          <w:lang w:val="fr-BE"/>
        </w:rPr>
        <w:tab/>
        <w:t xml:space="preserve">Directive </w:t>
      </w:r>
      <w:hyperlink r:id="rId665" w:history="1">
        <w:r>
          <w:rPr>
            <w:rStyle w:val="Hyperlink"/>
            <w:lang w:val="fr-BE"/>
          </w:rPr>
          <w:t>2014/54/EU</w:t>
        </w:r>
      </w:hyperlink>
      <w:r>
        <w:rPr>
          <w:lang w:val="fr-BE"/>
        </w:rPr>
        <w:t>.</w:t>
      </w:r>
    </w:p>
  </w:footnote>
  <w:footnote w:id="468">
    <w:p>
      <w:pPr>
        <w:pStyle w:val="FootnoteText"/>
        <w:rPr>
          <w:lang w:val="fr-BE"/>
        </w:rPr>
      </w:pPr>
      <w:r>
        <w:rPr>
          <w:rStyle w:val="FootnoteReference"/>
        </w:rPr>
        <w:footnoteRef/>
      </w:r>
      <w:r>
        <w:rPr>
          <w:lang w:val="fr-BE"/>
        </w:rPr>
        <w:t xml:space="preserve"> </w:t>
      </w:r>
      <w:r>
        <w:rPr>
          <w:lang w:val="fr-BE"/>
        </w:rPr>
        <w:tab/>
        <w:t xml:space="preserve">Directives </w:t>
      </w:r>
      <w:hyperlink r:id="rId666" w:history="1">
        <w:r>
          <w:rPr>
            <w:rStyle w:val="Hyperlink"/>
            <w:lang w:val="fr-BE"/>
          </w:rPr>
          <w:t>2010/64/EU</w:t>
        </w:r>
      </w:hyperlink>
      <w:r>
        <w:rPr>
          <w:lang w:val="fr-BE"/>
        </w:rPr>
        <w:t xml:space="preserve"> and </w:t>
      </w:r>
      <w:hyperlink r:id="rId667" w:history="1">
        <w:r>
          <w:rPr>
            <w:rStyle w:val="Hyperlink"/>
            <w:lang w:val="fr-BE"/>
          </w:rPr>
          <w:t>2012/13/EU</w:t>
        </w:r>
      </w:hyperlink>
      <w:r>
        <w:rPr>
          <w:lang w:val="fr-BE"/>
        </w:rPr>
        <w:t>.</w:t>
      </w:r>
    </w:p>
  </w:footnote>
  <w:footnote w:id="469">
    <w:p>
      <w:pPr>
        <w:pStyle w:val="FootnoteText"/>
      </w:pPr>
      <w:r>
        <w:rPr>
          <w:rStyle w:val="FootnoteReference"/>
        </w:rPr>
        <w:footnoteRef/>
      </w:r>
      <w:r>
        <w:t xml:space="preserve"> </w:t>
      </w:r>
      <w:r>
        <w:tab/>
      </w:r>
      <w:hyperlink r:id="rId668" w:history="1">
        <w:r>
          <w:rPr>
            <w:rStyle w:val="Hyperlink"/>
            <w:color w:val="auto"/>
            <w:szCs w:val="18"/>
            <w:u w:val="none"/>
          </w:rPr>
          <w:t>Framework decision</w:t>
        </w:r>
        <w:r>
          <w:rPr>
            <w:rStyle w:val="Hyperlink"/>
            <w:szCs w:val="18"/>
          </w:rPr>
          <w:t xml:space="preserve"> 2006/960/JHA</w:t>
        </w:r>
      </w:hyperlink>
      <w:r>
        <w:rPr>
          <w:rStyle w:val="Hyperlink"/>
          <w:szCs w:val="18"/>
        </w:rPr>
        <w:t>.</w:t>
      </w:r>
    </w:p>
  </w:footnote>
  <w:footnote w:id="470">
    <w:p>
      <w:pPr>
        <w:pStyle w:val="FootnoteText"/>
        <w:rPr>
          <w:sz w:val="16"/>
        </w:rPr>
      </w:pPr>
      <w:r>
        <w:rPr>
          <w:rStyle w:val="FootnoteReference"/>
          <w:sz w:val="16"/>
        </w:rPr>
        <w:footnoteRef/>
      </w:r>
      <w:r>
        <w:rPr>
          <w:sz w:val="16"/>
        </w:rPr>
        <w:t xml:space="preserve"> </w:t>
      </w:r>
      <w:r>
        <w:rPr>
          <w:sz w:val="16"/>
        </w:rPr>
        <w:tab/>
      </w:r>
      <w:r>
        <w:t>These rulings are almost exclusively handed down on infringement procedures.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gWsqR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E063A0" id="Rectangle 401" o:spid="_x0000_s1026" style="position:absolute;margin-left:379.65pt;margin-top:23.65pt;width:144.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jsZAIAAM4EAAAOAAAAZHJzL2Uyb0RvYy54bWysVE1v2zAMvQ/YfxB0X21nzt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PQhmOx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6E96C2" id="Rectangle 402" o:spid="_x0000_s1026" style="position:absolute;margin-left:-70.85pt;margin-top:23.65pt;width:142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JRdADt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496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9pt;margin-top:49.65pt;width:595.25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2K76c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5072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F29858" id="Rectangle 33" o:spid="_x0000_s1026" style="position:absolute;margin-left:379.65pt;margin-top:23.65pt;width:144.5pt;height:17.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CmZAIAAMw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KVSoKZ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5174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26D8D8" id="Rectangle 53" o:spid="_x0000_s1026" style="position:absolute;margin-left:-70.85pt;margin-top:23.65pt;width:142pt;height:17.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Pzr9IdjAgAAzAQAAA4AAAAAAAAAAAAAAAAALgIAAGRy&#10;cy9lMm9Eb2MueG1sUEsBAi0AFAAGAAgAAAAhALknx3nhAAAACgEAAA8AAAAAAAAAAAAAAAAAvQ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-899795</wp:posOffset>
              </wp:positionH>
              <wp:positionV relativeFrom="paragraph">
                <wp:posOffset>45720</wp:posOffset>
              </wp:positionV>
              <wp:extent cx="7557135" cy="68580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858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jc w:val="center"/>
                            <w:rPr>
                              <w:rFonts w:ascii="Arial" w:hAnsi="Arial" w:cs="Arial"/>
                              <w:color w:val="004194"/>
                              <w:sz w:val="20"/>
                            </w:rPr>
                          </w:pPr>
                          <w:r>
                            <w:rPr>
                              <w:rFonts w:ascii="Arial" w:hAnsi="Arial"/>
                              <w:color w:val="A6A6A6"/>
                            </w:rPr>
                            <w:t>Bulgaria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0.85pt;margin-top:3.6pt;width:595.0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jc w:val="center"/>
                      <w:rPr>
                        <w:rFonts w:ascii="Arial" w:hAnsi="Arial" w:cs="Arial"/>
                        <w:color w:val="004194"/>
                        <w:sz w:val="20"/>
                      </w:rPr>
                    </w:pPr>
                    <w:r>
                      <w:rPr>
                        <w:rFonts w:ascii="Arial" w:hAnsi="Arial"/>
                        <w:color w:val="A6A6A6"/>
                      </w:rPr>
                      <w:t>Bulgaria</w:t>
                    </w:r>
                  </w:p>
                </w:txbxContent>
              </v:textbox>
            </v:shape>
          </w:pict>
        </mc:Fallback>
      </mc:AlternateContent>
    </w:r>
    <w:r>
      <w:rPr>
        <w:noProof/>
        <w:lang w:eastAsia="en-GB"/>
      </w:rPr>
      <mc:AlternateContent>
        <mc:Choice Requires="wps">
          <w:drawing>
            <wp:anchor distT="0" distB="0" distL="114300" distR="114300" simplePos="0" relativeHeight="251553792" behindDoc="0" locked="0" layoutInCell="1" allowOverlap="1">
              <wp:simplePos x="0" y="0"/>
              <wp:positionH relativeFrom="column">
                <wp:posOffset>-899795</wp:posOffset>
              </wp:positionH>
              <wp:positionV relativeFrom="paragraph">
                <wp:posOffset>45720</wp:posOffset>
              </wp:positionV>
              <wp:extent cx="7557135" cy="6858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858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jc w:val="center"/>
                            <w:rPr>
                              <w:rFonts w:ascii="Arial" w:hAnsi="Arial" w:cs="Arial"/>
                              <w:color w:val="004194"/>
                              <w:sz w:val="20"/>
                            </w:rPr>
                          </w:pPr>
                          <w:r>
                            <w:rPr>
                              <w:rFonts w:ascii="Arial" w:hAnsi="Arial"/>
                              <w:color w:val="A6A6A6"/>
                            </w:rPr>
                            <w:t>Bulgaria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0.85pt;margin-top:3.6pt;width:595.05pt;height:5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jc w:val="center"/>
                      <w:rPr>
                        <w:rFonts w:ascii="Arial" w:hAnsi="Arial" w:cs="Arial"/>
                        <w:color w:val="004194"/>
                        <w:sz w:val="20"/>
                      </w:rPr>
                    </w:pPr>
                    <w:r>
                      <w:rPr>
                        <w:rFonts w:ascii="Arial" w:hAnsi="Arial"/>
                        <w:color w:val="A6A6A6"/>
                      </w:rPr>
                      <w:t>Bulgaria</w:t>
                    </w:r>
                  </w:p>
                </w:txbxContent>
              </v:textbox>
            </v:shape>
          </w:pict>
        </mc:Fallback>
      </mc:AlternateConten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0.9pt;margin-top:49.65pt;width:595.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ECxlVCwIA&#10;APs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59DFE4" id="Rectangle 405" o:spid="_x0000_s1026" style="position:absolute;margin-left:379.65pt;margin-top:23.65pt;width:144.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YFZgIAAM4EAAAOAAAAZHJzL2Uyb0RvYy54bWysVE1v2zAMvQ/YfxB0X21nzt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J+BmBW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4D6F8F" id="Rectangle 406" o:spid="_x0000_s1026" style="position:absolute;margin-left:-70.85pt;margin-top:23.65pt;width:142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7SYwIAAM4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Eec/tJ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548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0.9pt;margin-top:49.65pt;width:595.25pt;height:3.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jj6GB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558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801E61" id="Rectangle 28" o:spid="_x0000_s1026" style="position:absolute;margin-left:379.65pt;margin-top:23.65pt;width:144.5pt;height:17.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3/N4h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5686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C2FDA3" id="Rectangle 29" o:spid="_x0000_s1026" style="position:absolute;margin-left:-70.85pt;margin-top:23.65pt;width:142pt;height:17.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2V/TF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0.85pt;margin-top:3.45pt;width:595.0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57888"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0.85pt;margin-top:3.45pt;width:595.05pt;height:3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-899795</wp:posOffset>
              </wp:positionH>
              <wp:positionV relativeFrom="paragraph">
                <wp:posOffset>236855</wp:posOffset>
              </wp:positionV>
              <wp:extent cx="7557135" cy="730250"/>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3025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pStyle w:val="Heading1"/>
                            <w:rPr>
                              <w:szCs w:val="24"/>
                            </w:rPr>
                          </w:pPr>
                          <w:r>
                            <w:rPr>
                              <w:szCs w:val="24"/>
                            </w:rPr>
                            <w:t>Czechia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70.85pt;margin-top:18.65pt;width:595.05pt;height: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pStyle w:val="Heading1"/>
                      <w:rPr>
                        <w:szCs w:val="24"/>
                      </w:rPr>
                    </w:pPr>
                    <w:r>
                      <w:rPr>
                        <w:szCs w:val="24"/>
                      </w:rPr>
                      <w:t>Czechia</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0.9pt;margin-top:49.65pt;width:595.2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UK+SBQ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F012C8" id="Rectangle 409" o:spid="_x0000_s1026" style="position:absolute;margin-left:379.65pt;margin-top:23.65pt;width:144.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TpBTk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739EB0" id="Rectangle 414" o:spid="_x0000_s1026" style="position:absolute;margin-left:-70.9pt;margin-top:23.65pt;width:142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FViEdd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0.9pt;margin-top:49.65pt;width:595.2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Li6I40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008DE0" id="Rectangle 36" o:spid="_x0000_s1026" style="position:absolute;margin-left:379.65pt;margin-top:23.65pt;width:144.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DCZAIAAMw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EkvcMJ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08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78242A" id="Rectangle 37" o:spid="_x0000_s1026" style="position:absolute;margin-left:-70.9pt;margin-top:23.65pt;width:142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ReYwIAAMw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rY+UXmMCAADM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35712"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0.85pt;margin-top:3.45pt;width:595.05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9pt;margin-top:49.65pt;width:595.2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Aaq3tQ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9pt;margin-top:17.5pt;width:595.05pt;height:3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frEAIAAPwDAAAOAAAAZHJzL2Uyb0RvYy54bWysU9uO2yAQfa/Uf0C8N75s3CR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aUNn&#10;6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825435" id="Rectangle 514" o:spid="_x0000_s1026" style="position:absolute;margin-left:379.65pt;margin-top:23.65pt;width:144.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gpZQ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5LEgp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56ADF1" id="Rectangle 515" o:spid="_x0000_s1026" style="position:absolute;margin-left:-70.9pt;margin-top:23.65pt;width:142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Czl2d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70.9pt;margin-top:49.65pt;width:595.2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UHUF0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2000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0.9pt;margin-top:17.5pt;width:595.05pt;height:32.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PsHj8kO&#10;AgAA+wMAAA4AAAAAAAAAAAAAAAAALgIAAGRycy9lMm9Eb2MueG1sUEsBAi0AFAAGAAgAAAAhAOyR&#10;VsvfAAAACwEAAA8AAAAAAAAAAAAAAAAAaA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220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093D1B" id="Rectangle 40" o:spid="_x0000_s1026" style="position:absolute;margin-left:379.65pt;margin-top:23.65pt;width:144.5pt;height:17.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dpYg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" fillcolor="#004194" stroked="f" strokeweight="2pt">
              <v:path arrowok="t"/>
            </v:rect>
          </w:pict>
        </mc:Fallback>
      </mc:AlternateContent>
    </w:r>
    <w:r>
      <w:rPr>
        <w:noProof/>
        <w:lang w:eastAsia="en-GB"/>
      </w:rPr>
      <mc:AlternateContent>
        <mc:Choice Requires="wps">
          <w:drawing>
            <wp:anchor distT="0" distB="0" distL="114300" distR="114300" simplePos="0" relativeHeight="2515210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2E42C6" id="Rectangle 41" o:spid="_x0000_s1026" style="position:absolute;margin-left:-70.9pt;margin-top:23.65pt;width:142pt;height:17.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" fillcolor="#004194" stroked="f" strokeweight="2pt">
              <v:path arrowok="t"/>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70.9pt;margin-top:49.65pt;width:595.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IMEU6Q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C23AED" id="Rectangle 525" o:spid="_x0000_s1026" style="position:absolute;margin-left:379.65pt;margin-top:23.65pt;width:14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kX7a9m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0C974D" id="Rectangle 526" o:spid="_x0000_s1026" style="position:absolute;margin-left:-70.9pt;margin-top:23.65pt;width:14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hZA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PECQiF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6198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0.9pt;margin-top:49.65pt;width:595.2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M1qbbY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609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814494" id="Rectangle 114" o:spid="_x0000_s1026" style="position:absolute;margin-left:379.65pt;margin-top:23.65pt;width:144.5pt;height:1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9oT5v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5993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332BD0" id="Rectangle 126" o:spid="_x0000_s1026" style="position:absolute;margin-left:-70.9pt;margin-top:23.65pt;width:142pt;height:17.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9Y80Z2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Denmark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0.85pt;margin-top:3.45pt;width:595.0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Denmark</w:t>
                    </w:r>
                  </w:p>
                </w:txbxContent>
              </v:textbox>
            </v:shape>
          </w:pict>
        </mc:Fallback>
      </mc:AlternateContent>
    </w:r>
    <w:r>
      <w:rPr>
        <w:noProof/>
        <w:lang w:eastAsia="en-GB"/>
      </w:rPr>
      <mc:AlternateContent>
        <mc:Choice Requires="wps">
          <w:drawing>
            <wp:anchor distT="0" distB="0" distL="114300" distR="114300" simplePos="0" relativeHeight="251558912"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Denmark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70.85pt;margin-top:3.45pt;width:595.05pt;height: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Denmark</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9pt;margin-top:49.65pt;width:595.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DpUhjU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9pt;margin-top:17.5pt;width:595.05pt;height: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QEQIAAPwDAAAOAAAAZHJzL2Uyb0RvYy54bWysU9uO2yAQfa/Uf0C8N75s3CR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CH/&#10;uZA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35B05E" id="Rectangle 530" o:spid="_x0000_s1026" style="position:absolute;margin-left:379.65pt;margin-top:23.65pt;width:144.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ciZAIAAM4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F3QlyJ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68B38A" id="Rectangle 531" o:spid="_x0000_s1026" style="position:absolute;margin-left:-70.9pt;margin-top:23.65pt;width:142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9E9Ib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6608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0.9pt;margin-top:49.65pt;width:595.25pt;height: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HgAIgE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630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0.9pt;margin-top:17.5pt;width:595.05pt;height:32.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a0kv&#10;0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650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84D44B" id="Rectangle 192" o:spid="_x0000_s1026" style="position:absolute;margin-left:379.65pt;margin-top:23.65pt;width:144.5pt;height:17.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l44SF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640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0CAB99" id="Rectangle 193" o:spid="_x0000_s1026" style="position:absolute;margin-left:-70.9pt;margin-top:23.65pt;width:142pt;height:17.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Oc+b2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FMCdcU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2CCE24" id="Rectangle 534" o:spid="_x0000_s1026" style="position:absolute;margin-left:379.65pt;margin-top:23.65pt;width:144.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jhFpy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069A87" id="Rectangle 535" o:spid="_x0000_s1026" style="position:absolute;margin-left:-70.9pt;margin-top:23.65pt;width:142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AnjraFZQIAAM4EAAAOAAAAAAAAAAAAAAAAAC4CAABk&#10;cnMvZTJvRG9jLnhtbFBLAQItABQABgAIAAAAIQCHUKNL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3638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9pt;margin-top:49.65pt;width:595.25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2lCw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Npp2l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353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D68D8C" id="Rectangle 93" o:spid="_x0000_s1026" style="position:absolute;margin-left:379.65pt;margin-top:23.65pt;width:144.5pt;height:17.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EuZAIAAMw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ioYS5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3433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D114F0" id="Rectangle 94" o:spid="_x0000_s1026" style="position:absolute;margin-left:-70.9pt;margin-top:23.65pt;width:142pt;height:17.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VD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6M1Q2MCAADM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-899795</wp:posOffset>
              </wp:positionH>
              <wp:positionV relativeFrom="paragraph">
                <wp:posOffset>43815</wp:posOffset>
              </wp:positionV>
              <wp:extent cx="7557135" cy="579120"/>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70.85pt;margin-top:3.45pt;width:595.05pt;height:4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Germany</w:t>
                    </w:r>
                  </w:p>
                </w:txbxContent>
              </v:textbox>
            </v:shape>
          </w:pict>
        </mc:Fallback>
      </mc:AlternateContent>
    </w:r>
    <w:r>
      <w:rPr>
        <w:noProof/>
        <w:lang w:eastAsia="en-GB"/>
      </w:rPr>
      <mc:AlternateContent>
        <mc:Choice Requires="wps">
          <w:drawing>
            <wp:anchor distT="0" distB="0" distL="114300" distR="114300" simplePos="0" relativeHeight="251533312" behindDoc="0" locked="0" layoutInCell="1" allowOverlap="1">
              <wp:simplePos x="0" y="0"/>
              <wp:positionH relativeFrom="column">
                <wp:posOffset>-899795</wp:posOffset>
              </wp:positionH>
              <wp:positionV relativeFrom="paragraph">
                <wp:posOffset>43815</wp:posOffset>
              </wp:positionV>
              <wp:extent cx="7557135" cy="57912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70.85pt;margin-top:3.45pt;width:595.05pt;height:45.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Germany</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70.9pt;margin-top:49.65pt;width:595.2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ibJZb&#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0.9pt;margin-top:17.5pt;width:595.05pt;height:3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eGQf&#10;X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008211" id="Rectangle 539" o:spid="_x0000_s1026" style="position:absolute;margin-left:379.65pt;margin-top:23.65pt;width:144.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LZQ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JwCL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6AAD46" id="Rectangle 540" o:spid="_x0000_s1026" style="position:absolute;margin-left:-70.9pt;margin-top:23.65pt;width:142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s2Dpr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4048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70.9pt;margin-top:49.65pt;width:595.25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h9YBMw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374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0.9pt;margin-top:17.5pt;width:595.05pt;height:3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LDFJ&#10;+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394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71D80F" id="Rectangle 101" o:spid="_x0000_s1026" style="position:absolute;margin-left:379.65pt;margin-top:23.65pt;width:144.5pt;height:17.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O7ZAIAAM4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LEPc7t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384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5B2EBE" id="Rectangle 102" o:spid="_x0000_s1026" style="position:absolute;margin-left:-70.9pt;margin-top:23.65pt;width:142pt;height:17.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0XPrbG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-899795</wp:posOffset>
              </wp:positionH>
              <wp:positionV relativeFrom="paragraph">
                <wp:posOffset>219075</wp:posOffset>
              </wp:positionV>
              <wp:extent cx="7557135" cy="56388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638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Estonia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70.85pt;margin-top:17.25pt;width:595.05pt;height:4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Estonia</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91C790" id="Rectangle 542" o:spid="_x0000_s1026" style="position:absolute;margin-left:379.65pt;margin-top:23.65pt;width:144.5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raZQIAAM4EAAAOAAAAZHJzL2Uyb0RvYy54bWysVE1v2zAMvQ/YfxB0X21nzt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Xbmra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A14301" id="Rectangle 543" o:spid="_x0000_s1026" style="position:absolute;margin-left:-70.9pt;margin-top:23.65pt;width:142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L7xtZR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84512" behindDoc="0" locked="0" layoutInCell="1" allowOverlap="1">
              <wp:simplePos x="0" y="0"/>
              <wp:positionH relativeFrom="column">
                <wp:posOffset>-899795</wp:posOffset>
              </wp:positionH>
              <wp:positionV relativeFrom="paragraph">
                <wp:posOffset>219075</wp:posOffset>
              </wp:positionV>
              <wp:extent cx="7557135" cy="56388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638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Estonia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0.85pt;margin-top:17.25pt;width:595.05pt;height:44.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Estonia</w:t>
                    </w:r>
                  </w:p>
                </w:txbxContent>
              </v:textbox>
            </v:shape>
          </w:pict>
        </mc:Fallback>
      </mc:AlternateContent>
    </w:r>
    <w:r>
      <w:rPr>
        <w:noProof/>
        <w:lang w:eastAsia="en-GB"/>
      </w:rPr>
      <mc:AlternateContent>
        <mc:Choice Requires="wps">
          <w:drawing>
            <wp:anchor distT="0" distB="0" distL="114300" distR="114300" simplePos="0" relativeHeight="2515865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1750D7" id="Rectangle 519" o:spid="_x0000_s1026" style="position:absolute;margin-left:379.65pt;margin-top:23.65pt;width:144.5pt;height:17.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FpZQ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JGiFp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8553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FB90F9" id="Rectangle 520" o:spid="_x0000_s1026" style="position:absolute;margin-left:-70.9pt;margin-top:23.65pt;width:142pt;height:17.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tR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6yD7UW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-899795</wp:posOffset>
              </wp:positionH>
              <wp:positionV relativeFrom="paragraph">
                <wp:posOffset>568960</wp:posOffset>
              </wp:positionV>
              <wp:extent cx="7559675" cy="53975"/>
              <wp:effectExtent l="0" t="0" r="0" b="3175"/>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5397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70.85pt;margin-top:44.8pt;width:595.25pt;height: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6800" behindDoc="0" locked="0" layoutInCell="1" allowOverlap="1">
              <wp:simplePos x="0" y="0"/>
              <wp:positionH relativeFrom="column">
                <wp:posOffset>-899795</wp:posOffset>
              </wp:positionH>
              <wp:positionV relativeFrom="paragraph">
                <wp:posOffset>568960</wp:posOffset>
              </wp:positionV>
              <wp:extent cx="7559675" cy="53975"/>
              <wp:effectExtent l="0" t="0" r="0" b="317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5397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70.85pt;margin-top:44.8pt;width:595.25pt;height:4.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" filled="f" stroked="f">
              <v:textbox>
                <w:txbxContent>
                  <w:p>
                    <w:pPr>
                      <w:pStyle w:val="Priorities"/>
                      <w:ind w:right="555"/>
                      <w:jc w:val="both"/>
                      <w:rPr>
                        <w:color w:val="808080"/>
                        <w:lang w:val="de-DE"/>
                      </w:rPr>
                    </w:pP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0.9pt;margin-top:49.65pt;width:595.2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ASZOwAKAgAA&#10;+w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0.9pt;margin-top:17.5pt;width:595.05pt;height:3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9MUEAIAAPw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5OfT&#10;F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9450F7" id="Rectangle 547" o:spid="_x0000_s1026" style="position:absolute;margin-left:379.65pt;margin-top:23.65pt;width:144.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SZQIAAM4EAAAOAAAAZHJzL2Uyb0RvYy54bWysVE1v2zAMvQ/YfxB0X21nzt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A3Y+S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A58FEE" id="Rectangle 548" o:spid="_x0000_s1026" style="position:absolute;margin-left:-70.9pt;margin-top:23.65pt;width:142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VOVlp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3126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0.9pt;margin-top:49.65pt;width:595.25pt;height:3.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1aSvN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2819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0.9pt;margin-top:17.5pt;width:595.05pt;height:32.2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wWEAIAAPwDAAAOAAAAZHJzL2Uyb0RvYy54bWysU9uO2yAQfa/Uf0C8N3bcuE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V+JM&#10;F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302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5C3CCA" id="Rectangle 523" o:spid="_x0000_s1026" style="position:absolute;margin-left:379.65pt;margin-top:23.65pt;width:144.5pt;height:17.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LXGOG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2921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41AAB2" id="Rectangle 524" o:spid="_x0000_s1026" style="position:absolute;margin-left:-70.9pt;margin-top:23.65pt;width:142pt;height:17.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W4ZA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DjhBbh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0.9pt;margin-top:49.65pt;width:595.2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6mDAIAAPs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Qorep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99D8B9" id="Rectangle 550" o:spid="_x0000_s1026" style="position:absolute;margin-left:379.65pt;margin-top:23.65pt;width:144.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Xf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BZCF32MCAADO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2880F8" id="Rectangle 551" o:spid="_x0000_s1026" style="position:absolute;margin-left:-70.9pt;margin-top:23.65pt;width:142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qRYw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rA9akW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998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0.9pt;margin-top:49.65pt;width:595.25pt;height:3.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gtHae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88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FF9550" id="Rectangle 660" o:spid="_x0000_s1026" style="position:absolute;margin-left:379.65pt;margin-top:23.65pt;width:144.5pt;height:1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qTZA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OpVqpN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978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A1735D" id="Rectangle 661" o:spid="_x0000_s1026" style="position:absolute;margin-left:-70.9pt;margin-top:23.65pt;width:142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XdYw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Q8p13W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-899795</wp:posOffset>
              </wp:positionH>
              <wp:positionV relativeFrom="paragraph">
                <wp:posOffset>43815</wp:posOffset>
              </wp:positionV>
              <wp:extent cx="7557135" cy="601980"/>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70.85pt;margin-top:3.45pt;width:595.05pt;height: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Ireland</w:t>
                    </w:r>
                  </w:p>
                </w:txbxContent>
              </v:textbox>
            </v:shape>
          </w:pict>
        </mc:Fallback>
      </mc:AlternateContent>
    </w:r>
    <w:r>
      <w:rPr>
        <w:noProof/>
        <w:lang w:eastAsia="en-GB"/>
      </w:rPr>
      <mc:AlternateContent>
        <mc:Choice Requires="wps">
          <w:drawing>
            <wp:anchor distT="0" distB="0" distL="114300" distR="114300" simplePos="0" relativeHeight="251527168" behindDoc="0" locked="0" layoutInCell="1" allowOverlap="1">
              <wp:simplePos x="0" y="0"/>
              <wp:positionH relativeFrom="column">
                <wp:posOffset>-899795</wp:posOffset>
              </wp:positionH>
              <wp:positionV relativeFrom="paragraph">
                <wp:posOffset>43815</wp:posOffset>
              </wp:positionV>
              <wp:extent cx="7557135" cy="601980"/>
              <wp:effectExtent l="0" t="0" r="0" b="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70.85pt;margin-top:3.45pt;width:595.05pt;height:47.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p99w&#10;NBECAAD8AwAADgAAAAAAAAAAAAAAAAAuAgAAZHJzL2Uyb0RvYy54bWxQSwECLQAUAAYACAAAACEA&#10;T6+DQ9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Ireland</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70.9pt;margin-top:49.65pt;width:59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iIL5i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0.9pt;margin-top:17.5pt;width:595.05pt;height:3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whH+&#10;A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799565" id="Rectangle 555" o:spid="_x0000_s1026" style="position:absolute;margin-left:379.65pt;margin-top:23.65pt;width:144.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CXZgIAAM4EAAAOAAAAZHJzL2Uyb0RvYy54bWysVE1v2zAMvQ/YfxB0X21n8d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EiNgl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8C3150" id="Rectangle 556" o:spid="_x0000_s1026" style="position:absolute;margin-left:-70.9pt;margin-top:23.65pt;width:142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AZA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HJf+EB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2614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70.9pt;margin-top:49.65pt;width:595.25pt;height:3.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g+ymV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2307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70.9pt;margin-top:17.5pt;width:595.05pt;height:32.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Gn7Q&#10;7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2512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93EBF7" id="Rectangle 664" o:spid="_x0000_s1026" style="position:absolute;margin-left:379.65pt;margin-top:23.65pt;width:144.5pt;height:17.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R6Zg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OZRUem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2409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AD8772" id="Rectangle 665" o:spid="_x0000_s1026" style="position:absolute;margin-left:-70.9pt;margin-top:23.65pt;width:142pt;height:17.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CQC4s0ZQIAAM4EAAAOAAAAAAAAAAAAAAAAAC4CAABk&#10;cnMvZTJvRG9jLnhtbFBLAQItABQABgAIAAAAIQCHUKNL4AAAAAoBAAAPAAAAAAAAAAAAAAAAAL8E&#10;AABkcnMvZG93bnJldi54bWxQSwUGAAAAAAQABADzAAAAzAUAAAAA&#10;" fillcolor="#004194" stroked="f" strokeweight="2pt">
              <v:path arrowok="t"/>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left:0;text-align:left;margin-left:-70.9pt;margin-top:49.65pt;width:595.2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oUDQIAAPs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nsGhQ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CEB30D" id="Rectangle 566" o:spid="_x0000_s1026" style="position:absolute;margin-left:379.65pt;margin-top:23.65pt;width:144.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XR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zkrXR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8DF936" id="Rectangle 567" o:spid="_x0000_s1026" style="position:absolute;margin-left:-70.9pt;margin-top:23.65pt;width:142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qfZA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JoNap9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0806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0.9pt;margin-top:49.65pt;width:595.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9Bpzs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70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94BEFA" id="Rectangle 591" o:spid="_x0000_s1026" style="position:absolute;margin-left:379.65pt;margin-top:23.65pt;width:144.5pt;height:1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tfZA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Bky19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0601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C717E4" id="Rectangle 592" o:spid="_x0000_s1026" style="position:absolute;margin-left:-70.9pt;margin-top:23.65pt;width:142pt;height:1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FAYU4h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-899795</wp:posOffset>
              </wp:positionH>
              <wp:positionV relativeFrom="paragraph">
                <wp:posOffset>43815</wp:posOffset>
              </wp:positionV>
              <wp:extent cx="7557135" cy="60960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70.85pt;margin-top:3.45pt;width:595.05pt;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9oed&#10;sBACAAD8AwAADgAAAAAAAAAAAAAAAAAuAgAAZHJzL2Uyb0RvYy54bWxQSwECLQAUAAYACAAAACEA&#10;E/RXeN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Greece</w:t>
                    </w:r>
                  </w:p>
                </w:txbxContent>
              </v:textbox>
            </v:shape>
          </w:pict>
        </mc:Fallback>
      </mc:AlternateContent>
    </w:r>
    <w:r>
      <w:rPr>
        <w:noProof/>
        <w:lang w:eastAsia="en-GB"/>
      </w:rPr>
      <mc:AlternateContent>
        <mc:Choice Requires="wps">
          <w:drawing>
            <wp:anchor distT="0" distB="0" distL="114300" distR="114300" simplePos="0" relativeHeight="251604992" behindDoc="0" locked="0" layoutInCell="1" allowOverlap="1">
              <wp:simplePos x="0" y="0"/>
              <wp:positionH relativeFrom="column">
                <wp:posOffset>-899795</wp:posOffset>
              </wp:positionH>
              <wp:positionV relativeFrom="paragraph">
                <wp:posOffset>43815</wp:posOffset>
              </wp:positionV>
              <wp:extent cx="7557135" cy="609600"/>
              <wp:effectExtent l="0" t="0" r="0" b="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0.85pt;margin-top:3.45pt;width:595.05pt;height: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LnuI&#10;HBACAAD8AwAADgAAAAAAAAAAAAAAAAAuAgAAZHJzL2Uyb0RvYy54bWxQSwECLQAUAAYACAAAACEA&#10;E/RXeN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Greece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left:0;text-align:left;margin-left:-70.9pt;margin-top:49.65pt;width:595.2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NQbfls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70.9pt;margin-top:17.5pt;width:595.05pt;height:3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M0DF&#10;N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F85512" id="Rectangle 571" o:spid="_x0000_s1026" style="position:absolute;margin-left:379.65pt;margin-top:23.65pt;width:144.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cZA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Dbfv5x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F47866" id="Rectangle 572" o:spid="_x0000_s1026" style="position:absolute;margin-left:-70.9pt;margin-top:23.65pt;width:142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dLYwIAAM4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VqMnS2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0396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70.9pt;margin-top:49.65pt;width:595.25pt;height: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AwtFQY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089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70.9pt;margin-top:17.5pt;width:595.05pt;height:32.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xxCH&#10;Z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029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9C219A" id="Rectangle 595" o:spid="_x0000_s1026" style="position:absolute;margin-left:379.65pt;margin-top:23.65pt;width:144.5pt;height:17.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W2ZgIAAM4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46U1tm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0192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2FFC4D" id="Rectangle 596" o:spid="_x0000_s1026" style="position:absolute;margin-left:-70.9pt;margin-top:23.65pt;width:142pt;height:1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IPZrWF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left:0;text-align:left;margin-left:-70.9pt;margin-top:49.65pt;width:595.2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N7d5xY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1CFE45" id="Rectangle 574" o:spid="_x0000_s1026" style="position:absolute;margin-left:379.65pt;margin-top:23.65pt;width:144.5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IWxa1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AE61E1" id="Rectangle 575" o:spid="_x0000_s1026" style="position:absolute;margin-left:-70.9pt;margin-top:23.65pt;width:142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IjzhZp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1728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70.9pt;margin-top:49.65pt;width:595.2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q3aiv&#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625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855722" id="Rectangle 1014" o:spid="_x0000_s1026" style="position:absolute;margin-left:379.65pt;margin-top:23.65pt;width:144.5pt;height:1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ounYkZQIAANA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1523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E1CC89" id="Rectangle 1015" o:spid="_x0000_s1026" style="position:absolute;margin-left:-70.9pt;margin-top:23.65pt;width:142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BMjFmJkAgAA0A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-899795</wp:posOffset>
              </wp:positionH>
              <wp:positionV relativeFrom="paragraph">
                <wp:posOffset>43815</wp:posOffset>
              </wp:positionV>
              <wp:extent cx="7557135" cy="60198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70.85pt;margin-top:3.45pt;width:595.05pt;height:4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FBDD&#10;mRECAAD8AwAADgAAAAAAAAAAAAAAAAAuAgAAZHJzL2Uyb0RvYy54bWxQSwECLQAUAAYACAAAACEA&#10;T6+DQ9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Spain</w:t>
                    </w:r>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simplePos x="0" y="0"/>
              <wp:positionH relativeFrom="column">
                <wp:posOffset>-899795</wp:posOffset>
              </wp:positionH>
              <wp:positionV relativeFrom="paragraph">
                <wp:posOffset>43815</wp:posOffset>
              </wp:positionV>
              <wp:extent cx="7557135" cy="601980"/>
              <wp:effectExtent l="0" t="0" r="0" b="0"/>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70.85pt;margin-top:3.45pt;width:595.05pt;height:4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Spain</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70.9pt;margin-top:49.65pt;width:595.2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K+zBIg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70.9pt;margin-top:17.5pt;width:595.05pt;height:3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tSMu&#10;Yh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7DDAA7" id="Rectangle 579" o:spid="_x0000_s1026" style="position:absolute;margin-left:379.65pt;margin-top:23.65pt;width:144.5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RWjOU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0AC24F" id="Rectangle 580" o:spid="_x0000_s1026" style="position:absolute;margin-left:-70.9pt;margin-top:23.65pt;width:142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yN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Qua8jW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1216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70.9pt;margin-top:49.65pt;width:595.25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yGWBB&#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0908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70.9pt;margin-top:17.5pt;width:595.05pt;height:3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ONC&#10;q2c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1113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DF56DA" id="Rectangle 1018" o:spid="_x0000_s1026" style="position:absolute;margin-left:379.65pt;margin-top:23.65pt;width:144.5pt;height:1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E1gCiZQIAANA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1011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1019"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864EA3" id="Rectangle 1019" o:spid="_x0000_s1026" style="position:absolute;margin-left:-70.9pt;margin-top:23.65pt;width:142pt;height:1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P9PYORkAgAA0A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4630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70.9pt;margin-top:49.65pt;width:595.2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WXeix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508091" id="Rectangle 582" o:spid="_x0000_s1026" style="position:absolute;margin-left:379.65pt;margin-top:23.65pt;width:144.5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m6D/7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BDD274" id="Rectangle 583" o:spid="_x0000_s1026" style="position:absolute;margin-left:-70.9pt;margin-top:23.65pt;width:142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E934LV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486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70.9pt;margin-top:49.65pt;width:595.25pt;height:3.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sqDAIAAPs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VxfLKg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476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80A135" id="Rectangle 560" o:spid="_x0000_s1026" style="position:absolute;margin-left:379.65pt;margin-top:23.65pt;width:144.5pt;height:17.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yhZA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CmwDKF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466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E50472" id="Rectangle 561" o:spid="_x0000_s1026" style="position:absolute;margin-left:-70.9pt;margin-top:23.65pt;width:142pt;height:17.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PvYw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gC/T72MCAADOBAAADgAAAAAAAAAAAAAAAAAuAgAAZHJz&#10;L2Uyb0RvYy54bWxQSwECLQAUAAYACAAAACEAh1CjS+AAAAAKAQAADwAAAAAAAAAAAAAAAAC9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-899795</wp:posOffset>
              </wp:positionH>
              <wp:positionV relativeFrom="paragraph">
                <wp:posOffset>43815</wp:posOffset>
              </wp:positionV>
              <wp:extent cx="7557135" cy="55626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562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70.85pt;margin-top:3.45pt;width:595.05pt;height:4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France</w:t>
                    </w:r>
                  </w:p>
                </w:txbxContent>
              </v:textbox>
            </v:shape>
          </w:pict>
        </mc:Fallback>
      </mc:AlternateContent>
    </w:r>
    <w:r>
      <w:rPr>
        <w:noProof/>
        <w:lang w:eastAsia="en-GB"/>
      </w:rPr>
      <mc:AlternateContent>
        <mc:Choice Requires="wps">
          <w:drawing>
            <wp:anchor distT="0" distB="0" distL="114300" distR="114300" simplePos="0" relativeHeight="251545600" behindDoc="0" locked="0" layoutInCell="1" allowOverlap="1">
              <wp:simplePos x="0" y="0"/>
              <wp:positionH relativeFrom="column">
                <wp:posOffset>-899795</wp:posOffset>
              </wp:positionH>
              <wp:positionV relativeFrom="paragraph">
                <wp:posOffset>43815</wp:posOffset>
              </wp:positionV>
              <wp:extent cx="7557135" cy="55626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562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70.85pt;margin-top:3.45pt;width:595.05pt;height:43.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France</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left:0;text-align:left;margin-left:-70.9pt;margin-top:49.65pt;width:595.2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KBlBWA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tabs>
                              <w:tab w:val="left" w:pos="4111"/>
                            </w:tabs>
                            <w:spacing w:after="0"/>
                            <w:jc w:val="center"/>
                            <w:rPr>
                              <w:rFonts w:ascii="Arial" w:hAnsi="Arial" w:cs="Arial"/>
                              <w:color w:val="004194"/>
                              <w:sz w:val="20"/>
                            </w:rPr>
                          </w:pPr>
                          <w:r>
                            <w:rPr>
                              <w:rFonts w:ascii="Arial" w:hAnsi="Arial" w:cs="Arial"/>
                              <w:color w:val="004194"/>
                              <w:sz w:val="20"/>
                            </w:rPr>
                            <w:t>Fr</w:t>
                          </w:r>
                        </w:p>
                        <w:p>
                          <w:pPr>
                            <w:tabs>
                              <w:tab w:val="left" w:pos="4111"/>
                            </w:tabs>
                            <w:spacing w:after="0"/>
                            <w:jc w:val="center"/>
                            <w:rPr>
                              <w:rFonts w:ascii="Arial" w:hAnsi="Arial" w:cs="Arial"/>
                              <w:bCs/>
                              <w:color w:val="004194"/>
                              <w:sz w:val="20"/>
                            </w:rPr>
                          </w:pPr>
                          <w:r>
                            <w:rPr>
                              <w:rFonts w:ascii="Arial" w:hAnsi="Arial" w:cs="Arial"/>
                              <w:bCs/>
                              <w:color w:val="004194"/>
                              <w:sz w:val="20"/>
                            </w:rPr>
                            <w:t>France</w:t>
                          </w:r>
                        </w:p>
                        <w:p>
                          <w:pPr>
                            <w:tabs>
                              <w:tab w:val="left" w:pos="4111"/>
                            </w:tabs>
                            <w:spacing w:after="0"/>
                            <w:jc w:val="center"/>
                            <w:rPr>
                              <w:rFonts w:ascii="Arial" w:hAnsi="Arial" w:cs="Arial"/>
                              <w:color w:val="004194"/>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70.9pt;margin-top:17.5pt;width:595.05pt;height:3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EnJ&#10;PKQ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tabs>
                        <w:tab w:val="left" w:pos="4111"/>
                      </w:tabs>
                      <w:spacing w:after="0"/>
                      <w:jc w:val="center"/>
                      <w:rPr>
                        <w:rFonts w:ascii="Arial" w:hAnsi="Arial" w:cs="Arial"/>
                        <w:color w:val="004194"/>
                        <w:sz w:val="20"/>
                      </w:rPr>
                    </w:pPr>
                    <w:r>
                      <w:rPr>
                        <w:rFonts w:ascii="Arial" w:hAnsi="Arial" w:cs="Arial"/>
                        <w:color w:val="004194"/>
                        <w:sz w:val="20"/>
                      </w:rPr>
                      <w:t>Fr</w:t>
                    </w:r>
                  </w:p>
                  <w:p>
                    <w:pPr>
                      <w:tabs>
                        <w:tab w:val="left" w:pos="4111"/>
                      </w:tabs>
                      <w:spacing w:after="0"/>
                      <w:jc w:val="center"/>
                      <w:rPr>
                        <w:rFonts w:ascii="Arial" w:hAnsi="Arial" w:cs="Arial"/>
                        <w:bCs/>
                        <w:color w:val="004194"/>
                        <w:sz w:val="20"/>
                      </w:rPr>
                    </w:pPr>
                    <w:r>
                      <w:rPr>
                        <w:rFonts w:ascii="Arial" w:hAnsi="Arial" w:cs="Arial"/>
                        <w:bCs/>
                        <w:color w:val="004194"/>
                        <w:sz w:val="20"/>
                      </w:rPr>
                      <w:t>France</w:t>
                    </w:r>
                  </w:p>
                  <w:p>
                    <w:pPr>
                      <w:tabs>
                        <w:tab w:val="left" w:pos="4111"/>
                      </w:tabs>
                      <w:spacing w:after="0"/>
                      <w:jc w:val="center"/>
                      <w:rPr>
                        <w:rFonts w:ascii="Arial" w:hAnsi="Arial" w:cs="Arial"/>
                        <w:color w:val="004194"/>
                        <w:sz w:val="20"/>
                      </w:rPr>
                    </w:pPr>
                  </w:p>
                </w:txbxContent>
              </v:textbox>
            </v:shape>
          </w:pict>
        </mc:Fallback>
      </mc:AlternateContent>
    </w: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ABD8EE" id="Rectangle 587" o:spid="_x0000_s1026" style="position:absolute;margin-left:379.65pt;margin-top:23.65pt;width:144.5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qzZQ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xW9qz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BB45BF" id="Rectangle 588" o:spid="_x0000_s1026" style="position:absolute;margin-left:-70.9pt;margin-top:23.65pt;width:142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pWMwhW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4457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70.9pt;margin-top:49.65pt;width:595.25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GIkZ4s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4150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tabs>
                              <w:tab w:val="left" w:pos="4111"/>
                            </w:tabs>
                            <w:spacing w:after="0"/>
                            <w:jc w:val="center"/>
                            <w:rPr>
                              <w:rFonts w:ascii="Arial" w:hAnsi="Arial" w:cs="Arial"/>
                              <w:color w:val="004194"/>
                              <w:sz w:val="20"/>
                            </w:rPr>
                          </w:pPr>
                          <w:r>
                            <w:rPr>
                              <w:rFonts w:ascii="Arial" w:hAnsi="Arial" w:cs="Arial"/>
                              <w:color w:val="004194"/>
                              <w:sz w:val="20"/>
                            </w:rPr>
                            <w:t>Fr</w:t>
                          </w:r>
                        </w:p>
                        <w:p>
                          <w:pPr>
                            <w:tabs>
                              <w:tab w:val="left" w:pos="4111"/>
                            </w:tabs>
                            <w:spacing w:after="0"/>
                            <w:jc w:val="center"/>
                            <w:rPr>
                              <w:rFonts w:ascii="Arial" w:hAnsi="Arial" w:cs="Arial"/>
                              <w:bCs/>
                              <w:color w:val="004194"/>
                              <w:sz w:val="20"/>
                            </w:rPr>
                          </w:pPr>
                          <w:r>
                            <w:rPr>
                              <w:rFonts w:ascii="Arial" w:hAnsi="Arial" w:cs="Arial"/>
                              <w:bCs/>
                              <w:color w:val="004194"/>
                              <w:sz w:val="20"/>
                            </w:rPr>
                            <w:t>France</w:t>
                          </w:r>
                        </w:p>
                        <w:p>
                          <w:pPr>
                            <w:tabs>
                              <w:tab w:val="left" w:pos="4111"/>
                            </w:tabs>
                            <w:spacing w:after="0"/>
                            <w:jc w:val="center"/>
                            <w:rPr>
                              <w:rFonts w:ascii="Arial" w:hAnsi="Arial" w:cs="Arial"/>
                              <w:color w:val="004194"/>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70.9pt;margin-top:17.5pt;width:595.05pt;height:32.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H1/&#10;hBY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tabs>
                        <w:tab w:val="left" w:pos="4111"/>
                      </w:tabs>
                      <w:spacing w:after="0"/>
                      <w:jc w:val="center"/>
                      <w:rPr>
                        <w:rFonts w:ascii="Arial" w:hAnsi="Arial" w:cs="Arial"/>
                        <w:color w:val="004194"/>
                        <w:sz w:val="20"/>
                      </w:rPr>
                    </w:pPr>
                    <w:r>
                      <w:rPr>
                        <w:rFonts w:ascii="Arial" w:hAnsi="Arial" w:cs="Arial"/>
                        <w:color w:val="004194"/>
                        <w:sz w:val="20"/>
                      </w:rPr>
                      <w:t>Fr</w:t>
                    </w:r>
                  </w:p>
                  <w:p>
                    <w:pPr>
                      <w:tabs>
                        <w:tab w:val="left" w:pos="4111"/>
                      </w:tabs>
                      <w:spacing w:after="0"/>
                      <w:jc w:val="center"/>
                      <w:rPr>
                        <w:rFonts w:ascii="Arial" w:hAnsi="Arial" w:cs="Arial"/>
                        <w:bCs/>
                        <w:color w:val="004194"/>
                        <w:sz w:val="20"/>
                      </w:rPr>
                    </w:pPr>
                    <w:r>
                      <w:rPr>
                        <w:rFonts w:ascii="Arial" w:hAnsi="Arial" w:cs="Arial"/>
                        <w:bCs/>
                        <w:color w:val="004194"/>
                        <w:sz w:val="20"/>
                      </w:rPr>
                      <w:t>France</w:t>
                    </w:r>
                  </w:p>
                  <w:p>
                    <w:pPr>
                      <w:tabs>
                        <w:tab w:val="left" w:pos="4111"/>
                      </w:tabs>
                      <w:spacing w:after="0"/>
                      <w:jc w:val="center"/>
                      <w:rPr>
                        <w:rFonts w:ascii="Arial" w:hAnsi="Arial" w:cs="Arial"/>
                        <w:color w:val="004194"/>
                        <w:sz w:val="20"/>
                      </w:rPr>
                    </w:pPr>
                  </w:p>
                </w:txbxContent>
              </v:textbox>
            </v:shape>
          </w:pict>
        </mc:Fallback>
      </mc:AlternateContent>
    </w:r>
    <w:r>
      <w:rPr>
        <w:noProof/>
        <w:lang w:eastAsia="en-GB"/>
      </w:rPr>
      <mc:AlternateContent>
        <mc:Choice Requires="wps">
          <w:drawing>
            <wp:anchor distT="0" distB="0" distL="114300" distR="114300" simplePos="0" relativeHeight="2515435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584EE2" id="Rectangle 564" o:spid="_x0000_s1026" style="position:absolute;margin-left:379.65pt;margin-top:23.65pt;width:144.5pt;height:17.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nHyS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4252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56D065" id="Rectangle 565" o:spid="_x0000_s1026" style="position:absolute;margin-left:-70.9pt;margin-top:23.65pt;width:142pt;height:17.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BT7i0GZQIAAM4EAAAOAAAAAAAAAAAAAAAAAC4CAABk&#10;cnMvZTJvRG9jLnhtbFBLAQItABQABgAIAAAAIQCHUKNL4AAAAAoBAAAPAAAAAAAAAAAAAAAAAL8E&#10;AABkcnMvZG93bnJldi54bWxQSwUGAAAAAAQABADzAAAAzAUAAAAA&#10;" fillcolor="#004194" stroked="f" strokeweight="2pt">
              <v:path arrowok="t"/>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534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C42CB6" id="Rectangle 597" o:spid="_x0000_s1026" style="position:absolute;margin-left:379.65pt;margin-top:23.65pt;width:144.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qRnIv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BE9E6F" id="Rectangle 598" o:spid="_x0000_s1026" style="position:absolute;margin-left:-70.9pt;margin-top:23.65pt;width:142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fn6YGW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691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D0D321" id="Rectangle 365" o:spid="_x0000_s1026" style="position:absolute;margin-left:379.65pt;margin-top:23.65pt;width:144.5pt;height:17.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SMZg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uMikj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56812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109A07" id="Rectangle 366" o:spid="_x0000_s1026" style="position:absolute;margin-left:-70.9pt;margin-top:23.65pt;width:142pt;height:17.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i0PFt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58592" behindDoc="0" locked="0" layoutInCell="1" allowOverlap="1">
              <wp:simplePos x="0" y="0"/>
              <wp:positionH relativeFrom="column">
                <wp:posOffset>-900430</wp:posOffset>
              </wp:positionH>
              <wp:positionV relativeFrom="paragraph">
                <wp:posOffset>596265</wp:posOffset>
              </wp:positionV>
              <wp:extent cx="7559675" cy="45085"/>
              <wp:effectExtent l="0" t="19050" r="0" b="12065"/>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70.9pt;margin-top:46.95pt;width:595.25pt;height: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Croatia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70.85pt;margin-top:3.45pt;width:595.05pt;height:4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Croatia</w:t>
                    </w:r>
                  </w:p>
                </w:txbxContent>
              </v:textbox>
            </v:shape>
          </w:pict>
        </mc:Fallback>
      </mc:AlternateContent>
    </w:r>
    <w:r>
      <w:rPr>
        <w:noProof/>
        <w:lang w:eastAsia="en-GB"/>
      </w:rPr>
      <mc:AlternateContent>
        <mc:Choice Requires="wps">
          <w:drawing>
            <wp:anchor distT="0" distB="0" distL="114300" distR="114300" simplePos="0" relativeHeight="251570176" behindDoc="0" locked="0" layoutInCell="1" allowOverlap="1">
              <wp:simplePos x="0" y="0"/>
              <wp:positionH relativeFrom="column">
                <wp:posOffset>-900430</wp:posOffset>
              </wp:positionH>
              <wp:positionV relativeFrom="paragraph">
                <wp:posOffset>596265</wp:posOffset>
              </wp:positionV>
              <wp:extent cx="7559675" cy="45085"/>
              <wp:effectExtent l="0" t="19050" r="0" b="1206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70.9pt;margin-top:46.95pt;width:595.25pt;height:3.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67104"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Croatia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70.85pt;margin-top:3.45pt;width:595.05pt;height:42.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Croatia</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left:0;text-align:left;margin-left:-70.9pt;margin-top:49.65pt;width:595.2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s1QMzw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0.9pt;margin-top:17.5pt;width:595.05pt;height:3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JcX&#10;K74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11DFC2" id="Rectangle 603" o:spid="_x0000_s1026" style="position:absolute;margin-left:379.65pt;margin-top:23.65pt;width:144.5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WZQ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hORW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5D5A1C" id="Rectangle 604" o:spid="_x0000_s1026" style="position:absolute;margin-left:-70.85pt;margin-top:23.65pt;width:142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JoZAIAAM4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7529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70.9pt;margin-top:49.65pt;width:595.25pt;height:3.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MXbByA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7120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70.9pt;margin-top:17.5pt;width:595.05pt;height:32.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JoH6N&#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742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B3D347" id="Rectangle 66" o:spid="_x0000_s1026" style="position:absolute;margin-left:379.65pt;margin-top:23.65pt;width:144.5pt;height:17.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hrZAIAAMw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GdRqGt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7222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C2A7A4" id="Rectangle 67" o:spid="_x0000_s1026" style="position:absolute;margin-left:-70.85pt;margin-top:23.65pt;width:142pt;height:17.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z3YgIAAMw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g/FM92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left:0;text-align:left;margin-left:-70.9pt;margin-top:49.65pt;width:595.2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wjrvUQ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6B0824" id="Rectangle 606" o:spid="_x0000_s1026" style="position:absolute;margin-left:379.65pt;margin-top:23.65pt;width:144.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Ee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oNwE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0C4159" id="Rectangle 607" o:spid="_x0000_s1026" style="position:absolute;margin-left:-70.9pt;margin-top:23.65pt;width:142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5QYwIAAM4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AajeU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2137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70.9pt;margin-top:49.65pt;width:595.25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L+rp0w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03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CC0F9D" id="Rectangle 698" o:spid="_x0000_s1026" style="position:absolute;margin-left:379.65pt;margin-top:23.65pt;width:144.5pt;height:1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rEZQIAAM4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DQdvrE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1932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C7AB09" id="Rectangle 699" o:spid="_x0000_s1026" style="position:absolute;margin-left:-70.9pt;margin-top:23.65pt;width:142pt;height:1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HnpJYp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70.85pt;margin-top:3.45pt;width:595.0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Italy</w:t>
                    </w:r>
                  </w:p>
                </w:txbxContent>
              </v:textbox>
            </v:shape>
          </w:pict>
        </mc:Fallback>
      </mc:AlternateContent>
    </w:r>
    <w:r>
      <w:rPr>
        <w:noProof/>
        <w:lang w:eastAsia="en-GB"/>
      </w:rPr>
      <mc:AlternateContent>
        <mc:Choice Requires="wps">
          <w:drawing>
            <wp:anchor distT="0" distB="0" distL="114300" distR="114300" simplePos="0" relativeHeight="251618304" behindDoc="0" locked="0" layoutInCell="1" allowOverlap="1">
              <wp:simplePos x="0" y="0"/>
              <wp:positionH relativeFrom="column">
                <wp:posOffset>-899795</wp:posOffset>
              </wp:positionH>
              <wp:positionV relativeFrom="paragraph">
                <wp:posOffset>43815</wp:posOffset>
              </wp:positionV>
              <wp:extent cx="7557135" cy="571500"/>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70.85pt;margin-top:3.45pt;width:595.05pt;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b/>
                        <w:color w:val="A6A6A6"/>
                      </w:rPr>
                    </w:pPr>
                    <w:r>
                      <w:rPr>
                        <w:rFonts w:ascii="Arial" w:hAnsi="Arial"/>
                        <w:color w:val="A6A6A6"/>
                      </w:rPr>
                      <w:t>Italy</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left:0;text-align:left;margin-left:-70.9pt;margin-top:49.65pt;width:595.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iAzTbAwC&#10;AAD8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70.9pt;margin-top:17.5pt;width:595.05pt;height: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RYpB&#10;hRACAAD9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F05763" id="Rectangle 611" o:spid="_x0000_s1026" style="position:absolute;margin-left:379.65pt;margin-top:23.65pt;width:144.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K16C1NkAgAAzg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401B14" id="Rectangle 612" o:spid="_x0000_s1026" style="position:absolute;margin-left:-70.9pt;margin-top:23.65pt;width:142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OEYwIAAM4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zQaThG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3878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70.9pt;margin-top:49.65pt;width:595.25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jZjexQwC&#10;AAD8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161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70.9pt;margin-top:17.5pt;width:595.05pt;height:32.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LrEQIAAP0DAAAOAAAAZHJzL2Uyb0RvYy54bWysU9uO2yAQfa/Uf0C8N7azcZN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Pqe&#10;Ius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377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7CD785" id="Rectangle 702" o:spid="_x0000_s1026" style="position:absolute;margin-left:379.65pt;margin-top:23.65pt;width:144.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LmZQ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6VWLm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366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B18468" id="Rectangle 703" o:spid="_x0000_s1026" style="position:absolute;margin-left:-70.9pt;margin-top:23.65pt;width:142pt;height:1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2oYwIAAM4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8q9qGMCAADOBAAADgAAAAAAAAAAAAAAAAAuAgAAZHJz&#10;L2Uyb0RvYy54bWxQSwECLQAUAAYACAAAACEAh1CjS+AAAAAKAQAADwAAAAAAAAAAAAAAAAC9BAAA&#10;ZHJzL2Rvd25yZXYueG1sUEsFBgAAAAAEAAQA8wAAAMoFAAAAAA==&#10;" fillcolor="#004194" stroked="f" strokeweight="2pt">
              <v:path arrowok="t"/>
            </v:rec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left:0;text-align:left;margin-left:-70.9pt;margin-top:49.65pt;width:595.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IoTz&#10;Ig8CAAD8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500599" id="Rectangle 614" o:spid="_x0000_s1026" style="position:absolute;margin-left:379.65pt;margin-top:23.65pt;width:144.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usnuG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43C0F4" id="Rectangle 615" o:spid="_x0000_s1026" style="position:absolute;margin-left:-70.85pt;margin-top:23.65pt;width:142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2956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70.9pt;margin-top:49.65pt;width:595.2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5F+fAQ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85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9ABF4C" id="Rectangle 89" o:spid="_x0000_s1026" style="position:absolute;margin-left:379.65pt;margin-top:23.65pt;width:144.5pt;height:1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KlI1nN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27520"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4EAB50" id="Rectangle 90" o:spid="_x0000_s1026" style="position:absolute;margin-left:-70.85pt;margin-top:23.65pt;width:142pt;height:1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TpPFV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Cyprus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70.85pt;margin-top:3.45pt;width:595.05pt;height:4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Cyprus</w:t>
                    </w:r>
                  </w:p>
                </w:txbxContent>
              </v:textbox>
            </v:shape>
          </w:pict>
        </mc:Fallback>
      </mc:AlternateContent>
    </w:r>
    <w:r>
      <w:rPr>
        <w:noProof/>
        <w:lang w:eastAsia="en-GB"/>
      </w:rPr>
      <mc:AlternateContent>
        <mc:Choice Requires="wps">
          <w:drawing>
            <wp:anchor distT="0" distB="0" distL="114300" distR="114300" simplePos="0" relativeHeight="251626496"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Cyprus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70.85pt;margin-top:3.45pt;width:595.05pt;height:48.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Cyprus</w:t>
                    </w:r>
                  </w:p>
                </w:txbxContent>
              </v:textbox>
            </v:shape>
          </w:pict>
        </mc:Fallback>
      </mc:AlternateConten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left:0;text-align:left;margin-left:-70.9pt;margin-top:49.65pt;width:595.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xSFY&#10;zw8CAAD8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70.9pt;margin-top:17.5pt;width:595.05pt;height:3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GK4&#10;Q+U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32764C" id="Rectangle 619" o:spid="_x0000_s1026" style="position:absolute;margin-left:379.65pt;margin-top:23.65pt;width:144.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K/4db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3963F7" id="Rectangle 620" o:spid="_x0000_s1026" style="position:absolute;margin-left:-70.9pt;margin-top:23.65pt;width:142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KMVdY2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254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70.9pt;margin-top:49.65pt;width:595.2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H3CBAgN&#10;AgAA/A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2240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70.9pt;margin-top:17.5pt;width:595.05pt;height:32.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FTP&#10;iT8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6244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B3E198" id="Rectangle 412" o:spid="_x0000_s1026" style="position:absolute;margin-left:379.65pt;margin-top:23.65pt;width:144.5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irWxI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2342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151347" id="Rectangle 413" o:spid="_x0000_s1026" style="position:absolute;margin-left:-70.9pt;margin-top:23.65pt;width:142pt;height:1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IsyswZ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7292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8" type="#_x0000_t202" style="position:absolute;left:0;text-align:left;margin-left:-70.9pt;margin-top:49.65pt;width:595.2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Iw8GT8N&#10;AgAA/A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FEABAF" id="Rectangle 622" o:spid="_x0000_s1026" style="position:absolute;margin-left:379.65pt;margin-top:23.65pt;width:144.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4VZQIAAM4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My94V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B0CEF6" id="Rectangle 623" o:spid="_x0000_s1026" style="position:absolute;margin-left:-70.85pt;margin-top:23.65pt;width:142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CVUAVt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7939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70.9pt;margin-top:49.65pt;width:595.25pt;height: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1vCyV&#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783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67116D" id="Rectangle 98" o:spid="_x0000_s1026" style="position:absolute;margin-left:379.65pt;margin-top:23.65pt;width:144.5pt;height:17.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Oke4ZR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7734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DF4E3C" id="Rectangle 111" o:spid="_x0000_s1026" style="position:absolute;margin-left:-70.85pt;margin-top:23.65pt;width:142pt;height:17.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Af/H8hjAgAAzgQAAA4AAAAAAAAAAAAAAAAALgIAAGRy&#10;cy9lMm9Eb2MueG1sUEsBAi0AFAAGAAgAAAAhALknx3nhAAAACgEAAA8AAAAAAAAAAAAAAAAAvQ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74976"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Latvia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70.85pt;margin-top:3.45pt;width:595.05pt;height:4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Latvia</w:t>
                    </w:r>
                  </w:p>
                </w:txbxContent>
              </v:textbox>
            </v:shape>
          </w:pict>
        </mc:Fallback>
      </mc:AlternateContent>
    </w:r>
    <w:r>
      <w:rPr>
        <w:noProof/>
        <w:lang w:eastAsia="en-GB"/>
      </w:rPr>
      <mc:AlternateContent>
        <mc:Choice Requires="wps">
          <w:drawing>
            <wp:anchor distT="0" distB="0" distL="114300" distR="114300" simplePos="0" relativeHeight="251576320"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Latvia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70.85pt;margin-top:3.45pt;width:595.05pt;height:48.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Latvia</w:t>
                    </w:r>
                  </w:p>
                </w:txbxContent>
              </v:textbox>
            </v:shape>
          </w:pict>
        </mc:Fallback>
      </mc:AlternateConten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5" o:spid="_x0000_s1142" type="#_x0000_t202" style="position:absolute;left:0;text-align:left;margin-left:-70.9pt;margin-top:49.65pt;width:595.2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I00UmwwC&#10;AAD+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70.9pt;margin-top:17.5pt;width:595.05pt;height:3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98556F" id="Rectangle 635" o:spid="_x0000_s1026" style="position:absolute;margin-left:379.65pt;margin-top:23.65pt;width:144.5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RYZg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iYbUWG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CE2CEF" id="Rectangle 636" o:spid="_x0000_s1026" style="position:absolute;margin-left:-70.9pt;margin-top:23.65pt;width:142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On6TI9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8348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70.9pt;margin-top:49.65pt;width:595.25pt;height: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CQ7fMM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80416"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70.9pt;margin-top:17.5pt;width:595.05pt;height:32.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EEAIAAPsDAAAOAAAAZHJzL2Uyb0RvYy54bWysU9uO2yAQfa/Uf0C8N7azcZN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kx/4&#10;BB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txbxContent>
              </v:textbox>
            </v:shape>
          </w:pict>
        </mc:Fallback>
      </mc:AlternateContent>
    </w:r>
    <w:r>
      <w:rPr>
        <w:noProof/>
        <w:lang w:eastAsia="en-GB"/>
      </w:rPr>
      <mc:AlternateContent>
        <mc:Choice Requires="wps">
          <w:drawing>
            <wp:anchor distT="0" distB="0" distL="114300" distR="114300" simplePos="0" relativeHeight="2515824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67788A" id="Rectangle 4" o:spid="_x0000_s1026" style="position:absolute;margin-left:379.65pt;margin-top:23.65pt;width:144.5pt;height:17.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N60Q/2MCAADK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8144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9929C8" id="Rectangle 6" o:spid="_x0000_s1026" style="position:absolute;margin-left:-70.9pt;margin-top:23.65pt;width:142pt;height:17.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" fillcolor="#004194" stroked="f" strokeweight="2pt">
              <v:path arrowok="t"/>
            </v:rect>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pt;margin-top:49.65pt;width:595.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Pi7MKoKAgAA&#10;8w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B2FDB4" id="Rectangle 385" o:spid="_x0000_s1026" style="position:absolute;margin-left:379.65pt;margin-top:23.65pt;width:144.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PZgIAAM4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vnPQT2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863158" id="Rectangle 386" o:spid="_x0000_s1026" style="position:absolute;margin-left:-70.85pt;margin-top:23.65pt;width:142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N4PSJh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1897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9pt;margin-top:49.65pt;width:595.25pt;height:3.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O9MctsKAgAA&#10;+Q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322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60BE5E" id="Rectangle 17" o:spid="_x0000_s1026" style="position:absolute;margin-left:379.65pt;margin-top:23.65pt;width:144.5pt;height:17.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E1MPQm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5276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B0212D" id="Rectangle 18" o:spid="_x0000_s1026" style="position:absolute;margin-left:-70.85pt;margin-top:23.65pt;width:142pt;height:17.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Sji7AG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0.85pt;margin-top:3.45pt;width:595.05pt;height:4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MADdb0P&#10;AgAA+w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v:textbox>
            </v:shape>
          </w:pict>
        </mc:Fallback>
      </mc:AlternateContent>
    </w:r>
    <w:r>
      <w:rPr>
        <w:noProof/>
        <w:lang w:eastAsia="en-GB"/>
      </w:rPr>
      <mc:AlternateContent>
        <mc:Choice Requires="wps">
          <w:drawing>
            <wp:anchor distT="0" distB="0" distL="114300" distR="114300" simplePos="0" relativeHeight="251573248"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85pt;margin-top:3.45pt;width:595.05pt;height:42.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HUXXLAP&#10;AgAA+g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color w:val="004194"/>
                        <w:sz w:val="20"/>
                      </w:rPr>
                    </w:pPr>
                    <w:r>
                      <w:rPr>
                        <w:rFonts w:ascii="Arial" w:hAnsi="Arial"/>
                        <w:color w:val="A6A6A6"/>
                      </w:rPr>
                      <w:t>Belgium</w:t>
                    </w:r>
                  </w:p>
                </w:txbxContent>
              </v:textbox>
            </v:shape>
          </w:pict>
        </mc:Fallback>
      </mc:AlternateContent>
    </w:r>
  </w:p>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left:0;text-align:left;margin-left:-70.9pt;margin-top:49.65pt;width:595.2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BMbdnUN&#10;AgAA/A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19FF03" id="Rectangle 638" o:spid="_x0000_s1026" style="position:absolute;margin-left:379.65pt;margin-top:23.65pt;width:144.5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5sL0Y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D5BCAA" id="Rectangle 639" o:spid="_x0000_s1026" style="position:absolute;margin-left:-70.85pt;margin-top:23.65pt;width:142pt;height:1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59577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70.9pt;margin-top:49.65pt;width:595.25pt;height: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Ig8itCwIA&#10;APo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947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528994" id="Rectangle 7" o:spid="_x0000_s1026" style="position:absolute;margin-left:379.65pt;margin-top:23.65pt;width:144.5pt;height: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xqu/MWMCAADK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92704"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187B97" id="Rectangle 8" o:spid="_x0000_s1026" style="position:absolute;margin-left:-70.85pt;margin-top:23.65pt;width:142pt;height:17.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qcYQIAAMo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90336"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70.85pt;margin-top:3.45pt;width:595.05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Lithuania</w:t>
                    </w:r>
                  </w:p>
                </w:txbxContent>
              </v:textbox>
            </v:shape>
          </w:pict>
        </mc:Fallback>
      </mc:AlternateContent>
    </w:r>
    <w:r>
      <w:rPr>
        <w:noProof/>
        <w:lang w:eastAsia="en-GB"/>
      </w:rPr>
      <mc:AlternateContent>
        <mc:Choice Requires="wps">
          <w:drawing>
            <wp:anchor distT="0" distB="0" distL="114300" distR="114300" simplePos="0" relativeHeight="251591680"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70.85pt;margin-top:3.45pt;width:595.05pt;height:48.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2018 Annual Report</w:t>
                    </w:r>
                  </w:p>
                  <w:p>
                    <w:pPr>
                      <w:spacing w:after="0"/>
                      <w:jc w:val="center"/>
                      <w:rPr>
                        <w:rFonts w:ascii="Arial" w:hAnsi="Arial" w:cs="Arial"/>
                        <w:color w:val="004194"/>
                        <w:sz w:val="20"/>
                      </w:rPr>
                    </w:pPr>
                    <w:r>
                      <w:rPr>
                        <w:rFonts w:ascii="Arial" w:hAnsi="Arial"/>
                        <w:color w:val="A6A6A6"/>
                      </w:rPr>
                      <w:t>Lithuania</w:t>
                    </w:r>
                  </w:p>
                </w:txbxContent>
              </v:textbox>
            </v:shape>
          </w:pict>
        </mc:Fallback>
      </mc:AlternateConten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rPr>
        <w:rFonts w:ascii="Arial" w:hAnsi="Arial" w:cs="Arial"/>
      </w:rPr>
    </w:pPr>
    <w:r>
      <w:rPr>
        <w:noProof/>
        <w:lang w:eastAsia="en-GB"/>
      </w:rPr>
      <mc:AlternateContent>
        <mc:Choice Requires="wps">
          <w:drawing>
            <wp:anchor distT="0" distB="0" distL="114300" distR="114300" simplePos="0" relativeHeight="25179443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left:0;text-align:left;margin-left:-70.9pt;margin-top:49.65pt;width:595.25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Xj7jZ&#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70.9pt;margin-top:17.5pt;width:595.05pt;height:3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FDE&#10;vQ0RAgAA/Q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934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868511" id="Rectangle 643" o:spid="_x0000_s1026" style="position:absolute;margin-left:379.65pt;margin-top:23.65pt;width:144.5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AQ+ddJ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92384"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B41D6F" id="Rectangle 644" o:spid="_x0000_s1026" style="position:absolute;margin-left:-70.9pt;margin-top:23.65pt;width:142pt;height:1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KNEsXdkAgAAzgQAAA4AAAAAAAAAAAAAAAAALgIAAGRy&#10;cy9lMm9Eb2MueG1sUEsBAi0AFAAGAAgAAAAhAIdQo0v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9065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70.9pt;margin-top:49.65pt;width:595.25pt;height:3.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BZFEysN&#10;AgAA/A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587584"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70.9pt;margin-top:17.5pt;width:595.05pt;height:32.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uTB0&#10;gBACAAD9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58963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8ADED7" id="Rectangle 201" o:spid="_x0000_s1026" style="position:absolute;margin-left:379.65pt;margin-top:23.65pt;width:144.5pt;height:17.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WJYwIAAM4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curViWMCAADO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58860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8356AC" id="Rectangle 204" o:spid="_x0000_s1026" style="position:absolute;margin-left:-70.9pt;margin-top:23.65pt;width:142pt;height:17.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QuZAIAAM4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Ai09C5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left:0;text-align:left;margin-left:-70.9pt;margin-top:49.65pt;width:595.25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2Gq5&#10;qQ8CAAD8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841435" id="Rectangle 934" o:spid="_x0000_s1026" style="position:absolute;margin-left:379.65pt;margin-top:23.65pt;width:144.5pt;height:1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" fillcolor="#004194" stroked="f" strokeweight="2pt">
              <v:path arrowok="t"/>
            </v:rect>
          </w:pict>
        </mc:Fallback>
      </mc:AlternateContent>
    </w: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A0A51B" id="Rectangle 935" o:spid="_x0000_s1026" style="position:absolute;margin-left:-70.9pt;margin-top:23.65pt;width:142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7907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70.9pt;margin-top:49.65pt;width:595.2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N+Vli&#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2D918A" id="Rectangle 937" o:spid="_x0000_s1026" style="position:absolute;margin-left:379.65pt;margin-top:23.65pt;width:144.5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45ZQ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PF645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73952"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EE0D9D" id="Rectangle 938" o:spid="_x0000_s1026" style="position:absolute;margin-left:-70.9pt;margin-top:23.65pt;width:142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NsvRA9kAgAAzgQAAA4AAAAAAAAAAAAAAAAALgIAAGRy&#10;cy9lMm9Eb2MueG1sUEsBAi0AFAAGAAgAAAAhAIdQo0vgAAAACgEAAA8AAAAAAAAAAAAAAAAAvgQA&#10;AGRycy9kb3ducmV2LnhtbFBLBQYAAAAABAAEAPMAAADLBQ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87264" behindDoc="0" locked="0" layoutInCell="1" allowOverlap="1">
              <wp:simplePos x="0" y="0"/>
              <wp:positionH relativeFrom="column">
                <wp:posOffset>-899795</wp:posOffset>
              </wp:positionH>
              <wp:positionV relativeFrom="paragraph">
                <wp:posOffset>43815</wp:posOffset>
              </wp:positionV>
              <wp:extent cx="7557135" cy="586740"/>
              <wp:effectExtent l="0" t="0" r="0" b="3810"/>
              <wp:wrapNone/>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867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Luxembourg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70.85pt;margin-top:3.45pt;width:595.05pt;height:4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Luxembourg</w:t>
                    </w:r>
                  </w:p>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-899795</wp:posOffset>
              </wp:positionH>
              <wp:positionV relativeFrom="paragraph">
                <wp:posOffset>43815</wp:posOffset>
              </wp:positionV>
              <wp:extent cx="7557135" cy="586740"/>
              <wp:effectExtent l="0" t="0" r="0" b="3810"/>
              <wp:wrapNone/>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867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Luxembourg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70.85pt;margin-top:3.45pt;width:595.05pt;height:46.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b/>
                        <w:color w:val="A6A6A6"/>
                      </w:rPr>
                    </w:pPr>
                    <w:r>
                      <w:rPr>
                        <w:rFonts w:ascii="Arial" w:hAnsi="Arial"/>
                        <w:color w:val="A6A6A6"/>
                      </w:rPr>
                      <w:t>Luxembourg</w:t>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left:0;text-align:left;margin-left:-70.9pt;margin-top:49.65pt;width:595.2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x67HzCwIA&#10;APs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65760"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70.9pt;margin-top:17.5pt;width:595.05pt;height:3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z/+6k&#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7CF7A4" id="Rectangle 31" o:spid="_x0000_s1026" style="position:absolute;margin-left:379.65pt;margin-top:23.65pt;width:144.5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t8ngQG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C89AEB" id="Rectangle 928" o:spid="_x0000_s1026" style="position:absolute;margin-left:-70.9pt;margin-top:23.65pt;width:142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76166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70.9pt;margin-top:49.65pt;width:595.2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pmANR&#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57568" behindDoc="0" locked="0" layoutInCell="1" allowOverlap="1">
              <wp:simplePos x="0" y="0"/>
              <wp:positionH relativeFrom="column">
                <wp:posOffset>-900430</wp:posOffset>
              </wp:positionH>
              <wp:positionV relativeFrom="paragraph">
                <wp:posOffset>222250</wp:posOffset>
              </wp:positionV>
              <wp:extent cx="7557135" cy="408940"/>
              <wp:effectExtent l="0" t="0" r="0" b="0"/>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70.9pt;margin-top:17.5pt;width:595.05pt;height:3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DME4OU&#10;DwIAAP0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1"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0BC9E5" id="Rectangle 931" o:spid="_x0000_s1026" style="position:absolute;margin-left:379.65pt;margin-top:23.65pt;width:144.5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dJZQ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VNRdJ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59616" behindDoc="0" locked="0" layoutInCell="1" allowOverlap="1">
              <wp:simplePos x="0" y="0"/>
              <wp:positionH relativeFrom="column">
                <wp:posOffset>-900430</wp:posOffset>
              </wp:positionH>
              <wp:positionV relativeFrom="paragraph">
                <wp:posOffset>300355</wp:posOffset>
              </wp:positionV>
              <wp:extent cx="1803400" cy="219075"/>
              <wp:effectExtent l="0" t="0" r="6350" b="9525"/>
              <wp:wrapNone/>
              <wp:docPr id="93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1E3550" id="Rectangle 932" o:spid="_x0000_s1026" style="position:absolute;margin-left:-70.9pt;margin-top:23.65pt;width:142pt;height:1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" fillcolor="#004194" stroked="f" strokeweight="2pt">
              <v:path arrowok="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756544"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qCqr0QwC&#10;AAD6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7FAE63" id="Rectangle 389" o:spid="_x0000_s1026" style="position:absolute;margin-left:379.65pt;margin-top:23.65pt;width:144.5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KN6Ku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795456"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EF4099" id="Rectangle 390" o:spid="_x0000_s1026" style="position:absolute;margin-left:-70.85pt;margin-top:23.65pt;width:142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59372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9pt;margin-top:49.65pt;width:595.25pt;height: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DOkFJcCwIA&#10;APk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142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37E004" id="Rectangle 25" o:spid="_x0000_s1026" style="position:absolute;margin-left:379.65pt;margin-top:23.65pt;width:144.5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" fillcolor="#004194" stroked="f" strokeweight="2pt">
              <v:path arrowok="t"/>
            </v:rect>
          </w:pict>
        </mc:Fallback>
      </mc:AlternateContent>
    </w:r>
    <w:r>
      <w:rPr>
        <w:noProof/>
        <w:lang w:eastAsia="en-GB"/>
      </w:rPr>
      <mc:AlternateContent>
        <mc:Choice Requires="wps">
          <w:drawing>
            <wp:anchor distT="0" distB="0" distL="114300" distR="114300" simplePos="0" relativeHeight="25163468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57C420" id="Rectangle 26" o:spid="_x0000_s1026" style="position:absolute;margin-left:-70.85pt;margin-top:23.65pt;width:142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7dmjuW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796480" behindDoc="0" locked="0" layoutInCell="1" allowOverlap="1">
              <wp:simplePos x="0" y="0"/>
              <wp:positionH relativeFrom="column">
                <wp:posOffset>-897255</wp:posOffset>
              </wp:positionH>
              <wp:positionV relativeFrom="paragraph">
                <wp:posOffset>33655</wp:posOffset>
              </wp:positionV>
              <wp:extent cx="7557135" cy="41910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0.65pt;margin-top:2.65pt;width:595.05pt;height: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-897255</wp:posOffset>
              </wp:positionH>
              <wp:positionV relativeFrom="paragraph">
                <wp:posOffset>33655</wp:posOffset>
              </wp:positionV>
              <wp:extent cx="7557135" cy="4191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0.65pt;margin-top:2.65pt;width:595.0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p>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pt;margin-top:49.65pt;width:595.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DQIAAPoDAAAOAAAAZHJzL2Uyb0RvYy54bWysU9uO2yAQfa/Uf0C8N07ceJ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L/4MM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49DE37" id="Rectangle 393" o:spid="_x0000_s1026" style="position:absolute;margin-left:379.65pt;margin-top:23.65pt;width:144.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B/TMGj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79791B" id="Rectangle 394" o:spid="_x0000_s1026" style="position:absolute;margin-left:-70.85pt;margin-top:23.65pt;width:142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edZAIAAM4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-899795</wp:posOffset>
              </wp:positionH>
              <wp:positionV relativeFrom="paragraph">
                <wp:posOffset>230505</wp:posOffset>
              </wp:positionV>
              <wp:extent cx="7557135" cy="5715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15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004194"/>
                              <w:sz w:val="20"/>
                            </w:rPr>
                          </w:pPr>
                          <w:r>
                            <w:rPr>
                              <w:rFonts w:ascii="Arial" w:hAnsi="Arial"/>
                              <w:color w:val="A6A6A6"/>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85pt;margin-top:18.15pt;width:595.0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004194"/>
                        <w:sz w:val="20"/>
                      </w:rPr>
                    </w:pPr>
                    <w:r>
                      <w:rPr>
                        <w:rFonts w:ascii="Arial" w:hAnsi="Arial"/>
                        <w:color w:val="A6A6A6"/>
                      </w:rPr>
                      <w:t>Belgium</w:t>
                    </w:r>
                  </w:p>
                </w:txbxContent>
              </v:textbox>
            </v:shape>
          </w:pict>
        </mc:Fallback>
      </mc:AlternateContent>
    </w:r>
    <w:r>
      <w:rPr>
        <w:noProof/>
        <w:lang w:eastAsia="en-GB"/>
      </w:rPr>
      <mc:AlternateContent>
        <mc:Choice Requires="wps">
          <w:drawing>
            <wp:anchor distT="0" distB="0" distL="114300" distR="114300" simplePos="0" relativeHeight="251630592"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0.9pt;margin-top:49.65pt;width:595.2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KuCgIAAPo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&#1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26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9C4C9A" id="Rectangle 20" o:spid="_x0000_s1026" style="position:absolute;margin-left:379.65pt;margin-top:23.65pt;width:144.5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95/Xp2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A153AE" id="Rectangle 21" o:spid="_x0000_s1026" style="position:absolute;margin-left:-70.85pt;margin-top:23.65pt;width:142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M7YgIAAMw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Ez8zO2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-899795</wp:posOffset>
              </wp:positionH>
              <wp:positionV relativeFrom="paragraph">
                <wp:posOffset>43815</wp:posOffset>
              </wp:positionV>
              <wp:extent cx="7557135" cy="541020"/>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4102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004194"/>
                              <w:sz w:val="20"/>
                            </w:rPr>
                          </w:pPr>
                          <w:r>
                            <w:rPr>
                              <w:rFonts w:ascii="Arial" w:hAnsi="Arial"/>
                              <w:color w:val="A6A6A6"/>
                            </w:rPr>
                            <w:t>Belgium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0.85pt;margin-top:3.45pt;width:595.05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p>
                    <w:pPr>
                      <w:spacing w:after="0"/>
                      <w:jc w:val="center"/>
                      <w:rPr>
                        <w:rFonts w:ascii="Arial" w:hAnsi="Arial" w:cs="Arial"/>
                        <w:color w:val="004194"/>
                        <w:sz w:val="20"/>
                      </w:rPr>
                    </w:pPr>
                    <w:r>
                      <w:rPr>
                        <w:rFonts w:ascii="Arial" w:hAnsi="Arial"/>
                        <w:color w:val="A6A6A6"/>
                      </w:rPr>
                      <w:t>Belgium</w:t>
                    </w:r>
                  </w:p>
                </w:txbxContent>
              </v:textbox>
            </v:shape>
          </w:pict>
        </mc:Fallback>
      </mc:AlternateContent>
    </w: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0.9pt;margin-top:49.65pt;width:595.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EpzqMo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60A3E8" id="Rectangle 397" o:spid="_x0000_s1026" style="position:absolute;margin-left:379.65pt;margin-top:23.65pt;width:144.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C221EE" id="Rectangle 398" o:spid="_x0000_s1026" style="position:absolute;margin-left:-70.85pt;margin-top:23.65pt;width:142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" fillcolor="#004194" stroked="f" strokeweight="2pt">
              <v:path arrowok="t"/>
            </v:rect>
          </w:pict>
        </mc:Fallback>
      </mc:AlternateContent>
    </w:r>
    <w:r>
      <w:rPr>
        <w:noProof/>
        <w:lang w:eastAsia="en-GB"/>
      </w:rPr>
      <mc:AlternateContent>
        <mc:Choice Requires="wps">
          <w:drawing>
            <wp:anchor distT="0" distB="0" distL="114300" distR="114300" simplePos="0" relativeHeight="251636736" behindDoc="0" locked="0" layoutInCell="1" allowOverlap="1">
              <wp:simplePos x="0" y="0"/>
              <wp:positionH relativeFrom="column">
                <wp:posOffset>-900430</wp:posOffset>
              </wp:positionH>
              <wp:positionV relativeFrom="paragraph">
                <wp:posOffset>630555</wp:posOffset>
              </wp:positionV>
              <wp:extent cx="7559675" cy="45720"/>
              <wp:effectExtent l="0" t="19050" r="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20"/>
                      </a:xfrm>
                      <a:prstGeom prst="rect">
                        <a:avLst/>
                      </a:prstGeom>
                      <a:noFill/>
                      <a:ln w="9525">
                        <a:noFill/>
                        <a:miter lim="800000"/>
                        <a:headEnd/>
                        <a:tailEnd/>
                      </a:ln>
                    </wps:spPr>
                    <wps:txbx>
                      <w:txbxContent>
                        <w:p>
                          <w:pPr>
                            <w:pStyle w:val="Priorities"/>
                            <w:ind w:right="555"/>
                            <w:jc w:val="both"/>
                            <w:rPr>
                              <w:color w:val="8080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9pt;margin-top:49.65pt;width:595.2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AZDsydCwIA&#10;APk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lang w:val="de-DE"/>
                      </w:rPr>
                    </w:pPr>
                  </w:p>
                </w:txbxContent>
              </v:textbox>
            </v:shape>
          </w:pict>
        </mc:Fallback>
      </mc:AlternateContent>
    </w:r>
    <w:r>
      <w:rPr>
        <w:noProof/>
        <w:lang w:eastAsia="en-GB"/>
      </w:rPr>
      <mc:AlternateContent>
        <mc:Choice Requires="wps">
          <w:drawing>
            <wp:anchor distT="0" distB="0" distL="114300" distR="114300" simplePos="0" relativeHeight="2516398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55516A" id="Rectangle 11" o:spid="_x0000_s1026" style="position:absolute;margin-left:379.65pt;margin-top:23.65pt;width:144.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" fillcolor="#004194" stroked="f" strokeweight="2pt">
              <v:path arrowok="t"/>
            </v:rect>
          </w:pict>
        </mc:Fallback>
      </mc:AlternateContent>
    </w:r>
    <w:r>
      <w:rPr>
        <w:noProof/>
        <w:lang w:eastAsia="en-GB"/>
      </w:rPr>
      <mc:AlternateContent>
        <mc:Choice Requires="wps">
          <w:drawing>
            <wp:anchor distT="0" distB="0" distL="114300" distR="114300" simplePos="0" relativeHeight="251641856" behindDoc="0" locked="0" layoutInCell="1" allowOverlap="1">
              <wp:simplePos x="0" y="0"/>
              <wp:positionH relativeFrom="column">
                <wp:posOffset>-899795</wp:posOffset>
              </wp:positionH>
              <wp:positionV relativeFrom="paragraph">
                <wp:posOffset>300355</wp:posOffset>
              </wp:positionV>
              <wp:extent cx="1803400" cy="219075"/>
              <wp:effectExtent l="0" t="0" r="635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4F8464" id="Rectangle 12" o:spid="_x0000_s1026" style="position:absolute;margin-left:-70.85pt;margin-top:23.65pt;width:142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" fillcolor="#004194" stroked="f" strokeweight="2pt">
              <v:path arrowok="t"/>
            </v:rect>
          </w:pict>
        </mc:Fallback>
      </mc:AlternateContent>
    </w:r>
  </w:p>
  <w:p>
    <w:pPr>
      <w:pStyle w:val="Heade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0.85pt;margin-top:3.45pt;width:595.0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simplePos x="0" y="0"/>
              <wp:positionH relativeFrom="column">
                <wp:posOffset>-899795</wp:posOffset>
              </wp:positionH>
              <wp:positionV relativeFrom="paragraph">
                <wp:posOffset>43815</wp:posOffset>
              </wp:positionV>
              <wp:extent cx="7557135" cy="419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41910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0.85pt;margin-top:3.45pt;width:595.05pt;height: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2018 Annual Report</w:t>
                    </w:r>
                  </w:p>
                </w:txbxContent>
              </v:textbox>
            </v:shape>
          </w:pict>
        </mc:Fallback>
      </mc:AlternateContent>
    </w: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8092"/>
        </w:tabs>
        <w:ind w:left="8092" w:hanging="360"/>
      </w:pPr>
    </w:lvl>
  </w:abstractNum>
  <w:abstractNum w:abstractNumId="1">
    <w:nsid w:val="FFFFFF82"/>
    <w:multiLevelType w:val="singleLevel"/>
    <w:tmpl w:val="7BD4032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005A33B5"/>
    <w:multiLevelType w:val="hybridMultilevel"/>
    <w:tmpl w:val="D47AD8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06E2A34"/>
    <w:multiLevelType w:val="hybridMultilevel"/>
    <w:tmpl w:val="AEA46382"/>
    <w:lvl w:ilvl="0" w:tplc="D93E9850">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E1770F"/>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5">
    <w:nsid w:val="02BA39C0"/>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2BA5506"/>
    <w:multiLevelType w:val="hybridMultilevel"/>
    <w:tmpl w:val="0DEECF90"/>
    <w:lvl w:ilvl="0" w:tplc="08090003">
      <w:start w:val="1"/>
      <w:numFmt w:val="bullet"/>
      <w:lvlText w:val="o"/>
      <w:lvlJc w:val="left"/>
      <w:pPr>
        <w:ind w:left="2792" w:hanging="360"/>
      </w:pPr>
      <w:rPr>
        <w:rFonts w:ascii="Courier New" w:hAnsi="Courier New" w:cs="Courier New" w:hint="default"/>
      </w:rPr>
    </w:lvl>
    <w:lvl w:ilvl="1" w:tplc="08090003">
      <w:start w:val="1"/>
      <w:numFmt w:val="bullet"/>
      <w:lvlText w:val="o"/>
      <w:lvlJc w:val="left"/>
      <w:pPr>
        <w:ind w:left="3512" w:hanging="360"/>
      </w:pPr>
      <w:rPr>
        <w:rFonts w:ascii="Courier New" w:hAnsi="Courier New" w:cs="Courier New" w:hint="default"/>
      </w:rPr>
    </w:lvl>
    <w:lvl w:ilvl="2" w:tplc="08090005" w:tentative="1">
      <w:start w:val="1"/>
      <w:numFmt w:val="bullet"/>
      <w:lvlText w:val=""/>
      <w:lvlJc w:val="left"/>
      <w:pPr>
        <w:ind w:left="4232" w:hanging="360"/>
      </w:pPr>
      <w:rPr>
        <w:rFonts w:ascii="Wingdings" w:hAnsi="Wingdings" w:hint="default"/>
      </w:rPr>
    </w:lvl>
    <w:lvl w:ilvl="3" w:tplc="08090001" w:tentative="1">
      <w:start w:val="1"/>
      <w:numFmt w:val="bullet"/>
      <w:lvlText w:val=""/>
      <w:lvlJc w:val="left"/>
      <w:pPr>
        <w:ind w:left="4952" w:hanging="360"/>
      </w:pPr>
      <w:rPr>
        <w:rFonts w:ascii="Symbol" w:hAnsi="Symbol" w:hint="default"/>
      </w:rPr>
    </w:lvl>
    <w:lvl w:ilvl="4" w:tplc="08090003" w:tentative="1">
      <w:start w:val="1"/>
      <w:numFmt w:val="bullet"/>
      <w:lvlText w:val="o"/>
      <w:lvlJc w:val="left"/>
      <w:pPr>
        <w:ind w:left="5672" w:hanging="360"/>
      </w:pPr>
      <w:rPr>
        <w:rFonts w:ascii="Courier New" w:hAnsi="Courier New" w:cs="Courier New" w:hint="default"/>
      </w:rPr>
    </w:lvl>
    <w:lvl w:ilvl="5" w:tplc="08090005" w:tentative="1">
      <w:start w:val="1"/>
      <w:numFmt w:val="bullet"/>
      <w:lvlText w:val=""/>
      <w:lvlJc w:val="left"/>
      <w:pPr>
        <w:ind w:left="6392" w:hanging="360"/>
      </w:pPr>
      <w:rPr>
        <w:rFonts w:ascii="Wingdings" w:hAnsi="Wingdings" w:hint="default"/>
      </w:rPr>
    </w:lvl>
    <w:lvl w:ilvl="6" w:tplc="08090001" w:tentative="1">
      <w:start w:val="1"/>
      <w:numFmt w:val="bullet"/>
      <w:lvlText w:val=""/>
      <w:lvlJc w:val="left"/>
      <w:pPr>
        <w:ind w:left="7112" w:hanging="360"/>
      </w:pPr>
      <w:rPr>
        <w:rFonts w:ascii="Symbol" w:hAnsi="Symbol" w:hint="default"/>
      </w:rPr>
    </w:lvl>
    <w:lvl w:ilvl="7" w:tplc="08090003" w:tentative="1">
      <w:start w:val="1"/>
      <w:numFmt w:val="bullet"/>
      <w:lvlText w:val="o"/>
      <w:lvlJc w:val="left"/>
      <w:pPr>
        <w:ind w:left="7832" w:hanging="360"/>
      </w:pPr>
      <w:rPr>
        <w:rFonts w:ascii="Courier New" w:hAnsi="Courier New" w:cs="Courier New" w:hint="default"/>
      </w:rPr>
    </w:lvl>
    <w:lvl w:ilvl="8" w:tplc="08090005" w:tentative="1">
      <w:start w:val="1"/>
      <w:numFmt w:val="bullet"/>
      <w:lvlText w:val=""/>
      <w:lvlJc w:val="left"/>
      <w:pPr>
        <w:ind w:left="8552" w:hanging="360"/>
      </w:pPr>
      <w:rPr>
        <w:rFonts w:ascii="Wingdings" w:hAnsi="Wingdings" w:hint="default"/>
      </w:rPr>
    </w:lvl>
  </w:abstractNum>
  <w:abstractNum w:abstractNumId="7">
    <w:nsid w:val="03080447"/>
    <w:multiLevelType w:val="hybridMultilevel"/>
    <w:tmpl w:val="4D7045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32A0FC0"/>
    <w:multiLevelType w:val="hybridMultilevel"/>
    <w:tmpl w:val="B24A6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3AE4A63"/>
    <w:multiLevelType w:val="hybridMultilevel"/>
    <w:tmpl w:val="4C8852B2"/>
    <w:lvl w:ilvl="0" w:tplc="08090001">
      <w:start w:val="1"/>
      <w:numFmt w:val="bullet"/>
      <w:lvlText w:val=""/>
      <w:lvlJc w:val="left"/>
      <w:pPr>
        <w:ind w:left="1779" w:hanging="360"/>
      </w:pPr>
      <w:rPr>
        <w:rFonts w:ascii="Symbol" w:hAnsi="Symbol" w:hint="default"/>
      </w:rPr>
    </w:lvl>
    <w:lvl w:ilvl="1" w:tplc="08090003">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0">
    <w:nsid w:val="065223B4"/>
    <w:multiLevelType w:val="hybridMultilevel"/>
    <w:tmpl w:val="F63C257C"/>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1">
    <w:nsid w:val="06604AEF"/>
    <w:multiLevelType w:val="hybridMultilevel"/>
    <w:tmpl w:val="AC2A4AA8"/>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6D838E6"/>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nsid w:val="073D70E7"/>
    <w:multiLevelType w:val="hybridMultilevel"/>
    <w:tmpl w:val="18582B24"/>
    <w:lvl w:ilvl="0" w:tplc="08090001">
      <w:start w:val="1"/>
      <w:numFmt w:val="bullet"/>
      <w:lvlText w:val=""/>
      <w:lvlJc w:val="left"/>
      <w:pPr>
        <w:ind w:left="2417" w:hanging="360"/>
      </w:pPr>
      <w:rPr>
        <w:rFonts w:ascii="Symbol" w:hAnsi="Symbol" w:hint="default"/>
      </w:rPr>
    </w:lvl>
    <w:lvl w:ilvl="1" w:tplc="08090003" w:tentative="1">
      <w:start w:val="1"/>
      <w:numFmt w:val="bullet"/>
      <w:lvlText w:val="o"/>
      <w:lvlJc w:val="left"/>
      <w:pPr>
        <w:ind w:left="3137" w:hanging="360"/>
      </w:pPr>
      <w:rPr>
        <w:rFonts w:ascii="Courier New" w:hAnsi="Courier New" w:cs="Courier New" w:hint="default"/>
      </w:rPr>
    </w:lvl>
    <w:lvl w:ilvl="2" w:tplc="08090005" w:tentative="1">
      <w:start w:val="1"/>
      <w:numFmt w:val="bullet"/>
      <w:lvlText w:val=""/>
      <w:lvlJc w:val="left"/>
      <w:pPr>
        <w:ind w:left="3857" w:hanging="360"/>
      </w:pPr>
      <w:rPr>
        <w:rFonts w:ascii="Wingdings" w:hAnsi="Wingdings" w:hint="default"/>
      </w:rPr>
    </w:lvl>
    <w:lvl w:ilvl="3" w:tplc="08090001" w:tentative="1">
      <w:start w:val="1"/>
      <w:numFmt w:val="bullet"/>
      <w:lvlText w:val=""/>
      <w:lvlJc w:val="left"/>
      <w:pPr>
        <w:ind w:left="4577" w:hanging="360"/>
      </w:pPr>
      <w:rPr>
        <w:rFonts w:ascii="Symbol" w:hAnsi="Symbol" w:hint="default"/>
      </w:rPr>
    </w:lvl>
    <w:lvl w:ilvl="4" w:tplc="08090003" w:tentative="1">
      <w:start w:val="1"/>
      <w:numFmt w:val="bullet"/>
      <w:lvlText w:val="o"/>
      <w:lvlJc w:val="left"/>
      <w:pPr>
        <w:ind w:left="5297" w:hanging="360"/>
      </w:pPr>
      <w:rPr>
        <w:rFonts w:ascii="Courier New" w:hAnsi="Courier New" w:cs="Courier New" w:hint="default"/>
      </w:rPr>
    </w:lvl>
    <w:lvl w:ilvl="5" w:tplc="08090005" w:tentative="1">
      <w:start w:val="1"/>
      <w:numFmt w:val="bullet"/>
      <w:lvlText w:val=""/>
      <w:lvlJc w:val="left"/>
      <w:pPr>
        <w:ind w:left="6017" w:hanging="360"/>
      </w:pPr>
      <w:rPr>
        <w:rFonts w:ascii="Wingdings" w:hAnsi="Wingdings" w:hint="default"/>
      </w:rPr>
    </w:lvl>
    <w:lvl w:ilvl="6" w:tplc="08090001" w:tentative="1">
      <w:start w:val="1"/>
      <w:numFmt w:val="bullet"/>
      <w:lvlText w:val=""/>
      <w:lvlJc w:val="left"/>
      <w:pPr>
        <w:ind w:left="6737" w:hanging="360"/>
      </w:pPr>
      <w:rPr>
        <w:rFonts w:ascii="Symbol" w:hAnsi="Symbol" w:hint="default"/>
      </w:rPr>
    </w:lvl>
    <w:lvl w:ilvl="7" w:tplc="08090003" w:tentative="1">
      <w:start w:val="1"/>
      <w:numFmt w:val="bullet"/>
      <w:lvlText w:val="o"/>
      <w:lvlJc w:val="left"/>
      <w:pPr>
        <w:ind w:left="7457" w:hanging="360"/>
      </w:pPr>
      <w:rPr>
        <w:rFonts w:ascii="Courier New" w:hAnsi="Courier New" w:cs="Courier New" w:hint="default"/>
      </w:rPr>
    </w:lvl>
    <w:lvl w:ilvl="8" w:tplc="08090005" w:tentative="1">
      <w:start w:val="1"/>
      <w:numFmt w:val="bullet"/>
      <w:lvlText w:val=""/>
      <w:lvlJc w:val="left"/>
      <w:pPr>
        <w:ind w:left="8177" w:hanging="360"/>
      </w:pPr>
      <w:rPr>
        <w:rFonts w:ascii="Wingdings" w:hAnsi="Wingdings" w:hint="default"/>
      </w:rPr>
    </w:lvl>
  </w:abstractNum>
  <w:abstractNum w:abstractNumId="14">
    <w:nsid w:val="08281322"/>
    <w:multiLevelType w:val="hybridMultilevel"/>
    <w:tmpl w:val="44A82CF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5">
    <w:nsid w:val="093447B8"/>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6">
    <w:nsid w:val="09430762"/>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7">
    <w:nsid w:val="0A993053"/>
    <w:multiLevelType w:val="hybridMultilevel"/>
    <w:tmpl w:val="31AE26E0"/>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nsid w:val="0B532109"/>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C456AC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D3307CF"/>
    <w:multiLevelType w:val="hybridMultilevel"/>
    <w:tmpl w:val="BBE6E96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0DEB2BE7"/>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13126AB"/>
    <w:multiLevelType w:val="hybridMultilevel"/>
    <w:tmpl w:val="666A8556"/>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3">
    <w:nsid w:val="137A7003"/>
    <w:multiLevelType w:val="hybridMultilevel"/>
    <w:tmpl w:val="E5406C7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nsid w:val="144B31C0"/>
    <w:multiLevelType w:val="hybridMultilevel"/>
    <w:tmpl w:val="31AE26E0"/>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nsid w:val="155062AD"/>
    <w:multiLevelType w:val="hybridMultilevel"/>
    <w:tmpl w:val="9810482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nsid w:val="158D7BEA"/>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27">
    <w:nsid w:val="17763D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8982D5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9AD4072"/>
    <w:multiLevelType w:val="hybridMultilevel"/>
    <w:tmpl w:val="4C84B82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nsid w:val="1F4E3B34"/>
    <w:multiLevelType w:val="hybridMultilevel"/>
    <w:tmpl w:val="51D6064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F681C9E"/>
    <w:multiLevelType w:val="hybridMultilevel"/>
    <w:tmpl w:val="D254631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2">
    <w:nsid w:val="20F458CD"/>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33">
    <w:nsid w:val="210B48A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3A819F4"/>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3B46CD0"/>
    <w:multiLevelType w:val="hybridMultilevel"/>
    <w:tmpl w:val="59EC4AFE"/>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3215" w:hanging="360"/>
      </w:pPr>
      <w:rPr>
        <w:rFonts w:ascii="Courier New" w:hAnsi="Courier New" w:cs="Courier New" w:hint="default"/>
      </w:rPr>
    </w:lvl>
    <w:lvl w:ilvl="2" w:tplc="08090005" w:tentative="1">
      <w:start w:val="1"/>
      <w:numFmt w:val="bullet"/>
      <w:lvlText w:val=""/>
      <w:lvlJc w:val="left"/>
      <w:pPr>
        <w:ind w:left="3935" w:hanging="360"/>
      </w:pPr>
      <w:rPr>
        <w:rFonts w:ascii="Wingdings" w:hAnsi="Wingdings" w:hint="default"/>
      </w:rPr>
    </w:lvl>
    <w:lvl w:ilvl="3" w:tplc="08090001" w:tentative="1">
      <w:start w:val="1"/>
      <w:numFmt w:val="bullet"/>
      <w:lvlText w:val=""/>
      <w:lvlJc w:val="left"/>
      <w:pPr>
        <w:ind w:left="4655" w:hanging="360"/>
      </w:pPr>
      <w:rPr>
        <w:rFonts w:ascii="Symbol" w:hAnsi="Symbol" w:hint="default"/>
      </w:rPr>
    </w:lvl>
    <w:lvl w:ilvl="4" w:tplc="08090003" w:tentative="1">
      <w:start w:val="1"/>
      <w:numFmt w:val="bullet"/>
      <w:lvlText w:val="o"/>
      <w:lvlJc w:val="left"/>
      <w:pPr>
        <w:ind w:left="5375" w:hanging="360"/>
      </w:pPr>
      <w:rPr>
        <w:rFonts w:ascii="Courier New" w:hAnsi="Courier New" w:cs="Courier New" w:hint="default"/>
      </w:rPr>
    </w:lvl>
    <w:lvl w:ilvl="5" w:tplc="08090005" w:tentative="1">
      <w:start w:val="1"/>
      <w:numFmt w:val="bullet"/>
      <w:lvlText w:val=""/>
      <w:lvlJc w:val="left"/>
      <w:pPr>
        <w:ind w:left="6095" w:hanging="360"/>
      </w:pPr>
      <w:rPr>
        <w:rFonts w:ascii="Wingdings" w:hAnsi="Wingdings" w:hint="default"/>
      </w:rPr>
    </w:lvl>
    <w:lvl w:ilvl="6" w:tplc="08090001" w:tentative="1">
      <w:start w:val="1"/>
      <w:numFmt w:val="bullet"/>
      <w:lvlText w:val=""/>
      <w:lvlJc w:val="left"/>
      <w:pPr>
        <w:ind w:left="6815" w:hanging="360"/>
      </w:pPr>
      <w:rPr>
        <w:rFonts w:ascii="Symbol" w:hAnsi="Symbol" w:hint="default"/>
      </w:rPr>
    </w:lvl>
    <w:lvl w:ilvl="7" w:tplc="08090003" w:tentative="1">
      <w:start w:val="1"/>
      <w:numFmt w:val="bullet"/>
      <w:lvlText w:val="o"/>
      <w:lvlJc w:val="left"/>
      <w:pPr>
        <w:ind w:left="7535" w:hanging="360"/>
      </w:pPr>
      <w:rPr>
        <w:rFonts w:ascii="Courier New" w:hAnsi="Courier New" w:cs="Courier New" w:hint="default"/>
      </w:rPr>
    </w:lvl>
    <w:lvl w:ilvl="8" w:tplc="08090005" w:tentative="1">
      <w:start w:val="1"/>
      <w:numFmt w:val="bullet"/>
      <w:lvlText w:val=""/>
      <w:lvlJc w:val="left"/>
      <w:pPr>
        <w:ind w:left="8255" w:hanging="360"/>
      </w:pPr>
      <w:rPr>
        <w:rFonts w:ascii="Wingdings" w:hAnsi="Wingdings" w:hint="default"/>
      </w:rPr>
    </w:lvl>
  </w:abstractNum>
  <w:abstractNum w:abstractNumId="36">
    <w:nsid w:val="240E5BB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nsid w:val="26096900"/>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38">
    <w:nsid w:val="26540EC6"/>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72F7CA1"/>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nsid w:val="28312958"/>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nsid w:val="28557096"/>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2">
    <w:nsid w:val="290730B6"/>
    <w:multiLevelType w:val="hybridMultilevel"/>
    <w:tmpl w:val="FE48B538"/>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9B84273"/>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9CA65B3"/>
    <w:multiLevelType w:val="hybridMultilevel"/>
    <w:tmpl w:val="88689B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29FB398F"/>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46">
    <w:nsid w:val="2A2A3EB8"/>
    <w:multiLevelType w:val="hybridMultilevel"/>
    <w:tmpl w:val="A684AC6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7">
    <w:nsid w:val="2A38660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A7B59F7"/>
    <w:multiLevelType w:val="hybridMultilevel"/>
    <w:tmpl w:val="2884BDB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9">
    <w:nsid w:val="2AC21540"/>
    <w:multiLevelType w:val="hybridMultilevel"/>
    <w:tmpl w:val="E648FC1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0">
    <w:nsid w:val="2B1B58FB"/>
    <w:multiLevelType w:val="hybridMultilevel"/>
    <w:tmpl w:val="137CFFD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52">
    <w:nsid w:val="2C015A8C"/>
    <w:multiLevelType w:val="hybridMultilevel"/>
    <w:tmpl w:val="9CDE8F14"/>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3">
    <w:nsid w:val="2CD34EFA"/>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4">
    <w:nsid w:val="2E4F3C19"/>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E82650E"/>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05F5D84"/>
    <w:multiLevelType w:val="hybridMultilevel"/>
    <w:tmpl w:val="7DD0F3E4"/>
    <w:lvl w:ilvl="0" w:tplc="367A2F8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36BD41B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85E372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8D15DE9"/>
    <w:multiLevelType w:val="hybridMultilevel"/>
    <w:tmpl w:val="3E2ED4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0">
    <w:nsid w:val="3957096E"/>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9A07E05"/>
    <w:multiLevelType w:val="hybridMultilevel"/>
    <w:tmpl w:val="74B0FBA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2">
    <w:nsid w:val="39AE0B54"/>
    <w:multiLevelType w:val="hybridMultilevel"/>
    <w:tmpl w:val="A0CA07C0"/>
    <w:lvl w:ilvl="0" w:tplc="458EBEEA">
      <w:start w:val="3"/>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nsid w:val="39DF70F8"/>
    <w:multiLevelType w:val="hybridMultilevel"/>
    <w:tmpl w:val="26F27AE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4">
    <w:nsid w:val="3BBF53B7"/>
    <w:multiLevelType w:val="hybridMultilevel"/>
    <w:tmpl w:val="C694A0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nsid w:val="3BF7202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7">
    <w:nsid w:val="3D16419B"/>
    <w:multiLevelType w:val="hybridMultilevel"/>
    <w:tmpl w:val="9A8C8052"/>
    <w:lvl w:ilvl="0" w:tplc="08090001">
      <w:start w:val="1"/>
      <w:numFmt w:val="bullet"/>
      <w:lvlText w:val=""/>
      <w:lvlJc w:val="left"/>
      <w:pPr>
        <w:ind w:left="1199" w:hanging="360"/>
      </w:pPr>
      <w:rPr>
        <w:rFonts w:ascii="Symbol" w:hAnsi="Symbol" w:hint="default"/>
      </w:rPr>
    </w:lvl>
    <w:lvl w:ilvl="1" w:tplc="08090003">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68">
    <w:nsid w:val="3E9A66AD"/>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EF049AD"/>
    <w:multiLevelType w:val="hybridMultilevel"/>
    <w:tmpl w:val="1766036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3F9736CD"/>
    <w:multiLevelType w:val="hybridMultilevel"/>
    <w:tmpl w:val="F73699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1">
    <w:nsid w:val="409C603A"/>
    <w:multiLevelType w:val="hybridMultilevel"/>
    <w:tmpl w:val="986C0F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2">
    <w:nsid w:val="40F10D8A"/>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24C0CB4"/>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39911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40669CE"/>
    <w:multiLevelType w:val="hybridMultilevel"/>
    <w:tmpl w:val="B8703180"/>
    <w:lvl w:ilvl="0" w:tplc="18090001">
      <w:start w:val="1"/>
      <w:numFmt w:val="bullet"/>
      <w:lvlText w:val=""/>
      <w:lvlJc w:val="left"/>
      <w:pPr>
        <w:ind w:left="1931" w:hanging="360"/>
      </w:pPr>
      <w:rPr>
        <w:rFonts w:ascii="Symbol" w:hAnsi="Symbol" w:hint="default"/>
      </w:rPr>
    </w:lvl>
    <w:lvl w:ilvl="1" w:tplc="18090003" w:tentative="1">
      <w:start w:val="1"/>
      <w:numFmt w:val="bullet"/>
      <w:lvlText w:val="o"/>
      <w:lvlJc w:val="left"/>
      <w:pPr>
        <w:ind w:left="2651" w:hanging="360"/>
      </w:pPr>
      <w:rPr>
        <w:rFonts w:ascii="Courier New" w:hAnsi="Courier New" w:cs="Courier New" w:hint="default"/>
      </w:rPr>
    </w:lvl>
    <w:lvl w:ilvl="2" w:tplc="18090005" w:tentative="1">
      <w:start w:val="1"/>
      <w:numFmt w:val="bullet"/>
      <w:lvlText w:val=""/>
      <w:lvlJc w:val="left"/>
      <w:pPr>
        <w:ind w:left="3371" w:hanging="360"/>
      </w:pPr>
      <w:rPr>
        <w:rFonts w:ascii="Wingdings" w:hAnsi="Wingdings" w:hint="default"/>
      </w:rPr>
    </w:lvl>
    <w:lvl w:ilvl="3" w:tplc="18090001" w:tentative="1">
      <w:start w:val="1"/>
      <w:numFmt w:val="bullet"/>
      <w:lvlText w:val=""/>
      <w:lvlJc w:val="left"/>
      <w:pPr>
        <w:ind w:left="4091" w:hanging="360"/>
      </w:pPr>
      <w:rPr>
        <w:rFonts w:ascii="Symbol" w:hAnsi="Symbol" w:hint="default"/>
      </w:rPr>
    </w:lvl>
    <w:lvl w:ilvl="4" w:tplc="18090003" w:tentative="1">
      <w:start w:val="1"/>
      <w:numFmt w:val="bullet"/>
      <w:lvlText w:val="o"/>
      <w:lvlJc w:val="left"/>
      <w:pPr>
        <w:ind w:left="4811" w:hanging="360"/>
      </w:pPr>
      <w:rPr>
        <w:rFonts w:ascii="Courier New" w:hAnsi="Courier New" w:cs="Courier New" w:hint="default"/>
      </w:rPr>
    </w:lvl>
    <w:lvl w:ilvl="5" w:tplc="18090005" w:tentative="1">
      <w:start w:val="1"/>
      <w:numFmt w:val="bullet"/>
      <w:lvlText w:val=""/>
      <w:lvlJc w:val="left"/>
      <w:pPr>
        <w:ind w:left="5531" w:hanging="360"/>
      </w:pPr>
      <w:rPr>
        <w:rFonts w:ascii="Wingdings" w:hAnsi="Wingdings" w:hint="default"/>
      </w:rPr>
    </w:lvl>
    <w:lvl w:ilvl="6" w:tplc="18090001" w:tentative="1">
      <w:start w:val="1"/>
      <w:numFmt w:val="bullet"/>
      <w:lvlText w:val=""/>
      <w:lvlJc w:val="left"/>
      <w:pPr>
        <w:ind w:left="6251" w:hanging="360"/>
      </w:pPr>
      <w:rPr>
        <w:rFonts w:ascii="Symbol" w:hAnsi="Symbol" w:hint="default"/>
      </w:rPr>
    </w:lvl>
    <w:lvl w:ilvl="7" w:tplc="18090003" w:tentative="1">
      <w:start w:val="1"/>
      <w:numFmt w:val="bullet"/>
      <w:lvlText w:val="o"/>
      <w:lvlJc w:val="left"/>
      <w:pPr>
        <w:ind w:left="6971" w:hanging="360"/>
      </w:pPr>
      <w:rPr>
        <w:rFonts w:ascii="Courier New" w:hAnsi="Courier New" w:cs="Courier New" w:hint="default"/>
      </w:rPr>
    </w:lvl>
    <w:lvl w:ilvl="8" w:tplc="18090005" w:tentative="1">
      <w:start w:val="1"/>
      <w:numFmt w:val="bullet"/>
      <w:lvlText w:val=""/>
      <w:lvlJc w:val="left"/>
      <w:pPr>
        <w:ind w:left="7691" w:hanging="360"/>
      </w:pPr>
      <w:rPr>
        <w:rFonts w:ascii="Wingdings" w:hAnsi="Wingdings" w:hint="default"/>
      </w:rPr>
    </w:lvl>
  </w:abstractNum>
  <w:abstractNum w:abstractNumId="76">
    <w:nsid w:val="44DB4A89"/>
    <w:multiLevelType w:val="hybridMultilevel"/>
    <w:tmpl w:val="1766036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7467D47"/>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8745C51"/>
    <w:multiLevelType w:val="hybridMultilevel"/>
    <w:tmpl w:val="8C9CA1F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9">
    <w:nsid w:val="48B10185"/>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0">
    <w:nsid w:val="498B2780"/>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81">
    <w:nsid w:val="4B1350E8"/>
    <w:multiLevelType w:val="hybridMultilevel"/>
    <w:tmpl w:val="9CDE8F14"/>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2">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D725545"/>
    <w:multiLevelType w:val="hybridMultilevel"/>
    <w:tmpl w:val="E78445B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4">
    <w:nsid w:val="4E2D58A8"/>
    <w:multiLevelType w:val="multilevel"/>
    <w:tmpl w:val="FC2E05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50C4262A"/>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6">
    <w:nsid w:val="516A0BB8"/>
    <w:multiLevelType w:val="hybridMultilevel"/>
    <w:tmpl w:val="DBC8430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7">
    <w:nsid w:val="518B1594"/>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88">
    <w:nsid w:val="51FC7203"/>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89">
    <w:nsid w:val="52152660"/>
    <w:multiLevelType w:val="hybridMultilevel"/>
    <w:tmpl w:val="DB8888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0">
    <w:nsid w:val="53647925"/>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544B7EC2"/>
    <w:multiLevelType w:val="hybridMultilevel"/>
    <w:tmpl w:val="543E4BA8"/>
    <w:lvl w:ilvl="0" w:tplc="08090001">
      <w:start w:val="1"/>
      <w:numFmt w:val="bullet"/>
      <w:lvlText w:val=""/>
      <w:lvlJc w:val="left"/>
      <w:pPr>
        <w:ind w:left="2137" w:hanging="360"/>
      </w:pPr>
      <w:rPr>
        <w:rFonts w:ascii="Symbol" w:hAnsi="Symbol" w:hint="default"/>
      </w:rPr>
    </w:lvl>
    <w:lvl w:ilvl="1" w:tplc="08090003">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92">
    <w:nsid w:val="55B7273C"/>
    <w:multiLevelType w:val="hybridMultilevel"/>
    <w:tmpl w:val="D5A23FE4"/>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5F3012A"/>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4">
    <w:nsid w:val="592939C7"/>
    <w:multiLevelType w:val="hybridMultilevel"/>
    <w:tmpl w:val="8D905C3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5">
    <w:nsid w:val="5A5C4D36"/>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96">
    <w:nsid w:val="5A8E3273"/>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CCF4AA7"/>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5E6470CC"/>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99">
    <w:nsid w:val="5EA36AE3"/>
    <w:multiLevelType w:val="hybridMultilevel"/>
    <w:tmpl w:val="3F062C18"/>
    <w:lvl w:ilvl="0" w:tplc="434AE5A0">
      <w:start w:val="1"/>
      <w:numFmt w:val="bullet"/>
      <w:lvlText w:val=""/>
      <w:lvlJc w:val="left"/>
      <w:pPr>
        <w:ind w:left="1070" w:hanging="360"/>
      </w:pPr>
      <w:rPr>
        <w:rFonts w:ascii="Symbol" w:hAnsi="Symbol" w:hint="default"/>
        <w:sz w:val="20"/>
        <w:szCs w:val="20"/>
      </w:rPr>
    </w:lvl>
    <w:lvl w:ilvl="1" w:tplc="08090001">
      <w:start w:val="1"/>
      <w:numFmt w:val="bullet"/>
      <w:lvlText w:val=""/>
      <w:lvlJc w:val="left"/>
      <w:pPr>
        <w:ind w:left="1800" w:hanging="360"/>
      </w:pPr>
      <w:rPr>
        <w:rFonts w:ascii="Symbol" w:hAnsi="Symbol" w:hint="default"/>
      </w:rPr>
    </w:lvl>
    <w:lvl w:ilvl="2" w:tplc="F38E26EC">
      <w:start w:val="1"/>
      <w:numFmt w:val="bullet"/>
      <w:lvlText w:val="o"/>
      <w:lvlJc w:val="left"/>
      <w:pPr>
        <w:ind w:left="3337" w:hanging="360"/>
      </w:pPr>
      <w:rPr>
        <w:rFonts w:ascii="Courier New" w:hAnsi="Courier New" w:cs="Courier New" w:hint="default"/>
        <w:sz w:val="18"/>
        <w:szCs w:val="18"/>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0">
    <w:nsid w:val="5F3253F2"/>
    <w:multiLevelType w:val="hybridMultilevel"/>
    <w:tmpl w:val="ACF607B4"/>
    <w:lvl w:ilvl="0" w:tplc="5054180C">
      <w:start w:val="1"/>
      <w:numFmt w:val="upperRoman"/>
      <w:lvlText w:val="%1."/>
      <w:lvlJc w:val="right"/>
      <w:pPr>
        <w:ind w:left="360" w:hanging="360"/>
      </w:pPr>
    </w:lvl>
    <w:lvl w:ilvl="1" w:tplc="08130019">
      <w:start w:val="1"/>
      <w:numFmt w:val="lowerLetter"/>
      <w:lvlText w:val="%2."/>
      <w:lvlJc w:val="left"/>
      <w:pPr>
        <w:ind w:left="1080" w:hanging="360"/>
      </w:pPr>
    </w:lvl>
    <w:lvl w:ilvl="2" w:tplc="3DC86BAE">
      <w:start w:val="1"/>
      <w:numFmt w:val="decimal"/>
      <w:lvlText w:val="%3."/>
      <w:lvlJc w:val="left"/>
      <w:pPr>
        <w:ind w:left="1980" w:hanging="360"/>
      </w:pPr>
      <w:rPr>
        <w:rFonts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1">
    <w:nsid w:val="60126A48"/>
    <w:multiLevelType w:val="hybridMultilevel"/>
    <w:tmpl w:val="2B32873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2">
    <w:nsid w:val="61123460"/>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63DB09E5"/>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9C60D4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9C74045"/>
    <w:multiLevelType w:val="hybridMultilevel"/>
    <w:tmpl w:val="66E2427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6">
    <w:nsid w:val="6A773522"/>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ACD0708"/>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AFB60A6"/>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DCD1832"/>
    <w:multiLevelType w:val="hybridMultilevel"/>
    <w:tmpl w:val="3FB0B75C"/>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E631B27"/>
    <w:multiLevelType w:val="hybridMultilevel"/>
    <w:tmpl w:val="ADECCAE8"/>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E9064CA"/>
    <w:multiLevelType w:val="hybridMultilevel"/>
    <w:tmpl w:val="50AE921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2">
    <w:nsid w:val="6F8767E3"/>
    <w:multiLevelType w:val="hybridMultilevel"/>
    <w:tmpl w:val="5D0A9D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3">
    <w:nsid w:val="6FBB3A0C"/>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4">
    <w:nsid w:val="70680FA0"/>
    <w:multiLevelType w:val="hybridMultilevel"/>
    <w:tmpl w:val="D0FA9C8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3">
      <w:start w:val="1"/>
      <w:numFmt w:val="bullet"/>
      <w:lvlText w:val="o"/>
      <w:lvlJc w:val="left"/>
      <w:pPr>
        <w:ind w:left="2520" w:hanging="360"/>
      </w:pPr>
      <w:rPr>
        <w:rFonts w:ascii="Courier New" w:hAnsi="Courier New" w:cs="Courier New"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nsid w:val="7243554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75FE575F"/>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76710CEB"/>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18">
    <w:nsid w:val="7750790E"/>
    <w:multiLevelType w:val="hybridMultilevel"/>
    <w:tmpl w:val="025C056A"/>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84667D2"/>
    <w:multiLevelType w:val="hybridMultilevel"/>
    <w:tmpl w:val="DBE2E676"/>
    <w:lvl w:ilvl="0" w:tplc="01FEBFD2">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A2D753A"/>
    <w:multiLevelType w:val="hybridMultilevel"/>
    <w:tmpl w:val="1B341940"/>
    <w:lvl w:ilvl="0" w:tplc="E362A898">
      <w:start w:val="1"/>
      <w:numFmt w:val="decimal"/>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A667315"/>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22">
    <w:nsid w:val="7A961517"/>
    <w:multiLevelType w:val="hybridMultilevel"/>
    <w:tmpl w:val="3EF0F97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3">
    <w:nsid w:val="7AAE2984"/>
    <w:multiLevelType w:val="hybridMultilevel"/>
    <w:tmpl w:val="10D4D6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4">
    <w:nsid w:val="7AFB3FD1"/>
    <w:multiLevelType w:val="hybridMultilevel"/>
    <w:tmpl w:val="F7D448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5">
    <w:nsid w:val="7B8910C7"/>
    <w:multiLevelType w:val="hybridMultilevel"/>
    <w:tmpl w:val="8C04E3AA"/>
    <w:lvl w:ilvl="0" w:tplc="08090001">
      <w:start w:val="1"/>
      <w:numFmt w:val="bullet"/>
      <w:lvlText w:val=""/>
      <w:lvlJc w:val="left"/>
      <w:pPr>
        <w:ind w:left="1440" w:hanging="360"/>
      </w:pPr>
      <w:rPr>
        <w:rFonts w:ascii="Symbol" w:hAnsi="Symbol" w:hint="default"/>
      </w:rPr>
    </w:lvl>
    <w:lvl w:ilvl="1" w:tplc="18090001">
      <w:start w:val="1"/>
      <w:numFmt w:val="bullet"/>
      <w:lvlText w:val=""/>
      <w:lvlJc w:val="left"/>
      <w:pPr>
        <w:ind w:left="2160" w:hanging="360"/>
      </w:pPr>
      <w:rPr>
        <w:rFonts w:ascii="Symbol" w:hAnsi="Symbol" w:hint="default"/>
      </w:rPr>
    </w:lvl>
    <w:lvl w:ilvl="2" w:tplc="08090003">
      <w:start w:val="1"/>
      <w:numFmt w:val="bullet"/>
      <w:lvlText w:val="o"/>
      <w:lvlJc w:val="left"/>
      <w:pPr>
        <w:ind w:left="2880" w:hanging="360"/>
      </w:pPr>
      <w:rPr>
        <w:rFonts w:ascii="Courier New" w:hAnsi="Courier New" w:cs="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nsid w:val="7BBE030E"/>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abstractNum w:abstractNumId="127">
    <w:nsid w:val="7C5E7B69"/>
    <w:multiLevelType w:val="hybridMultilevel"/>
    <w:tmpl w:val="F4364984"/>
    <w:lvl w:ilvl="0" w:tplc="08090001">
      <w:start w:val="1"/>
      <w:numFmt w:val="bullet"/>
      <w:lvlText w:val=""/>
      <w:lvlJc w:val="left"/>
      <w:pPr>
        <w:ind w:left="1860" w:hanging="360"/>
      </w:pPr>
      <w:rPr>
        <w:rFonts w:ascii="Symbol" w:hAnsi="Symbol" w:hint="default"/>
      </w:rPr>
    </w:lvl>
    <w:lvl w:ilvl="1" w:tplc="08090003">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28">
    <w:nsid w:val="7E8462AF"/>
    <w:multiLevelType w:val="hybridMultilevel"/>
    <w:tmpl w:val="3BD6FD32"/>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nsid w:val="7EB82D18"/>
    <w:multiLevelType w:val="hybridMultilevel"/>
    <w:tmpl w:val="C13A411A"/>
    <w:lvl w:ilvl="0" w:tplc="666CA6D0">
      <w:start w:val="1"/>
      <w:numFmt w:val="lowerLetter"/>
      <w:lvlText w:val="%1)"/>
      <w:lvlJc w:val="left"/>
      <w:pPr>
        <w:ind w:left="1697" w:hanging="705"/>
      </w:pPr>
      <w:rPr>
        <w:rFonts w:ascii="Arial" w:hAnsi="Arial" w:cs="Arial" w:hint="default"/>
      </w:rPr>
    </w:lvl>
    <w:lvl w:ilvl="1" w:tplc="08130019">
      <w:start w:val="1"/>
      <w:numFmt w:val="lowerLetter"/>
      <w:lvlText w:val="%2."/>
      <w:lvlJc w:val="left"/>
      <w:pPr>
        <w:ind w:left="2072" w:hanging="360"/>
      </w:pPr>
    </w:lvl>
    <w:lvl w:ilvl="2" w:tplc="0813001B" w:tentative="1">
      <w:start w:val="1"/>
      <w:numFmt w:val="lowerRoman"/>
      <w:lvlText w:val="%3."/>
      <w:lvlJc w:val="right"/>
      <w:pPr>
        <w:ind w:left="2792" w:hanging="180"/>
      </w:pPr>
    </w:lvl>
    <w:lvl w:ilvl="3" w:tplc="0813000F" w:tentative="1">
      <w:start w:val="1"/>
      <w:numFmt w:val="decimal"/>
      <w:lvlText w:val="%4."/>
      <w:lvlJc w:val="left"/>
      <w:pPr>
        <w:ind w:left="3512" w:hanging="360"/>
      </w:pPr>
    </w:lvl>
    <w:lvl w:ilvl="4" w:tplc="08130019" w:tentative="1">
      <w:start w:val="1"/>
      <w:numFmt w:val="lowerLetter"/>
      <w:lvlText w:val="%5."/>
      <w:lvlJc w:val="left"/>
      <w:pPr>
        <w:ind w:left="4232" w:hanging="360"/>
      </w:pPr>
    </w:lvl>
    <w:lvl w:ilvl="5" w:tplc="0813001B" w:tentative="1">
      <w:start w:val="1"/>
      <w:numFmt w:val="lowerRoman"/>
      <w:lvlText w:val="%6."/>
      <w:lvlJc w:val="right"/>
      <w:pPr>
        <w:ind w:left="4952" w:hanging="180"/>
      </w:pPr>
    </w:lvl>
    <w:lvl w:ilvl="6" w:tplc="0813000F" w:tentative="1">
      <w:start w:val="1"/>
      <w:numFmt w:val="decimal"/>
      <w:lvlText w:val="%7."/>
      <w:lvlJc w:val="left"/>
      <w:pPr>
        <w:ind w:left="5672" w:hanging="360"/>
      </w:pPr>
    </w:lvl>
    <w:lvl w:ilvl="7" w:tplc="08130019" w:tentative="1">
      <w:start w:val="1"/>
      <w:numFmt w:val="lowerLetter"/>
      <w:lvlText w:val="%8."/>
      <w:lvlJc w:val="left"/>
      <w:pPr>
        <w:ind w:left="6392" w:hanging="360"/>
      </w:pPr>
    </w:lvl>
    <w:lvl w:ilvl="8" w:tplc="0813001B" w:tentative="1">
      <w:start w:val="1"/>
      <w:numFmt w:val="lowerRoman"/>
      <w:lvlText w:val="%9."/>
      <w:lvlJc w:val="right"/>
      <w:pPr>
        <w:ind w:left="7112" w:hanging="180"/>
      </w:pPr>
    </w:lvl>
  </w:abstractNum>
  <w:num w:numId="1">
    <w:abstractNumId w:val="100"/>
  </w:num>
  <w:num w:numId="2">
    <w:abstractNumId w:val="99"/>
  </w:num>
  <w:num w:numId="3">
    <w:abstractNumId w:val="100"/>
    <w:lvlOverride w:ilvl="0">
      <w:startOverride w:val="1"/>
    </w:lvlOverride>
  </w:num>
  <w:num w:numId="4">
    <w:abstractNumId w:val="100"/>
    <w:lvlOverride w:ilvl="0">
      <w:startOverride w:val="1"/>
    </w:lvlOverride>
  </w:num>
  <w:num w:numId="5">
    <w:abstractNumId w:val="100"/>
    <w:lvlOverride w:ilvl="0">
      <w:startOverride w:val="1"/>
    </w:lvlOverride>
  </w:num>
  <w:num w:numId="6">
    <w:abstractNumId w:val="100"/>
    <w:lvlOverride w:ilvl="0">
      <w:startOverride w:val="1"/>
    </w:lvlOverride>
  </w:num>
  <w:num w:numId="7">
    <w:abstractNumId w:val="66"/>
  </w:num>
  <w:num w:numId="8">
    <w:abstractNumId w:val="100"/>
    <w:lvlOverride w:ilvl="0">
      <w:startOverride w:val="1"/>
    </w:lvlOverride>
  </w:num>
  <w:num w:numId="9">
    <w:abstractNumId w:val="100"/>
    <w:lvlOverride w:ilvl="0">
      <w:startOverride w:val="1"/>
    </w:lvlOverride>
  </w:num>
  <w:num w:numId="10">
    <w:abstractNumId w:val="100"/>
    <w:lvlOverride w:ilvl="0">
      <w:startOverride w:val="1"/>
    </w:lvlOverride>
  </w:num>
  <w:num w:numId="11">
    <w:abstractNumId w:val="100"/>
    <w:lvlOverride w:ilvl="0">
      <w:startOverride w:val="1"/>
    </w:lvlOverride>
  </w:num>
  <w:num w:numId="12">
    <w:abstractNumId w:val="100"/>
    <w:lvlOverride w:ilvl="0">
      <w:startOverride w:val="1"/>
    </w:lvlOverride>
  </w:num>
  <w:num w:numId="13">
    <w:abstractNumId w:val="26"/>
  </w:num>
  <w:num w:numId="14">
    <w:abstractNumId w:val="9"/>
  </w:num>
  <w:num w:numId="15">
    <w:abstractNumId w:val="20"/>
  </w:num>
  <w:num w:numId="16">
    <w:abstractNumId w:val="55"/>
    <w:lvlOverride w:ilvl="0">
      <w:startOverride w:val="1"/>
    </w:lvlOverride>
  </w:num>
  <w:num w:numId="17">
    <w:abstractNumId w:val="55"/>
    <w:lvlOverride w:ilvl="0">
      <w:startOverride w:val="1"/>
    </w:lvlOverride>
  </w:num>
  <w:num w:numId="18">
    <w:abstractNumId w:val="55"/>
    <w:lvlOverride w:ilvl="0">
      <w:startOverride w:val="1"/>
    </w:lvlOverride>
  </w:num>
  <w:num w:numId="19">
    <w:abstractNumId w:val="55"/>
    <w:lvlOverride w:ilvl="0">
      <w:startOverride w:val="1"/>
    </w:lvlOverride>
  </w:num>
  <w:num w:numId="20">
    <w:abstractNumId w:val="55"/>
    <w:lvlOverride w:ilvl="0">
      <w:startOverride w:val="1"/>
    </w:lvlOverride>
  </w:num>
  <w:num w:numId="21">
    <w:abstractNumId w:val="115"/>
  </w:num>
  <w:num w:numId="22">
    <w:abstractNumId w:val="120"/>
  </w:num>
  <w:num w:numId="23">
    <w:abstractNumId w:val="38"/>
  </w:num>
  <w:num w:numId="24">
    <w:abstractNumId w:val="43"/>
  </w:num>
  <w:num w:numId="25">
    <w:abstractNumId w:val="73"/>
  </w:num>
  <w:num w:numId="26">
    <w:abstractNumId w:val="5"/>
  </w:num>
  <w:num w:numId="27">
    <w:abstractNumId w:val="27"/>
  </w:num>
  <w:num w:numId="28">
    <w:abstractNumId w:val="74"/>
  </w:num>
  <w:num w:numId="29">
    <w:abstractNumId w:val="109"/>
  </w:num>
  <w:num w:numId="30">
    <w:abstractNumId w:val="60"/>
  </w:num>
  <w:num w:numId="31">
    <w:abstractNumId w:val="103"/>
  </w:num>
  <w:num w:numId="32">
    <w:abstractNumId w:val="104"/>
  </w:num>
  <w:num w:numId="33">
    <w:abstractNumId w:val="68"/>
  </w:num>
  <w:num w:numId="34">
    <w:abstractNumId w:val="108"/>
  </w:num>
  <w:num w:numId="35">
    <w:abstractNumId w:val="58"/>
  </w:num>
  <w:num w:numId="36">
    <w:abstractNumId w:val="118"/>
  </w:num>
  <w:num w:numId="37">
    <w:abstractNumId w:val="57"/>
  </w:num>
  <w:num w:numId="38">
    <w:abstractNumId w:val="107"/>
  </w:num>
  <w:num w:numId="39">
    <w:abstractNumId w:val="18"/>
  </w:num>
  <w:num w:numId="40">
    <w:abstractNumId w:val="19"/>
  </w:num>
  <w:num w:numId="41">
    <w:abstractNumId w:val="102"/>
  </w:num>
  <w:num w:numId="42">
    <w:abstractNumId w:val="33"/>
  </w:num>
  <w:num w:numId="43">
    <w:abstractNumId w:val="65"/>
  </w:num>
  <w:num w:numId="44">
    <w:abstractNumId w:val="72"/>
  </w:num>
  <w:num w:numId="45">
    <w:abstractNumId w:val="34"/>
  </w:num>
  <w:num w:numId="46">
    <w:abstractNumId w:val="47"/>
  </w:num>
  <w:num w:numId="47">
    <w:abstractNumId w:val="3"/>
  </w:num>
  <w:num w:numId="48">
    <w:abstractNumId w:val="96"/>
  </w:num>
  <w:num w:numId="49">
    <w:abstractNumId w:val="116"/>
  </w:num>
  <w:num w:numId="50">
    <w:abstractNumId w:val="14"/>
  </w:num>
  <w:num w:numId="51">
    <w:abstractNumId w:val="112"/>
  </w:num>
  <w:num w:numId="52">
    <w:abstractNumId w:val="111"/>
  </w:num>
  <w:num w:numId="53">
    <w:abstractNumId w:val="59"/>
  </w:num>
  <w:num w:numId="54">
    <w:abstractNumId w:val="36"/>
  </w:num>
  <w:num w:numId="55">
    <w:abstractNumId w:val="86"/>
  </w:num>
  <w:num w:numId="56">
    <w:abstractNumId w:val="46"/>
  </w:num>
  <w:num w:numId="57">
    <w:abstractNumId w:val="101"/>
  </w:num>
  <w:num w:numId="58">
    <w:abstractNumId w:val="29"/>
  </w:num>
  <w:num w:numId="59">
    <w:abstractNumId w:val="61"/>
  </w:num>
  <w:num w:numId="60">
    <w:abstractNumId w:val="12"/>
  </w:num>
  <w:num w:numId="61">
    <w:abstractNumId w:val="39"/>
  </w:num>
  <w:num w:numId="62">
    <w:abstractNumId w:val="53"/>
  </w:num>
  <w:num w:numId="63">
    <w:abstractNumId w:val="63"/>
  </w:num>
  <w:num w:numId="64">
    <w:abstractNumId w:val="105"/>
  </w:num>
  <w:num w:numId="65">
    <w:abstractNumId w:val="31"/>
  </w:num>
  <w:num w:numId="66">
    <w:abstractNumId w:val="23"/>
  </w:num>
  <w:num w:numId="67">
    <w:abstractNumId w:val="94"/>
  </w:num>
  <w:num w:numId="68">
    <w:abstractNumId w:val="21"/>
  </w:num>
  <w:num w:numId="69">
    <w:abstractNumId w:val="79"/>
  </w:num>
  <w:num w:numId="70">
    <w:abstractNumId w:val="113"/>
  </w:num>
  <w:num w:numId="71">
    <w:abstractNumId w:val="85"/>
  </w:num>
  <w:num w:numId="72">
    <w:abstractNumId w:val="40"/>
  </w:num>
  <w:num w:numId="73">
    <w:abstractNumId w:val="123"/>
  </w:num>
  <w:num w:numId="74">
    <w:abstractNumId w:val="0"/>
  </w:num>
  <w:num w:numId="75">
    <w:abstractNumId w:val="89"/>
  </w:num>
  <w:num w:numId="76">
    <w:abstractNumId w:val="51"/>
  </w:num>
  <w:num w:numId="77">
    <w:abstractNumId w:val="77"/>
  </w:num>
  <w:num w:numId="78">
    <w:abstractNumId w:val="106"/>
  </w:num>
  <w:num w:numId="79">
    <w:abstractNumId w:val="126"/>
  </w:num>
  <w:num w:numId="80">
    <w:abstractNumId w:val="45"/>
  </w:num>
  <w:num w:numId="81">
    <w:abstractNumId w:val="37"/>
  </w:num>
  <w:num w:numId="82">
    <w:abstractNumId w:val="98"/>
  </w:num>
  <w:num w:numId="83">
    <w:abstractNumId w:val="88"/>
  </w:num>
  <w:num w:numId="84">
    <w:abstractNumId w:val="15"/>
  </w:num>
  <w:num w:numId="85">
    <w:abstractNumId w:val="117"/>
  </w:num>
  <w:num w:numId="86">
    <w:abstractNumId w:val="4"/>
  </w:num>
  <w:num w:numId="87">
    <w:abstractNumId w:val="129"/>
  </w:num>
  <w:num w:numId="88">
    <w:abstractNumId w:val="87"/>
  </w:num>
  <w:num w:numId="89">
    <w:abstractNumId w:val="121"/>
  </w:num>
  <w:num w:numId="90">
    <w:abstractNumId w:val="95"/>
  </w:num>
  <w:num w:numId="91">
    <w:abstractNumId w:val="80"/>
  </w:num>
  <w:num w:numId="92">
    <w:abstractNumId w:val="32"/>
  </w:num>
  <w:num w:numId="93">
    <w:abstractNumId w:val="16"/>
  </w:num>
  <w:num w:numId="94">
    <w:abstractNumId w:val="11"/>
  </w:num>
  <w:num w:numId="95">
    <w:abstractNumId w:val="30"/>
  </w:num>
  <w:num w:numId="96">
    <w:abstractNumId w:val="42"/>
  </w:num>
  <w:num w:numId="97">
    <w:abstractNumId w:val="110"/>
  </w:num>
  <w:num w:numId="98">
    <w:abstractNumId w:val="119"/>
  </w:num>
  <w:num w:numId="99">
    <w:abstractNumId w:val="76"/>
  </w:num>
  <w:num w:numId="100">
    <w:abstractNumId w:val="69"/>
  </w:num>
  <w:num w:numId="101">
    <w:abstractNumId w:val="54"/>
  </w:num>
  <w:num w:numId="102">
    <w:abstractNumId w:val="64"/>
  </w:num>
  <w:num w:numId="103">
    <w:abstractNumId w:val="84"/>
  </w:num>
  <w:num w:numId="1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num>
  <w:num w:numId="106">
    <w:abstractNumId w:val="67"/>
  </w:num>
  <w:num w:numId="107">
    <w:abstractNumId w:val="114"/>
  </w:num>
  <w:num w:numId="108">
    <w:abstractNumId w:val="82"/>
  </w:num>
  <w:num w:numId="109">
    <w:abstractNumId w:val="100"/>
    <w:lvlOverride w:ilvl="0">
      <w:startOverride w:val="1"/>
    </w:lvlOverride>
    <w:lvlOverride w:ilvl="1">
      <w:startOverride w:val="9"/>
    </w:lvlOverride>
  </w:num>
  <w:num w:numId="110">
    <w:abstractNumId w:val="62"/>
  </w:num>
  <w:num w:numId="111">
    <w:abstractNumId w:val="90"/>
  </w:num>
  <w:num w:numId="112">
    <w:abstractNumId w:val="92"/>
  </w:num>
  <w:num w:numId="113">
    <w:abstractNumId w:val="28"/>
  </w:num>
  <w:num w:numId="114">
    <w:abstractNumId w:val="100"/>
    <w:lvlOverride w:ilvl="0">
      <w:startOverride w:val="1"/>
    </w:lvlOverride>
  </w:num>
  <w:num w:numId="115">
    <w:abstractNumId w:val="128"/>
  </w:num>
  <w:num w:numId="116">
    <w:abstractNumId w:val="100"/>
    <w:lvlOverride w:ilvl="0">
      <w:startOverride w:val="1"/>
    </w:lvlOverride>
  </w:num>
  <w:num w:numId="117">
    <w:abstractNumId w:val="78"/>
  </w:num>
  <w:num w:numId="118">
    <w:abstractNumId w:val="70"/>
  </w:num>
  <w:num w:numId="119">
    <w:abstractNumId w:val="25"/>
  </w:num>
  <w:num w:numId="120">
    <w:abstractNumId w:val="13"/>
  </w:num>
  <w:num w:numId="121">
    <w:abstractNumId w:val="71"/>
  </w:num>
  <w:num w:numId="122">
    <w:abstractNumId w:val="91"/>
  </w:num>
  <w:num w:numId="123">
    <w:abstractNumId w:val="127"/>
  </w:num>
  <w:num w:numId="124">
    <w:abstractNumId w:val="124"/>
  </w:num>
  <w:num w:numId="125">
    <w:abstractNumId w:val="44"/>
  </w:num>
  <w:num w:numId="126">
    <w:abstractNumId w:val="22"/>
  </w:num>
  <w:num w:numId="127">
    <w:abstractNumId w:val="8"/>
  </w:num>
  <w:num w:numId="128">
    <w:abstractNumId w:val="2"/>
  </w:num>
  <w:num w:numId="129">
    <w:abstractNumId w:val="6"/>
  </w:num>
  <w:num w:numId="130">
    <w:abstractNumId w:val="10"/>
  </w:num>
  <w:num w:numId="131">
    <w:abstractNumId w:val="122"/>
  </w:num>
  <w:num w:numId="132">
    <w:abstractNumId w:val="50"/>
  </w:num>
  <w:num w:numId="133">
    <w:abstractNumId w:val="83"/>
  </w:num>
  <w:num w:numId="134">
    <w:abstractNumId w:val="35"/>
  </w:num>
  <w:num w:numId="135">
    <w:abstractNumId w:val="48"/>
  </w:num>
  <w:num w:numId="136">
    <w:abstractNumId w:val="75"/>
  </w:num>
  <w:num w:numId="137">
    <w:abstractNumId w:val="56"/>
  </w:num>
  <w:num w:numId="138">
    <w:abstractNumId w:val="93"/>
  </w:num>
  <w:num w:numId="139">
    <w:abstractNumId w:val="49"/>
  </w:num>
  <w:num w:numId="140">
    <w:abstractNumId w:val="17"/>
  </w:num>
  <w:num w:numId="141">
    <w:abstractNumId w:val="24"/>
  </w:num>
  <w:num w:numId="142">
    <w:abstractNumId w:val="41"/>
  </w:num>
  <w:num w:numId="143">
    <w:abstractNumId w:val="97"/>
  </w:num>
  <w:num w:numId="144">
    <w:abstractNumId w:val="81"/>
  </w:num>
  <w:num w:numId="145">
    <w:abstractNumId w:val="52"/>
  </w:num>
  <w:num w:numId="146">
    <w:abstractNumId w:val="125"/>
  </w:num>
  <w:num w:numId="147">
    <w:abstractNumId w:val="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1" w:dllVersion="512" w:checkStyle="1"/>
  <w:activeWritingStyle w:appName="MSWord" w:lang="nl-BE" w:vendorID="1" w:dllVersion="512" w:checkStyle="1"/>
  <w:activeWritingStyle w:appName="MSWord" w:lang="pt-PT" w:vendorID="13" w:dllVersion="513" w:checkStyle="1"/>
  <w:activeWritingStyle w:appName="MSWord" w:lang="da-DK" w:vendorID="22" w:dllVersion="513" w:checkStyle="1"/>
  <w:activeWritingStyle w:appName="MSWord" w:lang="sv-SE" w:vendorID="22" w:dllVersion="513" w:checkStyle="1"/>
  <w:activeWritingStyle w:appName="MSWord" w:lang="it-IT" w:vendorID="3" w:dllVersion="517" w:checkStyle="1"/>
  <w:activeWritingStyle w:appName="MSWord" w:lang="pl-PL" w:vendorID="12" w:dllVersion="512" w:checkStyle="1"/>
  <w:activeWritingStyle w:appName="MSWord" w:lang="fi-FI" w:vendorID="22" w:dllVersion="513" w:checkStyle="1"/>
  <w:activeWritingStyle w:appName="MSWord" w:lang="hu-HU" w:vendorID="7" w:dllVersion="513" w:checkStyle="1"/>
  <w:activeWritingStyle w:appName="MSWord" w:lang="nb-NO" w:vendorID="22" w:dllVersion="513" w:checkStyle="1"/>
  <w:revisionView w:markup="0"/>
  <w:defaultTabStop w:val="720"/>
  <w:hyphenationZone w:val="425"/>
  <w:characterSpacingControl w:val="doNotCompress"/>
  <w:hdrShapeDefaults>
    <o:shapedefaults v:ext="edit" spidmax="45057"/>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55B89D6-4AB9-4EB2-B4FF-8B3171FBF69C"/>
    <w:docVar w:name="LW_COVERPAGE_TYPE" w:val="1"/>
    <w:docVar w:name="LW_CROSSREFERENCE" w:val="{COM(2019) 319 final} - {SWD(2019) 285 final} - {SWD(2019) 286 final}"/>
    <w:docVar w:name="LW_DocType" w:val="NORMAL"/>
    <w:docVar w:name="LW_EMISSION" w:val="4.7.2019"/>
    <w:docVar w:name="LW_EMISSION_ISODATE" w:val="2019-07-0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Monitoring the application of European Union law_x000b_2018 Annual Report"/>
    <w:docVar w:name="LW_PART_NBR" w:val="1"/>
    <w:docVar w:name="LW_PART_NBR_TOTAL" w:val="2"/>
    <w:docVar w:name="LW_REF.INST.NEW" w:val="SWD"/>
    <w:docVar w:name="LW_REF.INST.NEW_ADOPTED" w:val="final"/>
    <w:docVar w:name="LW_REF.INST.NEW_TEXT" w:val="(2019) 28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art III: Member States"/>
    <w:docVar w:name="LW_TYPE.DOC.CP" w:val="COMMISSION STAFF WORKING DOCUMENT"/>
    <w:docVar w:name="LW_TYPEACTEPRINCIPAL.CP" w:val="Report from the Commission"/>
    <w:docVar w:name="Stamp" w:val="\\dossiers.dgt.cec.eu.int\dossiers\SG\SG-2016-00297\SG-2016-00297-00-02-EN-REV-00.DOCX"/>
  </w:docVar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locked/>
    <w:pPr>
      <w:spacing w:after="160" w:line="259" w:lineRule="auto"/>
    </w:pPr>
    <w:rPr>
      <w:rFonts w:asciiTheme="minorHAnsi" w:eastAsiaTheme="minorHAnsi" w:hAnsiTheme="minorHAnsi" w:cstheme="minorBidi"/>
      <w:sz w:val="22"/>
      <w:szCs w:val="22"/>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link w:val="FootnotesymbolCarZchn"/>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lang w:val="en-US" w:eastAsia="en-US" w:bidi="ar-SA"/>
    </w:rPr>
  </w:style>
  <w:style w:type="paragraph" w:customStyle="1" w:styleId="kop2">
    <w:name w:val="kop 2"/>
    <w:basedOn w:val="Normal"/>
    <w:next w:val="Normal"/>
    <w:link w:val="kop2Char"/>
    <w:uiPriority w:val="1"/>
    <w:unhideWhenUsed/>
    <w:qFormat/>
    <w:pPr>
      <w:keepNext/>
      <w:keepLines/>
      <w:spacing w:after="120"/>
      <w:ind w:left="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ind w:left="2869" w:hanging="180"/>
    </w:pPr>
  </w:style>
  <w:style w:type="character" w:customStyle="1" w:styleId="kop2Char">
    <w:name w:val="kop 2 Char"/>
    <w:link w:val="kop2"/>
    <w:uiPriority w:val="1"/>
    <w:rPr>
      <w:rFonts w:ascii="Arial" w:eastAsia="MS Gothic" w:hAnsi="Arial" w:cs="Arial"/>
      <w:caps/>
      <w:color w:val="4F81BD"/>
      <w:kern w:val="20"/>
      <w:sz w:val="24"/>
      <w:szCs w:val="24"/>
      <w:lang w:eastAsia="en-US" w:bidi="ar-SA"/>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spacing w:after="120"/>
      <w:ind w:left="107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olor w:val="BFBFBF"/>
      <w:sz w:val="24"/>
      <w:szCs w:val="24"/>
      <w:lang w:eastAsia="en-US" w:bidi="ar-SA"/>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semiHidden/>
    <w:rPr>
      <w:rFonts w:ascii="Tahoma" w:eastAsia="Times New Roman" w:hAnsi="Tahoma" w:cs="Tahoma"/>
      <w:sz w:val="16"/>
      <w:szCs w:val="16"/>
      <w:lang w:eastAsia="en-US" w:bidi="ar-SA"/>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character" w:customStyle="1" w:styleId="HeaderChar">
    <w:name w:val="Header Char"/>
    <w:link w:val="Header"/>
    <w:uiPriority w:val="99"/>
    <w:rPr>
      <w:rFonts w:ascii="Times New Roman" w:hAnsi="Times New Roman"/>
      <w:sz w:val="24"/>
      <w:szCs w:val="22"/>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rPr>
  </w:style>
  <w:style w:type="character" w:customStyle="1" w:styleId="FooterChar">
    <w:name w:val="Footer Char"/>
    <w:link w:val="Footer"/>
    <w:uiPriority w:val="99"/>
    <w:rPr>
      <w:rFonts w:ascii="Times New Roman" w:hAnsi="Times New Roman"/>
      <w:sz w:val="24"/>
      <w:szCs w:val="22"/>
      <w:lang w:eastAsia="en-US" w:bidi="ar-SA"/>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lang w:eastAsia="en-US" w:bidi="ar-SA"/>
    </w:rPr>
  </w:style>
  <w:style w:type="paragraph" w:styleId="Subtitle">
    <w:name w:val="Subtitle"/>
    <w:basedOn w:val="Normal"/>
    <w:link w:val="SubtitleChar"/>
    <w:autoRedefine/>
    <w:qFormat/>
    <w:pPr>
      <w:spacing w:before="240"/>
      <w:ind w:left="1980" w:hanging="360"/>
      <w:outlineLvl w:val="1"/>
    </w:pPr>
    <w:rPr>
      <w:rFonts w:ascii="Arial" w:hAnsi="Arial"/>
      <w:color w:val="002060"/>
    </w:rPr>
  </w:style>
  <w:style w:type="character" w:customStyle="1" w:styleId="SubtitleChar">
    <w:name w:val="Subtitle Char"/>
    <w:link w:val="Subtitle"/>
    <w:rPr>
      <w:rFonts w:ascii="Arial" w:eastAsiaTheme="minorHAnsi" w:hAnsi="Arial" w:cstheme="minorBidi"/>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lang w:eastAsia="en-US" w:bidi="ar-SA"/>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bCs/>
      <w:color w:val="A6A6A6"/>
      <w:sz w:val="24"/>
      <w:szCs w:val="28"/>
      <w:lang w:eastAsia="en-US" w:bidi="ar-SA"/>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lang w:eastAsia="en-US" w:bidi="ar-SA"/>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7"/>
      </w:numPr>
    </w:pPr>
    <w:rPr>
      <w:rFonts w:ascii="Arial" w:hAnsi="Arial"/>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sz w:val="24"/>
      <w:lang w:eastAsia="en-US" w:bidi="ar-SA"/>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heme="minorHAnsi" w:hAnsi="Times New Roman"/>
      <w:sz w:val="24"/>
      <w:szCs w:val="22"/>
      <w:lang w:eastAsia="en-US" w:bidi="ar-SA"/>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Pr>
      <w:rFonts w:ascii="Times New Roman" w:eastAsiaTheme="minorHAnsi" w:hAnsi="Times New Roman"/>
      <w:sz w:val="24"/>
      <w:szCs w:val="22"/>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sz w:val="16"/>
      <w:lang w:eastAsia="en-US" w:bidi="ar-SA"/>
    </w:rPr>
  </w:style>
  <w:style w:type="character" w:customStyle="1" w:styleId="Heading3Char">
    <w:name w:val="Heading 3 Char"/>
    <w:link w:val="Heading3"/>
    <w:rPr>
      <w:rFonts w:ascii="Cambria" w:eastAsia="SimSun" w:hAnsi="Cambria"/>
      <w:b/>
      <w:bCs/>
      <w:color w:val="4F81BD"/>
      <w:sz w:val="24"/>
      <w:lang w:eastAsia="en-US" w:bidi="ar-SA"/>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pPr>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3">
    <w:name w:val="Text 3"/>
    <w:basedOn w:val="Normal"/>
    <w:pPr>
      <w:tabs>
        <w:tab w:val="left" w:pos="2302"/>
      </w:tabs>
      <w:ind w:left="1202"/>
    </w:pPr>
    <w:rPr>
      <w:rFonts w:ascii="Arial" w:hAnsi="Arial"/>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spacing w:before="360" w:after="120"/>
      <w:ind w:left="360" w:hanging="36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outlineLvl w:val="1"/>
    </w:pPr>
    <w:rPr>
      <w:rFonts w:ascii="Arial" w:hAnsi="Arial"/>
      <w:color w:val="002060"/>
    </w:rPr>
  </w:style>
  <w:style w:type="character" w:customStyle="1" w:styleId="AnnualReport1Char">
    <w:name w:val="Annual Report §1 Char"/>
    <w:link w:val="AnnualReport1"/>
    <w:rPr>
      <w:rFonts w:ascii="Arial" w:eastAsia="MS Gothic" w:hAnsi="Arial" w:cs="Arial"/>
      <w:caps/>
      <w:color w:val="4F81BD"/>
      <w:kern w:val="20"/>
      <w:sz w:val="22"/>
      <w:szCs w:val="24"/>
      <w:lang w:eastAsia="en-US" w:bidi="ar-SA"/>
    </w:rPr>
  </w:style>
  <w:style w:type="character" w:customStyle="1" w:styleId="AnnualReport2Char">
    <w:name w:val="Annual Report §2 Char"/>
    <w:link w:val="AnnualReport2"/>
    <w:rPr>
      <w:rFonts w:ascii="Arial" w:eastAsia="Times New Roman" w:hAnsi="Arial"/>
      <w:color w:val="002060"/>
      <w:sz w:val="22"/>
      <w:szCs w:val="22"/>
      <w:lang w:eastAsia="en-US" w:bidi="ar-SA"/>
    </w:rPr>
  </w:style>
  <w:style w:type="character" w:customStyle="1" w:styleId="Heading2Char">
    <w:name w:val="Heading 2 Char"/>
    <w:link w:val="Heading2"/>
    <w:rPr>
      <w:rFonts w:ascii="Arial" w:eastAsia="Times New Roman" w:hAnsi="Arial"/>
      <w:b/>
      <w:sz w:val="22"/>
      <w:lang w:eastAsia="en-US" w:bidi="ar-SA"/>
    </w:rPr>
  </w:style>
  <w:style w:type="character" w:customStyle="1" w:styleId="Heading4Char">
    <w:name w:val="Heading 4 Char"/>
    <w:link w:val="Heading4"/>
    <w:rPr>
      <w:rFonts w:ascii="Arial" w:eastAsia="Times New Roman" w:hAnsi="Arial"/>
      <w:sz w:val="22"/>
      <w:lang w:eastAsia="en-US" w:bidi="ar-SA"/>
    </w:rPr>
  </w:style>
  <w:style w:type="paragraph" w:customStyle="1" w:styleId="Text4">
    <w:name w:val="Text 4"/>
    <w:basedOn w:val="Normal"/>
    <w:pPr>
      <w:tabs>
        <w:tab w:val="left" w:pos="2302"/>
      </w:tabs>
      <w:ind w:left="1202"/>
    </w:pPr>
    <w:rPr>
      <w:rFonts w:ascii="Arial" w:hAnsi="Arial"/>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lang w:eastAsia="en-US" w:bidi="ar-SA"/>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74"/>
      </w:numPr>
    </w:pPr>
    <w:rPr>
      <w:lang w:eastAsia="en-GB"/>
    </w:rPr>
  </w:style>
  <w:style w:type="paragraph" w:customStyle="1" w:styleId="Basis">
    <w:name w:val="Basis"/>
    <w:basedOn w:val="Normal"/>
    <w:link w:val="BasisChar"/>
    <w:qFormat/>
    <w:pPr>
      <w:ind w:left="720"/>
    </w:pPr>
    <w:rPr>
      <w:rFonts w:ascii="Verdana" w:hAnsi="Verdana"/>
      <w:sz w:val="20"/>
      <w:lang w:val="en-US" w:eastAsia="en-GB"/>
    </w:rPr>
  </w:style>
  <w:style w:type="character" w:customStyle="1" w:styleId="BasisChar">
    <w:name w:val="Basis Char"/>
    <w:link w:val="Basis"/>
    <w:rPr>
      <w:rFonts w:ascii="Verdana" w:eastAsia="Times New Roman" w:hAnsi="Verdana"/>
      <w:szCs w:val="22"/>
      <w:lang w:val="en-US" w:bidi="ar-SA"/>
    </w:rPr>
  </w:style>
  <w:style w:type="character" w:customStyle="1" w:styleId="bold">
    <w:name w:val="bold"/>
  </w:style>
  <w:style w:type="paragraph" w:customStyle="1" w:styleId="ListBullet1">
    <w:name w:val="List Bullet 1"/>
    <w:basedOn w:val="Normal"/>
    <w:pPr>
      <w:numPr>
        <w:numId w:val="76"/>
      </w:numPr>
    </w:pPr>
  </w:style>
  <w:style w:type="numbering" w:customStyle="1" w:styleId="NoList1">
    <w:name w:val="No List1"/>
    <w:next w:val="NoList"/>
    <w:uiPriority w:val="99"/>
    <w:semiHidden/>
    <w:unhideWhenUsed/>
  </w:style>
  <w:style w:type="table" w:customStyle="1" w:styleId="Style128">
    <w:name w:val="Style128"/>
    <w:basedOn w:val="TableNormal"/>
    <w:rPr>
      <w:rFonts w:ascii="Times New Roman" w:eastAsia="Times New Roman" w:hAnsi="Times New Roman"/>
    </w:rPr>
    <w:tblPr/>
  </w:style>
  <w:style w:type="table" w:customStyle="1" w:styleId="Style1110">
    <w:name w:val="Style1110"/>
    <w:basedOn w:val="TableNormal"/>
    <w:rPr>
      <w:rFonts w:ascii="Times New Roman" w:eastAsia="Times New Roman" w:hAnsi="Times New Roman"/>
    </w:rPr>
    <w:tblPr/>
  </w:style>
  <w:style w:type="table" w:customStyle="1" w:styleId="Style129">
    <w:name w:val="Style129"/>
    <w:basedOn w:val="TableNormal"/>
    <w:rPr>
      <w:rFonts w:ascii="Times New Roman" w:eastAsia="Times New Roman" w:hAnsi="Times New Roman"/>
    </w:rPr>
    <w:tblPr/>
  </w:style>
  <w:style w:type="table" w:customStyle="1" w:styleId="Style131">
    <w:name w:val="Style131"/>
    <w:basedOn w:val="TableNormal"/>
    <w:rPr>
      <w:rFonts w:ascii="Times New Roman" w:eastAsia="Times New Roman" w:hAnsi="Times New Roman"/>
    </w:rPr>
    <w:tblPr/>
  </w:style>
  <w:style w:type="table" w:customStyle="1" w:styleId="Style141">
    <w:name w:val="Style141"/>
    <w:basedOn w:val="TableNormal"/>
    <w:rPr>
      <w:rFonts w:ascii="Times New Roman" w:eastAsia="Times New Roman" w:hAnsi="Times New Roman"/>
    </w:rPr>
    <w:tblPr/>
  </w:style>
  <w:style w:type="table" w:customStyle="1" w:styleId="Style151">
    <w:name w:val="Style151"/>
    <w:basedOn w:val="TableNormal"/>
    <w:rPr>
      <w:rFonts w:ascii="Times New Roman" w:eastAsia="Times New Roman" w:hAnsi="Times New Roman"/>
    </w:rPr>
    <w:tblPr/>
  </w:style>
  <w:style w:type="table" w:customStyle="1" w:styleId="Style161">
    <w:name w:val="Style161"/>
    <w:basedOn w:val="TableNormal"/>
    <w:rPr>
      <w:rFonts w:ascii="Times New Roman" w:eastAsia="Times New Roman" w:hAnsi="Times New Roman"/>
    </w:rPr>
    <w:tblPr/>
  </w:style>
  <w:style w:type="table" w:customStyle="1" w:styleId="Style171">
    <w:name w:val="Style171"/>
    <w:basedOn w:val="TableNormal"/>
    <w:rPr>
      <w:rFonts w:ascii="Times New Roman" w:eastAsia="Times New Roman" w:hAnsi="Times New Roman"/>
    </w:rPr>
    <w:tblPr/>
  </w:style>
  <w:style w:type="table" w:customStyle="1" w:styleId="Style181">
    <w:name w:val="Style181"/>
    <w:basedOn w:val="TableNormal"/>
    <w:rPr>
      <w:rFonts w:ascii="Times New Roman" w:eastAsia="Times New Roman" w:hAnsi="Times New Roman"/>
    </w:rPr>
    <w:tblPr/>
  </w:style>
  <w:style w:type="table" w:customStyle="1" w:styleId="Style191">
    <w:name w:val="Style191"/>
    <w:basedOn w:val="TableNormal"/>
    <w:rPr>
      <w:rFonts w:ascii="Times New Roman" w:eastAsia="Times New Roman" w:hAnsi="Times New Roman"/>
    </w:rPr>
    <w:tblPr/>
  </w:style>
  <w:style w:type="table" w:customStyle="1" w:styleId="Style1101">
    <w:name w:val="Style1101"/>
    <w:basedOn w:val="TableNormal"/>
    <w:rPr>
      <w:rFonts w:ascii="Times New Roman" w:eastAsia="Times New Roman" w:hAnsi="Times New Roman"/>
    </w:rPr>
    <w:tblPr/>
  </w:style>
  <w:style w:type="table" w:customStyle="1" w:styleId="Style1111">
    <w:name w:val="Style1111"/>
    <w:basedOn w:val="TableNormal"/>
    <w:rPr>
      <w:rFonts w:ascii="Times New Roman" w:eastAsia="Times New Roman" w:hAnsi="Times New Roman"/>
    </w:rPr>
    <w:tblPr/>
  </w:style>
  <w:style w:type="table" w:customStyle="1" w:styleId="Style1121">
    <w:name w:val="Style1121"/>
    <w:basedOn w:val="TableNormal"/>
    <w:rPr>
      <w:rFonts w:ascii="Times New Roman" w:eastAsia="Times New Roman" w:hAnsi="Times New Roman"/>
    </w:rPr>
    <w:tblPr/>
  </w:style>
  <w:style w:type="table" w:customStyle="1" w:styleId="Style1131">
    <w:name w:val="Style1131"/>
    <w:basedOn w:val="TableNormal"/>
    <w:rPr>
      <w:rFonts w:ascii="Times New Roman" w:eastAsia="Times New Roman" w:hAnsi="Times New Roman"/>
    </w:rPr>
    <w:tblPr/>
  </w:style>
  <w:style w:type="table" w:customStyle="1" w:styleId="Style1141">
    <w:name w:val="Style1141"/>
    <w:basedOn w:val="TableNormal"/>
    <w:rPr>
      <w:rFonts w:ascii="Times New Roman" w:eastAsia="Times New Roman" w:hAnsi="Times New Roman"/>
    </w:rPr>
    <w:tblPr/>
  </w:style>
  <w:style w:type="table" w:customStyle="1" w:styleId="Style1151">
    <w:name w:val="Style1151"/>
    <w:basedOn w:val="TableNormal"/>
    <w:rPr>
      <w:rFonts w:ascii="Times New Roman" w:eastAsia="Times New Roman" w:hAnsi="Times New Roman"/>
    </w:rPr>
    <w:tblPr/>
  </w:style>
  <w:style w:type="table" w:customStyle="1" w:styleId="Style1161">
    <w:name w:val="Style1161"/>
    <w:basedOn w:val="TableNormal"/>
    <w:rPr>
      <w:rFonts w:ascii="Times New Roman" w:eastAsia="Times New Roman" w:hAnsi="Times New Roman"/>
    </w:rPr>
    <w:tblPr/>
  </w:style>
  <w:style w:type="table" w:customStyle="1" w:styleId="Style1171">
    <w:name w:val="Style1171"/>
    <w:basedOn w:val="TableNormal"/>
    <w:rPr>
      <w:rFonts w:ascii="Times New Roman" w:eastAsia="Times New Roman" w:hAnsi="Times New Roman"/>
    </w:rPr>
    <w:tblPr/>
  </w:style>
  <w:style w:type="table" w:customStyle="1" w:styleId="Style1181">
    <w:name w:val="Style1181"/>
    <w:basedOn w:val="TableNormal"/>
    <w:rPr>
      <w:rFonts w:ascii="Times New Roman" w:eastAsia="Times New Roman" w:hAnsi="Times New Roman"/>
    </w:rPr>
    <w:tblPr/>
  </w:style>
  <w:style w:type="table" w:customStyle="1" w:styleId="Style1191">
    <w:name w:val="Style1191"/>
    <w:basedOn w:val="TableNormal"/>
    <w:rPr>
      <w:rFonts w:ascii="Times New Roman" w:eastAsia="Times New Roman" w:hAnsi="Times New Roman"/>
    </w:rPr>
    <w:tblPr/>
  </w:style>
  <w:style w:type="table" w:customStyle="1" w:styleId="Style1201">
    <w:name w:val="Style1201"/>
    <w:basedOn w:val="TableNormal"/>
    <w:rPr>
      <w:rFonts w:ascii="Times New Roman" w:eastAsia="Times New Roman" w:hAnsi="Times New Roman"/>
    </w:rPr>
    <w:tblPr/>
  </w:style>
  <w:style w:type="table" w:customStyle="1" w:styleId="Style1211">
    <w:name w:val="Style1211"/>
    <w:basedOn w:val="TableNormal"/>
    <w:rPr>
      <w:rFonts w:ascii="Times New Roman" w:eastAsia="Times New Roman" w:hAnsi="Times New Roman"/>
    </w:rPr>
    <w:tblPr/>
  </w:style>
  <w:style w:type="table" w:customStyle="1" w:styleId="Style1221">
    <w:name w:val="Style1221"/>
    <w:basedOn w:val="TableNormal"/>
    <w:rPr>
      <w:rFonts w:ascii="Times New Roman" w:eastAsia="Times New Roman" w:hAnsi="Times New Roman"/>
    </w:rPr>
    <w:tblPr/>
  </w:style>
  <w:style w:type="table" w:customStyle="1" w:styleId="Style1231">
    <w:name w:val="Style1231"/>
    <w:basedOn w:val="TableNormal"/>
    <w:rPr>
      <w:rFonts w:ascii="Times New Roman" w:eastAsia="Times New Roman" w:hAnsi="Times New Roman"/>
    </w:rPr>
    <w:tblPr/>
  </w:style>
  <w:style w:type="table" w:customStyle="1" w:styleId="Style1241">
    <w:name w:val="Style1241"/>
    <w:basedOn w:val="TableNormal"/>
    <w:rPr>
      <w:rFonts w:ascii="Times New Roman" w:eastAsia="Times New Roman" w:hAnsi="Times New Roman"/>
    </w:rPr>
    <w:tblPr/>
  </w:style>
  <w:style w:type="table" w:customStyle="1" w:styleId="Style1251">
    <w:name w:val="Style1251"/>
    <w:basedOn w:val="TableNormal"/>
    <w:rPr>
      <w:rFonts w:ascii="Times New Roman" w:eastAsia="Times New Roman" w:hAnsi="Times New Roman"/>
    </w:rPr>
    <w:tblPr/>
  </w:style>
  <w:style w:type="table" w:customStyle="1" w:styleId="Style1261">
    <w:name w:val="Style1261"/>
    <w:basedOn w:val="TableNormal"/>
    <w:rPr>
      <w:rFonts w:ascii="Times New Roman" w:eastAsia="Times New Roman" w:hAnsi="Times New Roman"/>
    </w:rPr>
    <w:tblPr/>
  </w:style>
  <w:style w:type="table" w:customStyle="1" w:styleId="Style1271">
    <w:name w:val="Style1271"/>
    <w:basedOn w:val="TableNormal"/>
    <w:rPr>
      <w:rFonts w:ascii="Times New Roman" w:eastAsia="Times New Roman" w:hAnsi="Times New Roman"/>
    </w:rPr>
    <w:tbl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heme="minorHAnsi" w:hAnsi="Courier New" w:cstheme="minorBidi"/>
      <w:szCs w:val="22"/>
      <w:lang w:eastAsia="en-US" w:bidi="ar-SA"/>
    </w:rPr>
  </w:style>
  <w:style w:type="character" w:customStyle="1" w:styleId="LienInternet">
    <w:name w:val="Lien Internet"/>
    <w:rPr>
      <w:color w:val="0000FF"/>
      <w:u w:val="single"/>
    </w:rPr>
  </w:style>
  <w:style w:type="character" w:customStyle="1" w:styleId="Caractresdenotedebasdepage">
    <w:name w:val="Caractères de note de bas de page"/>
    <w:qFormat/>
  </w:style>
  <w:style w:type="character" w:customStyle="1" w:styleId="LienInternetvisit">
    <w:name w:val="Lien Internet visité"/>
    <w:rPr>
      <w:color w:val="800000"/>
      <w:u w:val="single"/>
    </w:rPr>
  </w:style>
  <w:style w:type="character" w:customStyle="1" w:styleId="textblock">
    <w:name w:val="textblock"/>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rFonts w:ascii="Calibri" w:eastAsia="Calibri" w:hAnsi="Calibri" w:cs="Times New Roman"/>
      <w:sz w:val="20"/>
      <w:szCs w:val="20"/>
      <w:vertAlign w:val="superscript"/>
      <w:lang w:eastAsia="en-GB" w:bidi="th-TH"/>
    </w:rPr>
  </w:style>
  <w:style w:type="paragraph" w:customStyle="1" w:styleId="BulletPoint2">
    <w:name w:val="Bullet Point 2"/>
    <w:basedOn w:val="NormalIndent"/>
    <w:pPr>
      <w:numPr>
        <w:numId w:val="108"/>
      </w:numPr>
      <w:spacing w:after="120" w:line="240" w:lineRule="auto"/>
      <w:ind w:left="1077" w:hanging="357"/>
    </w:pPr>
    <w:rPr>
      <w:rFonts w:ascii="Verdana" w:eastAsia="Times New Roman" w:hAnsi="Verdana" w:cs="Times New Roman"/>
      <w:sz w:val="18"/>
      <w:lang w:eastAsia="en-GB"/>
    </w:rPr>
  </w:style>
  <w:style w:type="paragraph" w:styleId="NormalIndent">
    <w:name w:val="Normal Indent"/>
    <w:basedOn w:val="Normal"/>
    <w:uiPriority w:val="99"/>
    <w:semiHidden/>
    <w:unhideWhenUsed/>
    <w:pPr>
      <w:ind w:left="720"/>
    </w:pPr>
  </w:style>
  <w:style w:type="character" w:customStyle="1" w:styleId="Ancredenotedebasdepage">
    <w:name w:val="Ancre de note de bas de page"/>
    <w:rPr>
      <w:vertAlign w:val="superscript"/>
    </w:rPr>
  </w:style>
  <w:style w:type="character" w:customStyle="1" w:styleId="outputecliaff">
    <w:name w:val="outputecliaff"/>
    <w:basedOn w:val="DefaultParagraphFont"/>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heme="minorHAnsi" w:eastAsiaTheme="minorHAnsi" w:hAnsiTheme="minorHAnsi" w:cstheme="minorBidi"/>
      <w:sz w:val="22"/>
      <w:szCs w:val="22"/>
      <w:lang w:eastAsia="en-US" w:bidi="ar-SA"/>
    </w:rPr>
  </w:style>
  <w:style w:type="character" w:customStyle="1" w:styleId="ListParagraphChar">
    <w:name w:val="List Paragraph Char"/>
    <w:basedOn w:val="DefaultParagraphFont"/>
    <w:link w:val="ListParagraph"/>
    <w:uiPriority w:val="34"/>
    <w:rPr>
      <w:rFonts w:asciiTheme="minorHAnsi" w:eastAsiaTheme="minorHAnsi" w:hAnsiTheme="minorHAnsi" w:cstheme="minorBidi"/>
      <w:sz w:val="22"/>
      <w:szCs w:val="22"/>
      <w:lang w:eastAsia="en-US" w:bidi="ar-SA"/>
    </w:rPr>
  </w:style>
  <w:style w:type="paragraph" w:styleId="Index9">
    <w:name w:val="index 9"/>
    <w:basedOn w:val="Normal"/>
    <w:next w:val="Normal"/>
    <w:autoRedefine/>
    <w:semiHidden/>
    <w:pPr>
      <w:ind w:left="2160" w:hanging="240"/>
    </w:pPr>
  </w:style>
  <w:style w:type="paragraph" w:styleId="ListBullet3">
    <w:name w:val="List Bullet 3"/>
    <w:basedOn w:val="Normal"/>
    <w:uiPriority w:val="99"/>
    <w:semiHidden/>
    <w:unhideWhenUsed/>
    <w:pPr>
      <w:numPr>
        <w:numId w:val="147"/>
      </w:numPr>
      <w:contextualSpacing/>
    </w:pPr>
  </w:style>
  <w:style w:type="table" w:styleId="TableGrid">
    <w:name w:val="Table Grid"/>
    <w:basedOn w:val="TableNormal"/>
    <w:uiPriority w:val="5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0dispositifalinea">
    <w:name w:val="c30dispositifalinea"/>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th-TH"/>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locked/>
    <w:pPr>
      <w:spacing w:after="160" w:line="259" w:lineRule="auto"/>
    </w:pPr>
    <w:rPr>
      <w:rFonts w:asciiTheme="minorHAnsi" w:eastAsiaTheme="minorHAnsi" w:hAnsiTheme="minorHAnsi" w:cstheme="minorBidi"/>
      <w:sz w:val="22"/>
      <w:szCs w:val="22"/>
      <w:lang w:eastAsia="en-US" w:bidi="ar-SA"/>
    </w:rPr>
  </w:style>
  <w:style w:type="paragraph" w:styleId="Heading1">
    <w:name w:val="heading 1"/>
    <w:basedOn w:val="MemberStateHeader"/>
    <w:next w:val="Subtitle"/>
    <w:link w:val="Heading1Char"/>
    <w:uiPriority w:val="9"/>
    <w:qFormat/>
    <w:pPr>
      <w:keepNext/>
      <w:keepLines/>
      <w:outlineLvl w:val="0"/>
    </w:pPr>
    <w:rPr>
      <w:rFonts w:eastAsia="SimSun"/>
      <w:bCs/>
      <w:color w:val="A6A6A6"/>
      <w:szCs w:val="28"/>
    </w:rPr>
  </w:style>
  <w:style w:type="paragraph" w:styleId="Heading2">
    <w:name w:val="heading 2"/>
    <w:basedOn w:val="Normal"/>
    <w:next w:val="Normal"/>
    <w:link w:val="Heading2Char"/>
    <w:pPr>
      <w:keepNext/>
      <w:tabs>
        <w:tab w:val="num" w:pos="1200"/>
      </w:tabs>
      <w:ind w:left="1200" w:hanging="720"/>
      <w:outlineLvl w:val="1"/>
    </w:pPr>
    <w:rPr>
      <w:rFonts w:ascii="Arial" w:hAnsi="Arial"/>
      <w:b/>
    </w:rPr>
  </w:style>
  <w:style w:type="paragraph" w:styleId="Heading3">
    <w:name w:val="heading 3"/>
    <w:basedOn w:val="Normal"/>
    <w:next w:val="Normal"/>
    <w:link w:val="Heading3Char"/>
    <w:unhideWhenUsed/>
    <w:qFormat/>
    <w:pPr>
      <w:keepNext/>
      <w:keepLines/>
      <w:spacing w:before="200" w:after="0"/>
      <w:outlineLvl w:val="2"/>
    </w:pPr>
    <w:rPr>
      <w:rFonts w:ascii="Cambria" w:eastAsia="SimSun" w:hAnsi="Cambria"/>
      <w:b/>
      <w:bCs/>
      <w:color w:val="4F81BD"/>
    </w:rPr>
  </w:style>
  <w:style w:type="paragraph" w:styleId="Heading4">
    <w:name w:val="heading 4"/>
    <w:basedOn w:val="Normal"/>
    <w:next w:val="Normal"/>
    <w:link w:val="Heading4Char"/>
    <w:pPr>
      <w:keepNext/>
      <w:tabs>
        <w:tab w:val="num" w:pos="1920"/>
      </w:tabs>
      <w:ind w:left="1920" w:hanging="720"/>
      <w:outlineLvl w:val="3"/>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Fußnote,Fotnotstext1,fn,Footnote Text Char2 Char,Footnote Text Char Char Char1,Footnote Text Char1 Char Char Char,Footnote Text Char2 Char Char Char Char,Footnote Text Char1 Char1 Char Char Char Char,footnote te,Voetnootteks,f,Ch"/>
    <w:basedOn w:val="Normal"/>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link w:val="FootnotesymbolCarZchn"/>
    <w:uiPriority w:val="99"/>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lang w:val="en-US" w:eastAsia="en-US" w:bidi="ar-SA"/>
    </w:rPr>
  </w:style>
  <w:style w:type="paragraph" w:customStyle="1" w:styleId="kop2">
    <w:name w:val="kop 2"/>
    <w:basedOn w:val="Normal"/>
    <w:next w:val="Normal"/>
    <w:link w:val="kop2Char"/>
    <w:uiPriority w:val="1"/>
    <w:unhideWhenUsed/>
    <w:qFormat/>
    <w:pPr>
      <w:keepNext/>
      <w:keepLines/>
      <w:spacing w:after="120"/>
      <w:ind w:left="36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pPr>
      <w:ind w:left="2869" w:hanging="180"/>
    </w:pPr>
  </w:style>
  <w:style w:type="character" w:customStyle="1" w:styleId="kop2Char">
    <w:name w:val="kop 2 Char"/>
    <w:link w:val="kop2"/>
    <w:uiPriority w:val="1"/>
    <w:rPr>
      <w:rFonts w:ascii="Arial" w:eastAsia="MS Gothic" w:hAnsi="Arial" w:cs="Arial"/>
      <w:caps/>
      <w:color w:val="4F81BD"/>
      <w:kern w:val="20"/>
      <w:sz w:val="24"/>
      <w:szCs w:val="24"/>
      <w:lang w:eastAsia="en-US" w:bidi="ar-SA"/>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spacing w:after="120"/>
      <w:ind w:left="1845" w:hanging="705"/>
    </w:pPr>
    <w:rPr>
      <w:rFonts w:ascii="Arial" w:eastAsia="Calibri" w:hAnsi="Arial" w:cs="Arial"/>
      <w:kern w:val="20"/>
      <w:sz w:val="20"/>
    </w:rPr>
  </w:style>
  <w:style w:type="paragraph" w:customStyle="1" w:styleId="Lijstje2">
    <w:name w:val="Lijstje2"/>
    <w:basedOn w:val="ListParagraph"/>
    <w:uiPriority w:val="1"/>
    <w:unhideWhenUsed/>
    <w:qFormat/>
    <w:locked/>
    <w:pPr>
      <w:spacing w:after="120"/>
      <w:ind w:left="107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szCs w:val="24"/>
    </w:rPr>
  </w:style>
  <w:style w:type="character" w:customStyle="1" w:styleId="MemberStateHeaderChar">
    <w:name w:val="Member State Header Char"/>
    <w:link w:val="MemberStateHeader"/>
    <w:rPr>
      <w:rFonts w:ascii="Arial" w:eastAsia="Times New Roman" w:hAnsi="Arial"/>
      <w:color w:val="BFBFBF"/>
      <w:sz w:val="24"/>
      <w:szCs w:val="24"/>
      <w:lang w:eastAsia="en-US" w:bidi="ar-SA"/>
    </w:rPr>
  </w:style>
  <w:style w:type="paragraph" w:styleId="NoSpacing">
    <w:name w:val="No Spacing"/>
    <w:uiPriority w:val="1"/>
    <w:qFormat/>
    <w:pPr>
      <w:jc w:val="both"/>
    </w:pPr>
    <w:rPr>
      <w:rFonts w:ascii="Times New Roman" w:eastAsia="Times New Roman" w:hAnsi="Times New Roman"/>
      <w:sz w:val="24"/>
      <w:lang w:eastAsia="en-US" w:bidi="ar-SA"/>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semiHidden/>
    <w:unhideWhenUsed/>
    <w:pPr>
      <w:spacing w:after="0"/>
    </w:pPr>
    <w:rPr>
      <w:rFonts w:ascii="Tahoma" w:hAnsi="Tahoma" w:cs="Tahoma"/>
      <w:sz w:val="16"/>
      <w:szCs w:val="16"/>
    </w:rPr>
  </w:style>
  <w:style w:type="character" w:customStyle="1" w:styleId="BalloonTextChar">
    <w:name w:val="Balloon Text Char"/>
    <w:link w:val="BalloonText"/>
    <w:semiHidden/>
    <w:rPr>
      <w:rFonts w:ascii="Tahoma" w:eastAsia="Times New Roman" w:hAnsi="Tahoma" w:cs="Tahoma"/>
      <w:sz w:val="16"/>
      <w:szCs w:val="16"/>
      <w:lang w:eastAsia="en-US" w:bidi="ar-SA"/>
    </w:rPr>
  </w:style>
  <w:style w:type="paragraph" w:styleId="Header">
    <w:name w:val="header"/>
    <w:basedOn w:val="Normal"/>
    <w:link w:val="HeaderChar"/>
    <w:uiPriority w:val="99"/>
    <w:unhideWhenUsed/>
    <w:pPr>
      <w:tabs>
        <w:tab w:val="center" w:pos="4535"/>
        <w:tab w:val="right" w:pos="9071"/>
      </w:tabs>
      <w:spacing w:after="120"/>
    </w:pPr>
    <w:rPr>
      <w:rFonts w:eastAsia="Calibri"/>
    </w:rPr>
  </w:style>
  <w:style w:type="character" w:customStyle="1" w:styleId="HeaderChar">
    <w:name w:val="Header Char"/>
    <w:link w:val="Header"/>
    <w:uiPriority w:val="99"/>
    <w:rPr>
      <w:rFonts w:ascii="Times New Roman" w:hAnsi="Times New Roman"/>
      <w:sz w:val="24"/>
      <w:szCs w:val="22"/>
      <w:lang w:eastAsia="en-US" w:bidi="ar-SA"/>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eastAsia="Calibri"/>
    </w:rPr>
  </w:style>
  <w:style w:type="character" w:customStyle="1" w:styleId="FooterChar">
    <w:name w:val="Footer Char"/>
    <w:link w:val="Footer"/>
    <w:uiPriority w:val="99"/>
    <w:rPr>
      <w:rFonts w:ascii="Times New Roman" w:hAnsi="Times New Roman"/>
      <w:sz w:val="24"/>
      <w:szCs w:val="22"/>
      <w:lang w:eastAsia="en-US" w:bidi="ar-SA"/>
    </w:rPr>
  </w:style>
  <w:style w:type="paragraph" w:customStyle="1" w:styleId="Priorities">
    <w:name w:val="Priorities"/>
    <w:basedOn w:val="Normal"/>
    <w:link w:val="PrioritiesChar"/>
    <w:qFormat/>
    <w:pPr>
      <w:spacing w:after="200" w:line="276" w:lineRule="auto"/>
      <w:jc w:val="center"/>
    </w:pPr>
    <w:rPr>
      <w:rFonts w:ascii="Arial" w:eastAsia="Calibri" w:hAnsi="Arial" w:cs="Arial"/>
      <w:b/>
      <w:color w:val="163E71"/>
      <w:sz w:val="28"/>
      <w:szCs w:val="28"/>
    </w:rPr>
  </w:style>
  <w:style w:type="character" w:customStyle="1" w:styleId="PrioritiesChar">
    <w:name w:val="Priorities Char"/>
    <w:link w:val="Priorities"/>
    <w:rPr>
      <w:rFonts w:ascii="Arial" w:hAnsi="Arial" w:cs="Arial"/>
      <w:b/>
      <w:color w:val="163E71"/>
      <w:sz w:val="28"/>
      <w:szCs w:val="28"/>
      <w:lang w:eastAsia="en-US" w:bidi="ar-SA"/>
    </w:rPr>
  </w:style>
  <w:style w:type="paragraph" w:styleId="Subtitle">
    <w:name w:val="Subtitle"/>
    <w:basedOn w:val="Normal"/>
    <w:link w:val="SubtitleChar"/>
    <w:autoRedefine/>
    <w:qFormat/>
    <w:pPr>
      <w:spacing w:before="240"/>
      <w:ind w:left="1980" w:hanging="360"/>
      <w:outlineLvl w:val="1"/>
    </w:pPr>
    <w:rPr>
      <w:rFonts w:ascii="Arial" w:hAnsi="Arial"/>
      <w:color w:val="002060"/>
    </w:rPr>
  </w:style>
  <w:style w:type="character" w:customStyle="1" w:styleId="SubtitleChar">
    <w:name w:val="Subtitle Char"/>
    <w:link w:val="Subtitle"/>
    <w:rPr>
      <w:rFonts w:ascii="Arial" w:eastAsiaTheme="minorHAnsi" w:hAnsi="Arial" w:cstheme="minorBidi"/>
      <w:color w:val="002060"/>
      <w:sz w:val="22"/>
      <w:szCs w:val="22"/>
      <w:lang w:eastAsia="en-US" w:bidi="ar-SA"/>
    </w:rPr>
  </w:style>
  <w:style w:type="table" w:customStyle="1" w:styleId="Style1">
    <w:name w:val="Style1"/>
    <w:basedOn w:val="TableNormal"/>
    <w:rPr>
      <w:rFonts w:ascii="Times New Roman" w:eastAsia="Times New Roman" w:hAnsi="Times New Roman"/>
    </w:rPr>
    <w:tblPr/>
  </w:style>
  <w:style w:type="character" w:customStyle="1" w:styleId="affairetitle">
    <w:name w:val="affaire_title"/>
    <w:basedOn w:val="DefaultParagraphFont"/>
  </w:style>
  <w:style w:type="character" w:styleId="Hyperlink">
    <w:name w:val="Hyperlink"/>
    <w:uiPriority w:val="99"/>
    <w:unhideWhenUsed/>
    <w:rPr>
      <w:color w:val="0000FF"/>
      <w:u w:val="single"/>
    </w:rPr>
  </w:style>
  <w:style w:type="table" w:customStyle="1" w:styleId="Style11">
    <w:name w:val="Style11"/>
    <w:basedOn w:val="TableNormal"/>
    <w:rPr>
      <w:rFonts w:ascii="Times New Roman" w:eastAsia="Times New Roman" w:hAnsi="Times New Roman"/>
    </w:rPr>
    <w:tblPr/>
  </w:style>
  <w:style w:type="table" w:customStyle="1" w:styleId="Style12">
    <w:name w:val="Style12"/>
    <w:basedOn w:val="TableNormal"/>
    <w:rPr>
      <w:rFonts w:ascii="Times New Roman" w:eastAsia="Times New Roman" w:hAnsi="Times New Roman"/>
    </w:rPr>
    <w:tblPr/>
  </w:style>
  <w:style w:type="table" w:customStyle="1" w:styleId="Style13">
    <w:name w:val="Style13"/>
    <w:basedOn w:val="TableNormal"/>
    <w:rPr>
      <w:rFonts w:ascii="Times New Roman" w:eastAsia="Times New Roman" w:hAnsi="Times New Roman"/>
    </w:rPr>
    <w:tblPr/>
  </w:style>
  <w:style w:type="table" w:customStyle="1" w:styleId="Style14">
    <w:name w:val="Style14"/>
    <w:basedOn w:val="TableNormal"/>
    <w:rPr>
      <w:rFonts w:ascii="Times New Roman" w:eastAsia="Times New Roman" w:hAnsi="Times New Roman"/>
    </w:rPr>
    <w:tblPr/>
  </w:style>
  <w:style w:type="table" w:customStyle="1" w:styleId="Style15">
    <w:name w:val="Style15"/>
    <w:basedOn w:val="TableNormal"/>
    <w:rPr>
      <w:rFonts w:ascii="Times New Roman" w:eastAsia="Times New Roman" w:hAnsi="Times New Roman"/>
    </w:rPr>
    <w:tblPr/>
  </w:style>
  <w:style w:type="table" w:customStyle="1" w:styleId="Style16">
    <w:name w:val="Style16"/>
    <w:basedOn w:val="TableNormal"/>
    <w:rPr>
      <w:rFonts w:ascii="Times New Roman" w:eastAsia="Times New Roman" w:hAnsi="Times New Roman"/>
    </w:rPr>
    <w:tblPr/>
  </w:style>
  <w:style w:type="table" w:customStyle="1" w:styleId="Style17">
    <w:name w:val="Style17"/>
    <w:basedOn w:val="TableNormal"/>
    <w:rPr>
      <w:rFonts w:ascii="Times New Roman" w:eastAsia="Times New Roman" w:hAnsi="Times New Roman"/>
    </w:rPr>
    <w:tblPr/>
  </w:style>
  <w:style w:type="table" w:customStyle="1" w:styleId="Style18">
    <w:name w:val="Style18"/>
    <w:basedOn w:val="TableNormal"/>
    <w:rPr>
      <w:rFonts w:ascii="Times New Roman" w:eastAsia="Times New Roman" w:hAnsi="Times New Roman"/>
    </w:rPr>
    <w:tblPr/>
  </w:style>
  <w:style w:type="table" w:customStyle="1" w:styleId="Style19">
    <w:name w:val="Style19"/>
    <w:basedOn w:val="TableNormal"/>
    <w:rPr>
      <w:rFonts w:ascii="Times New Roman" w:eastAsia="Times New Roman" w:hAnsi="Times New Roman"/>
    </w:rPr>
    <w:tblPr/>
  </w:style>
  <w:style w:type="table" w:customStyle="1" w:styleId="Style110">
    <w:name w:val="Style110"/>
    <w:basedOn w:val="TableNormal"/>
    <w:rPr>
      <w:rFonts w:ascii="Times New Roman" w:eastAsia="Times New Roman" w:hAnsi="Times New Roman"/>
    </w:rPr>
    <w:tblPr/>
  </w:style>
  <w:style w:type="table" w:customStyle="1" w:styleId="Style111">
    <w:name w:val="Style111"/>
    <w:basedOn w:val="TableNormal"/>
    <w:rPr>
      <w:rFonts w:ascii="Times New Roman" w:eastAsia="Times New Roman" w:hAnsi="Times New Roman"/>
    </w:rP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lang w:eastAsia="en-US" w:bidi="ar-SA"/>
    </w:rPr>
  </w:style>
  <w:style w:type="table" w:customStyle="1" w:styleId="Style112">
    <w:name w:val="Style112"/>
    <w:basedOn w:val="TableNormal"/>
    <w:rPr>
      <w:rFonts w:ascii="Times New Roman" w:eastAsia="Times New Roman" w:hAnsi="Times New Roman"/>
    </w:rPr>
    <w:tblPr/>
  </w:style>
  <w:style w:type="table" w:customStyle="1" w:styleId="Style113">
    <w:name w:val="Style113"/>
    <w:basedOn w:val="TableNormal"/>
    <w:rPr>
      <w:rFonts w:ascii="Times New Roman" w:eastAsia="Times New Roman" w:hAnsi="Times New Roman"/>
    </w:rPr>
    <w:tblPr/>
  </w:style>
  <w:style w:type="table" w:customStyle="1" w:styleId="Style114">
    <w:name w:val="Style114"/>
    <w:basedOn w:val="TableNormal"/>
    <w:rPr>
      <w:rFonts w:ascii="Times New Roman" w:eastAsia="Times New Roman" w:hAnsi="Times New Roman"/>
    </w:rPr>
    <w:tblPr/>
  </w:style>
  <w:style w:type="table" w:customStyle="1" w:styleId="Style115">
    <w:name w:val="Style115"/>
    <w:basedOn w:val="TableNormal"/>
    <w:rPr>
      <w:rFonts w:ascii="Times New Roman" w:eastAsia="Times New Roman" w:hAnsi="Times New Roman"/>
    </w:rPr>
    <w:tblPr/>
  </w:style>
  <w:style w:type="table" w:customStyle="1" w:styleId="Style116">
    <w:name w:val="Style116"/>
    <w:basedOn w:val="TableNormal"/>
    <w:rPr>
      <w:rFonts w:ascii="Times New Roman" w:eastAsia="Times New Roman" w:hAnsi="Times New Roman"/>
    </w:rPr>
    <w:tblPr/>
  </w:style>
  <w:style w:type="table" w:customStyle="1" w:styleId="Style117">
    <w:name w:val="Style117"/>
    <w:basedOn w:val="TableNormal"/>
    <w:rPr>
      <w:rFonts w:ascii="Times New Roman" w:eastAsia="Times New Roman" w:hAnsi="Times New Roman"/>
    </w:rPr>
    <w:tblPr/>
  </w:style>
  <w:style w:type="table" w:customStyle="1" w:styleId="Style118">
    <w:name w:val="Style118"/>
    <w:basedOn w:val="TableNormal"/>
    <w:rPr>
      <w:rFonts w:ascii="Times New Roman" w:eastAsia="Times New Roman" w:hAnsi="Times New Roman"/>
    </w:rPr>
    <w:tblPr/>
  </w:style>
  <w:style w:type="table" w:customStyle="1" w:styleId="Style119">
    <w:name w:val="Style119"/>
    <w:basedOn w:val="TableNormal"/>
    <w:rPr>
      <w:rFonts w:ascii="Times New Roman" w:eastAsia="Times New Roman" w:hAnsi="Times New Roman"/>
    </w:rPr>
    <w:tblPr/>
  </w:style>
  <w:style w:type="table" w:customStyle="1" w:styleId="Style120">
    <w:name w:val="Style120"/>
    <w:basedOn w:val="TableNormal"/>
    <w:rPr>
      <w:rFonts w:ascii="Times New Roman" w:eastAsia="Times New Roman" w:hAnsi="Times New Roman"/>
    </w:rPr>
    <w:tblPr/>
  </w:style>
  <w:style w:type="table" w:customStyle="1" w:styleId="Style121">
    <w:name w:val="Style121"/>
    <w:basedOn w:val="TableNormal"/>
    <w:rPr>
      <w:rFonts w:ascii="Times New Roman" w:eastAsia="Times New Roman" w:hAnsi="Times New Roman"/>
    </w:rPr>
    <w:tblPr/>
  </w:style>
  <w:style w:type="table" w:customStyle="1" w:styleId="Style122">
    <w:name w:val="Style122"/>
    <w:basedOn w:val="TableNormal"/>
    <w:rPr>
      <w:rFonts w:ascii="Times New Roman" w:eastAsia="Times New Roman" w:hAnsi="Times New Roman"/>
    </w:rPr>
    <w:tblPr/>
  </w:style>
  <w:style w:type="table" w:customStyle="1" w:styleId="Style123">
    <w:name w:val="Style123"/>
    <w:basedOn w:val="TableNormal"/>
    <w:rPr>
      <w:rFonts w:ascii="Times New Roman" w:eastAsia="Times New Roman" w:hAnsi="Times New Roman"/>
    </w:rPr>
    <w:tblPr/>
  </w:style>
  <w:style w:type="table" w:customStyle="1" w:styleId="Style124">
    <w:name w:val="Style124"/>
    <w:basedOn w:val="TableNormal"/>
    <w:rPr>
      <w:rFonts w:ascii="Times New Roman" w:eastAsia="Times New Roman" w:hAnsi="Times New Roman"/>
    </w:rPr>
    <w:tblPr/>
  </w:style>
  <w:style w:type="table" w:customStyle="1" w:styleId="Style125">
    <w:name w:val="Style125"/>
    <w:basedOn w:val="TableNormal"/>
    <w:rPr>
      <w:rFonts w:ascii="Times New Roman" w:eastAsia="Times New Roman" w:hAnsi="Times New Roman"/>
    </w:rPr>
    <w:tblPr/>
  </w:style>
  <w:style w:type="table" w:customStyle="1" w:styleId="Style126">
    <w:name w:val="Style126"/>
    <w:basedOn w:val="TableNormal"/>
    <w:rPr>
      <w:rFonts w:ascii="Times New Roman" w:eastAsia="Times New Roman" w:hAnsi="Times New Roman"/>
    </w:rPr>
    <w:tblPr/>
  </w:style>
  <w:style w:type="table" w:customStyle="1" w:styleId="Style127">
    <w:name w:val="Style127"/>
    <w:basedOn w:val="TableNormal"/>
    <w:rPr>
      <w:rFonts w:ascii="Times New Roman" w:eastAsia="Times New Roman" w:hAnsi="Times New Roman"/>
    </w:rPr>
    <w:tblPr/>
  </w:style>
  <w:style w:type="character" w:customStyle="1" w:styleId="Heading1Char">
    <w:name w:val="Heading 1 Char"/>
    <w:link w:val="Heading1"/>
    <w:uiPriority w:val="9"/>
    <w:rPr>
      <w:rFonts w:ascii="Arial" w:eastAsia="SimSun" w:hAnsi="Arial"/>
      <w:bCs/>
      <w:color w:val="A6A6A6"/>
      <w:sz w:val="24"/>
      <w:szCs w:val="28"/>
      <w:lang w:eastAsia="en-US" w:bidi="ar-SA"/>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tabs>
        <w:tab w:val="right" w:leader="dot" w:pos="9062"/>
      </w:tabs>
      <w:spacing w:after="100"/>
    </w:pPr>
    <w:rPr>
      <w:rFonts w:ascii="Arial" w:hAnsi="Arial" w:cs="Arial"/>
      <w:noProof/>
      <w:sz w:val="20"/>
    </w:rPr>
  </w:style>
  <w:style w:type="character" w:styleId="FollowedHyperlink">
    <w:name w:val="FollowedHyperlink"/>
    <w:uiPriority w:val="99"/>
    <w:semiHidden/>
    <w:unhideWhenUsed/>
    <w:rPr>
      <w:color w:val="800080"/>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lang w:eastAsia="en-US" w:bidi="ar-SA"/>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uiPriority w:val="20"/>
    <w:qFormat/>
    <w:rPr>
      <w:i/>
      <w:iCs/>
    </w:rPr>
  </w:style>
  <w:style w:type="paragraph" w:styleId="ListBullet">
    <w:name w:val="List Bullet"/>
    <w:basedOn w:val="Normal"/>
    <w:pPr>
      <w:numPr>
        <w:numId w:val="7"/>
      </w:numPr>
    </w:pPr>
    <w:rPr>
      <w:rFonts w:ascii="Arial" w:hAnsi="Arial"/>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link w:val="Signature"/>
    <w:uiPriority w:val="99"/>
    <w:semiHidden/>
    <w:rPr>
      <w:rFonts w:ascii="Times New Roman" w:eastAsia="Times New Roman" w:hAnsi="Times New Roman"/>
      <w:sz w:val="24"/>
      <w:lang w:eastAsia="en-US" w:bidi="ar-SA"/>
    </w:rPr>
  </w:style>
  <w:style w:type="paragraph" w:styleId="Revision">
    <w:name w:val="Revision"/>
    <w:hidden/>
    <w:uiPriority w:val="99"/>
    <w:semiHidden/>
    <w:rPr>
      <w:rFonts w:ascii="Times New Roman" w:eastAsia="Times New Roman" w:hAnsi="Times New Roman"/>
      <w:sz w:val="24"/>
      <w:lang w:eastAsia="en-US" w:bidi="ar-SA"/>
    </w:rPr>
  </w:style>
  <w:style w:type="character" w:customStyle="1" w:styleId="f1">
    <w:name w:val="f1"/>
    <w:rPr>
      <w:color w:val="666666"/>
    </w:rPr>
  </w:style>
  <w:style w:type="character" w:customStyle="1" w:styleId="st1">
    <w:name w:val="st1"/>
    <w:basedOn w:val="DefaultParagraphFont"/>
  </w:style>
  <w:style w:type="character" w:styleId="Strong">
    <w:name w:val="Strong"/>
    <w:uiPriority w:val="22"/>
    <w:qFormat/>
    <w:rPr>
      <w:b/>
      <w:bCs/>
    </w:rPr>
  </w:style>
  <w:style w:type="character" w:styleId="SubtleEmphasis">
    <w:name w:val="Subtle Emphasis"/>
    <w:uiPriority w:val="19"/>
    <w:qFormat/>
    <w:rPr>
      <w:i/>
      <w:iCs/>
      <w:color w:val="80808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OC1Char">
    <w:name w:val="TOC 1 Char"/>
    <w:link w:val="TOC1"/>
    <w:uiPriority w:val="39"/>
    <w:rPr>
      <w:rFonts w:ascii="Arial" w:eastAsia="Times New Roman" w:hAnsi="Arial" w:cs="Arial"/>
      <w:noProof/>
      <w:lang w:eastAsia="en-US" w:bidi="ar-SA"/>
    </w:rPr>
  </w:style>
  <w:style w:type="character" w:customStyle="1" w:styleId="FooterCoverPageChar">
    <w:name w:val="Footer Cover Page Char"/>
    <w:link w:val="FooterCoverPage"/>
    <w:rPr>
      <w:rFonts w:ascii="Times New Roman" w:eastAsiaTheme="minorHAnsi" w:hAnsi="Times New Roman"/>
      <w:sz w:val="24"/>
      <w:szCs w:val="22"/>
      <w:lang w:eastAsia="en-US" w:bidi="ar-SA"/>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link w:val="HeaderCoverPage"/>
    <w:rPr>
      <w:rFonts w:ascii="Times New Roman" w:eastAsiaTheme="minorHAnsi" w:hAnsi="Times New Roman"/>
      <w:sz w:val="24"/>
      <w:szCs w:val="22"/>
      <w:lang w:eastAsia="en-US" w:bidi="ar-SA"/>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link w:val="BodyText3"/>
    <w:rPr>
      <w:rFonts w:ascii="Arial" w:eastAsia="Times New Roman" w:hAnsi="Arial"/>
      <w:sz w:val="16"/>
      <w:lang w:eastAsia="en-US" w:bidi="ar-SA"/>
    </w:rPr>
  </w:style>
  <w:style w:type="character" w:customStyle="1" w:styleId="Heading3Char">
    <w:name w:val="Heading 3 Char"/>
    <w:link w:val="Heading3"/>
    <w:rPr>
      <w:rFonts w:ascii="Cambria" w:eastAsia="SimSun" w:hAnsi="Cambria"/>
      <w:b/>
      <w:bCs/>
      <w:color w:val="4F81BD"/>
      <w:sz w:val="24"/>
      <w:lang w:eastAsia="en-US" w:bidi="ar-SA"/>
    </w:rPr>
  </w:style>
  <w:style w:type="paragraph" w:customStyle="1" w:styleId="Default">
    <w:name w:val="Default"/>
    <w:pPr>
      <w:autoSpaceDE w:val="0"/>
      <w:autoSpaceDN w:val="0"/>
      <w:adjustRightInd w:val="0"/>
    </w:pPr>
    <w:rPr>
      <w:rFonts w:ascii="Arial" w:hAnsi="Arial" w:cs="Arial"/>
      <w:color w:val="000000"/>
      <w:sz w:val="24"/>
      <w:szCs w:val="24"/>
      <w:lang w:eastAsia="en-US" w:bidi="ar-SA"/>
    </w:rPr>
  </w:style>
  <w:style w:type="paragraph" w:customStyle="1" w:styleId="c08dispositif">
    <w:name w:val="c08dispositif"/>
    <w:basedOn w:val="Normal"/>
    <w:pPr>
      <w:spacing w:before="100" w:beforeAutospacing="1"/>
      <w:ind w:left="1134" w:hanging="567"/>
    </w:pPr>
    <w:rPr>
      <w:rFonts w:eastAsia="Calibri"/>
      <w:b/>
      <w:bCs/>
      <w:szCs w:val="24"/>
      <w:lang w:eastAsia="en-GB"/>
    </w:rPr>
  </w:style>
  <w:style w:type="paragraph" w:customStyle="1" w:styleId="Contact">
    <w:name w:val="Contact"/>
    <w:basedOn w:val="Normal"/>
    <w:next w:val="Normal"/>
    <w:pPr>
      <w:spacing w:after="480"/>
      <w:ind w:left="567" w:hanging="567"/>
    </w:pPr>
  </w:style>
  <w:style w:type="paragraph" w:customStyle="1" w:styleId="Declassification">
    <w:name w:val="Declassification"/>
    <w:basedOn w:val="Normal"/>
    <w:next w:val="Normal"/>
    <w:pPr>
      <w:spacing w:after="0"/>
    </w:pPr>
    <w:rPr>
      <w:rFonts w:eastAsia="Calibri"/>
    </w:rPr>
  </w:style>
  <w:style w:type="paragraph" w:customStyle="1" w:styleId="HeaderLandscape">
    <w:name w:val="HeaderLandscape"/>
    <w:basedOn w:val="Normal"/>
    <w:pPr>
      <w:tabs>
        <w:tab w:val="center" w:pos="7285"/>
        <w:tab w:val="right" w:pos="14003"/>
      </w:tabs>
      <w:spacing w:after="120"/>
    </w:pPr>
    <w:rPr>
      <w:rFonts w:eastAsia="Calibri"/>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eastAsia="Calibri"/>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3">
    <w:name w:val="Text 3"/>
    <w:basedOn w:val="Normal"/>
    <w:pPr>
      <w:tabs>
        <w:tab w:val="left" w:pos="2302"/>
      </w:tabs>
      <w:ind w:left="1202"/>
    </w:pPr>
    <w:rPr>
      <w:rFonts w:ascii="Arial" w:hAnsi="Arial"/>
    </w:rPr>
  </w:style>
  <w:style w:type="character" w:customStyle="1" w:styleId="bluetext11">
    <w:name w:val="bluetext11"/>
    <w:basedOn w:val="DefaultParagraphFont"/>
  </w:style>
  <w:style w:type="paragraph" w:customStyle="1" w:styleId="AnnualReport1">
    <w:name w:val="Annual Report §1"/>
    <w:basedOn w:val="Normal"/>
    <w:link w:val="AnnualReport1Char"/>
    <w:qFormat/>
    <w:pPr>
      <w:keepNext/>
      <w:keepLines/>
      <w:spacing w:before="360" w:after="120"/>
      <w:ind w:left="360" w:hanging="360"/>
      <w:outlineLvl w:val="1"/>
    </w:pPr>
    <w:rPr>
      <w:rFonts w:ascii="Arial" w:eastAsia="MS Gothic" w:hAnsi="Arial" w:cs="Arial"/>
      <w:caps/>
      <w:color w:val="4F81BD"/>
      <w:kern w:val="20"/>
      <w:szCs w:val="24"/>
    </w:rPr>
  </w:style>
  <w:style w:type="paragraph" w:customStyle="1" w:styleId="AnnualReport2">
    <w:name w:val="Annual Report §2"/>
    <w:basedOn w:val="Normal"/>
    <w:link w:val="AnnualReport2Char"/>
    <w:qFormat/>
    <w:pPr>
      <w:spacing w:before="240"/>
      <w:ind w:left="786"/>
      <w:outlineLvl w:val="1"/>
    </w:pPr>
    <w:rPr>
      <w:rFonts w:ascii="Arial" w:hAnsi="Arial"/>
      <w:color w:val="002060"/>
    </w:rPr>
  </w:style>
  <w:style w:type="character" w:customStyle="1" w:styleId="AnnualReport1Char">
    <w:name w:val="Annual Report §1 Char"/>
    <w:link w:val="AnnualReport1"/>
    <w:rPr>
      <w:rFonts w:ascii="Arial" w:eastAsia="MS Gothic" w:hAnsi="Arial" w:cs="Arial"/>
      <w:caps/>
      <w:color w:val="4F81BD"/>
      <w:kern w:val="20"/>
      <w:sz w:val="22"/>
      <w:szCs w:val="24"/>
      <w:lang w:eastAsia="en-US" w:bidi="ar-SA"/>
    </w:rPr>
  </w:style>
  <w:style w:type="character" w:customStyle="1" w:styleId="AnnualReport2Char">
    <w:name w:val="Annual Report §2 Char"/>
    <w:link w:val="AnnualReport2"/>
    <w:rPr>
      <w:rFonts w:ascii="Arial" w:eastAsia="Times New Roman" w:hAnsi="Arial"/>
      <w:color w:val="002060"/>
      <w:sz w:val="22"/>
      <w:szCs w:val="22"/>
      <w:lang w:eastAsia="en-US" w:bidi="ar-SA"/>
    </w:rPr>
  </w:style>
  <w:style w:type="character" w:customStyle="1" w:styleId="Heading2Char">
    <w:name w:val="Heading 2 Char"/>
    <w:link w:val="Heading2"/>
    <w:rPr>
      <w:rFonts w:ascii="Arial" w:eastAsia="Times New Roman" w:hAnsi="Arial"/>
      <w:b/>
      <w:sz w:val="22"/>
      <w:lang w:eastAsia="en-US" w:bidi="ar-SA"/>
    </w:rPr>
  </w:style>
  <w:style w:type="character" w:customStyle="1" w:styleId="Heading4Char">
    <w:name w:val="Heading 4 Char"/>
    <w:link w:val="Heading4"/>
    <w:rPr>
      <w:rFonts w:ascii="Arial" w:eastAsia="Times New Roman" w:hAnsi="Arial"/>
      <w:sz w:val="22"/>
      <w:lang w:eastAsia="en-US" w:bidi="ar-SA"/>
    </w:rPr>
  </w:style>
  <w:style w:type="paragraph" w:customStyle="1" w:styleId="Text4">
    <w:name w:val="Text 4"/>
    <w:basedOn w:val="Normal"/>
    <w:pPr>
      <w:tabs>
        <w:tab w:val="left" w:pos="2302"/>
      </w:tabs>
      <w:ind w:left="1202"/>
    </w:pPr>
    <w:rPr>
      <w:rFonts w:ascii="Arial" w:hAnsi="Arial"/>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semiHidden/>
    <w:rPr>
      <w:rFonts w:ascii="Times New Roman" w:eastAsia="Times New Roman" w:hAnsi="Times New Roman"/>
      <w:lang w:eastAsia="en-US" w:bidi="ar-SA"/>
    </w:rPr>
  </w:style>
  <w:style w:type="character" w:styleId="EndnoteReference">
    <w:name w:val="endnote reference"/>
    <w:uiPriority w:val="99"/>
    <w:semiHidden/>
    <w:unhideWhenUsed/>
    <w:rPr>
      <w:vertAlign w:val="superscript"/>
    </w:rPr>
  </w:style>
  <w:style w:type="paragraph" w:styleId="ListNumber5">
    <w:name w:val="List Number 5"/>
    <w:basedOn w:val="Normal"/>
    <w:pPr>
      <w:numPr>
        <w:numId w:val="74"/>
      </w:numPr>
    </w:pPr>
    <w:rPr>
      <w:lang w:eastAsia="en-GB"/>
    </w:rPr>
  </w:style>
  <w:style w:type="paragraph" w:customStyle="1" w:styleId="Basis">
    <w:name w:val="Basis"/>
    <w:basedOn w:val="Normal"/>
    <w:link w:val="BasisChar"/>
    <w:qFormat/>
    <w:pPr>
      <w:ind w:left="720"/>
    </w:pPr>
    <w:rPr>
      <w:rFonts w:ascii="Verdana" w:hAnsi="Verdana"/>
      <w:sz w:val="20"/>
      <w:lang w:val="en-US" w:eastAsia="en-GB"/>
    </w:rPr>
  </w:style>
  <w:style w:type="character" w:customStyle="1" w:styleId="BasisChar">
    <w:name w:val="Basis Char"/>
    <w:link w:val="Basis"/>
    <w:rPr>
      <w:rFonts w:ascii="Verdana" w:eastAsia="Times New Roman" w:hAnsi="Verdana"/>
      <w:szCs w:val="22"/>
      <w:lang w:val="en-US" w:bidi="ar-SA"/>
    </w:rPr>
  </w:style>
  <w:style w:type="character" w:customStyle="1" w:styleId="bold">
    <w:name w:val="bold"/>
  </w:style>
  <w:style w:type="paragraph" w:customStyle="1" w:styleId="ListBullet1">
    <w:name w:val="List Bullet 1"/>
    <w:basedOn w:val="Normal"/>
    <w:pPr>
      <w:numPr>
        <w:numId w:val="76"/>
      </w:numPr>
    </w:pPr>
  </w:style>
  <w:style w:type="numbering" w:customStyle="1" w:styleId="NoList1">
    <w:name w:val="No List1"/>
    <w:next w:val="NoList"/>
    <w:uiPriority w:val="99"/>
    <w:semiHidden/>
    <w:unhideWhenUsed/>
  </w:style>
  <w:style w:type="table" w:customStyle="1" w:styleId="Style128">
    <w:name w:val="Style128"/>
    <w:basedOn w:val="TableNormal"/>
    <w:rPr>
      <w:rFonts w:ascii="Times New Roman" w:eastAsia="Times New Roman" w:hAnsi="Times New Roman"/>
    </w:rPr>
    <w:tblPr/>
  </w:style>
  <w:style w:type="table" w:customStyle="1" w:styleId="Style1110">
    <w:name w:val="Style1110"/>
    <w:basedOn w:val="TableNormal"/>
    <w:rPr>
      <w:rFonts w:ascii="Times New Roman" w:eastAsia="Times New Roman" w:hAnsi="Times New Roman"/>
    </w:rPr>
    <w:tblPr/>
  </w:style>
  <w:style w:type="table" w:customStyle="1" w:styleId="Style129">
    <w:name w:val="Style129"/>
    <w:basedOn w:val="TableNormal"/>
    <w:rPr>
      <w:rFonts w:ascii="Times New Roman" w:eastAsia="Times New Roman" w:hAnsi="Times New Roman"/>
    </w:rPr>
    <w:tblPr/>
  </w:style>
  <w:style w:type="table" w:customStyle="1" w:styleId="Style131">
    <w:name w:val="Style131"/>
    <w:basedOn w:val="TableNormal"/>
    <w:rPr>
      <w:rFonts w:ascii="Times New Roman" w:eastAsia="Times New Roman" w:hAnsi="Times New Roman"/>
    </w:rPr>
    <w:tblPr/>
  </w:style>
  <w:style w:type="table" w:customStyle="1" w:styleId="Style141">
    <w:name w:val="Style141"/>
    <w:basedOn w:val="TableNormal"/>
    <w:rPr>
      <w:rFonts w:ascii="Times New Roman" w:eastAsia="Times New Roman" w:hAnsi="Times New Roman"/>
    </w:rPr>
    <w:tblPr/>
  </w:style>
  <w:style w:type="table" w:customStyle="1" w:styleId="Style151">
    <w:name w:val="Style151"/>
    <w:basedOn w:val="TableNormal"/>
    <w:rPr>
      <w:rFonts w:ascii="Times New Roman" w:eastAsia="Times New Roman" w:hAnsi="Times New Roman"/>
    </w:rPr>
    <w:tblPr/>
  </w:style>
  <w:style w:type="table" w:customStyle="1" w:styleId="Style161">
    <w:name w:val="Style161"/>
    <w:basedOn w:val="TableNormal"/>
    <w:rPr>
      <w:rFonts w:ascii="Times New Roman" w:eastAsia="Times New Roman" w:hAnsi="Times New Roman"/>
    </w:rPr>
    <w:tblPr/>
  </w:style>
  <w:style w:type="table" w:customStyle="1" w:styleId="Style171">
    <w:name w:val="Style171"/>
    <w:basedOn w:val="TableNormal"/>
    <w:rPr>
      <w:rFonts w:ascii="Times New Roman" w:eastAsia="Times New Roman" w:hAnsi="Times New Roman"/>
    </w:rPr>
    <w:tblPr/>
  </w:style>
  <w:style w:type="table" w:customStyle="1" w:styleId="Style181">
    <w:name w:val="Style181"/>
    <w:basedOn w:val="TableNormal"/>
    <w:rPr>
      <w:rFonts w:ascii="Times New Roman" w:eastAsia="Times New Roman" w:hAnsi="Times New Roman"/>
    </w:rPr>
    <w:tblPr/>
  </w:style>
  <w:style w:type="table" w:customStyle="1" w:styleId="Style191">
    <w:name w:val="Style191"/>
    <w:basedOn w:val="TableNormal"/>
    <w:rPr>
      <w:rFonts w:ascii="Times New Roman" w:eastAsia="Times New Roman" w:hAnsi="Times New Roman"/>
    </w:rPr>
    <w:tblPr/>
  </w:style>
  <w:style w:type="table" w:customStyle="1" w:styleId="Style1101">
    <w:name w:val="Style1101"/>
    <w:basedOn w:val="TableNormal"/>
    <w:rPr>
      <w:rFonts w:ascii="Times New Roman" w:eastAsia="Times New Roman" w:hAnsi="Times New Roman"/>
    </w:rPr>
    <w:tblPr/>
  </w:style>
  <w:style w:type="table" w:customStyle="1" w:styleId="Style1111">
    <w:name w:val="Style1111"/>
    <w:basedOn w:val="TableNormal"/>
    <w:rPr>
      <w:rFonts w:ascii="Times New Roman" w:eastAsia="Times New Roman" w:hAnsi="Times New Roman"/>
    </w:rPr>
    <w:tblPr/>
  </w:style>
  <w:style w:type="table" w:customStyle="1" w:styleId="Style1121">
    <w:name w:val="Style1121"/>
    <w:basedOn w:val="TableNormal"/>
    <w:rPr>
      <w:rFonts w:ascii="Times New Roman" w:eastAsia="Times New Roman" w:hAnsi="Times New Roman"/>
    </w:rPr>
    <w:tblPr/>
  </w:style>
  <w:style w:type="table" w:customStyle="1" w:styleId="Style1131">
    <w:name w:val="Style1131"/>
    <w:basedOn w:val="TableNormal"/>
    <w:rPr>
      <w:rFonts w:ascii="Times New Roman" w:eastAsia="Times New Roman" w:hAnsi="Times New Roman"/>
    </w:rPr>
    <w:tblPr/>
  </w:style>
  <w:style w:type="table" w:customStyle="1" w:styleId="Style1141">
    <w:name w:val="Style1141"/>
    <w:basedOn w:val="TableNormal"/>
    <w:rPr>
      <w:rFonts w:ascii="Times New Roman" w:eastAsia="Times New Roman" w:hAnsi="Times New Roman"/>
    </w:rPr>
    <w:tblPr/>
  </w:style>
  <w:style w:type="table" w:customStyle="1" w:styleId="Style1151">
    <w:name w:val="Style1151"/>
    <w:basedOn w:val="TableNormal"/>
    <w:rPr>
      <w:rFonts w:ascii="Times New Roman" w:eastAsia="Times New Roman" w:hAnsi="Times New Roman"/>
    </w:rPr>
    <w:tblPr/>
  </w:style>
  <w:style w:type="table" w:customStyle="1" w:styleId="Style1161">
    <w:name w:val="Style1161"/>
    <w:basedOn w:val="TableNormal"/>
    <w:rPr>
      <w:rFonts w:ascii="Times New Roman" w:eastAsia="Times New Roman" w:hAnsi="Times New Roman"/>
    </w:rPr>
    <w:tblPr/>
  </w:style>
  <w:style w:type="table" w:customStyle="1" w:styleId="Style1171">
    <w:name w:val="Style1171"/>
    <w:basedOn w:val="TableNormal"/>
    <w:rPr>
      <w:rFonts w:ascii="Times New Roman" w:eastAsia="Times New Roman" w:hAnsi="Times New Roman"/>
    </w:rPr>
    <w:tblPr/>
  </w:style>
  <w:style w:type="table" w:customStyle="1" w:styleId="Style1181">
    <w:name w:val="Style1181"/>
    <w:basedOn w:val="TableNormal"/>
    <w:rPr>
      <w:rFonts w:ascii="Times New Roman" w:eastAsia="Times New Roman" w:hAnsi="Times New Roman"/>
    </w:rPr>
    <w:tblPr/>
  </w:style>
  <w:style w:type="table" w:customStyle="1" w:styleId="Style1191">
    <w:name w:val="Style1191"/>
    <w:basedOn w:val="TableNormal"/>
    <w:rPr>
      <w:rFonts w:ascii="Times New Roman" w:eastAsia="Times New Roman" w:hAnsi="Times New Roman"/>
    </w:rPr>
    <w:tblPr/>
  </w:style>
  <w:style w:type="table" w:customStyle="1" w:styleId="Style1201">
    <w:name w:val="Style1201"/>
    <w:basedOn w:val="TableNormal"/>
    <w:rPr>
      <w:rFonts w:ascii="Times New Roman" w:eastAsia="Times New Roman" w:hAnsi="Times New Roman"/>
    </w:rPr>
    <w:tblPr/>
  </w:style>
  <w:style w:type="table" w:customStyle="1" w:styleId="Style1211">
    <w:name w:val="Style1211"/>
    <w:basedOn w:val="TableNormal"/>
    <w:rPr>
      <w:rFonts w:ascii="Times New Roman" w:eastAsia="Times New Roman" w:hAnsi="Times New Roman"/>
    </w:rPr>
    <w:tblPr/>
  </w:style>
  <w:style w:type="table" w:customStyle="1" w:styleId="Style1221">
    <w:name w:val="Style1221"/>
    <w:basedOn w:val="TableNormal"/>
    <w:rPr>
      <w:rFonts w:ascii="Times New Roman" w:eastAsia="Times New Roman" w:hAnsi="Times New Roman"/>
    </w:rPr>
    <w:tblPr/>
  </w:style>
  <w:style w:type="table" w:customStyle="1" w:styleId="Style1231">
    <w:name w:val="Style1231"/>
    <w:basedOn w:val="TableNormal"/>
    <w:rPr>
      <w:rFonts w:ascii="Times New Roman" w:eastAsia="Times New Roman" w:hAnsi="Times New Roman"/>
    </w:rPr>
    <w:tblPr/>
  </w:style>
  <w:style w:type="table" w:customStyle="1" w:styleId="Style1241">
    <w:name w:val="Style1241"/>
    <w:basedOn w:val="TableNormal"/>
    <w:rPr>
      <w:rFonts w:ascii="Times New Roman" w:eastAsia="Times New Roman" w:hAnsi="Times New Roman"/>
    </w:rPr>
    <w:tblPr/>
  </w:style>
  <w:style w:type="table" w:customStyle="1" w:styleId="Style1251">
    <w:name w:val="Style1251"/>
    <w:basedOn w:val="TableNormal"/>
    <w:rPr>
      <w:rFonts w:ascii="Times New Roman" w:eastAsia="Times New Roman" w:hAnsi="Times New Roman"/>
    </w:rPr>
    <w:tblPr/>
  </w:style>
  <w:style w:type="table" w:customStyle="1" w:styleId="Style1261">
    <w:name w:val="Style1261"/>
    <w:basedOn w:val="TableNormal"/>
    <w:rPr>
      <w:rFonts w:ascii="Times New Roman" w:eastAsia="Times New Roman" w:hAnsi="Times New Roman"/>
    </w:rPr>
    <w:tblPr/>
  </w:style>
  <w:style w:type="table" w:customStyle="1" w:styleId="Style1271">
    <w:name w:val="Style1271"/>
    <w:basedOn w:val="TableNormal"/>
    <w:rPr>
      <w:rFonts w:ascii="Times New Roman" w:eastAsia="Times New Roman" w:hAnsi="Times New Roman"/>
    </w:rPr>
    <w:tbl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heme="minorHAnsi" w:hAnsi="Courier New" w:cstheme="minorBidi"/>
      <w:szCs w:val="22"/>
      <w:lang w:eastAsia="en-US" w:bidi="ar-SA"/>
    </w:rPr>
  </w:style>
  <w:style w:type="character" w:customStyle="1" w:styleId="LienInternet">
    <w:name w:val="Lien Internet"/>
    <w:rPr>
      <w:color w:val="0000FF"/>
      <w:u w:val="single"/>
    </w:rPr>
  </w:style>
  <w:style w:type="character" w:customStyle="1" w:styleId="Caractresdenotedebasdepage">
    <w:name w:val="Caractères de note de bas de page"/>
    <w:qFormat/>
  </w:style>
  <w:style w:type="character" w:customStyle="1" w:styleId="LienInternetvisit">
    <w:name w:val="Lien Internet visité"/>
    <w:rPr>
      <w:color w:val="800000"/>
      <w:u w:val="single"/>
    </w:rPr>
  </w:style>
  <w:style w:type="character" w:customStyle="1" w:styleId="textblock">
    <w:name w:val="textblock"/>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rFonts w:ascii="Calibri" w:eastAsia="Calibri" w:hAnsi="Calibri" w:cs="Times New Roman"/>
      <w:sz w:val="20"/>
      <w:szCs w:val="20"/>
      <w:vertAlign w:val="superscript"/>
      <w:lang w:eastAsia="en-GB" w:bidi="th-TH"/>
    </w:rPr>
  </w:style>
  <w:style w:type="paragraph" w:customStyle="1" w:styleId="BulletPoint2">
    <w:name w:val="Bullet Point 2"/>
    <w:basedOn w:val="NormalIndent"/>
    <w:pPr>
      <w:numPr>
        <w:numId w:val="108"/>
      </w:numPr>
      <w:spacing w:after="120" w:line="240" w:lineRule="auto"/>
      <w:ind w:left="1077" w:hanging="357"/>
    </w:pPr>
    <w:rPr>
      <w:rFonts w:ascii="Verdana" w:eastAsia="Times New Roman" w:hAnsi="Verdana" w:cs="Times New Roman"/>
      <w:sz w:val="18"/>
      <w:lang w:eastAsia="en-GB"/>
    </w:rPr>
  </w:style>
  <w:style w:type="paragraph" w:styleId="NormalIndent">
    <w:name w:val="Normal Indent"/>
    <w:basedOn w:val="Normal"/>
    <w:uiPriority w:val="99"/>
    <w:semiHidden/>
    <w:unhideWhenUsed/>
    <w:pPr>
      <w:ind w:left="720"/>
    </w:pPr>
  </w:style>
  <w:style w:type="character" w:customStyle="1" w:styleId="Ancredenotedebasdepage">
    <w:name w:val="Ancre de note de bas de page"/>
    <w:rPr>
      <w:vertAlign w:val="superscript"/>
    </w:rPr>
  </w:style>
  <w:style w:type="character" w:customStyle="1" w:styleId="outputecliaff">
    <w:name w:val="outputecliaff"/>
    <w:basedOn w:val="DefaultParagraphFont"/>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heme="minorHAnsi" w:eastAsiaTheme="minorHAnsi" w:hAnsiTheme="minorHAnsi" w:cstheme="minorBidi"/>
      <w:sz w:val="22"/>
      <w:szCs w:val="22"/>
      <w:lang w:eastAsia="en-US" w:bidi="ar-SA"/>
    </w:rPr>
  </w:style>
  <w:style w:type="character" w:customStyle="1" w:styleId="ListParagraphChar">
    <w:name w:val="List Paragraph Char"/>
    <w:basedOn w:val="DefaultParagraphFont"/>
    <w:link w:val="ListParagraph"/>
    <w:uiPriority w:val="34"/>
    <w:rPr>
      <w:rFonts w:asciiTheme="minorHAnsi" w:eastAsiaTheme="minorHAnsi" w:hAnsiTheme="minorHAnsi" w:cstheme="minorBidi"/>
      <w:sz w:val="22"/>
      <w:szCs w:val="22"/>
      <w:lang w:eastAsia="en-US" w:bidi="ar-SA"/>
    </w:rPr>
  </w:style>
  <w:style w:type="paragraph" w:styleId="Index9">
    <w:name w:val="index 9"/>
    <w:basedOn w:val="Normal"/>
    <w:next w:val="Normal"/>
    <w:autoRedefine/>
    <w:semiHidden/>
    <w:pPr>
      <w:ind w:left="2160" w:hanging="240"/>
    </w:pPr>
  </w:style>
  <w:style w:type="paragraph" w:styleId="ListBullet3">
    <w:name w:val="List Bullet 3"/>
    <w:basedOn w:val="Normal"/>
    <w:uiPriority w:val="99"/>
    <w:semiHidden/>
    <w:unhideWhenUsed/>
    <w:pPr>
      <w:numPr>
        <w:numId w:val="147"/>
      </w:numPr>
      <w:contextualSpacing/>
    </w:pPr>
  </w:style>
  <w:style w:type="table" w:styleId="TableGrid">
    <w:name w:val="Table Grid"/>
    <w:basedOn w:val="TableNormal"/>
    <w:uiPriority w:val="5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0dispositifalinea">
    <w:name w:val="c30dispositifalinea"/>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27">
      <w:bodyDiv w:val="1"/>
      <w:marLeft w:val="0"/>
      <w:marRight w:val="0"/>
      <w:marTop w:val="0"/>
      <w:marBottom w:val="0"/>
      <w:divBdr>
        <w:top w:val="none" w:sz="0" w:space="0" w:color="auto"/>
        <w:left w:val="none" w:sz="0" w:space="0" w:color="auto"/>
        <w:bottom w:val="none" w:sz="0" w:space="0" w:color="auto"/>
        <w:right w:val="none" w:sz="0" w:space="0" w:color="auto"/>
      </w:divBdr>
    </w:div>
    <w:div w:id="12926978">
      <w:bodyDiv w:val="1"/>
      <w:marLeft w:val="0"/>
      <w:marRight w:val="0"/>
      <w:marTop w:val="0"/>
      <w:marBottom w:val="0"/>
      <w:divBdr>
        <w:top w:val="none" w:sz="0" w:space="0" w:color="auto"/>
        <w:left w:val="none" w:sz="0" w:space="0" w:color="auto"/>
        <w:bottom w:val="none" w:sz="0" w:space="0" w:color="auto"/>
        <w:right w:val="none" w:sz="0" w:space="0" w:color="auto"/>
      </w:divBdr>
    </w:div>
    <w:div w:id="15546630">
      <w:bodyDiv w:val="1"/>
      <w:marLeft w:val="0"/>
      <w:marRight w:val="0"/>
      <w:marTop w:val="0"/>
      <w:marBottom w:val="0"/>
      <w:divBdr>
        <w:top w:val="none" w:sz="0" w:space="0" w:color="auto"/>
        <w:left w:val="none" w:sz="0" w:space="0" w:color="auto"/>
        <w:bottom w:val="none" w:sz="0" w:space="0" w:color="auto"/>
        <w:right w:val="none" w:sz="0" w:space="0" w:color="auto"/>
      </w:divBdr>
    </w:div>
    <w:div w:id="47269707">
      <w:bodyDiv w:val="1"/>
      <w:marLeft w:val="0"/>
      <w:marRight w:val="0"/>
      <w:marTop w:val="0"/>
      <w:marBottom w:val="0"/>
      <w:divBdr>
        <w:top w:val="none" w:sz="0" w:space="0" w:color="auto"/>
        <w:left w:val="none" w:sz="0" w:space="0" w:color="auto"/>
        <w:bottom w:val="none" w:sz="0" w:space="0" w:color="auto"/>
        <w:right w:val="none" w:sz="0" w:space="0" w:color="auto"/>
      </w:divBdr>
    </w:div>
    <w:div w:id="64886025">
      <w:bodyDiv w:val="1"/>
      <w:marLeft w:val="0"/>
      <w:marRight w:val="0"/>
      <w:marTop w:val="0"/>
      <w:marBottom w:val="0"/>
      <w:divBdr>
        <w:top w:val="none" w:sz="0" w:space="0" w:color="auto"/>
        <w:left w:val="none" w:sz="0" w:space="0" w:color="auto"/>
        <w:bottom w:val="none" w:sz="0" w:space="0" w:color="auto"/>
        <w:right w:val="none" w:sz="0" w:space="0" w:color="auto"/>
      </w:divBdr>
    </w:div>
    <w:div w:id="69667509">
      <w:bodyDiv w:val="1"/>
      <w:marLeft w:val="0"/>
      <w:marRight w:val="0"/>
      <w:marTop w:val="0"/>
      <w:marBottom w:val="0"/>
      <w:divBdr>
        <w:top w:val="none" w:sz="0" w:space="0" w:color="auto"/>
        <w:left w:val="none" w:sz="0" w:space="0" w:color="auto"/>
        <w:bottom w:val="none" w:sz="0" w:space="0" w:color="auto"/>
        <w:right w:val="none" w:sz="0" w:space="0" w:color="auto"/>
      </w:divBdr>
    </w:div>
    <w:div w:id="83887983">
      <w:bodyDiv w:val="1"/>
      <w:marLeft w:val="0"/>
      <w:marRight w:val="0"/>
      <w:marTop w:val="0"/>
      <w:marBottom w:val="0"/>
      <w:divBdr>
        <w:top w:val="none" w:sz="0" w:space="0" w:color="auto"/>
        <w:left w:val="none" w:sz="0" w:space="0" w:color="auto"/>
        <w:bottom w:val="none" w:sz="0" w:space="0" w:color="auto"/>
        <w:right w:val="none" w:sz="0" w:space="0" w:color="auto"/>
      </w:divBdr>
    </w:div>
    <w:div w:id="88742016">
      <w:bodyDiv w:val="1"/>
      <w:marLeft w:val="0"/>
      <w:marRight w:val="0"/>
      <w:marTop w:val="0"/>
      <w:marBottom w:val="0"/>
      <w:divBdr>
        <w:top w:val="none" w:sz="0" w:space="0" w:color="auto"/>
        <w:left w:val="none" w:sz="0" w:space="0" w:color="auto"/>
        <w:bottom w:val="none" w:sz="0" w:space="0" w:color="auto"/>
        <w:right w:val="none" w:sz="0" w:space="0" w:color="auto"/>
      </w:divBdr>
    </w:div>
    <w:div w:id="113908812">
      <w:bodyDiv w:val="1"/>
      <w:marLeft w:val="0"/>
      <w:marRight w:val="0"/>
      <w:marTop w:val="0"/>
      <w:marBottom w:val="0"/>
      <w:divBdr>
        <w:top w:val="none" w:sz="0" w:space="0" w:color="auto"/>
        <w:left w:val="none" w:sz="0" w:space="0" w:color="auto"/>
        <w:bottom w:val="none" w:sz="0" w:space="0" w:color="auto"/>
        <w:right w:val="none" w:sz="0" w:space="0" w:color="auto"/>
      </w:divBdr>
    </w:div>
    <w:div w:id="133648872">
      <w:bodyDiv w:val="1"/>
      <w:marLeft w:val="0"/>
      <w:marRight w:val="0"/>
      <w:marTop w:val="0"/>
      <w:marBottom w:val="0"/>
      <w:divBdr>
        <w:top w:val="none" w:sz="0" w:space="0" w:color="auto"/>
        <w:left w:val="none" w:sz="0" w:space="0" w:color="auto"/>
        <w:bottom w:val="none" w:sz="0" w:space="0" w:color="auto"/>
        <w:right w:val="none" w:sz="0" w:space="0" w:color="auto"/>
      </w:divBdr>
    </w:div>
    <w:div w:id="136731970">
      <w:bodyDiv w:val="1"/>
      <w:marLeft w:val="0"/>
      <w:marRight w:val="0"/>
      <w:marTop w:val="0"/>
      <w:marBottom w:val="0"/>
      <w:divBdr>
        <w:top w:val="none" w:sz="0" w:space="0" w:color="auto"/>
        <w:left w:val="none" w:sz="0" w:space="0" w:color="auto"/>
        <w:bottom w:val="none" w:sz="0" w:space="0" w:color="auto"/>
        <w:right w:val="none" w:sz="0" w:space="0" w:color="auto"/>
      </w:divBdr>
    </w:div>
    <w:div w:id="153880632">
      <w:bodyDiv w:val="1"/>
      <w:marLeft w:val="0"/>
      <w:marRight w:val="0"/>
      <w:marTop w:val="0"/>
      <w:marBottom w:val="0"/>
      <w:divBdr>
        <w:top w:val="none" w:sz="0" w:space="0" w:color="auto"/>
        <w:left w:val="none" w:sz="0" w:space="0" w:color="auto"/>
        <w:bottom w:val="none" w:sz="0" w:space="0" w:color="auto"/>
        <w:right w:val="none" w:sz="0" w:space="0" w:color="auto"/>
      </w:divBdr>
      <w:divsChild>
        <w:div w:id="521669573">
          <w:marLeft w:val="0"/>
          <w:marRight w:val="0"/>
          <w:marTop w:val="0"/>
          <w:marBottom w:val="0"/>
          <w:divBdr>
            <w:top w:val="none" w:sz="0" w:space="0" w:color="auto"/>
            <w:left w:val="none" w:sz="0" w:space="0" w:color="auto"/>
            <w:bottom w:val="none" w:sz="0" w:space="0" w:color="auto"/>
            <w:right w:val="none" w:sz="0" w:space="0" w:color="auto"/>
          </w:divBdr>
          <w:divsChild>
            <w:div w:id="950745430">
              <w:marLeft w:val="0"/>
              <w:marRight w:val="0"/>
              <w:marTop w:val="0"/>
              <w:marBottom w:val="0"/>
              <w:divBdr>
                <w:top w:val="none" w:sz="0" w:space="0" w:color="auto"/>
                <w:left w:val="none" w:sz="0" w:space="0" w:color="auto"/>
                <w:bottom w:val="none" w:sz="0" w:space="0" w:color="auto"/>
                <w:right w:val="none" w:sz="0" w:space="0" w:color="auto"/>
              </w:divBdr>
              <w:divsChild>
                <w:div w:id="92677281">
                  <w:marLeft w:val="0"/>
                  <w:marRight w:val="0"/>
                  <w:marTop w:val="0"/>
                  <w:marBottom w:val="0"/>
                  <w:divBdr>
                    <w:top w:val="none" w:sz="0" w:space="0" w:color="auto"/>
                    <w:left w:val="none" w:sz="0" w:space="0" w:color="auto"/>
                    <w:bottom w:val="none" w:sz="0" w:space="0" w:color="auto"/>
                    <w:right w:val="none" w:sz="0" w:space="0" w:color="auto"/>
                  </w:divBdr>
                  <w:divsChild>
                    <w:div w:id="1046293747">
                      <w:marLeft w:val="0"/>
                      <w:marRight w:val="0"/>
                      <w:marTop w:val="0"/>
                      <w:marBottom w:val="0"/>
                      <w:divBdr>
                        <w:top w:val="none" w:sz="0" w:space="0" w:color="auto"/>
                        <w:left w:val="none" w:sz="0" w:space="0" w:color="auto"/>
                        <w:bottom w:val="none" w:sz="0" w:space="0" w:color="auto"/>
                        <w:right w:val="none" w:sz="0" w:space="0" w:color="auto"/>
                      </w:divBdr>
                      <w:divsChild>
                        <w:div w:id="1632250834">
                          <w:marLeft w:val="0"/>
                          <w:marRight w:val="0"/>
                          <w:marTop w:val="0"/>
                          <w:marBottom w:val="0"/>
                          <w:divBdr>
                            <w:top w:val="none" w:sz="0" w:space="0" w:color="auto"/>
                            <w:left w:val="none" w:sz="0" w:space="0" w:color="auto"/>
                            <w:bottom w:val="none" w:sz="0" w:space="0" w:color="auto"/>
                            <w:right w:val="none" w:sz="0" w:space="0" w:color="auto"/>
                          </w:divBdr>
                          <w:divsChild>
                            <w:div w:id="159463627">
                              <w:marLeft w:val="0"/>
                              <w:marRight w:val="0"/>
                              <w:marTop w:val="0"/>
                              <w:marBottom w:val="0"/>
                              <w:divBdr>
                                <w:top w:val="none" w:sz="0" w:space="0" w:color="auto"/>
                                <w:left w:val="none" w:sz="0" w:space="0" w:color="auto"/>
                                <w:bottom w:val="none" w:sz="0" w:space="0" w:color="auto"/>
                                <w:right w:val="none" w:sz="0" w:space="0" w:color="auto"/>
                              </w:divBdr>
                              <w:divsChild>
                                <w:div w:id="53503200">
                                  <w:marLeft w:val="0"/>
                                  <w:marRight w:val="0"/>
                                  <w:marTop w:val="0"/>
                                  <w:marBottom w:val="0"/>
                                  <w:divBdr>
                                    <w:top w:val="none" w:sz="0" w:space="0" w:color="auto"/>
                                    <w:left w:val="none" w:sz="0" w:space="0" w:color="auto"/>
                                    <w:bottom w:val="none" w:sz="0" w:space="0" w:color="auto"/>
                                    <w:right w:val="none" w:sz="0" w:space="0" w:color="auto"/>
                                  </w:divBdr>
                                  <w:divsChild>
                                    <w:div w:id="13246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1653">
      <w:bodyDiv w:val="1"/>
      <w:marLeft w:val="0"/>
      <w:marRight w:val="0"/>
      <w:marTop w:val="0"/>
      <w:marBottom w:val="0"/>
      <w:divBdr>
        <w:top w:val="none" w:sz="0" w:space="0" w:color="auto"/>
        <w:left w:val="none" w:sz="0" w:space="0" w:color="auto"/>
        <w:bottom w:val="none" w:sz="0" w:space="0" w:color="auto"/>
        <w:right w:val="none" w:sz="0" w:space="0" w:color="auto"/>
      </w:divBdr>
    </w:div>
    <w:div w:id="163594572">
      <w:bodyDiv w:val="1"/>
      <w:marLeft w:val="0"/>
      <w:marRight w:val="0"/>
      <w:marTop w:val="0"/>
      <w:marBottom w:val="0"/>
      <w:divBdr>
        <w:top w:val="none" w:sz="0" w:space="0" w:color="auto"/>
        <w:left w:val="none" w:sz="0" w:space="0" w:color="auto"/>
        <w:bottom w:val="none" w:sz="0" w:space="0" w:color="auto"/>
        <w:right w:val="none" w:sz="0" w:space="0" w:color="auto"/>
      </w:divBdr>
    </w:div>
    <w:div w:id="164444687">
      <w:bodyDiv w:val="1"/>
      <w:marLeft w:val="0"/>
      <w:marRight w:val="0"/>
      <w:marTop w:val="0"/>
      <w:marBottom w:val="0"/>
      <w:divBdr>
        <w:top w:val="none" w:sz="0" w:space="0" w:color="auto"/>
        <w:left w:val="none" w:sz="0" w:space="0" w:color="auto"/>
        <w:bottom w:val="none" w:sz="0" w:space="0" w:color="auto"/>
        <w:right w:val="none" w:sz="0" w:space="0" w:color="auto"/>
      </w:divBdr>
    </w:div>
    <w:div w:id="173882585">
      <w:bodyDiv w:val="1"/>
      <w:marLeft w:val="0"/>
      <w:marRight w:val="0"/>
      <w:marTop w:val="0"/>
      <w:marBottom w:val="0"/>
      <w:divBdr>
        <w:top w:val="none" w:sz="0" w:space="0" w:color="auto"/>
        <w:left w:val="none" w:sz="0" w:space="0" w:color="auto"/>
        <w:bottom w:val="none" w:sz="0" w:space="0" w:color="auto"/>
        <w:right w:val="none" w:sz="0" w:space="0" w:color="auto"/>
      </w:divBdr>
    </w:div>
    <w:div w:id="184952051">
      <w:bodyDiv w:val="1"/>
      <w:marLeft w:val="0"/>
      <w:marRight w:val="0"/>
      <w:marTop w:val="0"/>
      <w:marBottom w:val="0"/>
      <w:divBdr>
        <w:top w:val="none" w:sz="0" w:space="0" w:color="auto"/>
        <w:left w:val="none" w:sz="0" w:space="0" w:color="auto"/>
        <w:bottom w:val="none" w:sz="0" w:space="0" w:color="auto"/>
        <w:right w:val="none" w:sz="0" w:space="0" w:color="auto"/>
      </w:divBdr>
    </w:div>
    <w:div w:id="200363207">
      <w:bodyDiv w:val="1"/>
      <w:marLeft w:val="0"/>
      <w:marRight w:val="0"/>
      <w:marTop w:val="0"/>
      <w:marBottom w:val="0"/>
      <w:divBdr>
        <w:top w:val="none" w:sz="0" w:space="0" w:color="auto"/>
        <w:left w:val="none" w:sz="0" w:space="0" w:color="auto"/>
        <w:bottom w:val="none" w:sz="0" w:space="0" w:color="auto"/>
        <w:right w:val="none" w:sz="0" w:space="0" w:color="auto"/>
      </w:divBdr>
    </w:div>
    <w:div w:id="206990373">
      <w:bodyDiv w:val="1"/>
      <w:marLeft w:val="0"/>
      <w:marRight w:val="0"/>
      <w:marTop w:val="0"/>
      <w:marBottom w:val="0"/>
      <w:divBdr>
        <w:top w:val="none" w:sz="0" w:space="0" w:color="auto"/>
        <w:left w:val="none" w:sz="0" w:space="0" w:color="auto"/>
        <w:bottom w:val="none" w:sz="0" w:space="0" w:color="auto"/>
        <w:right w:val="none" w:sz="0" w:space="0" w:color="auto"/>
      </w:divBdr>
    </w:div>
    <w:div w:id="210730174">
      <w:bodyDiv w:val="1"/>
      <w:marLeft w:val="0"/>
      <w:marRight w:val="0"/>
      <w:marTop w:val="0"/>
      <w:marBottom w:val="0"/>
      <w:divBdr>
        <w:top w:val="none" w:sz="0" w:space="0" w:color="auto"/>
        <w:left w:val="none" w:sz="0" w:space="0" w:color="auto"/>
        <w:bottom w:val="none" w:sz="0" w:space="0" w:color="auto"/>
        <w:right w:val="none" w:sz="0" w:space="0" w:color="auto"/>
      </w:divBdr>
    </w:div>
    <w:div w:id="228544657">
      <w:bodyDiv w:val="1"/>
      <w:marLeft w:val="0"/>
      <w:marRight w:val="0"/>
      <w:marTop w:val="0"/>
      <w:marBottom w:val="0"/>
      <w:divBdr>
        <w:top w:val="none" w:sz="0" w:space="0" w:color="auto"/>
        <w:left w:val="none" w:sz="0" w:space="0" w:color="auto"/>
        <w:bottom w:val="none" w:sz="0" w:space="0" w:color="auto"/>
        <w:right w:val="none" w:sz="0" w:space="0" w:color="auto"/>
      </w:divBdr>
    </w:div>
    <w:div w:id="234777100">
      <w:bodyDiv w:val="1"/>
      <w:marLeft w:val="0"/>
      <w:marRight w:val="0"/>
      <w:marTop w:val="0"/>
      <w:marBottom w:val="0"/>
      <w:divBdr>
        <w:top w:val="none" w:sz="0" w:space="0" w:color="auto"/>
        <w:left w:val="none" w:sz="0" w:space="0" w:color="auto"/>
        <w:bottom w:val="none" w:sz="0" w:space="0" w:color="auto"/>
        <w:right w:val="none" w:sz="0" w:space="0" w:color="auto"/>
      </w:divBdr>
    </w:div>
    <w:div w:id="237784682">
      <w:bodyDiv w:val="1"/>
      <w:marLeft w:val="0"/>
      <w:marRight w:val="0"/>
      <w:marTop w:val="0"/>
      <w:marBottom w:val="0"/>
      <w:divBdr>
        <w:top w:val="none" w:sz="0" w:space="0" w:color="auto"/>
        <w:left w:val="none" w:sz="0" w:space="0" w:color="auto"/>
        <w:bottom w:val="none" w:sz="0" w:space="0" w:color="auto"/>
        <w:right w:val="none" w:sz="0" w:space="0" w:color="auto"/>
      </w:divBdr>
    </w:div>
    <w:div w:id="262343959">
      <w:bodyDiv w:val="1"/>
      <w:marLeft w:val="0"/>
      <w:marRight w:val="0"/>
      <w:marTop w:val="0"/>
      <w:marBottom w:val="0"/>
      <w:divBdr>
        <w:top w:val="none" w:sz="0" w:space="0" w:color="auto"/>
        <w:left w:val="none" w:sz="0" w:space="0" w:color="auto"/>
        <w:bottom w:val="none" w:sz="0" w:space="0" w:color="auto"/>
        <w:right w:val="none" w:sz="0" w:space="0" w:color="auto"/>
      </w:divBdr>
    </w:div>
    <w:div w:id="264927036">
      <w:bodyDiv w:val="1"/>
      <w:marLeft w:val="0"/>
      <w:marRight w:val="0"/>
      <w:marTop w:val="0"/>
      <w:marBottom w:val="0"/>
      <w:divBdr>
        <w:top w:val="none" w:sz="0" w:space="0" w:color="auto"/>
        <w:left w:val="none" w:sz="0" w:space="0" w:color="auto"/>
        <w:bottom w:val="none" w:sz="0" w:space="0" w:color="auto"/>
        <w:right w:val="none" w:sz="0" w:space="0" w:color="auto"/>
      </w:divBdr>
    </w:div>
    <w:div w:id="273756425">
      <w:bodyDiv w:val="1"/>
      <w:marLeft w:val="0"/>
      <w:marRight w:val="0"/>
      <w:marTop w:val="0"/>
      <w:marBottom w:val="0"/>
      <w:divBdr>
        <w:top w:val="none" w:sz="0" w:space="0" w:color="auto"/>
        <w:left w:val="none" w:sz="0" w:space="0" w:color="auto"/>
        <w:bottom w:val="none" w:sz="0" w:space="0" w:color="auto"/>
        <w:right w:val="none" w:sz="0" w:space="0" w:color="auto"/>
      </w:divBdr>
    </w:div>
    <w:div w:id="307054311">
      <w:bodyDiv w:val="1"/>
      <w:marLeft w:val="0"/>
      <w:marRight w:val="0"/>
      <w:marTop w:val="0"/>
      <w:marBottom w:val="0"/>
      <w:divBdr>
        <w:top w:val="none" w:sz="0" w:space="0" w:color="auto"/>
        <w:left w:val="none" w:sz="0" w:space="0" w:color="auto"/>
        <w:bottom w:val="none" w:sz="0" w:space="0" w:color="auto"/>
        <w:right w:val="none" w:sz="0" w:space="0" w:color="auto"/>
      </w:divBdr>
    </w:div>
    <w:div w:id="310133436">
      <w:bodyDiv w:val="1"/>
      <w:marLeft w:val="0"/>
      <w:marRight w:val="0"/>
      <w:marTop w:val="0"/>
      <w:marBottom w:val="0"/>
      <w:divBdr>
        <w:top w:val="none" w:sz="0" w:space="0" w:color="auto"/>
        <w:left w:val="none" w:sz="0" w:space="0" w:color="auto"/>
        <w:bottom w:val="none" w:sz="0" w:space="0" w:color="auto"/>
        <w:right w:val="none" w:sz="0" w:space="0" w:color="auto"/>
      </w:divBdr>
    </w:div>
    <w:div w:id="320040036">
      <w:bodyDiv w:val="1"/>
      <w:marLeft w:val="0"/>
      <w:marRight w:val="0"/>
      <w:marTop w:val="0"/>
      <w:marBottom w:val="0"/>
      <w:divBdr>
        <w:top w:val="none" w:sz="0" w:space="0" w:color="auto"/>
        <w:left w:val="none" w:sz="0" w:space="0" w:color="auto"/>
        <w:bottom w:val="none" w:sz="0" w:space="0" w:color="auto"/>
        <w:right w:val="none" w:sz="0" w:space="0" w:color="auto"/>
      </w:divBdr>
    </w:div>
    <w:div w:id="328026044">
      <w:bodyDiv w:val="1"/>
      <w:marLeft w:val="0"/>
      <w:marRight w:val="0"/>
      <w:marTop w:val="0"/>
      <w:marBottom w:val="0"/>
      <w:divBdr>
        <w:top w:val="none" w:sz="0" w:space="0" w:color="auto"/>
        <w:left w:val="none" w:sz="0" w:space="0" w:color="auto"/>
        <w:bottom w:val="none" w:sz="0" w:space="0" w:color="auto"/>
        <w:right w:val="none" w:sz="0" w:space="0" w:color="auto"/>
      </w:divBdr>
    </w:div>
    <w:div w:id="328141135">
      <w:bodyDiv w:val="1"/>
      <w:marLeft w:val="0"/>
      <w:marRight w:val="0"/>
      <w:marTop w:val="0"/>
      <w:marBottom w:val="0"/>
      <w:divBdr>
        <w:top w:val="none" w:sz="0" w:space="0" w:color="auto"/>
        <w:left w:val="none" w:sz="0" w:space="0" w:color="auto"/>
        <w:bottom w:val="none" w:sz="0" w:space="0" w:color="auto"/>
        <w:right w:val="none" w:sz="0" w:space="0" w:color="auto"/>
      </w:divBdr>
    </w:div>
    <w:div w:id="328605550">
      <w:bodyDiv w:val="1"/>
      <w:marLeft w:val="0"/>
      <w:marRight w:val="0"/>
      <w:marTop w:val="0"/>
      <w:marBottom w:val="0"/>
      <w:divBdr>
        <w:top w:val="none" w:sz="0" w:space="0" w:color="auto"/>
        <w:left w:val="none" w:sz="0" w:space="0" w:color="auto"/>
        <w:bottom w:val="none" w:sz="0" w:space="0" w:color="auto"/>
        <w:right w:val="none" w:sz="0" w:space="0" w:color="auto"/>
      </w:divBdr>
    </w:div>
    <w:div w:id="330455700">
      <w:bodyDiv w:val="1"/>
      <w:marLeft w:val="0"/>
      <w:marRight w:val="0"/>
      <w:marTop w:val="0"/>
      <w:marBottom w:val="0"/>
      <w:divBdr>
        <w:top w:val="none" w:sz="0" w:space="0" w:color="auto"/>
        <w:left w:val="none" w:sz="0" w:space="0" w:color="auto"/>
        <w:bottom w:val="none" w:sz="0" w:space="0" w:color="auto"/>
        <w:right w:val="none" w:sz="0" w:space="0" w:color="auto"/>
      </w:divBdr>
    </w:div>
    <w:div w:id="341393613">
      <w:bodyDiv w:val="1"/>
      <w:marLeft w:val="0"/>
      <w:marRight w:val="0"/>
      <w:marTop w:val="0"/>
      <w:marBottom w:val="0"/>
      <w:divBdr>
        <w:top w:val="none" w:sz="0" w:space="0" w:color="auto"/>
        <w:left w:val="none" w:sz="0" w:space="0" w:color="auto"/>
        <w:bottom w:val="none" w:sz="0" w:space="0" w:color="auto"/>
        <w:right w:val="none" w:sz="0" w:space="0" w:color="auto"/>
      </w:divBdr>
    </w:div>
    <w:div w:id="342900163">
      <w:bodyDiv w:val="1"/>
      <w:marLeft w:val="0"/>
      <w:marRight w:val="0"/>
      <w:marTop w:val="0"/>
      <w:marBottom w:val="0"/>
      <w:divBdr>
        <w:top w:val="none" w:sz="0" w:space="0" w:color="auto"/>
        <w:left w:val="none" w:sz="0" w:space="0" w:color="auto"/>
        <w:bottom w:val="none" w:sz="0" w:space="0" w:color="auto"/>
        <w:right w:val="none" w:sz="0" w:space="0" w:color="auto"/>
      </w:divBdr>
    </w:div>
    <w:div w:id="355620763">
      <w:bodyDiv w:val="1"/>
      <w:marLeft w:val="0"/>
      <w:marRight w:val="0"/>
      <w:marTop w:val="0"/>
      <w:marBottom w:val="0"/>
      <w:divBdr>
        <w:top w:val="none" w:sz="0" w:space="0" w:color="auto"/>
        <w:left w:val="none" w:sz="0" w:space="0" w:color="auto"/>
        <w:bottom w:val="none" w:sz="0" w:space="0" w:color="auto"/>
        <w:right w:val="none" w:sz="0" w:space="0" w:color="auto"/>
      </w:divBdr>
    </w:div>
    <w:div w:id="365057384">
      <w:bodyDiv w:val="1"/>
      <w:marLeft w:val="0"/>
      <w:marRight w:val="0"/>
      <w:marTop w:val="0"/>
      <w:marBottom w:val="0"/>
      <w:divBdr>
        <w:top w:val="none" w:sz="0" w:space="0" w:color="auto"/>
        <w:left w:val="none" w:sz="0" w:space="0" w:color="auto"/>
        <w:bottom w:val="none" w:sz="0" w:space="0" w:color="auto"/>
        <w:right w:val="none" w:sz="0" w:space="0" w:color="auto"/>
      </w:divBdr>
    </w:div>
    <w:div w:id="369115679">
      <w:bodyDiv w:val="1"/>
      <w:marLeft w:val="0"/>
      <w:marRight w:val="0"/>
      <w:marTop w:val="0"/>
      <w:marBottom w:val="0"/>
      <w:divBdr>
        <w:top w:val="none" w:sz="0" w:space="0" w:color="auto"/>
        <w:left w:val="none" w:sz="0" w:space="0" w:color="auto"/>
        <w:bottom w:val="none" w:sz="0" w:space="0" w:color="auto"/>
        <w:right w:val="none" w:sz="0" w:space="0" w:color="auto"/>
      </w:divBdr>
    </w:div>
    <w:div w:id="419958377">
      <w:bodyDiv w:val="1"/>
      <w:marLeft w:val="0"/>
      <w:marRight w:val="0"/>
      <w:marTop w:val="0"/>
      <w:marBottom w:val="0"/>
      <w:divBdr>
        <w:top w:val="none" w:sz="0" w:space="0" w:color="auto"/>
        <w:left w:val="none" w:sz="0" w:space="0" w:color="auto"/>
        <w:bottom w:val="none" w:sz="0" w:space="0" w:color="auto"/>
        <w:right w:val="none" w:sz="0" w:space="0" w:color="auto"/>
      </w:divBdr>
    </w:div>
    <w:div w:id="463699528">
      <w:bodyDiv w:val="1"/>
      <w:marLeft w:val="0"/>
      <w:marRight w:val="0"/>
      <w:marTop w:val="0"/>
      <w:marBottom w:val="0"/>
      <w:divBdr>
        <w:top w:val="none" w:sz="0" w:space="0" w:color="auto"/>
        <w:left w:val="none" w:sz="0" w:space="0" w:color="auto"/>
        <w:bottom w:val="none" w:sz="0" w:space="0" w:color="auto"/>
        <w:right w:val="none" w:sz="0" w:space="0" w:color="auto"/>
      </w:divBdr>
    </w:div>
    <w:div w:id="494304660">
      <w:bodyDiv w:val="1"/>
      <w:marLeft w:val="0"/>
      <w:marRight w:val="0"/>
      <w:marTop w:val="0"/>
      <w:marBottom w:val="0"/>
      <w:divBdr>
        <w:top w:val="none" w:sz="0" w:space="0" w:color="auto"/>
        <w:left w:val="none" w:sz="0" w:space="0" w:color="auto"/>
        <w:bottom w:val="none" w:sz="0" w:space="0" w:color="auto"/>
        <w:right w:val="none" w:sz="0" w:space="0" w:color="auto"/>
      </w:divBdr>
    </w:div>
    <w:div w:id="499347134">
      <w:bodyDiv w:val="1"/>
      <w:marLeft w:val="0"/>
      <w:marRight w:val="0"/>
      <w:marTop w:val="0"/>
      <w:marBottom w:val="0"/>
      <w:divBdr>
        <w:top w:val="none" w:sz="0" w:space="0" w:color="auto"/>
        <w:left w:val="none" w:sz="0" w:space="0" w:color="auto"/>
        <w:bottom w:val="none" w:sz="0" w:space="0" w:color="auto"/>
        <w:right w:val="none" w:sz="0" w:space="0" w:color="auto"/>
      </w:divBdr>
    </w:div>
    <w:div w:id="503591298">
      <w:bodyDiv w:val="1"/>
      <w:marLeft w:val="0"/>
      <w:marRight w:val="0"/>
      <w:marTop w:val="0"/>
      <w:marBottom w:val="0"/>
      <w:divBdr>
        <w:top w:val="none" w:sz="0" w:space="0" w:color="auto"/>
        <w:left w:val="none" w:sz="0" w:space="0" w:color="auto"/>
        <w:bottom w:val="none" w:sz="0" w:space="0" w:color="auto"/>
        <w:right w:val="none" w:sz="0" w:space="0" w:color="auto"/>
      </w:divBdr>
    </w:div>
    <w:div w:id="510291882">
      <w:bodyDiv w:val="1"/>
      <w:marLeft w:val="0"/>
      <w:marRight w:val="0"/>
      <w:marTop w:val="0"/>
      <w:marBottom w:val="0"/>
      <w:divBdr>
        <w:top w:val="none" w:sz="0" w:space="0" w:color="auto"/>
        <w:left w:val="none" w:sz="0" w:space="0" w:color="auto"/>
        <w:bottom w:val="none" w:sz="0" w:space="0" w:color="auto"/>
        <w:right w:val="none" w:sz="0" w:space="0" w:color="auto"/>
      </w:divBdr>
    </w:div>
    <w:div w:id="510342454">
      <w:bodyDiv w:val="1"/>
      <w:marLeft w:val="0"/>
      <w:marRight w:val="0"/>
      <w:marTop w:val="0"/>
      <w:marBottom w:val="0"/>
      <w:divBdr>
        <w:top w:val="none" w:sz="0" w:space="0" w:color="auto"/>
        <w:left w:val="none" w:sz="0" w:space="0" w:color="auto"/>
        <w:bottom w:val="none" w:sz="0" w:space="0" w:color="auto"/>
        <w:right w:val="none" w:sz="0" w:space="0" w:color="auto"/>
      </w:divBdr>
      <w:divsChild>
        <w:div w:id="1498425888">
          <w:marLeft w:val="0"/>
          <w:marRight w:val="0"/>
          <w:marTop w:val="0"/>
          <w:marBottom w:val="0"/>
          <w:divBdr>
            <w:top w:val="none" w:sz="0" w:space="0" w:color="auto"/>
            <w:left w:val="none" w:sz="0" w:space="0" w:color="auto"/>
            <w:bottom w:val="none" w:sz="0" w:space="0" w:color="auto"/>
            <w:right w:val="none" w:sz="0" w:space="0" w:color="auto"/>
          </w:divBdr>
          <w:divsChild>
            <w:div w:id="623267961">
              <w:marLeft w:val="0"/>
              <w:marRight w:val="0"/>
              <w:marTop w:val="0"/>
              <w:marBottom w:val="0"/>
              <w:divBdr>
                <w:top w:val="none" w:sz="0" w:space="0" w:color="auto"/>
                <w:left w:val="none" w:sz="0" w:space="0" w:color="auto"/>
                <w:bottom w:val="none" w:sz="0" w:space="0" w:color="auto"/>
                <w:right w:val="none" w:sz="0" w:space="0" w:color="auto"/>
              </w:divBdr>
              <w:divsChild>
                <w:div w:id="597252353">
                  <w:marLeft w:val="0"/>
                  <w:marRight w:val="0"/>
                  <w:marTop w:val="0"/>
                  <w:marBottom w:val="0"/>
                  <w:divBdr>
                    <w:top w:val="none" w:sz="0" w:space="0" w:color="auto"/>
                    <w:left w:val="none" w:sz="0" w:space="0" w:color="auto"/>
                    <w:bottom w:val="none" w:sz="0" w:space="0" w:color="auto"/>
                    <w:right w:val="none" w:sz="0" w:space="0" w:color="auto"/>
                  </w:divBdr>
                  <w:divsChild>
                    <w:div w:id="1817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11079">
      <w:bodyDiv w:val="1"/>
      <w:marLeft w:val="0"/>
      <w:marRight w:val="0"/>
      <w:marTop w:val="0"/>
      <w:marBottom w:val="0"/>
      <w:divBdr>
        <w:top w:val="none" w:sz="0" w:space="0" w:color="auto"/>
        <w:left w:val="none" w:sz="0" w:space="0" w:color="auto"/>
        <w:bottom w:val="none" w:sz="0" w:space="0" w:color="auto"/>
        <w:right w:val="none" w:sz="0" w:space="0" w:color="auto"/>
      </w:divBdr>
    </w:div>
    <w:div w:id="522087249">
      <w:bodyDiv w:val="1"/>
      <w:marLeft w:val="0"/>
      <w:marRight w:val="0"/>
      <w:marTop w:val="0"/>
      <w:marBottom w:val="0"/>
      <w:divBdr>
        <w:top w:val="none" w:sz="0" w:space="0" w:color="auto"/>
        <w:left w:val="none" w:sz="0" w:space="0" w:color="auto"/>
        <w:bottom w:val="none" w:sz="0" w:space="0" w:color="auto"/>
        <w:right w:val="none" w:sz="0" w:space="0" w:color="auto"/>
      </w:divBdr>
    </w:div>
    <w:div w:id="526600790">
      <w:bodyDiv w:val="1"/>
      <w:marLeft w:val="0"/>
      <w:marRight w:val="0"/>
      <w:marTop w:val="0"/>
      <w:marBottom w:val="0"/>
      <w:divBdr>
        <w:top w:val="none" w:sz="0" w:space="0" w:color="auto"/>
        <w:left w:val="none" w:sz="0" w:space="0" w:color="auto"/>
        <w:bottom w:val="none" w:sz="0" w:space="0" w:color="auto"/>
        <w:right w:val="none" w:sz="0" w:space="0" w:color="auto"/>
      </w:divBdr>
    </w:div>
    <w:div w:id="533691472">
      <w:bodyDiv w:val="1"/>
      <w:marLeft w:val="0"/>
      <w:marRight w:val="0"/>
      <w:marTop w:val="0"/>
      <w:marBottom w:val="0"/>
      <w:divBdr>
        <w:top w:val="none" w:sz="0" w:space="0" w:color="auto"/>
        <w:left w:val="none" w:sz="0" w:space="0" w:color="auto"/>
        <w:bottom w:val="none" w:sz="0" w:space="0" w:color="auto"/>
        <w:right w:val="none" w:sz="0" w:space="0" w:color="auto"/>
      </w:divBdr>
    </w:div>
    <w:div w:id="534777936">
      <w:bodyDiv w:val="1"/>
      <w:marLeft w:val="0"/>
      <w:marRight w:val="0"/>
      <w:marTop w:val="0"/>
      <w:marBottom w:val="0"/>
      <w:divBdr>
        <w:top w:val="none" w:sz="0" w:space="0" w:color="auto"/>
        <w:left w:val="none" w:sz="0" w:space="0" w:color="auto"/>
        <w:bottom w:val="none" w:sz="0" w:space="0" w:color="auto"/>
        <w:right w:val="none" w:sz="0" w:space="0" w:color="auto"/>
      </w:divBdr>
    </w:div>
    <w:div w:id="535625997">
      <w:bodyDiv w:val="1"/>
      <w:marLeft w:val="0"/>
      <w:marRight w:val="0"/>
      <w:marTop w:val="0"/>
      <w:marBottom w:val="0"/>
      <w:divBdr>
        <w:top w:val="none" w:sz="0" w:space="0" w:color="auto"/>
        <w:left w:val="none" w:sz="0" w:space="0" w:color="auto"/>
        <w:bottom w:val="none" w:sz="0" w:space="0" w:color="auto"/>
        <w:right w:val="none" w:sz="0" w:space="0" w:color="auto"/>
      </w:divBdr>
    </w:div>
    <w:div w:id="545219765">
      <w:bodyDiv w:val="1"/>
      <w:marLeft w:val="0"/>
      <w:marRight w:val="0"/>
      <w:marTop w:val="0"/>
      <w:marBottom w:val="0"/>
      <w:divBdr>
        <w:top w:val="none" w:sz="0" w:space="0" w:color="auto"/>
        <w:left w:val="none" w:sz="0" w:space="0" w:color="auto"/>
        <w:bottom w:val="none" w:sz="0" w:space="0" w:color="auto"/>
        <w:right w:val="none" w:sz="0" w:space="0" w:color="auto"/>
      </w:divBdr>
    </w:div>
    <w:div w:id="5477601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555556302">
      <w:bodyDiv w:val="1"/>
      <w:marLeft w:val="0"/>
      <w:marRight w:val="0"/>
      <w:marTop w:val="0"/>
      <w:marBottom w:val="0"/>
      <w:divBdr>
        <w:top w:val="none" w:sz="0" w:space="0" w:color="auto"/>
        <w:left w:val="none" w:sz="0" w:space="0" w:color="auto"/>
        <w:bottom w:val="none" w:sz="0" w:space="0" w:color="auto"/>
        <w:right w:val="none" w:sz="0" w:space="0" w:color="auto"/>
      </w:divBdr>
    </w:div>
    <w:div w:id="566839814">
      <w:bodyDiv w:val="1"/>
      <w:marLeft w:val="0"/>
      <w:marRight w:val="0"/>
      <w:marTop w:val="0"/>
      <w:marBottom w:val="0"/>
      <w:divBdr>
        <w:top w:val="none" w:sz="0" w:space="0" w:color="auto"/>
        <w:left w:val="none" w:sz="0" w:space="0" w:color="auto"/>
        <w:bottom w:val="none" w:sz="0" w:space="0" w:color="auto"/>
        <w:right w:val="none" w:sz="0" w:space="0" w:color="auto"/>
      </w:divBdr>
    </w:div>
    <w:div w:id="567568476">
      <w:bodyDiv w:val="1"/>
      <w:marLeft w:val="0"/>
      <w:marRight w:val="0"/>
      <w:marTop w:val="0"/>
      <w:marBottom w:val="0"/>
      <w:divBdr>
        <w:top w:val="none" w:sz="0" w:space="0" w:color="auto"/>
        <w:left w:val="none" w:sz="0" w:space="0" w:color="auto"/>
        <w:bottom w:val="none" w:sz="0" w:space="0" w:color="auto"/>
        <w:right w:val="none" w:sz="0" w:space="0" w:color="auto"/>
      </w:divBdr>
    </w:div>
    <w:div w:id="569116562">
      <w:bodyDiv w:val="1"/>
      <w:marLeft w:val="0"/>
      <w:marRight w:val="0"/>
      <w:marTop w:val="0"/>
      <w:marBottom w:val="0"/>
      <w:divBdr>
        <w:top w:val="none" w:sz="0" w:space="0" w:color="auto"/>
        <w:left w:val="none" w:sz="0" w:space="0" w:color="auto"/>
        <w:bottom w:val="none" w:sz="0" w:space="0" w:color="auto"/>
        <w:right w:val="none" w:sz="0" w:space="0" w:color="auto"/>
      </w:divBdr>
    </w:div>
    <w:div w:id="571546149">
      <w:bodyDiv w:val="1"/>
      <w:marLeft w:val="0"/>
      <w:marRight w:val="0"/>
      <w:marTop w:val="0"/>
      <w:marBottom w:val="0"/>
      <w:divBdr>
        <w:top w:val="none" w:sz="0" w:space="0" w:color="auto"/>
        <w:left w:val="none" w:sz="0" w:space="0" w:color="auto"/>
        <w:bottom w:val="none" w:sz="0" w:space="0" w:color="auto"/>
        <w:right w:val="none" w:sz="0" w:space="0" w:color="auto"/>
      </w:divBdr>
    </w:div>
    <w:div w:id="573898883">
      <w:bodyDiv w:val="1"/>
      <w:marLeft w:val="0"/>
      <w:marRight w:val="0"/>
      <w:marTop w:val="0"/>
      <w:marBottom w:val="0"/>
      <w:divBdr>
        <w:top w:val="none" w:sz="0" w:space="0" w:color="auto"/>
        <w:left w:val="none" w:sz="0" w:space="0" w:color="auto"/>
        <w:bottom w:val="none" w:sz="0" w:space="0" w:color="auto"/>
        <w:right w:val="none" w:sz="0" w:space="0" w:color="auto"/>
      </w:divBdr>
    </w:div>
    <w:div w:id="586235576">
      <w:bodyDiv w:val="1"/>
      <w:marLeft w:val="0"/>
      <w:marRight w:val="0"/>
      <w:marTop w:val="0"/>
      <w:marBottom w:val="0"/>
      <w:divBdr>
        <w:top w:val="none" w:sz="0" w:space="0" w:color="auto"/>
        <w:left w:val="none" w:sz="0" w:space="0" w:color="auto"/>
        <w:bottom w:val="none" w:sz="0" w:space="0" w:color="auto"/>
        <w:right w:val="none" w:sz="0" w:space="0" w:color="auto"/>
      </w:divBdr>
    </w:div>
    <w:div w:id="600839182">
      <w:bodyDiv w:val="1"/>
      <w:marLeft w:val="0"/>
      <w:marRight w:val="0"/>
      <w:marTop w:val="0"/>
      <w:marBottom w:val="0"/>
      <w:divBdr>
        <w:top w:val="none" w:sz="0" w:space="0" w:color="auto"/>
        <w:left w:val="none" w:sz="0" w:space="0" w:color="auto"/>
        <w:bottom w:val="none" w:sz="0" w:space="0" w:color="auto"/>
        <w:right w:val="none" w:sz="0" w:space="0" w:color="auto"/>
      </w:divBdr>
    </w:div>
    <w:div w:id="607391356">
      <w:bodyDiv w:val="1"/>
      <w:marLeft w:val="0"/>
      <w:marRight w:val="0"/>
      <w:marTop w:val="0"/>
      <w:marBottom w:val="0"/>
      <w:divBdr>
        <w:top w:val="none" w:sz="0" w:space="0" w:color="auto"/>
        <w:left w:val="none" w:sz="0" w:space="0" w:color="auto"/>
        <w:bottom w:val="none" w:sz="0" w:space="0" w:color="auto"/>
        <w:right w:val="none" w:sz="0" w:space="0" w:color="auto"/>
      </w:divBdr>
    </w:div>
    <w:div w:id="620304923">
      <w:bodyDiv w:val="1"/>
      <w:marLeft w:val="0"/>
      <w:marRight w:val="0"/>
      <w:marTop w:val="0"/>
      <w:marBottom w:val="0"/>
      <w:divBdr>
        <w:top w:val="none" w:sz="0" w:space="0" w:color="auto"/>
        <w:left w:val="none" w:sz="0" w:space="0" w:color="auto"/>
        <w:bottom w:val="none" w:sz="0" w:space="0" w:color="auto"/>
        <w:right w:val="none" w:sz="0" w:space="0" w:color="auto"/>
      </w:divBdr>
    </w:div>
    <w:div w:id="632558217">
      <w:bodyDiv w:val="1"/>
      <w:marLeft w:val="0"/>
      <w:marRight w:val="0"/>
      <w:marTop w:val="0"/>
      <w:marBottom w:val="0"/>
      <w:divBdr>
        <w:top w:val="none" w:sz="0" w:space="0" w:color="auto"/>
        <w:left w:val="none" w:sz="0" w:space="0" w:color="auto"/>
        <w:bottom w:val="none" w:sz="0" w:space="0" w:color="auto"/>
        <w:right w:val="none" w:sz="0" w:space="0" w:color="auto"/>
      </w:divBdr>
    </w:div>
    <w:div w:id="632759366">
      <w:bodyDiv w:val="1"/>
      <w:marLeft w:val="0"/>
      <w:marRight w:val="0"/>
      <w:marTop w:val="0"/>
      <w:marBottom w:val="0"/>
      <w:divBdr>
        <w:top w:val="none" w:sz="0" w:space="0" w:color="auto"/>
        <w:left w:val="none" w:sz="0" w:space="0" w:color="auto"/>
        <w:bottom w:val="none" w:sz="0" w:space="0" w:color="auto"/>
        <w:right w:val="none" w:sz="0" w:space="0" w:color="auto"/>
      </w:divBdr>
    </w:div>
    <w:div w:id="634457737">
      <w:bodyDiv w:val="1"/>
      <w:marLeft w:val="0"/>
      <w:marRight w:val="0"/>
      <w:marTop w:val="0"/>
      <w:marBottom w:val="0"/>
      <w:divBdr>
        <w:top w:val="none" w:sz="0" w:space="0" w:color="auto"/>
        <w:left w:val="none" w:sz="0" w:space="0" w:color="auto"/>
        <w:bottom w:val="none" w:sz="0" w:space="0" w:color="auto"/>
        <w:right w:val="none" w:sz="0" w:space="0" w:color="auto"/>
      </w:divBdr>
    </w:div>
    <w:div w:id="641542525">
      <w:bodyDiv w:val="1"/>
      <w:marLeft w:val="0"/>
      <w:marRight w:val="0"/>
      <w:marTop w:val="0"/>
      <w:marBottom w:val="0"/>
      <w:divBdr>
        <w:top w:val="none" w:sz="0" w:space="0" w:color="auto"/>
        <w:left w:val="none" w:sz="0" w:space="0" w:color="auto"/>
        <w:bottom w:val="none" w:sz="0" w:space="0" w:color="auto"/>
        <w:right w:val="none" w:sz="0" w:space="0" w:color="auto"/>
      </w:divBdr>
    </w:div>
    <w:div w:id="647829593">
      <w:bodyDiv w:val="1"/>
      <w:marLeft w:val="0"/>
      <w:marRight w:val="0"/>
      <w:marTop w:val="0"/>
      <w:marBottom w:val="0"/>
      <w:divBdr>
        <w:top w:val="none" w:sz="0" w:space="0" w:color="auto"/>
        <w:left w:val="none" w:sz="0" w:space="0" w:color="auto"/>
        <w:bottom w:val="none" w:sz="0" w:space="0" w:color="auto"/>
        <w:right w:val="none" w:sz="0" w:space="0" w:color="auto"/>
      </w:divBdr>
    </w:div>
    <w:div w:id="658120723">
      <w:bodyDiv w:val="1"/>
      <w:marLeft w:val="0"/>
      <w:marRight w:val="0"/>
      <w:marTop w:val="0"/>
      <w:marBottom w:val="0"/>
      <w:divBdr>
        <w:top w:val="none" w:sz="0" w:space="0" w:color="auto"/>
        <w:left w:val="none" w:sz="0" w:space="0" w:color="auto"/>
        <w:bottom w:val="none" w:sz="0" w:space="0" w:color="auto"/>
        <w:right w:val="none" w:sz="0" w:space="0" w:color="auto"/>
      </w:divBdr>
    </w:div>
    <w:div w:id="663434729">
      <w:bodyDiv w:val="1"/>
      <w:marLeft w:val="0"/>
      <w:marRight w:val="0"/>
      <w:marTop w:val="0"/>
      <w:marBottom w:val="0"/>
      <w:divBdr>
        <w:top w:val="none" w:sz="0" w:space="0" w:color="auto"/>
        <w:left w:val="none" w:sz="0" w:space="0" w:color="auto"/>
        <w:bottom w:val="none" w:sz="0" w:space="0" w:color="auto"/>
        <w:right w:val="none" w:sz="0" w:space="0" w:color="auto"/>
      </w:divBdr>
    </w:div>
    <w:div w:id="678778313">
      <w:bodyDiv w:val="1"/>
      <w:marLeft w:val="0"/>
      <w:marRight w:val="0"/>
      <w:marTop w:val="0"/>
      <w:marBottom w:val="0"/>
      <w:divBdr>
        <w:top w:val="none" w:sz="0" w:space="0" w:color="auto"/>
        <w:left w:val="none" w:sz="0" w:space="0" w:color="auto"/>
        <w:bottom w:val="none" w:sz="0" w:space="0" w:color="auto"/>
        <w:right w:val="none" w:sz="0" w:space="0" w:color="auto"/>
      </w:divBdr>
    </w:div>
    <w:div w:id="688987737">
      <w:bodyDiv w:val="1"/>
      <w:marLeft w:val="0"/>
      <w:marRight w:val="0"/>
      <w:marTop w:val="0"/>
      <w:marBottom w:val="0"/>
      <w:divBdr>
        <w:top w:val="none" w:sz="0" w:space="0" w:color="auto"/>
        <w:left w:val="none" w:sz="0" w:space="0" w:color="auto"/>
        <w:bottom w:val="none" w:sz="0" w:space="0" w:color="auto"/>
        <w:right w:val="none" w:sz="0" w:space="0" w:color="auto"/>
      </w:divBdr>
    </w:div>
    <w:div w:id="690497544">
      <w:bodyDiv w:val="1"/>
      <w:marLeft w:val="0"/>
      <w:marRight w:val="0"/>
      <w:marTop w:val="0"/>
      <w:marBottom w:val="0"/>
      <w:divBdr>
        <w:top w:val="none" w:sz="0" w:space="0" w:color="auto"/>
        <w:left w:val="none" w:sz="0" w:space="0" w:color="auto"/>
        <w:bottom w:val="none" w:sz="0" w:space="0" w:color="auto"/>
        <w:right w:val="none" w:sz="0" w:space="0" w:color="auto"/>
      </w:divBdr>
    </w:div>
    <w:div w:id="697006296">
      <w:bodyDiv w:val="1"/>
      <w:marLeft w:val="0"/>
      <w:marRight w:val="0"/>
      <w:marTop w:val="0"/>
      <w:marBottom w:val="0"/>
      <w:divBdr>
        <w:top w:val="none" w:sz="0" w:space="0" w:color="auto"/>
        <w:left w:val="none" w:sz="0" w:space="0" w:color="auto"/>
        <w:bottom w:val="none" w:sz="0" w:space="0" w:color="auto"/>
        <w:right w:val="none" w:sz="0" w:space="0" w:color="auto"/>
      </w:divBdr>
    </w:div>
    <w:div w:id="697853805">
      <w:bodyDiv w:val="1"/>
      <w:marLeft w:val="0"/>
      <w:marRight w:val="0"/>
      <w:marTop w:val="0"/>
      <w:marBottom w:val="0"/>
      <w:divBdr>
        <w:top w:val="none" w:sz="0" w:space="0" w:color="auto"/>
        <w:left w:val="none" w:sz="0" w:space="0" w:color="auto"/>
        <w:bottom w:val="none" w:sz="0" w:space="0" w:color="auto"/>
        <w:right w:val="none" w:sz="0" w:space="0" w:color="auto"/>
      </w:divBdr>
    </w:div>
    <w:div w:id="722484950">
      <w:bodyDiv w:val="1"/>
      <w:marLeft w:val="0"/>
      <w:marRight w:val="0"/>
      <w:marTop w:val="0"/>
      <w:marBottom w:val="0"/>
      <w:divBdr>
        <w:top w:val="none" w:sz="0" w:space="0" w:color="auto"/>
        <w:left w:val="none" w:sz="0" w:space="0" w:color="auto"/>
        <w:bottom w:val="none" w:sz="0" w:space="0" w:color="auto"/>
        <w:right w:val="none" w:sz="0" w:space="0" w:color="auto"/>
      </w:divBdr>
    </w:div>
    <w:div w:id="736326016">
      <w:bodyDiv w:val="1"/>
      <w:marLeft w:val="0"/>
      <w:marRight w:val="0"/>
      <w:marTop w:val="0"/>
      <w:marBottom w:val="0"/>
      <w:divBdr>
        <w:top w:val="none" w:sz="0" w:space="0" w:color="auto"/>
        <w:left w:val="none" w:sz="0" w:space="0" w:color="auto"/>
        <w:bottom w:val="none" w:sz="0" w:space="0" w:color="auto"/>
        <w:right w:val="none" w:sz="0" w:space="0" w:color="auto"/>
      </w:divBdr>
    </w:div>
    <w:div w:id="750927889">
      <w:bodyDiv w:val="1"/>
      <w:marLeft w:val="0"/>
      <w:marRight w:val="0"/>
      <w:marTop w:val="0"/>
      <w:marBottom w:val="0"/>
      <w:divBdr>
        <w:top w:val="none" w:sz="0" w:space="0" w:color="auto"/>
        <w:left w:val="none" w:sz="0" w:space="0" w:color="auto"/>
        <w:bottom w:val="none" w:sz="0" w:space="0" w:color="auto"/>
        <w:right w:val="none" w:sz="0" w:space="0" w:color="auto"/>
      </w:divBdr>
    </w:div>
    <w:div w:id="753091913">
      <w:bodyDiv w:val="1"/>
      <w:marLeft w:val="0"/>
      <w:marRight w:val="0"/>
      <w:marTop w:val="0"/>
      <w:marBottom w:val="0"/>
      <w:divBdr>
        <w:top w:val="none" w:sz="0" w:space="0" w:color="auto"/>
        <w:left w:val="none" w:sz="0" w:space="0" w:color="auto"/>
        <w:bottom w:val="none" w:sz="0" w:space="0" w:color="auto"/>
        <w:right w:val="none" w:sz="0" w:space="0" w:color="auto"/>
      </w:divBdr>
    </w:div>
    <w:div w:id="766582491">
      <w:bodyDiv w:val="1"/>
      <w:marLeft w:val="0"/>
      <w:marRight w:val="0"/>
      <w:marTop w:val="0"/>
      <w:marBottom w:val="0"/>
      <w:divBdr>
        <w:top w:val="none" w:sz="0" w:space="0" w:color="auto"/>
        <w:left w:val="none" w:sz="0" w:space="0" w:color="auto"/>
        <w:bottom w:val="none" w:sz="0" w:space="0" w:color="auto"/>
        <w:right w:val="none" w:sz="0" w:space="0" w:color="auto"/>
      </w:divBdr>
    </w:div>
    <w:div w:id="768162369">
      <w:bodyDiv w:val="1"/>
      <w:marLeft w:val="0"/>
      <w:marRight w:val="0"/>
      <w:marTop w:val="0"/>
      <w:marBottom w:val="0"/>
      <w:divBdr>
        <w:top w:val="none" w:sz="0" w:space="0" w:color="auto"/>
        <w:left w:val="none" w:sz="0" w:space="0" w:color="auto"/>
        <w:bottom w:val="none" w:sz="0" w:space="0" w:color="auto"/>
        <w:right w:val="none" w:sz="0" w:space="0" w:color="auto"/>
      </w:divBdr>
    </w:div>
    <w:div w:id="768310119">
      <w:bodyDiv w:val="1"/>
      <w:marLeft w:val="0"/>
      <w:marRight w:val="0"/>
      <w:marTop w:val="0"/>
      <w:marBottom w:val="0"/>
      <w:divBdr>
        <w:top w:val="none" w:sz="0" w:space="0" w:color="auto"/>
        <w:left w:val="none" w:sz="0" w:space="0" w:color="auto"/>
        <w:bottom w:val="none" w:sz="0" w:space="0" w:color="auto"/>
        <w:right w:val="none" w:sz="0" w:space="0" w:color="auto"/>
      </w:divBdr>
    </w:div>
    <w:div w:id="776876256">
      <w:bodyDiv w:val="1"/>
      <w:marLeft w:val="0"/>
      <w:marRight w:val="0"/>
      <w:marTop w:val="0"/>
      <w:marBottom w:val="0"/>
      <w:divBdr>
        <w:top w:val="none" w:sz="0" w:space="0" w:color="auto"/>
        <w:left w:val="none" w:sz="0" w:space="0" w:color="auto"/>
        <w:bottom w:val="none" w:sz="0" w:space="0" w:color="auto"/>
        <w:right w:val="none" w:sz="0" w:space="0" w:color="auto"/>
      </w:divBdr>
    </w:div>
    <w:div w:id="799036549">
      <w:bodyDiv w:val="1"/>
      <w:marLeft w:val="0"/>
      <w:marRight w:val="0"/>
      <w:marTop w:val="0"/>
      <w:marBottom w:val="0"/>
      <w:divBdr>
        <w:top w:val="none" w:sz="0" w:space="0" w:color="auto"/>
        <w:left w:val="none" w:sz="0" w:space="0" w:color="auto"/>
        <w:bottom w:val="none" w:sz="0" w:space="0" w:color="auto"/>
        <w:right w:val="none" w:sz="0" w:space="0" w:color="auto"/>
      </w:divBdr>
    </w:div>
    <w:div w:id="804347013">
      <w:bodyDiv w:val="1"/>
      <w:marLeft w:val="0"/>
      <w:marRight w:val="0"/>
      <w:marTop w:val="0"/>
      <w:marBottom w:val="0"/>
      <w:divBdr>
        <w:top w:val="none" w:sz="0" w:space="0" w:color="auto"/>
        <w:left w:val="none" w:sz="0" w:space="0" w:color="auto"/>
        <w:bottom w:val="none" w:sz="0" w:space="0" w:color="auto"/>
        <w:right w:val="none" w:sz="0" w:space="0" w:color="auto"/>
      </w:divBdr>
    </w:div>
    <w:div w:id="808284974">
      <w:bodyDiv w:val="1"/>
      <w:marLeft w:val="0"/>
      <w:marRight w:val="0"/>
      <w:marTop w:val="0"/>
      <w:marBottom w:val="0"/>
      <w:divBdr>
        <w:top w:val="none" w:sz="0" w:space="0" w:color="auto"/>
        <w:left w:val="none" w:sz="0" w:space="0" w:color="auto"/>
        <w:bottom w:val="none" w:sz="0" w:space="0" w:color="auto"/>
        <w:right w:val="none" w:sz="0" w:space="0" w:color="auto"/>
      </w:divBdr>
      <w:divsChild>
        <w:div w:id="80030280">
          <w:marLeft w:val="0"/>
          <w:marRight w:val="0"/>
          <w:marTop w:val="0"/>
          <w:marBottom w:val="0"/>
          <w:divBdr>
            <w:top w:val="none" w:sz="0" w:space="0" w:color="auto"/>
            <w:left w:val="none" w:sz="0" w:space="0" w:color="auto"/>
            <w:bottom w:val="none" w:sz="0" w:space="0" w:color="auto"/>
            <w:right w:val="none" w:sz="0" w:space="0" w:color="auto"/>
          </w:divBdr>
          <w:divsChild>
            <w:div w:id="805317859">
              <w:marLeft w:val="0"/>
              <w:marRight w:val="0"/>
              <w:marTop w:val="0"/>
              <w:marBottom w:val="0"/>
              <w:divBdr>
                <w:top w:val="none" w:sz="0" w:space="0" w:color="auto"/>
                <w:left w:val="none" w:sz="0" w:space="0" w:color="auto"/>
                <w:bottom w:val="none" w:sz="0" w:space="0" w:color="auto"/>
                <w:right w:val="none" w:sz="0" w:space="0" w:color="auto"/>
              </w:divBdr>
              <w:divsChild>
                <w:div w:id="1296717114">
                  <w:marLeft w:val="0"/>
                  <w:marRight w:val="0"/>
                  <w:marTop w:val="0"/>
                  <w:marBottom w:val="0"/>
                  <w:divBdr>
                    <w:top w:val="none" w:sz="0" w:space="0" w:color="auto"/>
                    <w:left w:val="none" w:sz="0" w:space="0" w:color="auto"/>
                    <w:bottom w:val="none" w:sz="0" w:space="0" w:color="auto"/>
                    <w:right w:val="none" w:sz="0" w:space="0" w:color="auto"/>
                  </w:divBdr>
                  <w:divsChild>
                    <w:div w:id="983853786">
                      <w:marLeft w:val="0"/>
                      <w:marRight w:val="0"/>
                      <w:marTop w:val="0"/>
                      <w:marBottom w:val="0"/>
                      <w:divBdr>
                        <w:top w:val="none" w:sz="0" w:space="0" w:color="auto"/>
                        <w:left w:val="none" w:sz="0" w:space="0" w:color="auto"/>
                        <w:bottom w:val="none" w:sz="0" w:space="0" w:color="auto"/>
                        <w:right w:val="none" w:sz="0" w:space="0" w:color="auto"/>
                      </w:divBdr>
                      <w:divsChild>
                        <w:div w:id="1370184208">
                          <w:marLeft w:val="0"/>
                          <w:marRight w:val="0"/>
                          <w:marTop w:val="0"/>
                          <w:marBottom w:val="0"/>
                          <w:divBdr>
                            <w:top w:val="none" w:sz="0" w:space="0" w:color="auto"/>
                            <w:left w:val="none" w:sz="0" w:space="0" w:color="auto"/>
                            <w:bottom w:val="none" w:sz="0" w:space="0" w:color="auto"/>
                            <w:right w:val="none" w:sz="0" w:space="0" w:color="auto"/>
                          </w:divBdr>
                          <w:divsChild>
                            <w:div w:id="194805491">
                              <w:marLeft w:val="0"/>
                              <w:marRight w:val="0"/>
                              <w:marTop w:val="0"/>
                              <w:marBottom w:val="0"/>
                              <w:divBdr>
                                <w:top w:val="none" w:sz="0" w:space="0" w:color="auto"/>
                                <w:left w:val="none" w:sz="0" w:space="0" w:color="auto"/>
                                <w:bottom w:val="none" w:sz="0" w:space="0" w:color="auto"/>
                                <w:right w:val="none" w:sz="0" w:space="0" w:color="auto"/>
                              </w:divBdr>
                              <w:divsChild>
                                <w:div w:id="1526169029">
                                  <w:marLeft w:val="0"/>
                                  <w:marRight w:val="0"/>
                                  <w:marTop w:val="0"/>
                                  <w:marBottom w:val="0"/>
                                  <w:divBdr>
                                    <w:top w:val="none" w:sz="0" w:space="0" w:color="auto"/>
                                    <w:left w:val="none" w:sz="0" w:space="0" w:color="auto"/>
                                    <w:bottom w:val="none" w:sz="0" w:space="0" w:color="auto"/>
                                    <w:right w:val="none" w:sz="0" w:space="0" w:color="auto"/>
                                  </w:divBdr>
                                  <w:divsChild>
                                    <w:div w:id="251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02271">
      <w:bodyDiv w:val="1"/>
      <w:marLeft w:val="0"/>
      <w:marRight w:val="0"/>
      <w:marTop w:val="0"/>
      <w:marBottom w:val="0"/>
      <w:divBdr>
        <w:top w:val="none" w:sz="0" w:space="0" w:color="auto"/>
        <w:left w:val="none" w:sz="0" w:space="0" w:color="auto"/>
        <w:bottom w:val="none" w:sz="0" w:space="0" w:color="auto"/>
        <w:right w:val="none" w:sz="0" w:space="0" w:color="auto"/>
      </w:divBdr>
    </w:div>
    <w:div w:id="817964657">
      <w:bodyDiv w:val="1"/>
      <w:marLeft w:val="0"/>
      <w:marRight w:val="0"/>
      <w:marTop w:val="0"/>
      <w:marBottom w:val="0"/>
      <w:divBdr>
        <w:top w:val="none" w:sz="0" w:space="0" w:color="auto"/>
        <w:left w:val="none" w:sz="0" w:space="0" w:color="auto"/>
        <w:bottom w:val="none" w:sz="0" w:space="0" w:color="auto"/>
        <w:right w:val="none" w:sz="0" w:space="0" w:color="auto"/>
      </w:divBdr>
    </w:div>
    <w:div w:id="822547063">
      <w:bodyDiv w:val="1"/>
      <w:marLeft w:val="0"/>
      <w:marRight w:val="0"/>
      <w:marTop w:val="0"/>
      <w:marBottom w:val="0"/>
      <w:divBdr>
        <w:top w:val="none" w:sz="0" w:space="0" w:color="auto"/>
        <w:left w:val="none" w:sz="0" w:space="0" w:color="auto"/>
        <w:bottom w:val="none" w:sz="0" w:space="0" w:color="auto"/>
        <w:right w:val="none" w:sz="0" w:space="0" w:color="auto"/>
      </w:divBdr>
    </w:div>
    <w:div w:id="823396326">
      <w:bodyDiv w:val="1"/>
      <w:marLeft w:val="0"/>
      <w:marRight w:val="0"/>
      <w:marTop w:val="0"/>
      <w:marBottom w:val="0"/>
      <w:divBdr>
        <w:top w:val="none" w:sz="0" w:space="0" w:color="auto"/>
        <w:left w:val="none" w:sz="0" w:space="0" w:color="auto"/>
        <w:bottom w:val="none" w:sz="0" w:space="0" w:color="auto"/>
        <w:right w:val="none" w:sz="0" w:space="0" w:color="auto"/>
      </w:divBdr>
    </w:div>
    <w:div w:id="829634639">
      <w:bodyDiv w:val="1"/>
      <w:marLeft w:val="0"/>
      <w:marRight w:val="0"/>
      <w:marTop w:val="0"/>
      <w:marBottom w:val="0"/>
      <w:divBdr>
        <w:top w:val="none" w:sz="0" w:space="0" w:color="auto"/>
        <w:left w:val="none" w:sz="0" w:space="0" w:color="auto"/>
        <w:bottom w:val="none" w:sz="0" w:space="0" w:color="auto"/>
        <w:right w:val="none" w:sz="0" w:space="0" w:color="auto"/>
      </w:divBdr>
    </w:div>
    <w:div w:id="835002751">
      <w:bodyDiv w:val="1"/>
      <w:marLeft w:val="0"/>
      <w:marRight w:val="0"/>
      <w:marTop w:val="0"/>
      <w:marBottom w:val="0"/>
      <w:divBdr>
        <w:top w:val="none" w:sz="0" w:space="0" w:color="auto"/>
        <w:left w:val="none" w:sz="0" w:space="0" w:color="auto"/>
        <w:bottom w:val="none" w:sz="0" w:space="0" w:color="auto"/>
        <w:right w:val="none" w:sz="0" w:space="0" w:color="auto"/>
      </w:divBdr>
    </w:div>
    <w:div w:id="837817263">
      <w:bodyDiv w:val="1"/>
      <w:marLeft w:val="0"/>
      <w:marRight w:val="0"/>
      <w:marTop w:val="0"/>
      <w:marBottom w:val="0"/>
      <w:divBdr>
        <w:top w:val="none" w:sz="0" w:space="0" w:color="auto"/>
        <w:left w:val="none" w:sz="0" w:space="0" w:color="auto"/>
        <w:bottom w:val="none" w:sz="0" w:space="0" w:color="auto"/>
        <w:right w:val="none" w:sz="0" w:space="0" w:color="auto"/>
      </w:divBdr>
    </w:div>
    <w:div w:id="842207614">
      <w:bodyDiv w:val="1"/>
      <w:marLeft w:val="0"/>
      <w:marRight w:val="0"/>
      <w:marTop w:val="0"/>
      <w:marBottom w:val="0"/>
      <w:divBdr>
        <w:top w:val="none" w:sz="0" w:space="0" w:color="auto"/>
        <w:left w:val="none" w:sz="0" w:space="0" w:color="auto"/>
        <w:bottom w:val="none" w:sz="0" w:space="0" w:color="auto"/>
        <w:right w:val="none" w:sz="0" w:space="0" w:color="auto"/>
      </w:divBdr>
    </w:div>
    <w:div w:id="846556232">
      <w:bodyDiv w:val="1"/>
      <w:marLeft w:val="0"/>
      <w:marRight w:val="0"/>
      <w:marTop w:val="0"/>
      <w:marBottom w:val="0"/>
      <w:divBdr>
        <w:top w:val="none" w:sz="0" w:space="0" w:color="auto"/>
        <w:left w:val="none" w:sz="0" w:space="0" w:color="auto"/>
        <w:bottom w:val="none" w:sz="0" w:space="0" w:color="auto"/>
        <w:right w:val="none" w:sz="0" w:space="0" w:color="auto"/>
      </w:divBdr>
    </w:div>
    <w:div w:id="858397992">
      <w:bodyDiv w:val="1"/>
      <w:marLeft w:val="0"/>
      <w:marRight w:val="0"/>
      <w:marTop w:val="0"/>
      <w:marBottom w:val="0"/>
      <w:divBdr>
        <w:top w:val="none" w:sz="0" w:space="0" w:color="auto"/>
        <w:left w:val="none" w:sz="0" w:space="0" w:color="auto"/>
        <w:bottom w:val="none" w:sz="0" w:space="0" w:color="auto"/>
        <w:right w:val="none" w:sz="0" w:space="0" w:color="auto"/>
      </w:divBdr>
    </w:div>
    <w:div w:id="862789533">
      <w:bodyDiv w:val="1"/>
      <w:marLeft w:val="0"/>
      <w:marRight w:val="0"/>
      <w:marTop w:val="0"/>
      <w:marBottom w:val="0"/>
      <w:divBdr>
        <w:top w:val="none" w:sz="0" w:space="0" w:color="auto"/>
        <w:left w:val="none" w:sz="0" w:space="0" w:color="auto"/>
        <w:bottom w:val="none" w:sz="0" w:space="0" w:color="auto"/>
        <w:right w:val="none" w:sz="0" w:space="0" w:color="auto"/>
      </w:divBdr>
    </w:div>
    <w:div w:id="875436434">
      <w:bodyDiv w:val="1"/>
      <w:marLeft w:val="0"/>
      <w:marRight w:val="0"/>
      <w:marTop w:val="0"/>
      <w:marBottom w:val="0"/>
      <w:divBdr>
        <w:top w:val="none" w:sz="0" w:space="0" w:color="auto"/>
        <w:left w:val="none" w:sz="0" w:space="0" w:color="auto"/>
        <w:bottom w:val="none" w:sz="0" w:space="0" w:color="auto"/>
        <w:right w:val="none" w:sz="0" w:space="0" w:color="auto"/>
      </w:divBdr>
    </w:div>
    <w:div w:id="886527721">
      <w:bodyDiv w:val="1"/>
      <w:marLeft w:val="0"/>
      <w:marRight w:val="0"/>
      <w:marTop w:val="0"/>
      <w:marBottom w:val="0"/>
      <w:divBdr>
        <w:top w:val="none" w:sz="0" w:space="0" w:color="auto"/>
        <w:left w:val="none" w:sz="0" w:space="0" w:color="auto"/>
        <w:bottom w:val="none" w:sz="0" w:space="0" w:color="auto"/>
        <w:right w:val="none" w:sz="0" w:space="0" w:color="auto"/>
      </w:divBdr>
    </w:div>
    <w:div w:id="887182147">
      <w:bodyDiv w:val="1"/>
      <w:marLeft w:val="0"/>
      <w:marRight w:val="0"/>
      <w:marTop w:val="0"/>
      <w:marBottom w:val="0"/>
      <w:divBdr>
        <w:top w:val="none" w:sz="0" w:space="0" w:color="auto"/>
        <w:left w:val="none" w:sz="0" w:space="0" w:color="auto"/>
        <w:bottom w:val="none" w:sz="0" w:space="0" w:color="auto"/>
        <w:right w:val="none" w:sz="0" w:space="0" w:color="auto"/>
      </w:divBdr>
    </w:div>
    <w:div w:id="890918381">
      <w:bodyDiv w:val="1"/>
      <w:marLeft w:val="0"/>
      <w:marRight w:val="0"/>
      <w:marTop w:val="0"/>
      <w:marBottom w:val="0"/>
      <w:divBdr>
        <w:top w:val="none" w:sz="0" w:space="0" w:color="auto"/>
        <w:left w:val="none" w:sz="0" w:space="0" w:color="auto"/>
        <w:bottom w:val="none" w:sz="0" w:space="0" w:color="auto"/>
        <w:right w:val="none" w:sz="0" w:space="0" w:color="auto"/>
      </w:divBdr>
    </w:div>
    <w:div w:id="903569429">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42298816">
      <w:bodyDiv w:val="1"/>
      <w:marLeft w:val="0"/>
      <w:marRight w:val="0"/>
      <w:marTop w:val="0"/>
      <w:marBottom w:val="0"/>
      <w:divBdr>
        <w:top w:val="none" w:sz="0" w:space="0" w:color="auto"/>
        <w:left w:val="none" w:sz="0" w:space="0" w:color="auto"/>
        <w:bottom w:val="none" w:sz="0" w:space="0" w:color="auto"/>
        <w:right w:val="none" w:sz="0" w:space="0" w:color="auto"/>
      </w:divBdr>
    </w:div>
    <w:div w:id="953369259">
      <w:bodyDiv w:val="1"/>
      <w:marLeft w:val="0"/>
      <w:marRight w:val="0"/>
      <w:marTop w:val="0"/>
      <w:marBottom w:val="0"/>
      <w:divBdr>
        <w:top w:val="none" w:sz="0" w:space="0" w:color="auto"/>
        <w:left w:val="none" w:sz="0" w:space="0" w:color="auto"/>
        <w:bottom w:val="none" w:sz="0" w:space="0" w:color="auto"/>
        <w:right w:val="none" w:sz="0" w:space="0" w:color="auto"/>
      </w:divBdr>
    </w:div>
    <w:div w:id="958294008">
      <w:bodyDiv w:val="1"/>
      <w:marLeft w:val="0"/>
      <w:marRight w:val="0"/>
      <w:marTop w:val="0"/>
      <w:marBottom w:val="0"/>
      <w:divBdr>
        <w:top w:val="none" w:sz="0" w:space="0" w:color="auto"/>
        <w:left w:val="none" w:sz="0" w:space="0" w:color="auto"/>
        <w:bottom w:val="none" w:sz="0" w:space="0" w:color="auto"/>
        <w:right w:val="none" w:sz="0" w:space="0" w:color="auto"/>
      </w:divBdr>
    </w:div>
    <w:div w:id="959651925">
      <w:bodyDiv w:val="1"/>
      <w:marLeft w:val="0"/>
      <w:marRight w:val="0"/>
      <w:marTop w:val="0"/>
      <w:marBottom w:val="0"/>
      <w:divBdr>
        <w:top w:val="none" w:sz="0" w:space="0" w:color="auto"/>
        <w:left w:val="none" w:sz="0" w:space="0" w:color="auto"/>
        <w:bottom w:val="none" w:sz="0" w:space="0" w:color="auto"/>
        <w:right w:val="none" w:sz="0" w:space="0" w:color="auto"/>
      </w:divBdr>
    </w:div>
    <w:div w:id="989020368">
      <w:bodyDiv w:val="1"/>
      <w:marLeft w:val="0"/>
      <w:marRight w:val="0"/>
      <w:marTop w:val="0"/>
      <w:marBottom w:val="0"/>
      <w:divBdr>
        <w:top w:val="none" w:sz="0" w:space="0" w:color="auto"/>
        <w:left w:val="none" w:sz="0" w:space="0" w:color="auto"/>
        <w:bottom w:val="none" w:sz="0" w:space="0" w:color="auto"/>
        <w:right w:val="none" w:sz="0" w:space="0" w:color="auto"/>
      </w:divBdr>
    </w:div>
    <w:div w:id="1033774623">
      <w:bodyDiv w:val="1"/>
      <w:marLeft w:val="0"/>
      <w:marRight w:val="0"/>
      <w:marTop w:val="0"/>
      <w:marBottom w:val="0"/>
      <w:divBdr>
        <w:top w:val="none" w:sz="0" w:space="0" w:color="auto"/>
        <w:left w:val="none" w:sz="0" w:space="0" w:color="auto"/>
        <w:bottom w:val="none" w:sz="0" w:space="0" w:color="auto"/>
        <w:right w:val="none" w:sz="0" w:space="0" w:color="auto"/>
      </w:divBdr>
    </w:div>
    <w:div w:id="1052265916">
      <w:bodyDiv w:val="1"/>
      <w:marLeft w:val="0"/>
      <w:marRight w:val="0"/>
      <w:marTop w:val="0"/>
      <w:marBottom w:val="0"/>
      <w:divBdr>
        <w:top w:val="none" w:sz="0" w:space="0" w:color="auto"/>
        <w:left w:val="none" w:sz="0" w:space="0" w:color="auto"/>
        <w:bottom w:val="none" w:sz="0" w:space="0" w:color="auto"/>
        <w:right w:val="none" w:sz="0" w:space="0" w:color="auto"/>
      </w:divBdr>
    </w:div>
    <w:div w:id="1069571327">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078861928">
      <w:bodyDiv w:val="1"/>
      <w:marLeft w:val="0"/>
      <w:marRight w:val="0"/>
      <w:marTop w:val="0"/>
      <w:marBottom w:val="0"/>
      <w:divBdr>
        <w:top w:val="none" w:sz="0" w:space="0" w:color="auto"/>
        <w:left w:val="none" w:sz="0" w:space="0" w:color="auto"/>
        <w:bottom w:val="none" w:sz="0" w:space="0" w:color="auto"/>
        <w:right w:val="none" w:sz="0" w:space="0" w:color="auto"/>
      </w:divBdr>
    </w:div>
    <w:div w:id="1078940943">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11434722">
      <w:bodyDiv w:val="1"/>
      <w:marLeft w:val="0"/>
      <w:marRight w:val="0"/>
      <w:marTop w:val="0"/>
      <w:marBottom w:val="0"/>
      <w:divBdr>
        <w:top w:val="none" w:sz="0" w:space="0" w:color="auto"/>
        <w:left w:val="none" w:sz="0" w:space="0" w:color="auto"/>
        <w:bottom w:val="none" w:sz="0" w:space="0" w:color="auto"/>
        <w:right w:val="none" w:sz="0" w:space="0" w:color="auto"/>
      </w:divBdr>
    </w:div>
    <w:div w:id="1119034145">
      <w:bodyDiv w:val="1"/>
      <w:marLeft w:val="0"/>
      <w:marRight w:val="0"/>
      <w:marTop w:val="0"/>
      <w:marBottom w:val="0"/>
      <w:divBdr>
        <w:top w:val="none" w:sz="0" w:space="0" w:color="auto"/>
        <w:left w:val="none" w:sz="0" w:space="0" w:color="auto"/>
        <w:bottom w:val="none" w:sz="0" w:space="0" w:color="auto"/>
        <w:right w:val="none" w:sz="0" w:space="0" w:color="auto"/>
      </w:divBdr>
    </w:div>
    <w:div w:id="1120300153">
      <w:bodyDiv w:val="1"/>
      <w:marLeft w:val="0"/>
      <w:marRight w:val="0"/>
      <w:marTop w:val="0"/>
      <w:marBottom w:val="0"/>
      <w:divBdr>
        <w:top w:val="none" w:sz="0" w:space="0" w:color="auto"/>
        <w:left w:val="none" w:sz="0" w:space="0" w:color="auto"/>
        <w:bottom w:val="none" w:sz="0" w:space="0" w:color="auto"/>
        <w:right w:val="none" w:sz="0" w:space="0" w:color="auto"/>
      </w:divBdr>
    </w:div>
    <w:div w:id="1120346374">
      <w:bodyDiv w:val="1"/>
      <w:marLeft w:val="0"/>
      <w:marRight w:val="0"/>
      <w:marTop w:val="0"/>
      <w:marBottom w:val="0"/>
      <w:divBdr>
        <w:top w:val="none" w:sz="0" w:space="0" w:color="auto"/>
        <w:left w:val="none" w:sz="0" w:space="0" w:color="auto"/>
        <w:bottom w:val="none" w:sz="0" w:space="0" w:color="auto"/>
        <w:right w:val="none" w:sz="0" w:space="0" w:color="auto"/>
      </w:divBdr>
    </w:div>
    <w:div w:id="1184318647">
      <w:bodyDiv w:val="1"/>
      <w:marLeft w:val="0"/>
      <w:marRight w:val="0"/>
      <w:marTop w:val="0"/>
      <w:marBottom w:val="0"/>
      <w:divBdr>
        <w:top w:val="none" w:sz="0" w:space="0" w:color="auto"/>
        <w:left w:val="none" w:sz="0" w:space="0" w:color="auto"/>
        <w:bottom w:val="none" w:sz="0" w:space="0" w:color="auto"/>
        <w:right w:val="none" w:sz="0" w:space="0" w:color="auto"/>
      </w:divBdr>
    </w:div>
    <w:div w:id="1187214057">
      <w:bodyDiv w:val="1"/>
      <w:marLeft w:val="0"/>
      <w:marRight w:val="0"/>
      <w:marTop w:val="0"/>
      <w:marBottom w:val="0"/>
      <w:divBdr>
        <w:top w:val="none" w:sz="0" w:space="0" w:color="auto"/>
        <w:left w:val="none" w:sz="0" w:space="0" w:color="auto"/>
        <w:bottom w:val="none" w:sz="0" w:space="0" w:color="auto"/>
        <w:right w:val="none" w:sz="0" w:space="0" w:color="auto"/>
      </w:divBdr>
    </w:div>
    <w:div w:id="1200775996">
      <w:bodyDiv w:val="1"/>
      <w:marLeft w:val="0"/>
      <w:marRight w:val="0"/>
      <w:marTop w:val="0"/>
      <w:marBottom w:val="0"/>
      <w:divBdr>
        <w:top w:val="none" w:sz="0" w:space="0" w:color="auto"/>
        <w:left w:val="none" w:sz="0" w:space="0" w:color="auto"/>
        <w:bottom w:val="none" w:sz="0" w:space="0" w:color="auto"/>
        <w:right w:val="none" w:sz="0" w:space="0" w:color="auto"/>
      </w:divBdr>
    </w:div>
    <w:div w:id="1204051377">
      <w:bodyDiv w:val="1"/>
      <w:marLeft w:val="0"/>
      <w:marRight w:val="0"/>
      <w:marTop w:val="0"/>
      <w:marBottom w:val="0"/>
      <w:divBdr>
        <w:top w:val="none" w:sz="0" w:space="0" w:color="auto"/>
        <w:left w:val="none" w:sz="0" w:space="0" w:color="auto"/>
        <w:bottom w:val="none" w:sz="0" w:space="0" w:color="auto"/>
        <w:right w:val="none" w:sz="0" w:space="0" w:color="auto"/>
      </w:divBdr>
    </w:div>
    <w:div w:id="1206873057">
      <w:bodyDiv w:val="1"/>
      <w:marLeft w:val="0"/>
      <w:marRight w:val="0"/>
      <w:marTop w:val="0"/>
      <w:marBottom w:val="0"/>
      <w:divBdr>
        <w:top w:val="none" w:sz="0" w:space="0" w:color="auto"/>
        <w:left w:val="none" w:sz="0" w:space="0" w:color="auto"/>
        <w:bottom w:val="none" w:sz="0" w:space="0" w:color="auto"/>
        <w:right w:val="none" w:sz="0" w:space="0" w:color="auto"/>
      </w:divBdr>
    </w:div>
    <w:div w:id="1223563238">
      <w:bodyDiv w:val="1"/>
      <w:marLeft w:val="0"/>
      <w:marRight w:val="0"/>
      <w:marTop w:val="0"/>
      <w:marBottom w:val="0"/>
      <w:divBdr>
        <w:top w:val="none" w:sz="0" w:space="0" w:color="auto"/>
        <w:left w:val="none" w:sz="0" w:space="0" w:color="auto"/>
        <w:bottom w:val="none" w:sz="0" w:space="0" w:color="auto"/>
        <w:right w:val="none" w:sz="0" w:space="0" w:color="auto"/>
      </w:divBdr>
    </w:div>
    <w:div w:id="1224440684">
      <w:bodyDiv w:val="1"/>
      <w:marLeft w:val="0"/>
      <w:marRight w:val="0"/>
      <w:marTop w:val="0"/>
      <w:marBottom w:val="0"/>
      <w:divBdr>
        <w:top w:val="none" w:sz="0" w:space="0" w:color="auto"/>
        <w:left w:val="none" w:sz="0" w:space="0" w:color="auto"/>
        <w:bottom w:val="none" w:sz="0" w:space="0" w:color="auto"/>
        <w:right w:val="none" w:sz="0" w:space="0" w:color="auto"/>
      </w:divBdr>
    </w:div>
    <w:div w:id="1251816221">
      <w:bodyDiv w:val="1"/>
      <w:marLeft w:val="0"/>
      <w:marRight w:val="0"/>
      <w:marTop w:val="0"/>
      <w:marBottom w:val="0"/>
      <w:divBdr>
        <w:top w:val="none" w:sz="0" w:space="0" w:color="auto"/>
        <w:left w:val="none" w:sz="0" w:space="0" w:color="auto"/>
        <w:bottom w:val="none" w:sz="0" w:space="0" w:color="auto"/>
        <w:right w:val="none" w:sz="0" w:space="0" w:color="auto"/>
      </w:divBdr>
    </w:div>
    <w:div w:id="1252737661">
      <w:bodyDiv w:val="1"/>
      <w:marLeft w:val="0"/>
      <w:marRight w:val="0"/>
      <w:marTop w:val="0"/>
      <w:marBottom w:val="0"/>
      <w:divBdr>
        <w:top w:val="none" w:sz="0" w:space="0" w:color="auto"/>
        <w:left w:val="none" w:sz="0" w:space="0" w:color="auto"/>
        <w:bottom w:val="none" w:sz="0" w:space="0" w:color="auto"/>
        <w:right w:val="none" w:sz="0" w:space="0" w:color="auto"/>
      </w:divBdr>
    </w:div>
    <w:div w:id="1261599143">
      <w:bodyDiv w:val="1"/>
      <w:marLeft w:val="0"/>
      <w:marRight w:val="0"/>
      <w:marTop w:val="0"/>
      <w:marBottom w:val="0"/>
      <w:divBdr>
        <w:top w:val="none" w:sz="0" w:space="0" w:color="auto"/>
        <w:left w:val="none" w:sz="0" w:space="0" w:color="auto"/>
        <w:bottom w:val="none" w:sz="0" w:space="0" w:color="auto"/>
        <w:right w:val="none" w:sz="0" w:space="0" w:color="auto"/>
      </w:divBdr>
    </w:div>
    <w:div w:id="1267925850">
      <w:bodyDiv w:val="1"/>
      <w:marLeft w:val="0"/>
      <w:marRight w:val="0"/>
      <w:marTop w:val="0"/>
      <w:marBottom w:val="0"/>
      <w:divBdr>
        <w:top w:val="none" w:sz="0" w:space="0" w:color="auto"/>
        <w:left w:val="none" w:sz="0" w:space="0" w:color="auto"/>
        <w:bottom w:val="none" w:sz="0" w:space="0" w:color="auto"/>
        <w:right w:val="none" w:sz="0" w:space="0" w:color="auto"/>
      </w:divBdr>
    </w:div>
    <w:div w:id="1275014859">
      <w:bodyDiv w:val="1"/>
      <w:marLeft w:val="0"/>
      <w:marRight w:val="0"/>
      <w:marTop w:val="0"/>
      <w:marBottom w:val="0"/>
      <w:divBdr>
        <w:top w:val="none" w:sz="0" w:space="0" w:color="auto"/>
        <w:left w:val="none" w:sz="0" w:space="0" w:color="auto"/>
        <w:bottom w:val="none" w:sz="0" w:space="0" w:color="auto"/>
        <w:right w:val="none" w:sz="0" w:space="0" w:color="auto"/>
      </w:divBdr>
    </w:div>
    <w:div w:id="1283076272">
      <w:bodyDiv w:val="1"/>
      <w:marLeft w:val="0"/>
      <w:marRight w:val="0"/>
      <w:marTop w:val="0"/>
      <w:marBottom w:val="0"/>
      <w:divBdr>
        <w:top w:val="none" w:sz="0" w:space="0" w:color="auto"/>
        <w:left w:val="none" w:sz="0" w:space="0" w:color="auto"/>
        <w:bottom w:val="none" w:sz="0" w:space="0" w:color="auto"/>
        <w:right w:val="none" w:sz="0" w:space="0" w:color="auto"/>
      </w:divBdr>
    </w:div>
    <w:div w:id="1286623561">
      <w:bodyDiv w:val="1"/>
      <w:marLeft w:val="0"/>
      <w:marRight w:val="0"/>
      <w:marTop w:val="0"/>
      <w:marBottom w:val="0"/>
      <w:divBdr>
        <w:top w:val="none" w:sz="0" w:space="0" w:color="auto"/>
        <w:left w:val="none" w:sz="0" w:space="0" w:color="auto"/>
        <w:bottom w:val="none" w:sz="0" w:space="0" w:color="auto"/>
        <w:right w:val="none" w:sz="0" w:space="0" w:color="auto"/>
      </w:divBdr>
    </w:div>
    <w:div w:id="1294408141">
      <w:bodyDiv w:val="1"/>
      <w:marLeft w:val="0"/>
      <w:marRight w:val="0"/>
      <w:marTop w:val="0"/>
      <w:marBottom w:val="0"/>
      <w:divBdr>
        <w:top w:val="none" w:sz="0" w:space="0" w:color="auto"/>
        <w:left w:val="none" w:sz="0" w:space="0" w:color="auto"/>
        <w:bottom w:val="none" w:sz="0" w:space="0" w:color="auto"/>
        <w:right w:val="none" w:sz="0" w:space="0" w:color="auto"/>
      </w:divBdr>
    </w:div>
    <w:div w:id="1298216318">
      <w:bodyDiv w:val="1"/>
      <w:marLeft w:val="0"/>
      <w:marRight w:val="0"/>
      <w:marTop w:val="0"/>
      <w:marBottom w:val="0"/>
      <w:divBdr>
        <w:top w:val="none" w:sz="0" w:space="0" w:color="auto"/>
        <w:left w:val="none" w:sz="0" w:space="0" w:color="auto"/>
        <w:bottom w:val="none" w:sz="0" w:space="0" w:color="auto"/>
        <w:right w:val="none" w:sz="0" w:space="0" w:color="auto"/>
      </w:divBdr>
    </w:div>
    <w:div w:id="1299187652">
      <w:bodyDiv w:val="1"/>
      <w:marLeft w:val="0"/>
      <w:marRight w:val="0"/>
      <w:marTop w:val="0"/>
      <w:marBottom w:val="0"/>
      <w:divBdr>
        <w:top w:val="none" w:sz="0" w:space="0" w:color="auto"/>
        <w:left w:val="none" w:sz="0" w:space="0" w:color="auto"/>
        <w:bottom w:val="none" w:sz="0" w:space="0" w:color="auto"/>
        <w:right w:val="none" w:sz="0" w:space="0" w:color="auto"/>
      </w:divBdr>
    </w:div>
    <w:div w:id="1301224800">
      <w:bodyDiv w:val="1"/>
      <w:marLeft w:val="0"/>
      <w:marRight w:val="0"/>
      <w:marTop w:val="0"/>
      <w:marBottom w:val="0"/>
      <w:divBdr>
        <w:top w:val="none" w:sz="0" w:space="0" w:color="auto"/>
        <w:left w:val="none" w:sz="0" w:space="0" w:color="auto"/>
        <w:bottom w:val="none" w:sz="0" w:space="0" w:color="auto"/>
        <w:right w:val="none" w:sz="0" w:space="0" w:color="auto"/>
      </w:divBdr>
    </w:div>
    <w:div w:id="1306349611">
      <w:bodyDiv w:val="1"/>
      <w:marLeft w:val="0"/>
      <w:marRight w:val="0"/>
      <w:marTop w:val="0"/>
      <w:marBottom w:val="0"/>
      <w:divBdr>
        <w:top w:val="none" w:sz="0" w:space="0" w:color="auto"/>
        <w:left w:val="none" w:sz="0" w:space="0" w:color="auto"/>
        <w:bottom w:val="none" w:sz="0" w:space="0" w:color="auto"/>
        <w:right w:val="none" w:sz="0" w:space="0" w:color="auto"/>
      </w:divBdr>
    </w:div>
    <w:div w:id="1323970652">
      <w:bodyDiv w:val="1"/>
      <w:marLeft w:val="0"/>
      <w:marRight w:val="0"/>
      <w:marTop w:val="0"/>
      <w:marBottom w:val="0"/>
      <w:divBdr>
        <w:top w:val="none" w:sz="0" w:space="0" w:color="auto"/>
        <w:left w:val="none" w:sz="0" w:space="0" w:color="auto"/>
        <w:bottom w:val="none" w:sz="0" w:space="0" w:color="auto"/>
        <w:right w:val="none" w:sz="0" w:space="0" w:color="auto"/>
      </w:divBdr>
    </w:div>
    <w:div w:id="1325089129">
      <w:bodyDiv w:val="1"/>
      <w:marLeft w:val="0"/>
      <w:marRight w:val="0"/>
      <w:marTop w:val="0"/>
      <w:marBottom w:val="0"/>
      <w:divBdr>
        <w:top w:val="none" w:sz="0" w:space="0" w:color="auto"/>
        <w:left w:val="none" w:sz="0" w:space="0" w:color="auto"/>
        <w:bottom w:val="none" w:sz="0" w:space="0" w:color="auto"/>
        <w:right w:val="none" w:sz="0" w:space="0" w:color="auto"/>
      </w:divBdr>
    </w:div>
    <w:div w:id="1328291628">
      <w:bodyDiv w:val="1"/>
      <w:marLeft w:val="0"/>
      <w:marRight w:val="0"/>
      <w:marTop w:val="0"/>
      <w:marBottom w:val="0"/>
      <w:divBdr>
        <w:top w:val="none" w:sz="0" w:space="0" w:color="auto"/>
        <w:left w:val="none" w:sz="0" w:space="0" w:color="auto"/>
        <w:bottom w:val="none" w:sz="0" w:space="0" w:color="auto"/>
        <w:right w:val="none" w:sz="0" w:space="0" w:color="auto"/>
      </w:divBdr>
    </w:div>
    <w:div w:id="1330673147">
      <w:bodyDiv w:val="1"/>
      <w:marLeft w:val="0"/>
      <w:marRight w:val="0"/>
      <w:marTop w:val="0"/>
      <w:marBottom w:val="0"/>
      <w:divBdr>
        <w:top w:val="none" w:sz="0" w:space="0" w:color="auto"/>
        <w:left w:val="none" w:sz="0" w:space="0" w:color="auto"/>
        <w:bottom w:val="none" w:sz="0" w:space="0" w:color="auto"/>
        <w:right w:val="none" w:sz="0" w:space="0" w:color="auto"/>
      </w:divBdr>
    </w:div>
    <w:div w:id="1352223583">
      <w:bodyDiv w:val="1"/>
      <w:marLeft w:val="0"/>
      <w:marRight w:val="0"/>
      <w:marTop w:val="0"/>
      <w:marBottom w:val="0"/>
      <w:divBdr>
        <w:top w:val="none" w:sz="0" w:space="0" w:color="auto"/>
        <w:left w:val="none" w:sz="0" w:space="0" w:color="auto"/>
        <w:bottom w:val="none" w:sz="0" w:space="0" w:color="auto"/>
        <w:right w:val="none" w:sz="0" w:space="0" w:color="auto"/>
      </w:divBdr>
    </w:div>
    <w:div w:id="1354578312">
      <w:bodyDiv w:val="1"/>
      <w:marLeft w:val="0"/>
      <w:marRight w:val="0"/>
      <w:marTop w:val="0"/>
      <w:marBottom w:val="0"/>
      <w:divBdr>
        <w:top w:val="none" w:sz="0" w:space="0" w:color="auto"/>
        <w:left w:val="none" w:sz="0" w:space="0" w:color="auto"/>
        <w:bottom w:val="none" w:sz="0" w:space="0" w:color="auto"/>
        <w:right w:val="none" w:sz="0" w:space="0" w:color="auto"/>
      </w:divBdr>
    </w:div>
    <w:div w:id="1363701221">
      <w:bodyDiv w:val="1"/>
      <w:marLeft w:val="0"/>
      <w:marRight w:val="0"/>
      <w:marTop w:val="0"/>
      <w:marBottom w:val="0"/>
      <w:divBdr>
        <w:top w:val="none" w:sz="0" w:space="0" w:color="auto"/>
        <w:left w:val="none" w:sz="0" w:space="0" w:color="auto"/>
        <w:bottom w:val="none" w:sz="0" w:space="0" w:color="auto"/>
        <w:right w:val="none" w:sz="0" w:space="0" w:color="auto"/>
      </w:divBdr>
    </w:div>
    <w:div w:id="1366711179">
      <w:bodyDiv w:val="1"/>
      <w:marLeft w:val="0"/>
      <w:marRight w:val="0"/>
      <w:marTop w:val="0"/>
      <w:marBottom w:val="0"/>
      <w:divBdr>
        <w:top w:val="none" w:sz="0" w:space="0" w:color="auto"/>
        <w:left w:val="none" w:sz="0" w:space="0" w:color="auto"/>
        <w:bottom w:val="none" w:sz="0" w:space="0" w:color="auto"/>
        <w:right w:val="none" w:sz="0" w:space="0" w:color="auto"/>
      </w:divBdr>
    </w:div>
    <w:div w:id="1371346933">
      <w:bodyDiv w:val="1"/>
      <w:marLeft w:val="0"/>
      <w:marRight w:val="0"/>
      <w:marTop w:val="0"/>
      <w:marBottom w:val="0"/>
      <w:divBdr>
        <w:top w:val="none" w:sz="0" w:space="0" w:color="auto"/>
        <w:left w:val="none" w:sz="0" w:space="0" w:color="auto"/>
        <w:bottom w:val="none" w:sz="0" w:space="0" w:color="auto"/>
        <w:right w:val="none" w:sz="0" w:space="0" w:color="auto"/>
      </w:divBdr>
    </w:div>
    <w:div w:id="1371959515">
      <w:bodyDiv w:val="1"/>
      <w:marLeft w:val="0"/>
      <w:marRight w:val="0"/>
      <w:marTop w:val="0"/>
      <w:marBottom w:val="0"/>
      <w:divBdr>
        <w:top w:val="none" w:sz="0" w:space="0" w:color="auto"/>
        <w:left w:val="none" w:sz="0" w:space="0" w:color="auto"/>
        <w:bottom w:val="none" w:sz="0" w:space="0" w:color="auto"/>
        <w:right w:val="none" w:sz="0" w:space="0" w:color="auto"/>
      </w:divBdr>
    </w:div>
    <w:div w:id="1377777890">
      <w:bodyDiv w:val="1"/>
      <w:marLeft w:val="0"/>
      <w:marRight w:val="0"/>
      <w:marTop w:val="0"/>
      <w:marBottom w:val="0"/>
      <w:divBdr>
        <w:top w:val="none" w:sz="0" w:space="0" w:color="auto"/>
        <w:left w:val="none" w:sz="0" w:space="0" w:color="auto"/>
        <w:bottom w:val="none" w:sz="0" w:space="0" w:color="auto"/>
        <w:right w:val="none" w:sz="0" w:space="0" w:color="auto"/>
      </w:divBdr>
    </w:div>
    <w:div w:id="1378429461">
      <w:bodyDiv w:val="1"/>
      <w:marLeft w:val="0"/>
      <w:marRight w:val="0"/>
      <w:marTop w:val="0"/>
      <w:marBottom w:val="0"/>
      <w:divBdr>
        <w:top w:val="none" w:sz="0" w:space="0" w:color="auto"/>
        <w:left w:val="none" w:sz="0" w:space="0" w:color="auto"/>
        <w:bottom w:val="none" w:sz="0" w:space="0" w:color="auto"/>
        <w:right w:val="none" w:sz="0" w:space="0" w:color="auto"/>
      </w:divBdr>
      <w:divsChild>
        <w:div w:id="622882979">
          <w:marLeft w:val="0"/>
          <w:marRight w:val="0"/>
          <w:marTop w:val="0"/>
          <w:marBottom w:val="0"/>
          <w:divBdr>
            <w:top w:val="none" w:sz="0" w:space="0" w:color="auto"/>
            <w:left w:val="none" w:sz="0" w:space="0" w:color="auto"/>
            <w:bottom w:val="none" w:sz="0" w:space="0" w:color="auto"/>
            <w:right w:val="none" w:sz="0" w:space="0" w:color="auto"/>
          </w:divBdr>
          <w:divsChild>
            <w:div w:id="1407144286">
              <w:marLeft w:val="0"/>
              <w:marRight w:val="0"/>
              <w:marTop w:val="0"/>
              <w:marBottom w:val="0"/>
              <w:divBdr>
                <w:top w:val="none" w:sz="0" w:space="0" w:color="auto"/>
                <w:left w:val="none" w:sz="0" w:space="0" w:color="auto"/>
                <w:bottom w:val="none" w:sz="0" w:space="0" w:color="auto"/>
                <w:right w:val="none" w:sz="0" w:space="0" w:color="auto"/>
              </w:divBdr>
              <w:divsChild>
                <w:div w:id="1018702316">
                  <w:marLeft w:val="0"/>
                  <w:marRight w:val="0"/>
                  <w:marTop w:val="0"/>
                  <w:marBottom w:val="0"/>
                  <w:divBdr>
                    <w:top w:val="none" w:sz="0" w:space="0" w:color="auto"/>
                    <w:left w:val="none" w:sz="0" w:space="0" w:color="auto"/>
                    <w:bottom w:val="none" w:sz="0" w:space="0" w:color="auto"/>
                    <w:right w:val="none" w:sz="0" w:space="0" w:color="auto"/>
                  </w:divBdr>
                  <w:divsChild>
                    <w:div w:id="1267807808">
                      <w:marLeft w:val="0"/>
                      <w:marRight w:val="0"/>
                      <w:marTop w:val="0"/>
                      <w:marBottom w:val="0"/>
                      <w:divBdr>
                        <w:top w:val="none" w:sz="0" w:space="0" w:color="auto"/>
                        <w:left w:val="none" w:sz="0" w:space="0" w:color="auto"/>
                        <w:bottom w:val="none" w:sz="0" w:space="0" w:color="auto"/>
                        <w:right w:val="none" w:sz="0" w:space="0" w:color="auto"/>
                      </w:divBdr>
                      <w:divsChild>
                        <w:div w:id="728769577">
                          <w:marLeft w:val="0"/>
                          <w:marRight w:val="0"/>
                          <w:marTop w:val="0"/>
                          <w:marBottom w:val="0"/>
                          <w:divBdr>
                            <w:top w:val="none" w:sz="0" w:space="0" w:color="auto"/>
                            <w:left w:val="none" w:sz="0" w:space="0" w:color="auto"/>
                            <w:bottom w:val="none" w:sz="0" w:space="0" w:color="auto"/>
                            <w:right w:val="none" w:sz="0" w:space="0" w:color="auto"/>
                          </w:divBdr>
                          <w:divsChild>
                            <w:div w:id="858858369">
                              <w:marLeft w:val="0"/>
                              <w:marRight w:val="0"/>
                              <w:marTop w:val="0"/>
                              <w:marBottom w:val="0"/>
                              <w:divBdr>
                                <w:top w:val="none" w:sz="0" w:space="0" w:color="auto"/>
                                <w:left w:val="none" w:sz="0" w:space="0" w:color="auto"/>
                                <w:bottom w:val="none" w:sz="0" w:space="0" w:color="auto"/>
                                <w:right w:val="none" w:sz="0" w:space="0" w:color="auto"/>
                              </w:divBdr>
                              <w:divsChild>
                                <w:div w:id="1763331285">
                                  <w:marLeft w:val="0"/>
                                  <w:marRight w:val="0"/>
                                  <w:marTop w:val="0"/>
                                  <w:marBottom w:val="0"/>
                                  <w:divBdr>
                                    <w:top w:val="none" w:sz="0" w:space="0" w:color="auto"/>
                                    <w:left w:val="none" w:sz="0" w:space="0" w:color="auto"/>
                                    <w:bottom w:val="none" w:sz="0" w:space="0" w:color="auto"/>
                                    <w:right w:val="none" w:sz="0" w:space="0" w:color="auto"/>
                                  </w:divBdr>
                                  <w:divsChild>
                                    <w:div w:id="10337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556831">
      <w:bodyDiv w:val="1"/>
      <w:marLeft w:val="0"/>
      <w:marRight w:val="0"/>
      <w:marTop w:val="0"/>
      <w:marBottom w:val="0"/>
      <w:divBdr>
        <w:top w:val="none" w:sz="0" w:space="0" w:color="auto"/>
        <w:left w:val="none" w:sz="0" w:space="0" w:color="auto"/>
        <w:bottom w:val="none" w:sz="0" w:space="0" w:color="auto"/>
        <w:right w:val="none" w:sz="0" w:space="0" w:color="auto"/>
      </w:divBdr>
    </w:div>
    <w:div w:id="1399552800">
      <w:bodyDiv w:val="1"/>
      <w:marLeft w:val="0"/>
      <w:marRight w:val="0"/>
      <w:marTop w:val="0"/>
      <w:marBottom w:val="0"/>
      <w:divBdr>
        <w:top w:val="none" w:sz="0" w:space="0" w:color="auto"/>
        <w:left w:val="none" w:sz="0" w:space="0" w:color="auto"/>
        <w:bottom w:val="none" w:sz="0" w:space="0" w:color="auto"/>
        <w:right w:val="none" w:sz="0" w:space="0" w:color="auto"/>
      </w:divBdr>
    </w:div>
    <w:div w:id="1408727725">
      <w:bodyDiv w:val="1"/>
      <w:marLeft w:val="0"/>
      <w:marRight w:val="0"/>
      <w:marTop w:val="0"/>
      <w:marBottom w:val="0"/>
      <w:divBdr>
        <w:top w:val="none" w:sz="0" w:space="0" w:color="auto"/>
        <w:left w:val="none" w:sz="0" w:space="0" w:color="auto"/>
        <w:bottom w:val="none" w:sz="0" w:space="0" w:color="auto"/>
        <w:right w:val="none" w:sz="0" w:space="0" w:color="auto"/>
      </w:divBdr>
    </w:div>
    <w:div w:id="1409308616">
      <w:bodyDiv w:val="1"/>
      <w:marLeft w:val="0"/>
      <w:marRight w:val="0"/>
      <w:marTop w:val="0"/>
      <w:marBottom w:val="0"/>
      <w:divBdr>
        <w:top w:val="none" w:sz="0" w:space="0" w:color="auto"/>
        <w:left w:val="none" w:sz="0" w:space="0" w:color="auto"/>
        <w:bottom w:val="none" w:sz="0" w:space="0" w:color="auto"/>
        <w:right w:val="none" w:sz="0" w:space="0" w:color="auto"/>
      </w:divBdr>
    </w:div>
    <w:div w:id="1421026409">
      <w:bodyDiv w:val="1"/>
      <w:marLeft w:val="0"/>
      <w:marRight w:val="0"/>
      <w:marTop w:val="0"/>
      <w:marBottom w:val="0"/>
      <w:divBdr>
        <w:top w:val="none" w:sz="0" w:space="0" w:color="auto"/>
        <w:left w:val="none" w:sz="0" w:space="0" w:color="auto"/>
        <w:bottom w:val="none" w:sz="0" w:space="0" w:color="auto"/>
        <w:right w:val="none" w:sz="0" w:space="0" w:color="auto"/>
      </w:divBdr>
      <w:divsChild>
        <w:div w:id="1887133194">
          <w:marLeft w:val="0"/>
          <w:marRight w:val="0"/>
          <w:marTop w:val="0"/>
          <w:marBottom w:val="0"/>
          <w:divBdr>
            <w:top w:val="none" w:sz="0" w:space="0" w:color="auto"/>
            <w:left w:val="none" w:sz="0" w:space="0" w:color="auto"/>
            <w:bottom w:val="none" w:sz="0" w:space="0" w:color="auto"/>
            <w:right w:val="none" w:sz="0" w:space="0" w:color="auto"/>
          </w:divBdr>
          <w:divsChild>
            <w:div w:id="669212735">
              <w:marLeft w:val="0"/>
              <w:marRight w:val="0"/>
              <w:marTop w:val="0"/>
              <w:marBottom w:val="0"/>
              <w:divBdr>
                <w:top w:val="none" w:sz="0" w:space="0" w:color="auto"/>
                <w:left w:val="none" w:sz="0" w:space="0" w:color="auto"/>
                <w:bottom w:val="none" w:sz="0" w:space="0" w:color="auto"/>
                <w:right w:val="none" w:sz="0" w:space="0" w:color="auto"/>
              </w:divBdr>
              <w:divsChild>
                <w:div w:id="1387995590">
                  <w:marLeft w:val="0"/>
                  <w:marRight w:val="0"/>
                  <w:marTop w:val="0"/>
                  <w:marBottom w:val="0"/>
                  <w:divBdr>
                    <w:top w:val="none" w:sz="0" w:space="0" w:color="auto"/>
                    <w:left w:val="none" w:sz="0" w:space="0" w:color="auto"/>
                    <w:bottom w:val="none" w:sz="0" w:space="0" w:color="auto"/>
                    <w:right w:val="none" w:sz="0" w:space="0" w:color="auto"/>
                  </w:divBdr>
                  <w:divsChild>
                    <w:div w:id="46683574">
                      <w:marLeft w:val="0"/>
                      <w:marRight w:val="0"/>
                      <w:marTop w:val="0"/>
                      <w:marBottom w:val="0"/>
                      <w:divBdr>
                        <w:top w:val="none" w:sz="0" w:space="0" w:color="auto"/>
                        <w:left w:val="none" w:sz="0" w:space="0" w:color="auto"/>
                        <w:bottom w:val="none" w:sz="0" w:space="0" w:color="auto"/>
                        <w:right w:val="none" w:sz="0" w:space="0" w:color="auto"/>
                      </w:divBdr>
                      <w:divsChild>
                        <w:div w:id="2053844728">
                          <w:marLeft w:val="0"/>
                          <w:marRight w:val="0"/>
                          <w:marTop w:val="0"/>
                          <w:marBottom w:val="0"/>
                          <w:divBdr>
                            <w:top w:val="none" w:sz="0" w:space="0" w:color="auto"/>
                            <w:left w:val="none" w:sz="0" w:space="0" w:color="auto"/>
                            <w:bottom w:val="none" w:sz="0" w:space="0" w:color="auto"/>
                            <w:right w:val="none" w:sz="0" w:space="0" w:color="auto"/>
                          </w:divBdr>
                          <w:divsChild>
                            <w:div w:id="1118720145">
                              <w:marLeft w:val="0"/>
                              <w:marRight w:val="0"/>
                              <w:marTop w:val="0"/>
                              <w:marBottom w:val="0"/>
                              <w:divBdr>
                                <w:top w:val="none" w:sz="0" w:space="0" w:color="auto"/>
                                <w:left w:val="none" w:sz="0" w:space="0" w:color="auto"/>
                                <w:bottom w:val="none" w:sz="0" w:space="0" w:color="auto"/>
                                <w:right w:val="none" w:sz="0" w:space="0" w:color="auto"/>
                              </w:divBdr>
                              <w:divsChild>
                                <w:div w:id="1929536888">
                                  <w:marLeft w:val="0"/>
                                  <w:marRight w:val="0"/>
                                  <w:marTop w:val="0"/>
                                  <w:marBottom w:val="0"/>
                                  <w:divBdr>
                                    <w:top w:val="none" w:sz="0" w:space="0" w:color="auto"/>
                                    <w:left w:val="none" w:sz="0" w:space="0" w:color="auto"/>
                                    <w:bottom w:val="none" w:sz="0" w:space="0" w:color="auto"/>
                                    <w:right w:val="none" w:sz="0" w:space="0" w:color="auto"/>
                                  </w:divBdr>
                                  <w:divsChild>
                                    <w:div w:id="13565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06895">
      <w:bodyDiv w:val="1"/>
      <w:marLeft w:val="0"/>
      <w:marRight w:val="0"/>
      <w:marTop w:val="0"/>
      <w:marBottom w:val="0"/>
      <w:divBdr>
        <w:top w:val="none" w:sz="0" w:space="0" w:color="auto"/>
        <w:left w:val="none" w:sz="0" w:space="0" w:color="auto"/>
        <w:bottom w:val="none" w:sz="0" w:space="0" w:color="auto"/>
        <w:right w:val="none" w:sz="0" w:space="0" w:color="auto"/>
      </w:divBdr>
    </w:div>
    <w:div w:id="1455321729">
      <w:bodyDiv w:val="1"/>
      <w:marLeft w:val="0"/>
      <w:marRight w:val="0"/>
      <w:marTop w:val="0"/>
      <w:marBottom w:val="0"/>
      <w:divBdr>
        <w:top w:val="none" w:sz="0" w:space="0" w:color="auto"/>
        <w:left w:val="none" w:sz="0" w:space="0" w:color="auto"/>
        <w:bottom w:val="none" w:sz="0" w:space="0" w:color="auto"/>
        <w:right w:val="none" w:sz="0" w:space="0" w:color="auto"/>
      </w:divBdr>
    </w:div>
    <w:div w:id="1513103710">
      <w:bodyDiv w:val="1"/>
      <w:marLeft w:val="0"/>
      <w:marRight w:val="0"/>
      <w:marTop w:val="0"/>
      <w:marBottom w:val="0"/>
      <w:divBdr>
        <w:top w:val="none" w:sz="0" w:space="0" w:color="auto"/>
        <w:left w:val="none" w:sz="0" w:space="0" w:color="auto"/>
        <w:bottom w:val="none" w:sz="0" w:space="0" w:color="auto"/>
        <w:right w:val="none" w:sz="0" w:space="0" w:color="auto"/>
      </w:divBdr>
    </w:div>
    <w:div w:id="1532719781">
      <w:bodyDiv w:val="1"/>
      <w:marLeft w:val="0"/>
      <w:marRight w:val="0"/>
      <w:marTop w:val="0"/>
      <w:marBottom w:val="0"/>
      <w:divBdr>
        <w:top w:val="none" w:sz="0" w:space="0" w:color="auto"/>
        <w:left w:val="none" w:sz="0" w:space="0" w:color="auto"/>
        <w:bottom w:val="none" w:sz="0" w:space="0" w:color="auto"/>
        <w:right w:val="none" w:sz="0" w:space="0" w:color="auto"/>
      </w:divBdr>
    </w:div>
    <w:div w:id="1540780034">
      <w:bodyDiv w:val="1"/>
      <w:marLeft w:val="0"/>
      <w:marRight w:val="0"/>
      <w:marTop w:val="0"/>
      <w:marBottom w:val="0"/>
      <w:divBdr>
        <w:top w:val="none" w:sz="0" w:space="0" w:color="auto"/>
        <w:left w:val="none" w:sz="0" w:space="0" w:color="auto"/>
        <w:bottom w:val="none" w:sz="0" w:space="0" w:color="auto"/>
        <w:right w:val="none" w:sz="0" w:space="0" w:color="auto"/>
      </w:divBdr>
    </w:div>
    <w:div w:id="1550531351">
      <w:bodyDiv w:val="1"/>
      <w:marLeft w:val="0"/>
      <w:marRight w:val="0"/>
      <w:marTop w:val="0"/>
      <w:marBottom w:val="0"/>
      <w:divBdr>
        <w:top w:val="none" w:sz="0" w:space="0" w:color="auto"/>
        <w:left w:val="none" w:sz="0" w:space="0" w:color="auto"/>
        <w:bottom w:val="none" w:sz="0" w:space="0" w:color="auto"/>
        <w:right w:val="none" w:sz="0" w:space="0" w:color="auto"/>
      </w:divBdr>
    </w:div>
    <w:div w:id="1554927741">
      <w:bodyDiv w:val="1"/>
      <w:marLeft w:val="0"/>
      <w:marRight w:val="0"/>
      <w:marTop w:val="0"/>
      <w:marBottom w:val="0"/>
      <w:divBdr>
        <w:top w:val="none" w:sz="0" w:space="0" w:color="auto"/>
        <w:left w:val="none" w:sz="0" w:space="0" w:color="auto"/>
        <w:bottom w:val="none" w:sz="0" w:space="0" w:color="auto"/>
        <w:right w:val="none" w:sz="0" w:space="0" w:color="auto"/>
      </w:divBdr>
    </w:div>
    <w:div w:id="1586500440">
      <w:bodyDiv w:val="1"/>
      <w:marLeft w:val="0"/>
      <w:marRight w:val="0"/>
      <w:marTop w:val="0"/>
      <w:marBottom w:val="0"/>
      <w:divBdr>
        <w:top w:val="none" w:sz="0" w:space="0" w:color="auto"/>
        <w:left w:val="none" w:sz="0" w:space="0" w:color="auto"/>
        <w:bottom w:val="none" w:sz="0" w:space="0" w:color="auto"/>
        <w:right w:val="none" w:sz="0" w:space="0" w:color="auto"/>
      </w:divBdr>
    </w:div>
    <w:div w:id="1588465380">
      <w:bodyDiv w:val="1"/>
      <w:marLeft w:val="0"/>
      <w:marRight w:val="0"/>
      <w:marTop w:val="0"/>
      <w:marBottom w:val="0"/>
      <w:divBdr>
        <w:top w:val="none" w:sz="0" w:space="0" w:color="auto"/>
        <w:left w:val="none" w:sz="0" w:space="0" w:color="auto"/>
        <w:bottom w:val="none" w:sz="0" w:space="0" w:color="auto"/>
        <w:right w:val="none" w:sz="0" w:space="0" w:color="auto"/>
      </w:divBdr>
    </w:div>
    <w:div w:id="1602254836">
      <w:bodyDiv w:val="1"/>
      <w:marLeft w:val="0"/>
      <w:marRight w:val="0"/>
      <w:marTop w:val="0"/>
      <w:marBottom w:val="0"/>
      <w:divBdr>
        <w:top w:val="none" w:sz="0" w:space="0" w:color="auto"/>
        <w:left w:val="none" w:sz="0" w:space="0" w:color="auto"/>
        <w:bottom w:val="none" w:sz="0" w:space="0" w:color="auto"/>
        <w:right w:val="none" w:sz="0" w:space="0" w:color="auto"/>
      </w:divBdr>
    </w:div>
    <w:div w:id="1605069259">
      <w:bodyDiv w:val="1"/>
      <w:marLeft w:val="0"/>
      <w:marRight w:val="0"/>
      <w:marTop w:val="0"/>
      <w:marBottom w:val="0"/>
      <w:divBdr>
        <w:top w:val="none" w:sz="0" w:space="0" w:color="auto"/>
        <w:left w:val="none" w:sz="0" w:space="0" w:color="auto"/>
        <w:bottom w:val="none" w:sz="0" w:space="0" w:color="auto"/>
        <w:right w:val="none" w:sz="0" w:space="0" w:color="auto"/>
      </w:divBdr>
    </w:div>
    <w:div w:id="1616593384">
      <w:bodyDiv w:val="1"/>
      <w:marLeft w:val="0"/>
      <w:marRight w:val="0"/>
      <w:marTop w:val="0"/>
      <w:marBottom w:val="0"/>
      <w:divBdr>
        <w:top w:val="none" w:sz="0" w:space="0" w:color="auto"/>
        <w:left w:val="none" w:sz="0" w:space="0" w:color="auto"/>
        <w:bottom w:val="none" w:sz="0" w:space="0" w:color="auto"/>
        <w:right w:val="none" w:sz="0" w:space="0" w:color="auto"/>
      </w:divBdr>
    </w:div>
    <w:div w:id="1621912459">
      <w:bodyDiv w:val="1"/>
      <w:marLeft w:val="0"/>
      <w:marRight w:val="0"/>
      <w:marTop w:val="0"/>
      <w:marBottom w:val="0"/>
      <w:divBdr>
        <w:top w:val="none" w:sz="0" w:space="0" w:color="auto"/>
        <w:left w:val="none" w:sz="0" w:space="0" w:color="auto"/>
        <w:bottom w:val="none" w:sz="0" w:space="0" w:color="auto"/>
        <w:right w:val="none" w:sz="0" w:space="0" w:color="auto"/>
      </w:divBdr>
    </w:div>
    <w:div w:id="1628511960">
      <w:bodyDiv w:val="1"/>
      <w:marLeft w:val="0"/>
      <w:marRight w:val="0"/>
      <w:marTop w:val="0"/>
      <w:marBottom w:val="0"/>
      <w:divBdr>
        <w:top w:val="none" w:sz="0" w:space="0" w:color="auto"/>
        <w:left w:val="none" w:sz="0" w:space="0" w:color="auto"/>
        <w:bottom w:val="none" w:sz="0" w:space="0" w:color="auto"/>
        <w:right w:val="none" w:sz="0" w:space="0" w:color="auto"/>
      </w:divBdr>
    </w:div>
    <w:div w:id="1641232405">
      <w:bodyDiv w:val="1"/>
      <w:marLeft w:val="0"/>
      <w:marRight w:val="0"/>
      <w:marTop w:val="0"/>
      <w:marBottom w:val="0"/>
      <w:divBdr>
        <w:top w:val="none" w:sz="0" w:space="0" w:color="auto"/>
        <w:left w:val="none" w:sz="0" w:space="0" w:color="auto"/>
        <w:bottom w:val="none" w:sz="0" w:space="0" w:color="auto"/>
        <w:right w:val="none" w:sz="0" w:space="0" w:color="auto"/>
      </w:divBdr>
    </w:div>
    <w:div w:id="1666666153">
      <w:bodyDiv w:val="1"/>
      <w:marLeft w:val="0"/>
      <w:marRight w:val="0"/>
      <w:marTop w:val="0"/>
      <w:marBottom w:val="0"/>
      <w:divBdr>
        <w:top w:val="none" w:sz="0" w:space="0" w:color="auto"/>
        <w:left w:val="none" w:sz="0" w:space="0" w:color="auto"/>
        <w:bottom w:val="none" w:sz="0" w:space="0" w:color="auto"/>
        <w:right w:val="none" w:sz="0" w:space="0" w:color="auto"/>
      </w:divBdr>
    </w:div>
    <w:div w:id="1666979126">
      <w:bodyDiv w:val="1"/>
      <w:marLeft w:val="0"/>
      <w:marRight w:val="0"/>
      <w:marTop w:val="0"/>
      <w:marBottom w:val="0"/>
      <w:divBdr>
        <w:top w:val="none" w:sz="0" w:space="0" w:color="auto"/>
        <w:left w:val="none" w:sz="0" w:space="0" w:color="auto"/>
        <w:bottom w:val="none" w:sz="0" w:space="0" w:color="auto"/>
        <w:right w:val="none" w:sz="0" w:space="0" w:color="auto"/>
      </w:divBdr>
    </w:div>
    <w:div w:id="1676417470">
      <w:bodyDiv w:val="1"/>
      <w:marLeft w:val="0"/>
      <w:marRight w:val="0"/>
      <w:marTop w:val="0"/>
      <w:marBottom w:val="0"/>
      <w:divBdr>
        <w:top w:val="none" w:sz="0" w:space="0" w:color="auto"/>
        <w:left w:val="none" w:sz="0" w:space="0" w:color="auto"/>
        <w:bottom w:val="none" w:sz="0" w:space="0" w:color="auto"/>
        <w:right w:val="none" w:sz="0" w:space="0" w:color="auto"/>
      </w:divBdr>
    </w:div>
    <w:div w:id="1689286572">
      <w:bodyDiv w:val="1"/>
      <w:marLeft w:val="0"/>
      <w:marRight w:val="0"/>
      <w:marTop w:val="0"/>
      <w:marBottom w:val="0"/>
      <w:divBdr>
        <w:top w:val="none" w:sz="0" w:space="0" w:color="auto"/>
        <w:left w:val="none" w:sz="0" w:space="0" w:color="auto"/>
        <w:bottom w:val="none" w:sz="0" w:space="0" w:color="auto"/>
        <w:right w:val="none" w:sz="0" w:space="0" w:color="auto"/>
      </w:divBdr>
    </w:div>
    <w:div w:id="1693872957">
      <w:bodyDiv w:val="1"/>
      <w:marLeft w:val="0"/>
      <w:marRight w:val="0"/>
      <w:marTop w:val="0"/>
      <w:marBottom w:val="0"/>
      <w:divBdr>
        <w:top w:val="none" w:sz="0" w:space="0" w:color="auto"/>
        <w:left w:val="none" w:sz="0" w:space="0" w:color="auto"/>
        <w:bottom w:val="none" w:sz="0" w:space="0" w:color="auto"/>
        <w:right w:val="none" w:sz="0" w:space="0" w:color="auto"/>
      </w:divBdr>
    </w:div>
    <w:div w:id="1705712613">
      <w:bodyDiv w:val="1"/>
      <w:marLeft w:val="0"/>
      <w:marRight w:val="0"/>
      <w:marTop w:val="0"/>
      <w:marBottom w:val="0"/>
      <w:divBdr>
        <w:top w:val="none" w:sz="0" w:space="0" w:color="auto"/>
        <w:left w:val="none" w:sz="0" w:space="0" w:color="auto"/>
        <w:bottom w:val="none" w:sz="0" w:space="0" w:color="auto"/>
        <w:right w:val="none" w:sz="0" w:space="0" w:color="auto"/>
      </w:divBdr>
      <w:divsChild>
        <w:div w:id="561214638">
          <w:marLeft w:val="0"/>
          <w:marRight w:val="0"/>
          <w:marTop w:val="0"/>
          <w:marBottom w:val="0"/>
          <w:divBdr>
            <w:top w:val="none" w:sz="0" w:space="0" w:color="auto"/>
            <w:left w:val="none" w:sz="0" w:space="0" w:color="auto"/>
            <w:bottom w:val="none" w:sz="0" w:space="0" w:color="auto"/>
            <w:right w:val="none" w:sz="0" w:space="0" w:color="auto"/>
          </w:divBdr>
          <w:divsChild>
            <w:div w:id="197283386">
              <w:marLeft w:val="0"/>
              <w:marRight w:val="0"/>
              <w:marTop w:val="0"/>
              <w:marBottom w:val="0"/>
              <w:divBdr>
                <w:top w:val="none" w:sz="0" w:space="0" w:color="auto"/>
                <w:left w:val="none" w:sz="0" w:space="0" w:color="auto"/>
                <w:bottom w:val="none" w:sz="0" w:space="0" w:color="auto"/>
                <w:right w:val="none" w:sz="0" w:space="0" w:color="auto"/>
              </w:divBdr>
              <w:divsChild>
                <w:div w:id="1915628984">
                  <w:marLeft w:val="0"/>
                  <w:marRight w:val="0"/>
                  <w:marTop w:val="0"/>
                  <w:marBottom w:val="0"/>
                  <w:divBdr>
                    <w:top w:val="none" w:sz="0" w:space="0" w:color="auto"/>
                    <w:left w:val="none" w:sz="0" w:space="0" w:color="auto"/>
                    <w:bottom w:val="none" w:sz="0" w:space="0" w:color="auto"/>
                    <w:right w:val="none" w:sz="0" w:space="0" w:color="auto"/>
                  </w:divBdr>
                  <w:divsChild>
                    <w:div w:id="949313022">
                      <w:marLeft w:val="0"/>
                      <w:marRight w:val="0"/>
                      <w:marTop w:val="0"/>
                      <w:marBottom w:val="0"/>
                      <w:divBdr>
                        <w:top w:val="none" w:sz="0" w:space="0" w:color="auto"/>
                        <w:left w:val="none" w:sz="0" w:space="0" w:color="auto"/>
                        <w:bottom w:val="none" w:sz="0" w:space="0" w:color="auto"/>
                        <w:right w:val="none" w:sz="0" w:space="0" w:color="auto"/>
                      </w:divBdr>
                      <w:divsChild>
                        <w:div w:id="271323262">
                          <w:marLeft w:val="0"/>
                          <w:marRight w:val="0"/>
                          <w:marTop w:val="0"/>
                          <w:marBottom w:val="0"/>
                          <w:divBdr>
                            <w:top w:val="none" w:sz="0" w:space="0" w:color="auto"/>
                            <w:left w:val="none" w:sz="0" w:space="0" w:color="auto"/>
                            <w:bottom w:val="none" w:sz="0" w:space="0" w:color="auto"/>
                            <w:right w:val="none" w:sz="0" w:space="0" w:color="auto"/>
                          </w:divBdr>
                          <w:divsChild>
                            <w:div w:id="2129733211">
                              <w:marLeft w:val="0"/>
                              <w:marRight w:val="0"/>
                              <w:marTop w:val="0"/>
                              <w:marBottom w:val="0"/>
                              <w:divBdr>
                                <w:top w:val="none" w:sz="0" w:space="0" w:color="auto"/>
                                <w:left w:val="none" w:sz="0" w:space="0" w:color="auto"/>
                                <w:bottom w:val="none" w:sz="0" w:space="0" w:color="auto"/>
                                <w:right w:val="none" w:sz="0" w:space="0" w:color="auto"/>
                              </w:divBdr>
                              <w:divsChild>
                                <w:div w:id="1970546450">
                                  <w:marLeft w:val="0"/>
                                  <w:marRight w:val="0"/>
                                  <w:marTop w:val="0"/>
                                  <w:marBottom w:val="0"/>
                                  <w:divBdr>
                                    <w:top w:val="none" w:sz="0" w:space="0" w:color="auto"/>
                                    <w:left w:val="none" w:sz="0" w:space="0" w:color="auto"/>
                                    <w:bottom w:val="none" w:sz="0" w:space="0" w:color="auto"/>
                                    <w:right w:val="none" w:sz="0" w:space="0" w:color="auto"/>
                                  </w:divBdr>
                                  <w:divsChild>
                                    <w:div w:id="660040414">
                                      <w:marLeft w:val="0"/>
                                      <w:marRight w:val="0"/>
                                      <w:marTop w:val="0"/>
                                      <w:marBottom w:val="0"/>
                                      <w:divBdr>
                                        <w:top w:val="none" w:sz="0" w:space="0" w:color="auto"/>
                                        <w:left w:val="none" w:sz="0" w:space="0" w:color="auto"/>
                                        <w:bottom w:val="none" w:sz="0" w:space="0" w:color="auto"/>
                                        <w:right w:val="none" w:sz="0" w:space="0" w:color="auto"/>
                                      </w:divBdr>
                                      <w:divsChild>
                                        <w:div w:id="1457522362">
                                          <w:marLeft w:val="0"/>
                                          <w:marRight w:val="0"/>
                                          <w:marTop w:val="0"/>
                                          <w:marBottom w:val="0"/>
                                          <w:divBdr>
                                            <w:top w:val="none" w:sz="0" w:space="0" w:color="auto"/>
                                            <w:left w:val="none" w:sz="0" w:space="0" w:color="auto"/>
                                            <w:bottom w:val="none" w:sz="0" w:space="0" w:color="auto"/>
                                            <w:right w:val="none" w:sz="0" w:space="0" w:color="auto"/>
                                          </w:divBdr>
                                          <w:divsChild>
                                            <w:div w:id="2117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683068">
      <w:bodyDiv w:val="1"/>
      <w:marLeft w:val="0"/>
      <w:marRight w:val="0"/>
      <w:marTop w:val="0"/>
      <w:marBottom w:val="0"/>
      <w:divBdr>
        <w:top w:val="none" w:sz="0" w:space="0" w:color="auto"/>
        <w:left w:val="none" w:sz="0" w:space="0" w:color="auto"/>
        <w:bottom w:val="none" w:sz="0" w:space="0" w:color="auto"/>
        <w:right w:val="none" w:sz="0" w:space="0" w:color="auto"/>
      </w:divBdr>
    </w:div>
    <w:div w:id="1715424259">
      <w:bodyDiv w:val="1"/>
      <w:marLeft w:val="0"/>
      <w:marRight w:val="0"/>
      <w:marTop w:val="0"/>
      <w:marBottom w:val="0"/>
      <w:divBdr>
        <w:top w:val="none" w:sz="0" w:space="0" w:color="auto"/>
        <w:left w:val="none" w:sz="0" w:space="0" w:color="auto"/>
        <w:bottom w:val="none" w:sz="0" w:space="0" w:color="auto"/>
        <w:right w:val="none" w:sz="0" w:space="0" w:color="auto"/>
      </w:divBdr>
    </w:div>
    <w:div w:id="1722561300">
      <w:bodyDiv w:val="1"/>
      <w:marLeft w:val="0"/>
      <w:marRight w:val="0"/>
      <w:marTop w:val="0"/>
      <w:marBottom w:val="0"/>
      <w:divBdr>
        <w:top w:val="none" w:sz="0" w:space="0" w:color="auto"/>
        <w:left w:val="none" w:sz="0" w:space="0" w:color="auto"/>
        <w:bottom w:val="none" w:sz="0" w:space="0" w:color="auto"/>
        <w:right w:val="none" w:sz="0" w:space="0" w:color="auto"/>
      </w:divBdr>
    </w:div>
    <w:div w:id="1722746822">
      <w:bodyDiv w:val="1"/>
      <w:marLeft w:val="0"/>
      <w:marRight w:val="0"/>
      <w:marTop w:val="0"/>
      <w:marBottom w:val="0"/>
      <w:divBdr>
        <w:top w:val="none" w:sz="0" w:space="0" w:color="auto"/>
        <w:left w:val="none" w:sz="0" w:space="0" w:color="auto"/>
        <w:bottom w:val="none" w:sz="0" w:space="0" w:color="auto"/>
        <w:right w:val="none" w:sz="0" w:space="0" w:color="auto"/>
      </w:divBdr>
    </w:div>
    <w:div w:id="1731616389">
      <w:bodyDiv w:val="1"/>
      <w:marLeft w:val="0"/>
      <w:marRight w:val="0"/>
      <w:marTop w:val="0"/>
      <w:marBottom w:val="0"/>
      <w:divBdr>
        <w:top w:val="none" w:sz="0" w:space="0" w:color="auto"/>
        <w:left w:val="none" w:sz="0" w:space="0" w:color="auto"/>
        <w:bottom w:val="none" w:sz="0" w:space="0" w:color="auto"/>
        <w:right w:val="none" w:sz="0" w:space="0" w:color="auto"/>
      </w:divBdr>
    </w:div>
    <w:div w:id="1731688828">
      <w:bodyDiv w:val="1"/>
      <w:marLeft w:val="0"/>
      <w:marRight w:val="0"/>
      <w:marTop w:val="0"/>
      <w:marBottom w:val="0"/>
      <w:divBdr>
        <w:top w:val="none" w:sz="0" w:space="0" w:color="auto"/>
        <w:left w:val="none" w:sz="0" w:space="0" w:color="auto"/>
        <w:bottom w:val="none" w:sz="0" w:space="0" w:color="auto"/>
        <w:right w:val="none" w:sz="0" w:space="0" w:color="auto"/>
      </w:divBdr>
    </w:div>
    <w:div w:id="1735395427">
      <w:bodyDiv w:val="1"/>
      <w:marLeft w:val="0"/>
      <w:marRight w:val="0"/>
      <w:marTop w:val="0"/>
      <w:marBottom w:val="0"/>
      <w:divBdr>
        <w:top w:val="none" w:sz="0" w:space="0" w:color="auto"/>
        <w:left w:val="none" w:sz="0" w:space="0" w:color="auto"/>
        <w:bottom w:val="none" w:sz="0" w:space="0" w:color="auto"/>
        <w:right w:val="none" w:sz="0" w:space="0" w:color="auto"/>
      </w:divBdr>
    </w:div>
    <w:div w:id="1741712457">
      <w:bodyDiv w:val="1"/>
      <w:marLeft w:val="0"/>
      <w:marRight w:val="0"/>
      <w:marTop w:val="0"/>
      <w:marBottom w:val="0"/>
      <w:divBdr>
        <w:top w:val="none" w:sz="0" w:space="0" w:color="auto"/>
        <w:left w:val="none" w:sz="0" w:space="0" w:color="auto"/>
        <w:bottom w:val="none" w:sz="0" w:space="0" w:color="auto"/>
        <w:right w:val="none" w:sz="0" w:space="0" w:color="auto"/>
      </w:divBdr>
    </w:div>
    <w:div w:id="1753812118">
      <w:bodyDiv w:val="1"/>
      <w:marLeft w:val="0"/>
      <w:marRight w:val="0"/>
      <w:marTop w:val="0"/>
      <w:marBottom w:val="0"/>
      <w:divBdr>
        <w:top w:val="none" w:sz="0" w:space="0" w:color="auto"/>
        <w:left w:val="none" w:sz="0" w:space="0" w:color="auto"/>
        <w:bottom w:val="none" w:sz="0" w:space="0" w:color="auto"/>
        <w:right w:val="none" w:sz="0" w:space="0" w:color="auto"/>
      </w:divBdr>
    </w:div>
    <w:div w:id="1754352012">
      <w:bodyDiv w:val="1"/>
      <w:marLeft w:val="0"/>
      <w:marRight w:val="0"/>
      <w:marTop w:val="0"/>
      <w:marBottom w:val="0"/>
      <w:divBdr>
        <w:top w:val="none" w:sz="0" w:space="0" w:color="auto"/>
        <w:left w:val="none" w:sz="0" w:space="0" w:color="auto"/>
        <w:bottom w:val="none" w:sz="0" w:space="0" w:color="auto"/>
        <w:right w:val="none" w:sz="0" w:space="0" w:color="auto"/>
      </w:divBdr>
    </w:div>
    <w:div w:id="1780836937">
      <w:bodyDiv w:val="1"/>
      <w:marLeft w:val="0"/>
      <w:marRight w:val="0"/>
      <w:marTop w:val="0"/>
      <w:marBottom w:val="0"/>
      <w:divBdr>
        <w:top w:val="none" w:sz="0" w:space="0" w:color="auto"/>
        <w:left w:val="none" w:sz="0" w:space="0" w:color="auto"/>
        <w:bottom w:val="none" w:sz="0" w:space="0" w:color="auto"/>
        <w:right w:val="none" w:sz="0" w:space="0" w:color="auto"/>
      </w:divBdr>
    </w:div>
    <w:div w:id="1782994438">
      <w:bodyDiv w:val="1"/>
      <w:marLeft w:val="0"/>
      <w:marRight w:val="0"/>
      <w:marTop w:val="0"/>
      <w:marBottom w:val="0"/>
      <w:divBdr>
        <w:top w:val="none" w:sz="0" w:space="0" w:color="auto"/>
        <w:left w:val="none" w:sz="0" w:space="0" w:color="auto"/>
        <w:bottom w:val="none" w:sz="0" w:space="0" w:color="auto"/>
        <w:right w:val="none" w:sz="0" w:space="0" w:color="auto"/>
      </w:divBdr>
    </w:div>
    <w:div w:id="1789275532">
      <w:bodyDiv w:val="1"/>
      <w:marLeft w:val="0"/>
      <w:marRight w:val="0"/>
      <w:marTop w:val="0"/>
      <w:marBottom w:val="0"/>
      <w:divBdr>
        <w:top w:val="none" w:sz="0" w:space="0" w:color="auto"/>
        <w:left w:val="none" w:sz="0" w:space="0" w:color="auto"/>
        <w:bottom w:val="none" w:sz="0" w:space="0" w:color="auto"/>
        <w:right w:val="none" w:sz="0" w:space="0" w:color="auto"/>
      </w:divBdr>
    </w:div>
    <w:div w:id="1793473264">
      <w:bodyDiv w:val="1"/>
      <w:marLeft w:val="0"/>
      <w:marRight w:val="0"/>
      <w:marTop w:val="0"/>
      <w:marBottom w:val="0"/>
      <w:divBdr>
        <w:top w:val="none" w:sz="0" w:space="0" w:color="auto"/>
        <w:left w:val="none" w:sz="0" w:space="0" w:color="auto"/>
        <w:bottom w:val="none" w:sz="0" w:space="0" w:color="auto"/>
        <w:right w:val="none" w:sz="0" w:space="0" w:color="auto"/>
      </w:divBdr>
    </w:div>
    <w:div w:id="1801724725">
      <w:bodyDiv w:val="1"/>
      <w:marLeft w:val="0"/>
      <w:marRight w:val="0"/>
      <w:marTop w:val="0"/>
      <w:marBottom w:val="0"/>
      <w:divBdr>
        <w:top w:val="none" w:sz="0" w:space="0" w:color="auto"/>
        <w:left w:val="none" w:sz="0" w:space="0" w:color="auto"/>
        <w:bottom w:val="none" w:sz="0" w:space="0" w:color="auto"/>
        <w:right w:val="none" w:sz="0" w:space="0" w:color="auto"/>
      </w:divBdr>
    </w:div>
    <w:div w:id="1804619018">
      <w:bodyDiv w:val="1"/>
      <w:marLeft w:val="0"/>
      <w:marRight w:val="0"/>
      <w:marTop w:val="0"/>
      <w:marBottom w:val="0"/>
      <w:divBdr>
        <w:top w:val="none" w:sz="0" w:space="0" w:color="auto"/>
        <w:left w:val="none" w:sz="0" w:space="0" w:color="auto"/>
        <w:bottom w:val="none" w:sz="0" w:space="0" w:color="auto"/>
        <w:right w:val="none" w:sz="0" w:space="0" w:color="auto"/>
      </w:divBdr>
    </w:div>
    <w:div w:id="1805461603">
      <w:bodyDiv w:val="1"/>
      <w:marLeft w:val="0"/>
      <w:marRight w:val="0"/>
      <w:marTop w:val="0"/>
      <w:marBottom w:val="0"/>
      <w:divBdr>
        <w:top w:val="none" w:sz="0" w:space="0" w:color="auto"/>
        <w:left w:val="none" w:sz="0" w:space="0" w:color="auto"/>
        <w:bottom w:val="none" w:sz="0" w:space="0" w:color="auto"/>
        <w:right w:val="none" w:sz="0" w:space="0" w:color="auto"/>
      </w:divBdr>
    </w:div>
    <w:div w:id="1817407007">
      <w:bodyDiv w:val="1"/>
      <w:marLeft w:val="0"/>
      <w:marRight w:val="0"/>
      <w:marTop w:val="0"/>
      <w:marBottom w:val="0"/>
      <w:divBdr>
        <w:top w:val="none" w:sz="0" w:space="0" w:color="auto"/>
        <w:left w:val="none" w:sz="0" w:space="0" w:color="auto"/>
        <w:bottom w:val="none" w:sz="0" w:space="0" w:color="auto"/>
        <w:right w:val="none" w:sz="0" w:space="0" w:color="auto"/>
      </w:divBdr>
    </w:div>
    <w:div w:id="1831553523">
      <w:bodyDiv w:val="1"/>
      <w:marLeft w:val="0"/>
      <w:marRight w:val="0"/>
      <w:marTop w:val="0"/>
      <w:marBottom w:val="0"/>
      <w:divBdr>
        <w:top w:val="none" w:sz="0" w:space="0" w:color="auto"/>
        <w:left w:val="none" w:sz="0" w:space="0" w:color="auto"/>
        <w:bottom w:val="none" w:sz="0" w:space="0" w:color="auto"/>
        <w:right w:val="none" w:sz="0" w:space="0" w:color="auto"/>
      </w:divBdr>
    </w:div>
    <w:div w:id="1854420313">
      <w:bodyDiv w:val="1"/>
      <w:marLeft w:val="0"/>
      <w:marRight w:val="0"/>
      <w:marTop w:val="0"/>
      <w:marBottom w:val="0"/>
      <w:divBdr>
        <w:top w:val="none" w:sz="0" w:space="0" w:color="auto"/>
        <w:left w:val="none" w:sz="0" w:space="0" w:color="auto"/>
        <w:bottom w:val="none" w:sz="0" w:space="0" w:color="auto"/>
        <w:right w:val="none" w:sz="0" w:space="0" w:color="auto"/>
      </w:divBdr>
    </w:div>
    <w:div w:id="1856338834">
      <w:bodyDiv w:val="1"/>
      <w:marLeft w:val="0"/>
      <w:marRight w:val="0"/>
      <w:marTop w:val="0"/>
      <w:marBottom w:val="0"/>
      <w:divBdr>
        <w:top w:val="none" w:sz="0" w:space="0" w:color="auto"/>
        <w:left w:val="none" w:sz="0" w:space="0" w:color="auto"/>
        <w:bottom w:val="none" w:sz="0" w:space="0" w:color="auto"/>
        <w:right w:val="none" w:sz="0" w:space="0" w:color="auto"/>
      </w:divBdr>
    </w:div>
    <w:div w:id="1860193392">
      <w:bodyDiv w:val="1"/>
      <w:marLeft w:val="0"/>
      <w:marRight w:val="0"/>
      <w:marTop w:val="0"/>
      <w:marBottom w:val="0"/>
      <w:divBdr>
        <w:top w:val="none" w:sz="0" w:space="0" w:color="auto"/>
        <w:left w:val="none" w:sz="0" w:space="0" w:color="auto"/>
        <w:bottom w:val="none" w:sz="0" w:space="0" w:color="auto"/>
        <w:right w:val="none" w:sz="0" w:space="0" w:color="auto"/>
      </w:divBdr>
    </w:div>
    <w:div w:id="1861580891">
      <w:bodyDiv w:val="1"/>
      <w:marLeft w:val="0"/>
      <w:marRight w:val="0"/>
      <w:marTop w:val="0"/>
      <w:marBottom w:val="0"/>
      <w:divBdr>
        <w:top w:val="none" w:sz="0" w:space="0" w:color="auto"/>
        <w:left w:val="none" w:sz="0" w:space="0" w:color="auto"/>
        <w:bottom w:val="none" w:sz="0" w:space="0" w:color="auto"/>
        <w:right w:val="none" w:sz="0" w:space="0" w:color="auto"/>
      </w:divBdr>
    </w:div>
    <w:div w:id="1882814407">
      <w:bodyDiv w:val="1"/>
      <w:marLeft w:val="0"/>
      <w:marRight w:val="0"/>
      <w:marTop w:val="0"/>
      <w:marBottom w:val="0"/>
      <w:divBdr>
        <w:top w:val="none" w:sz="0" w:space="0" w:color="auto"/>
        <w:left w:val="none" w:sz="0" w:space="0" w:color="auto"/>
        <w:bottom w:val="none" w:sz="0" w:space="0" w:color="auto"/>
        <w:right w:val="none" w:sz="0" w:space="0" w:color="auto"/>
      </w:divBdr>
    </w:div>
    <w:div w:id="1888182311">
      <w:bodyDiv w:val="1"/>
      <w:marLeft w:val="0"/>
      <w:marRight w:val="0"/>
      <w:marTop w:val="0"/>
      <w:marBottom w:val="0"/>
      <w:divBdr>
        <w:top w:val="none" w:sz="0" w:space="0" w:color="auto"/>
        <w:left w:val="none" w:sz="0" w:space="0" w:color="auto"/>
        <w:bottom w:val="none" w:sz="0" w:space="0" w:color="auto"/>
        <w:right w:val="none" w:sz="0" w:space="0" w:color="auto"/>
      </w:divBdr>
    </w:div>
    <w:div w:id="1903372424">
      <w:bodyDiv w:val="1"/>
      <w:marLeft w:val="0"/>
      <w:marRight w:val="0"/>
      <w:marTop w:val="0"/>
      <w:marBottom w:val="0"/>
      <w:divBdr>
        <w:top w:val="none" w:sz="0" w:space="0" w:color="auto"/>
        <w:left w:val="none" w:sz="0" w:space="0" w:color="auto"/>
        <w:bottom w:val="none" w:sz="0" w:space="0" w:color="auto"/>
        <w:right w:val="none" w:sz="0" w:space="0" w:color="auto"/>
      </w:divBdr>
    </w:div>
    <w:div w:id="1903953056">
      <w:bodyDiv w:val="1"/>
      <w:marLeft w:val="0"/>
      <w:marRight w:val="0"/>
      <w:marTop w:val="0"/>
      <w:marBottom w:val="0"/>
      <w:divBdr>
        <w:top w:val="none" w:sz="0" w:space="0" w:color="auto"/>
        <w:left w:val="none" w:sz="0" w:space="0" w:color="auto"/>
        <w:bottom w:val="none" w:sz="0" w:space="0" w:color="auto"/>
        <w:right w:val="none" w:sz="0" w:space="0" w:color="auto"/>
      </w:divBdr>
    </w:div>
    <w:div w:id="1915361110">
      <w:bodyDiv w:val="1"/>
      <w:marLeft w:val="0"/>
      <w:marRight w:val="0"/>
      <w:marTop w:val="0"/>
      <w:marBottom w:val="0"/>
      <w:divBdr>
        <w:top w:val="none" w:sz="0" w:space="0" w:color="auto"/>
        <w:left w:val="none" w:sz="0" w:space="0" w:color="auto"/>
        <w:bottom w:val="none" w:sz="0" w:space="0" w:color="auto"/>
        <w:right w:val="none" w:sz="0" w:space="0" w:color="auto"/>
      </w:divBdr>
    </w:div>
    <w:div w:id="1915969585">
      <w:bodyDiv w:val="1"/>
      <w:marLeft w:val="0"/>
      <w:marRight w:val="0"/>
      <w:marTop w:val="0"/>
      <w:marBottom w:val="0"/>
      <w:divBdr>
        <w:top w:val="none" w:sz="0" w:space="0" w:color="auto"/>
        <w:left w:val="none" w:sz="0" w:space="0" w:color="auto"/>
        <w:bottom w:val="none" w:sz="0" w:space="0" w:color="auto"/>
        <w:right w:val="none" w:sz="0" w:space="0" w:color="auto"/>
      </w:divBdr>
    </w:div>
    <w:div w:id="1923831100">
      <w:bodyDiv w:val="1"/>
      <w:marLeft w:val="0"/>
      <w:marRight w:val="0"/>
      <w:marTop w:val="0"/>
      <w:marBottom w:val="0"/>
      <w:divBdr>
        <w:top w:val="none" w:sz="0" w:space="0" w:color="auto"/>
        <w:left w:val="none" w:sz="0" w:space="0" w:color="auto"/>
        <w:bottom w:val="none" w:sz="0" w:space="0" w:color="auto"/>
        <w:right w:val="none" w:sz="0" w:space="0" w:color="auto"/>
      </w:divBdr>
    </w:div>
    <w:div w:id="1931884370">
      <w:bodyDiv w:val="1"/>
      <w:marLeft w:val="0"/>
      <w:marRight w:val="0"/>
      <w:marTop w:val="0"/>
      <w:marBottom w:val="0"/>
      <w:divBdr>
        <w:top w:val="none" w:sz="0" w:space="0" w:color="auto"/>
        <w:left w:val="none" w:sz="0" w:space="0" w:color="auto"/>
        <w:bottom w:val="none" w:sz="0" w:space="0" w:color="auto"/>
        <w:right w:val="none" w:sz="0" w:space="0" w:color="auto"/>
      </w:divBdr>
    </w:div>
    <w:div w:id="1939826912">
      <w:bodyDiv w:val="1"/>
      <w:marLeft w:val="0"/>
      <w:marRight w:val="0"/>
      <w:marTop w:val="0"/>
      <w:marBottom w:val="0"/>
      <w:divBdr>
        <w:top w:val="none" w:sz="0" w:space="0" w:color="auto"/>
        <w:left w:val="none" w:sz="0" w:space="0" w:color="auto"/>
        <w:bottom w:val="none" w:sz="0" w:space="0" w:color="auto"/>
        <w:right w:val="none" w:sz="0" w:space="0" w:color="auto"/>
      </w:divBdr>
    </w:div>
    <w:div w:id="1952928527">
      <w:bodyDiv w:val="1"/>
      <w:marLeft w:val="0"/>
      <w:marRight w:val="0"/>
      <w:marTop w:val="0"/>
      <w:marBottom w:val="0"/>
      <w:divBdr>
        <w:top w:val="none" w:sz="0" w:space="0" w:color="auto"/>
        <w:left w:val="none" w:sz="0" w:space="0" w:color="auto"/>
        <w:bottom w:val="none" w:sz="0" w:space="0" w:color="auto"/>
        <w:right w:val="none" w:sz="0" w:space="0" w:color="auto"/>
      </w:divBdr>
    </w:div>
    <w:div w:id="1955483461">
      <w:bodyDiv w:val="1"/>
      <w:marLeft w:val="0"/>
      <w:marRight w:val="0"/>
      <w:marTop w:val="0"/>
      <w:marBottom w:val="0"/>
      <w:divBdr>
        <w:top w:val="none" w:sz="0" w:space="0" w:color="auto"/>
        <w:left w:val="none" w:sz="0" w:space="0" w:color="auto"/>
        <w:bottom w:val="none" w:sz="0" w:space="0" w:color="auto"/>
        <w:right w:val="none" w:sz="0" w:space="0" w:color="auto"/>
      </w:divBdr>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6348540">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03661456">
      <w:bodyDiv w:val="1"/>
      <w:marLeft w:val="0"/>
      <w:marRight w:val="0"/>
      <w:marTop w:val="0"/>
      <w:marBottom w:val="0"/>
      <w:divBdr>
        <w:top w:val="none" w:sz="0" w:space="0" w:color="auto"/>
        <w:left w:val="none" w:sz="0" w:space="0" w:color="auto"/>
        <w:bottom w:val="none" w:sz="0" w:space="0" w:color="auto"/>
        <w:right w:val="none" w:sz="0" w:space="0" w:color="auto"/>
      </w:divBdr>
    </w:div>
    <w:div w:id="2013876703">
      <w:bodyDiv w:val="1"/>
      <w:marLeft w:val="0"/>
      <w:marRight w:val="0"/>
      <w:marTop w:val="0"/>
      <w:marBottom w:val="0"/>
      <w:divBdr>
        <w:top w:val="none" w:sz="0" w:space="0" w:color="auto"/>
        <w:left w:val="none" w:sz="0" w:space="0" w:color="auto"/>
        <w:bottom w:val="none" w:sz="0" w:space="0" w:color="auto"/>
        <w:right w:val="none" w:sz="0" w:space="0" w:color="auto"/>
      </w:divBdr>
    </w:div>
    <w:div w:id="2015263801">
      <w:bodyDiv w:val="1"/>
      <w:marLeft w:val="0"/>
      <w:marRight w:val="0"/>
      <w:marTop w:val="0"/>
      <w:marBottom w:val="0"/>
      <w:divBdr>
        <w:top w:val="none" w:sz="0" w:space="0" w:color="auto"/>
        <w:left w:val="none" w:sz="0" w:space="0" w:color="auto"/>
        <w:bottom w:val="none" w:sz="0" w:space="0" w:color="auto"/>
        <w:right w:val="none" w:sz="0" w:space="0" w:color="auto"/>
      </w:divBdr>
    </w:div>
    <w:div w:id="2018118495">
      <w:bodyDiv w:val="1"/>
      <w:marLeft w:val="0"/>
      <w:marRight w:val="0"/>
      <w:marTop w:val="0"/>
      <w:marBottom w:val="0"/>
      <w:divBdr>
        <w:top w:val="none" w:sz="0" w:space="0" w:color="auto"/>
        <w:left w:val="none" w:sz="0" w:space="0" w:color="auto"/>
        <w:bottom w:val="none" w:sz="0" w:space="0" w:color="auto"/>
        <w:right w:val="none" w:sz="0" w:space="0" w:color="auto"/>
      </w:divBdr>
    </w:div>
    <w:div w:id="2023429564">
      <w:bodyDiv w:val="1"/>
      <w:marLeft w:val="0"/>
      <w:marRight w:val="0"/>
      <w:marTop w:val="0"/>
      <w:marBottom w:val="0"/>
      <w:divBdr>
        <w:top w:val="none" w:sz="0" w:space="0" w:color="auto"/>
        <w:left w:val="none" w:sz="0" w:space="0" w:color="auto"/>
        <w:bottom w:val="none" w:sz="0" w:space="0" w:color="auto"/>
        <w:right w:val="none" w:sz="0" w:space="0" w:color="auto"/>
      </w:divBdr>
    </w:div>
    <w:div w:id="2026667728">
      <w:bodyDiv w:val="1"/>
      <w:marLeft w:val="0"/>
      <w:marRight w:val="0"/>
      <w:marTop w:val="0"/>
      <w:marBottom w:val="0"/>
      <w:divBdr>
        <w:top w:val="none" w:sz="0" w:space="0" w:color="auto"/>
        <w:left w:val="none" w:sz="0" w:space="0" w:color="auto"/>
        <w:bottom w:val="none" w:sz="0" w:space="0" w:color="auto"/>
        <w:right w:val="none" w:sz="0" w:space="0" w:color="auto"/>
      </w:divBdr>
    </w:div>
    <w:div w:id="2027053037">
      <w:bodyDiv w:val="1"/>
      <w:marLeft w:val="0"/>
      <w:marRight w:val="0"/>
      <w:marTop w:val="0"/>
      <w:marBottom w:val="0"/>
      <w:divBdr>
        <w:top w:val="none" w:sz="0" w:space="0" w:color="auto"/>
        <w:left w:val="none" w:sz="0" w:space="0" w:color="auto"/>
        <w:bottom w:val="none" w:sz="0" w:space="0" w:color="auto"/>
        <w:right w:val="none" w:sz="0" w:space="0" w:color="auto"/>
      </w:divBdr>
    </w:div>
    <w:div w:id="2031057791">
      <w:bodyDiv w:val="1"/>
      <w:marLeft w:val="0"/>
      <w:marRight w:val="0"/>
      <w:marTop w:val="0"/>
      <w:marBottom w:val="0"/>
      <w:divBdr>
        <w:top w:val="none" w:sz="0" w:space="0" w:color="auto"/>
        <w:left w:val="none" w:sz="0" w:space="0" w:color="auto"/>
        <w:bottom w:val="none" w:sz="0" w:space="0" w:color="auto"/>
        <w:right w:val="none" w:sz="0" w:space="0" w:color="auto"/>
      </w:divBdr>
    </w:div>
    <w:div w:id="2032023006">
      <w:bodyDiv w:val="1"/>
      <w:marLeft w:val="0"/>
      <w:marRight w:val="0"/>
      <w:marTop w:val="0"/>
      <w:marBottom w:val="0"/>
      <w:divBdr>
        <w:top w:val="none" w:sz="0" w:space="0" w:color="auto"/>
        <w:left w:val="none" w:sz="0" w:space="0" w:color="auto"/>
        <w:bottom w:val="none" w:sz="0" w:space="0" w:color="auto"/>
        <w:right w:val="none" w:sz="0" w:space="0" w:color="auto"/>
      </w:divBdr>
    </w:div>
    <w:div w:id="2041516351">
      <w:bodyDiv w:val="1"/>
      <w:marLeft w:val="0"/>
      <w:marRight w:val="0"/>
      <w:marTop w:val="0"/>
      <w:marBottom w:val="0"/>
      <w:divBdr>
        <w:top w:val="none" w:sz="0" w:space="0" w:color="auto"/>
        <w:left w:val="none" w:sz="0" w:space="0" w:color="auto"/>
        <w:bottom w:val="none" w:sz="0" w:space="0" w:color="auto"/>
        <w:right w:val="none" w:sz="0" w:space="0" w:color="auto"/>
      </w:divBdr>
    </w:div>
    <w:div w:id="2058167311">
      <w:bodyDiv w:val="1"/>
      <w:marLeft w:val="0"/>
      <w:marRight w:val="0"/>
      <w:marTop w:val="0"/>
      <w:marBottom w:val="0"/>
      <w:divBdr>
        <w:top w:val="none" w:sz="0" w:space="0" w:color="auto"/>
        <w:left w:val="none" w:sz="0" w:space="0" w:color="auto"/>
        <w:bottom w:val="none" w:sz="0" w:space="0" w:color="auto"/>
        <w:right w:val="none" w:sz="0" w:space="0" w:color="auto"/>
      </w:divBdr>
      <w:divsChild>
        <w:div w:id="49891476">
          <w:marLeft w:val="0"/>
          <w:marRight w:val="0"/>
          <w:marTop w:val="0"/>
          <w:marBottom w:val="0"/>
          <w:divBdr>
            <w:top w:val="none" w:sz="0" w:space="0" w:color="auto"/>
            <w:left w:val="none" w:sz="0" w:space="0" w:color="auto"/>
            <w:bottom w:val="none" w:sz="0" w:space="0" w:color="auto"/>
            <w:right w:val="none" w:sz="0" w:space="0" w:color="auto"/>
          </w:divBdr>
          <w:divsChild>
            <w:div w:id="9919858">
              <w:marLeft w:val="0"/>
              <w:marRight w:val="0"/>
              <w:marTop w:val="0"/>
              <w:marBottom w:val="0"/>
              <w:divBdr>
                <w:top w:val="none" w:sz="0" w:space="0" w:color="auto"/>
                <w:left w:val="none" w:sz="0" w:space="0" w:color="auto"/>
                <w:bottom w:val="none" w:sz="0" w:space="0" w:color="auto"/>
                <w:right w:val="none" w:sz="0" w:space="0" w:color="auto"/>
              </w:divBdr>
              <w:divsChild>
                <w:div w:id="222370644">
                  <w:marLeft w:val="0"/>
                  <w:marRight w:val="0"/>
                  <w:marTop w:val="0"/>
                  <w:marBottom w:val="0"/>
                  <w:divBdr>
                    <w:top w:val="none" w:sz="0" w:space="0" w:color="auto"/>
                    <w:left w:val="none" w:sz="0" w:space="0" w:color="auto"/>
                    <w:bottom w:val="none" w:sz="0" w:space="0" w:color="auto"/>
                    <w:right w:val="none" w:sz="0" w:space="0" w:color="auto"/>
                  </w:divBdr>
                  <w:divsChild>
                    <w:div w:id="201408613">
                      <w:marLeft w:val="0"/>
                      <w:marRight w:val="0"/>
                      <w:marTop w:val="0"/>
                      <w:marBottom w:val="0"/>
                      <w:divBdr>
                        <w:top w:val="none" w:sz="0" w:space="0" w:color="auto"/>
                        <w:left w:val="none" w:sz="0" w:space="0" w:color="auto"/>
                        <w:bottom w:val="none" w:sz="0" w:space="0" w:color="auto"/>
                        <w:right w:val="none" w:sz="0" w:space="0" w:color="auto"/>
                      </w:divBdr>
                      <w:divsChild>
                        <w:div w:id="1868831049">
                          <w:marLeft w:val="0"/>
                          <w:marRight w:val="0"/>
                          <w:marTop w:val="0"/>
                          <w:marBottom w:val="0"/>
                          <w:divBdr>
                            <w:top w:val="none" w:sz="0" w:space="0" w:color="auto"/>
                            <w:left w:val="none" w:sz="0" w:space="0" w:color="auto"/>
                            <w:bottom w:val="none" w:sz="0" w:space="0" w:color="auto"/>
                            <w:right w:val="none" w:sz="0" w:space="0" w:color="auto"/>
                          </w:divBdr>
                          <w:divsChild>
                            <w:div w:id="2126533127">
                              <w:marLeft w:val="0"/>
                              <w:marRight w:val="0"/>
                              <w:marTop w:val="0"/>
                              <w:marBottom w:val="0"/>
                              <w:divBdr>
                                <w:top w:val="none" w:sz="0" w:space="0" w:color="auto"/>
                                <w:left w:val="none" w:sz="0" w:space="0" w:color="auto"/>
                                <w:bottom w:val="none" w:sz="0" w:space="0" w:color="auto"/>
                                <w:right w:val="none" w:sz="0" w:space="0" w:color="auto"/>
                              </w:divBdr>
                              <w:divsChild>
                                <w:div w:id="1677730311">
                                  <w:marLeft w:val="0"/>
                                  <w:marRight w:val="0"/>
                                  <w:marTop w:val="0"/>
                                  <w:marBottom w:val="0"/>
                                  <w:divBdr>
                                    <w:top w:val="none" w:sz="0" w:space="0" w:color="auto"/>
                                    <w:left w:val="none" w:sz="0" w:space="0" w:color="auto"/>
                                    <w:bottom w:val="none" w:sz="0" w:space="0" w:color="auto"/>
                                    <w:right w:val="none" w:sz="0" w:space="0" w:color="auto"/>
                                  </w:divBdr>
                                  <w:divsChild>
                                    <w:div w:id="1801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070544">
      <w:bodyDiv w:val="1"/>
      <w:marLeft w:val="0"/>
      <w:marRight w:val="0"/>
      <w:marTop w:val="0"/>
      <w:marBottom w:val="0"/>
      <w:divBdr>
        <w:top w:val="none" w:sz="0" w:space="0" w:color="auto"/>
        <w:left w:val="none" w:sz="0" w:space="0" w:color="auto"/>
        <w:bottom w:val="none" w:sz="0" w:space="0" w:color="auto"/>
        <w:right w:val="none" w:sz="0" w:space="0" w:color="auto"/>
      </w:divBdr>
    </w:div>
    <w:div w:id="2125154810">
      <w:bodyDiv w:val="1"/>
      <w:marLeft w:val="0"/>
      <w:marRight w:val="0"/>
      <w:marTop w:val="0"/>
      <w:marBottom w:val="0"/>
      <w:divBdr>
        <w:top w:val="none" w:sz="0" w:space="0" w:color="auto"/>
        <w:left w:val="none" w:sz="0" w:space="0" w:color="auto"/>
        <w:bottom w:val="none" w:sz="0" w:space="0" w:color="auto"/>
        <w:right w:val="none" w:sz="0" w:space="0" w:color="auto"/>
      </w:divBdr>
    </w:div>
    <w:div w:id="2136095637">
      <w:bodyDiv w:val="1"/>
      <w:marLeft w:val="0"/>
      <w:marRight w:val="0"/>
      <w:marTop w:val="0"/>
      <w:marBottom w:val="0"/>
      <w:divBdr>
        <w:top w:val="none" w:sz="0" w:space="0" w:color="auto"/>
        <w:left w:val="none" w:sz="0" w:space="0" w:color="auto"/>
        <w:bottom w:val="none" w:sz="0" w:space="0" w:color="auto"/>
        <w:right w:val="none" w:sz="0" w:space="0" w:color="auto"/>
      </w:divBdr>
    </w:div>
    <w:div w:id="2139912559">
      <w:bodyDiv w:val="1"/>
      <w:marLeft w:val="0"/>
      <w:marRight w:val="0"/>
      <w:marTop w:val="0"/>
      <w:marBottom w:val="0"/>
      <w:divBdr>
        <w:top w:val="none" w:sz="0" w:space="0" w:color="auto"/>
        <w:left w:val="none" w:sz="0" w:space="0" w:color="auto"/>
        <w:bottom w:val="none" w:sz="0" w:space="0" w:color="auto"/>
        <w:right w:val="none" w:sz="0" w:space="0" w:color="auto"/>
      </w:divBdr>
    </w:div>
    <w:div w:id="21451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3.xml"/><Relationship Id="rId21" Type="http://schemas.openxmlformats.org/officeDocument/2006/relationships/footer" Target="footer4.xml"/><Relationship Id="rId42" Type="http://schemas.openxmlformats.org/officeDocument/2006/relationships/chart" Target="charts/chart12.xml"/><Relationship Id="rId63" Type="http://schemas.openxmlformats.org/officeDocument/2006/relationships/chart" Target="charts/chart27.xml"/><Relationship Id="rId84" Type="http://schemas.openxmlformats.org/officeDocument/2006/relationships/chart" Target="charts/chart42.xml"/><Relationship Id="rId138" Type="http://schemas.openxmlformats.org/officeDocument/2006/relationships/header" Target="header27.xml"/><Relationship Id="rId159" Type="http://schemas.openxmlformats.org/officeDocument/2006/relationships/chart" Target="charts/chart87.xml"/><Relationship Id="rId170" Type="http://schemas.openxmlformats.org/officeDocument/2006/relationships/footer" Target="footer31.xml"/><Relationship Id="rId191" Type="http://schemas.openxmlformats.org/officeDocument/2006/relationships/chart" Target="charts/chart107.xml"/><Relationship Id="rId205" Type="http://schemas.openxmlformats.org/officeDocument/2006/relationships/footer" Target="footer38.xml"/><Relationship Id="rId226" Type="http://schemas.openxmlformats.org/officeDocument/2006/relationships/chart" Target="charts/chart130.xml"/><Relationship Id="rId247" Type="http://schemas.openxmlformats.org/officeDocument/2006/relationships/chart" Target="charts/chart145.xml"/><Relationship Id="rId107" Type="http://schemas.openxmlformats.org/officeDocument/2006/relationships/footer" Target="footer21.xml"/><Relationship Id="rId268" Type="http://schemas.openxmlformats.org/officeDocument/2006/relationships/header" Target="header49.xml"/><Relationship Id="rId289" Type="http://schemas.openxmlformats.org/officeDocument/2006/relationships/footer" Target="footer54.xml"/><Relationship Id="rId11" Type="http://schemas.openxmlformats.org/officeDocument/2006/relationships/endnotes" Target="endnotes.xml"/><Relationship Id="rId32" Type="http://schemas.openxmlformats.org/officeDocument/2006/relationships/chart" Target="charts/chart8.xml"/><Relationship Id="rId53" Type="http://schemas.openxmlformats.org/officeDocument/2006/relationships/header" Target="header10.xml"/><Relationship Id="rId74" Type="http://schemas.openxmlformats.org/officeDocument/2006/relationships/footer" Target="footer15.xml"/><Relationship Id="rId128" Type="http://schemas.openxmlformats.org/officeDocument/2006/relationships/chart" Target="charts/chart68.xml"/><Relationship Id="rId149" Type="http://schemas.openxmlformats.org/officeDocument/2006/relationships/chart" Target="charts/chart83.xml"/><Relationship Id="rId5" Type="http://schemas.openxmlformats.org/officeDocument/2006/relationships/numbering" Target="numbering.xml"/><Relationship Id="rId95" Type="http://schemas.openxmlformats.org/officeDocument/2006/relationships/chart" Target="charts/chart47.xml"/><Relationship Id="rId160" Type="http://schemas.openxmlformats.org/officeDocument/2006/relationships/chart" Target="charts/chart88.xml"/><Relationship Id="rId181" Type="http://schemas.openxmlformats.org/officeDocument/2006/relationships/chart" Target="charts/chart103.xml"/><Relationship Id="rId216" Type="http://schemas.openxmlformats.org/officeDocument/2006/relationships/chart" Target="charts/chart126.xml"/><Relationship Id="rId237" Type="http://schemas.openxmlformats.org/officeDocument/2006/relationships/header" Target="header44.xml"/><Relationship Id="rId258" Type="http://schemas.openxmlformats.org/officeDocument/2006/relationships/chart" Target="charts/chart150.xml"/><Relationship Id="rId279" Type="http://schemas.openxmlformats.org/officeDocument/2006/relationships/chart" Target="charts/chart165.xml"/><Relationship Id="rId22" Type="http://schemas.openxmlformats.org/officeDocument/2006/relationships/footer" Target="footer5.xml"/><Relationship Id="rId43" Type="http://schemas.openxmlformats.org/officeDocument/2006/relationships/chart" Target="charts/chart13.xml"/><Relationship Id="rId64" Type="http://schemas.openxmlformats.org/officeDocument/2006/relationships/chart" Target="charts/chart28.xml"/><Relationship Id="rId118" Type="http://schemas.openxmlformats.org/officeDocument/2006/relationships/header" Target="header22.xml"/><Relationship Id="rId139" Type="http://schemas.openxmlformats.org/officeDocument/2006/relationships/footer" Target="footer27.xml"/><Relationship Id="rId290" Type="http://schemas.openxmlformats.org/officeDocument/2006/relationships/fontTable" Target="fontTable.xml"/><Relationship Id="rId85" Type="http://schemas.openxmlformats.org/officeDocument/2006/relationships/header" Target="header16.xml"/><Relationship Id="rId150" Type="http://schemas.openxmlformats.org/officeDocument/2006/relationships/chart" Target="charts/chart84.xml"/><Relationship Id="rId171" Type="http://schemas.openxmlformats.org/officeDocument/2006/relationships/footer" Target="footer32.xml"/><Relationship Id="rId192" Type="http://schemas.openxmlformats.org/officeDocument/2006/relationships/chart" Target="charts/chart108.xml"/><Relationship Id="rId206" Type="http://schemas.openxmlformats.org/officeDocument/2006/relationships/header" Target="header39.xml"/><Relationship Id="rId227" Type="http://schemas.openxmlformats.org/officeDocument/2006/relationships/chart" Target="charts/chart131.xml"/><Relationship Id="rId248" Type="http://schemas.openxmlformats.org/officeDocument/2006/relationships/chart" Target="charts/chart146.xml"/><Relationship Id="rId269" Type="http://schemas.openxmlformats.org/officeDocument/2006/relationships/header" Target="header50.xml"/><Relationship Id="rId12" Type="http://schemas.openxmlformats.org/officeDocument/2006/relationships/image" Target="media/image1.emf"/><Relationship Id="rId33" Type="http://schemas.openxmlformats.org/officeDocument/2006/relationships/chart" Target="charts/chart9.xml"/><Relationship Id="rId108" Type="http://schemas.openxmlformats.org/officeDocument/2006/relationships/chart" Target="charts/chart54.xml"/><Relationship Id="rId129" Type="http://schemas.openxmlformats.org/officeDocument/2006/relationships/chart" Target="charts/chart69.xml"/><Relationship Id="rId280" Type="http://schemas.openxmlformats.org/officeDocument/2006/relationships/chart" Target="charts/chart166.xml"/><Relationship Id="rId54" Type="http://schemas.openxmlformats.org/officeDocument/2006/relationships/header" Target="header11.xml"/><Relationship Id="rId75" Type="http://schemas.openxmlformats.org/officeDocument/2006/relationships/chart" Target="charts/chart33.xml"/><Relationship Id="rId96" Type="http://schemas.openxmlformats.org/officeDocument/2006/relationships/chart" Target="charts/chart48.xml"/><Relationship Id="rId140" Type="http://schemas.openxmlformats.org/officeDocument/2006/relationships/chart" Target="charts/chart74.xml"/><Relationship Id="rId161" Type="http://schemas.openxmlformats.org/officeDocument/2006/relationships/chart" Target="charts/chart89.xml"/><Relationship Id="rId182" Type="http://schemas.openxmlformats.org/officeDocument/2006/relationships/chart" Target="charts/chart104.xml"/><Relationship Id="rId217" Type="http://schemas.openxmlformats.org/officeDocument/2006/relationships/chart" Target="charts/chart127.xml"/><Relationship Id="rId6" Type="http://schemas.openxmlformats.org/officeDocument/2006/relationships/styles" Target="styles.xml"/><Relationship Id="rId238" Type="http://schemas.openxmlformats.org/officeDocument/2006/relationships/footer" Target="footer43.xml"/><Relationship Id="rId259" Type="http://schemas.openxmlformats.org/officeDocument/2006/relationships/chart" Target="charts/chart151.xml"/><Relationship Id="rId23" Type="http://schemas.openxmlformats.org/officeDocument/2006/relationships/header" Target="header6.xml"/><Relationship Id="rId119" Type="http://schemas.openxmlformats.org/officeDocument/2006/relationships/header" Target="header23.xml"/><Relationship Id="rId270" Type="http://schemas.openxmlformats.org/officeDocument/2006/relationships/footer" Target="footer49.xml"/><Relationship Id="rId291" Type="http://schemas.openxmlformats.org/officeDocument/2006/relationships/theme" Target="theme/theme1.xml"/><Relationship Id="rId44" Type="http://schemas.openxmlformats.org/officeDocument/2006/relationships/chart" Target="charts/chart14.xml"/><Relationship Id="rId65" Type="http://schemas.openxmlformats.org/officeDocument/2006/relationships/chart" Target="charts/chart29.xml"/><Relationship Id="rId86" Type="http://schemas.openxmlformats.org/officeDocument/2006/relationships/header" Target="header17.xml"/><Relationship Id="rId130" Type="http://schemas.openxmlformats.org/officeDocument/2006/relationships/chart" Target="charts/chart70.xml"/><Relationship Id="rId151" Type="http://schemas.openxmlformats.org/officeDocument/2006/relationships/header" Target="header28.xml"/><Relationship Id="rId172" Type="http://schemas.openxmlformats.org/officeDocument/2006/relationships/header" Target="header33.xml"/><Relationship Id="rId193" Type="http://schemas.openxmlformats.org/officeDocument/2006/relationships/chart" Target="charts/chart109.xml"/><Relationship Id="rId207" Type="http://schemas.openxmlformats.org/officeDocument/2006/relationships/footer" Target="footer39.xml"/><Relationship Id="rId228" Type="http://schemas.openxmlformats.org/officeDocument/2006/relationships/chart" Target="charts/chart132.xml"/><Relationship Id="rId249" Type="http://schemas.openxmlformats.org/officeDocument/2006/relationships/chart" Target="charts/chart147.xml"/><Relationship Id="rId13" Type="http://schemas.openxmlformats.org/officeDocument/2006/relationships/header" Target="header1.xml"/><Relationship Id="rId109" Type="http://schemas.openxmlformats.org/officeDocument/2006/relationships/chart" Target="charts/chart55.xml"/><Relationship Id="rId260" Type="http://schemas.openxmlformats.org/officeDocument/2006/relationships/chart" Target="charts/chart152.xml"/><Relationship Id="rId281" Type="http://schemas.openxmlformats.org/officeDocument/2006/relationships/chart" Target="charts/chart167.xml"/><Relationship Id="rId34" Type="http://schemas.openxmlformats.org/officeDocument/2006/relationships/chart" Target="charts/chart10.xml"/><Relationship Id="rId50" Type="http://schemas.openxmlformats.org/officeDocument/2006/relationships/chart" Target="charts/chart20.xml"/><Relationship Id="rId55" Type="http://schemas.openxmlformats.org/officeDocument/2006/relationships/footer" Target="footer10.xml"/><Relationship Id="rId76" Type="http://schemas.openxmlformats.org/officeDocument/2006/relationships/chart" Target="charts/chart34.xml"/><Relationship Id="rId97" Type="http://schemas.openxmlformats.org/officeDocument/2006/relationships/chart" Target="charts/chart49.xml"/><Relationship Id="rId104" Type="http://schemas.openxmlformats.org/officeDocument/2006/relationships/footer" Target="footer19.xml"/><Relationship Id="rId120" Type="http://schemas.openxmlformats.org/officeDocument/2006/relationships/footer" Target="footer22.xml"/><Relationship Id="rId125" Type="http://schemas.openxmlformats.org/officeDocument/2006/relationships/chart" Target="charts/chart65.xml"/><Relationship Id="rId141" Type="http://schemas.openxmlformats.org/officeDocument/2006/relationships/chart" Target="charts/chart75.xml"/><Relationship Id="rId146" Type="http://schemas.openxmlformats.org/officeDocument/2006/relationships/chart" Target="charts/chart80.xml"/><Relationship Id="rId167" Type="http://schemas.openxmlformats.org/officeDocument/2006/relationships/chart" Target="charts/chart95.xml"/><Relationship Id="rId188" Type="http://schemas.openxmlformats.org/officeDocument/2006/relationships/footer" Target="footer35.xml"/><Relationship Id="rId7" Type="http://schemas.microsoft.com/office/2007/relationships/stylesWithEffects" Target="stylesWithEffects.xml"/><Relationship Id="rId71" Type="http://schemas.openxmlformats.org/officeDocument/2006/relationships/footer" Target="footer13.xml"/><Relationship Id="rId92" Type="http://schemas.openxmlformats.org/officeDocument/2006/relationships/chart" Target="charts/chart44.xml"/><Relationship Id="rId162" Type="http://schemas.openxmlformats.org/officeDocument/2006/relationships/chart" Target="charts/chart90.xml"/><Relationship Id="rId183" Type="http://schemas.openxmlformats.org/officeDocument/2006/relationships/chart" Target="charts/chart105.xml"/><Relationship Id="rId213" Type="http://schemas.openxmlformats.org/officeDocument/2006/relationships/chart" Target="charts/chart123.xml"/><Relationship Id="rId218" Type="http://schemas.openxmlformats.org/officeDocument/2006/relationships/chart" Target="charts/chart128.xml"/><Relationship Id="rId234" Type="http://schemas.openxmlformats.org/officeDocument/2006/relationships/chart" Target="charts/chart138.xml"/><Relationship Id="rId239" Type="http://schemas.openxmlformats.org/officeDocument/2006/relationships/footer" Target="footer44.xml"/><Relationship Id="rId2" Type="http://schemas.openxmlformats.org/officeDocument/2006/relationships/customXml" Target="../customXml/item2.xml"/><Relationship Id="rId29" Type="http://schemas.openxmlformats.org/officeDocument/2006/relationships/chart" Target="charts/chart5.xml"/><Relationship Id="rId250" Type="http://schemas.openxmlformats.org/officeDocument/2006/relationships/chart" Target="charts/chart148.xml"/><Relationship Id="rId255" Type="http://schemas.openxmlformats.org/officeDocument/2006/relationships/footer" Target="footer47.xml"/><Relationship Id="rId271" Type="http://schemas.openxmlformats.org/officeDocument/2006/relationships/footer" Target="footer50.xml"/><Relationship Id="rId276" Type="http://schemas.openxmlformats.org/officeDocument/2006/relationships/chart" Target="charts/chart162.xml"/><Relationship Id="rId24" Type="http://schemas.openxmlformats.org/officeDocument/2006/relationships/footer" Target="footer6.xml"/><Relationship Id="rId40" Type="http://schemas.openxmlformats.org/officeDocument/2006/relationships/header" Target="header9.xml"/><Relationship Id="rId45" Type="http://schemas.openxmlformats.org/officeDocument/2006/relationships/chart" Target="charts/chart15.xml"/><Relationship Id="rId66" Type="http://schemas.openxmlformats.org/officeDocument/2006/relationships/chart" Target="charts/chart30.xml"/><Relationship Id="rId87" Type="http://schemas.openxmlformats.org/officeDocument/2006/relationships/footer" Target="footer16.xml"/><Relationship Id="rId110" Type="http://schemas.openxmlformats.org/officeDocument/2006/relationships/chart" Target="charts/chart56.xml"/><Relationship Id="rId115" Type="http://schemas.openxmlformats.org/officeDocument/2006/relationships/chart" Target="charts/chart61.xml"/><Relationship Id="rId131" Type="http://schemas.openxmlformats.org/officeDocument/2006/relationships/chart" Target="charts/chart71.xml"/><Relationship Id="rId136" Type="http://schemas.openxmlformats.org/officeDocument/2006/relationships/footer" Target="footer25.xml"/><Relationship Id="rId157" Type="http://schemas.openxmlformats.org/officeDocument/2006/relationships/chart" Target="charts/chart85.xml"/><Relationship Id="rId178" Type="http://schemas.openxmlformats.org/officeDocument/2006/relationships/chart" Target="charts/chart100.xml"/><Relationship Id="rId61" Type="http://schemas.openxmlformats.org/officeDocument/2006/relationships/chart" Target="charts/chart25.xml"/><Relationship Id="rId82" Type="http://schemas.openxmlformats.org/officeDocument/2006/relationships/chart" Target="charts/chart40.xml"/><Relationship Id="rId152" Type="http://schemas.openxmlformats.org/officeDocument/2006/relationships/header" Target="header29.xml"/><Relationship Id="rId173" Type="http://schemas.openxmlformats.org/officeDocument/2006/relationships/footer" Target="footer33.xml"/><Relationship Id="rId194" Type="http://schemas.openxmlformats.org/officeDocument/2006/relationships/chart" Target="charts/chart110.xml"/><Relationship Id="rId199" Type="http://schemas.openxmlformats.org/officeDocument/2006/relationships/chart" Target="charts/chart115.xml"/><Relationship Id="rId203" Type="http://schemas.openxmlformats.org/officeDocument/2006/relationships/header" Target="header38.xml"/><Relationship Id="rId208" Type="http://schemas.openxmlformats.org/officeDocument/2006/relationships/chart" Target="charts/chart118.xml"/><Relationship Id="rId229" Type="http://schemas.openxmlformats.org/officeDocument/2006/relationships/chart" Target="charts/chart133.xml"/><Relationship Id="rId19" Type="http://schemas.openxmlformats.org/officeDocument/2006/relationships/header" Target="header4.xml"/><Relationship Id="rId224" Type="http://schemas.openxmlformats.org/officeDocument/2006/relationships/footer" Target="footer42.xml"/><Relationship Id="rId240" Type="http://schemas.openxmlformats.org/officeDocument/2006/relationships/header" Target="header45.xml"/><Relationship Id="rId245" Type="http://schemas.openxmlformats.org/officeDocument/2006/relationships/chart" Target="charts/chart143.xml"/><Relationship Id="rId261" Type="http://schemas.openxmlformats.org/officeDocument/2006/relationships/chart" Target="charts/chart153.xml"/><Relationship Id="rId266" Type="http://schemas.openxmlformats.org/officeDocument/2006/relationships/chart" Target="charts/chart158.xml"/><Relationship Id="rId287" Type="http://schemas.openxmlformats.org/officeDocument/2006/relationships/footer" Target="footer53.xml"/><Relationship Id="rId14" Type="http://schemas.openxmlformats.org/officeDocument/2006/relationships/header" Target="header2.xm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footer" Target="footer11.xml"/><Relationship Id="rId77" Type="http://schemas.openxmlformats.org/officeDocument/2006/relationships/chart" Target="charts/chart35.xml"/><Relationship Id="rId100" Type="http://schemas.openxmlformats.org/officeDocument/2006/relationships/chart" Target="charts/chart52.xml"/><Relationship Id="rId105" Type="http://schemas.openxmlformats.org/officeDocument/2006/relationships/footer" Target="footer20.xml"/><Relationship Id="rId126" Type="http://schemas.openxmlformats.org/officeDocument/2006/relationships/chart" Target="charts/chart66.xml"/><Relationship Id="rId147" Type="http://schemas.openxmlformats.org/officeDocument/2006/relationships/chart" Target="charts/chart81.xml"/><Relationship Id="rId168" Type="http://schemas.openxmlformats.org/officeDocument/2006/relationships/header" Target="header31.xml"/><Relationship Id="rId282" Type="http://schemas.openxmlformats.org/officeDocument/2006/relationships/chart" Target="charts/chart168.xml"/><Relationship Id="rId8" Type="http://schemas.openxmlformats.org/officeDocument/2006/relationships/settings" Target="settings.xml"/><Relationship Id="rId51" Type="http://schemas.openxmlformats.org/officeDocument/2006/relationships/chart" Target="charts/chart21.xml"/><Relationship Id="rId72" Type="http://schemas.openxmlformats.org/officeDocument/2006/relationships/footer" Target="footer14.xml"/><Relationship Id="rId93" Type="http://schemas.openxmlformats.org/officeDocument/2006/relationships/chart" Target="charts/chart45.xml"/><Relationship Id="rId98" Type="http://schemas.openxmlformats.org/officeDocument/2006/relationships/chart" Target="charts/chart50.xml"/><Relationship Id="rId121" Type="http://schemas.openxmlformats.org/officeDocument/2006/relationships/footer" Target="footer23.xml"/><Relationship Id="rId142" Type="http://schemas.openxmlformats.org/officeDocument/2006/relationships/chart" Target="charts/chart76.xml"/><Relationship Id="rId163" Type="http://schemas.openxmlformats.org/officeDocument/2006/relationships/chart" Target="charts/chart91.xml"/><Relationship Id="rId184" Type="http://schemas.openxmlformats.org/officeDocument/2006/relationships/chart" Target="charts/chart106.xml"/><Relationship Id="rId189" Type="http://schemas.openxmlformats.org/officeDocument/2006/relationships/header" Target="header36.xml"/><Relationship Id="rId219" Type="http://schemas.openxmlformats.org/officeDocument/2006/relationships/header" Target="header40.xml"/><Relationship Id="rId3" Type="http://schemas.openxmlformats.org/officeDocument/2006/relationships/customXml" Target="../customXml/item3.xml"/><Relationship Id="rId214" Type="http://schemas.openxmlformats.org/officeDocument/2006/relationships/chart" Target="charts/chart124.xml"/><Relationship Id="rId230" Type="http://schemas.openxmlformats.org/officeDocument/2006/relationships/chart" Target="charts/chart134.xml"/><Relationship Id="rId235" Type="http://schemas.openxmlformats.org/officeDocument/2006/relationships/chart" Target="charts/chart139.xml"/><Relationship Id="rId251" Type="http://schemas.openxmlformats.org/officeDocument/2006/relationships/chart" Target="charts/chart149.xml"/><Relationship Id="rId256" Type="http://schemas.openxmlformats.org/officeDocument/2006/relationships/header" Target="header48.xml"/><Relationship Id="rId277" Type="http://schemas.openxmlformats.org/officeDocument/2006/relationships/chart" Target="charts/chart163.xml"/><Relationship Id="rId25" Type="http://schemas.openxmlformats.org/officeDocument/2006/relationships/chart" Target="charts/chart1.xml"/><Relationship Id="rId46" Type="http://schemas.openxmlformats.org/officeDocument/2006/relationships/chart" Target="charts/chart16.xml"/><Relationship Id="rId67" Type="http://schemas.openxmlformats.org/officeDocument/2006/relationships/chart" Target="charts/chart31.xml"/><Relationship Id="rId116" Type="http://schemas.openxmlformats.org/officeDocument/2006/relationships/chart" Target="charts/chart62.xml"/><Relationship Id="rId137" Type="http://schemas.openxmlformats.org/officeDocument/2006/relationships/footer" Target="footer26.xml"/><Relationship Id="rId158" Type="http://schemas.openxmlformats.org/officeDocument/2006/relationships/chart" Target="charts/chart86.xml"/><Relationship Id="rId272" Type="http://schemas.openxmlformats.org/officeDocument/2006/relationships/header" Target="header51.xml"/><Relationship Id="rId20" Type="http://schemas.openxmlformats.org/officeDocument/2006/relationships/header" Target="header5.xml"/><Relationship Id="rId41" Type="http://schemas.openxmlformats.org/officeDocument/2006/relationships/footer" Target="footer9.xml"/><Relationship Id="rId62" Type="http://schemas.openxmlformats.org/officeDocument/2006/relationships/chart" Target="charts/chart26.xml"/><Relationship Id="rId83" Type="http://schemas.openxmlformats.org/officeDocument/2006/relationships/chart" Target="charts/chart41.xml"/><Relationship Id="rId88" Type="http://schemas.openxmlformats.org/officeDocument/2006/relationships/footer" Target="footer17.xml"/><Relationship Id="rId111" Type="http://schemas.openxmlformats.org/officeDocument/2006/relationships/chart" Target="charts/chart57.xml"/><Relationship Id="rId132" Type="http://schemas.openxmlformats.org/officeDocument/2006/relationships/chart" Target="charts/chart72.xml"/><Relationship Id="rId153" Type="http://schemas.openxmlformats.org/officeDocument/2006/relationships/footer" Target="footer28.xml"/><Relationship Id="rId174" Type="http://schemas.openxmlformats.org/officeDocument/2006/relationships/chart" Target="charts/chart96.xml"/><Relationship Id="rId179" Type="http://schemas.openxmlformats.org/officeDocument/2006/relationships/chart" Target="charts/chart101.xml"/><Relationship Id="rId195" Type="http://schemas.openxmlformats.org/officeDocument/2006/relationships/chart" Target="charts/chart111.xml"/><Relationship Id="rId209" Type="http://schemas.openxmlformats.org/officeDocument/2006/relationships/chart" Target="charts/chart119.xml"/><Relationship Id="rId190" Type="http://schemas.openxmlformats.org/officeDocument/2006/relationships/footer" Target="footer36.xml"/><Relationship Id="rId204" Type="http://schemas.openxmlformats.org/officeDocument/2006/relationships/footer" Target="footer37.xml"/><Relationship Id="rId220" Type="http://schemas.openxmlformats.org/officeDocument/2006/relationships/header" Target="header41.xml"/><Relationship Id="rId225" Type="http://schemas.openxmlformats.org/officeDocument/2006/relationships/chart" Target="charts/chart129.xml"/><Relationship Id="rId241" Type="http://schemas.openxmlformats.org/officeDocument/2006/relationships/footer" Target="footer45.xml"/><Relationship Id="rId246" Type="http://schemas.openxmlformats.org/officeDocument/2006/relationships/chart" Target="charts/chart144.xml"/><Relationship Id="rId267" Type="http://schemas.openxmlformats.org/officeDocument/2006/relationships/chart" Target="charts/chart159.xml"/><Relationship Id="rId288" Type="http://schemas.openxmlformats.org/officeDocument/2006/relationships/header" Target="header54.xml"/><Relationship Id="rId15" Type="http://schemas.openxmlformats.org/officeDocument/2006/relationships/footer" Target="footer1.xml"/><Relationship Id="rId36" Type="http://schemas.openxmlformats.org/officeDocument/2006/relationships/header" Target="header7.xml"/><Relationship Id="rId57" Type="http://schemas.openxmlformats.org/officeDocument/2006/relationships/header" Target="header12.xml"/><Relationship Id="rId106" Type="http://schemas.openxmlformats.org/officeDocument/2006/relationships/header" Target="header21.xml"/><Relationship Id="rId127" Type="http://schemas.openxmlformats.org/officeDocument/2006/relationships/chart" Target="charts/chart67.xml"/><Relationship Id="rId262" Type="http://schemas.openxmlformats.org/officeDocument/2006/relationships/chart" Target="charts/chart154.xml"/><Relationship Id="rId283" Type="http://schemas.openxmlformats.org/officeDocument/2006/relationships/chart" Target="charts/chart169.xml"/><Relationship Id="rId10" Type="http://schemas.openxmlformats.org/officeDocument/2006/relationships/footnotes" Target="footnotes.xml"/><Relationship Id="rId31" Type="http://schemas.openxmlformats.org/officeDocument/2006/relationships/chart" Target="charts/chart7.xml"/><Relationship Id="rId52" Type="http://schemas.openxmlformats.org/officeDocument/2006/relationships/chart" Target="charts/chart22.xml"/><Relationship Id="rId73" Type="http://schemas.openxmlformats.org/officeDocument/2006/relationships/header" Target="header15.xml"/><Relationship Id="rId78" Type="http://schemas.openxmlformats.org/officeDocument/2006/relationships/chart" Target="charts/chart36.xml"/><Relationship Id="rId94" Type="http://schemas.openxmlformats.org/officeDocument/2006/relationships/chart" Target="charts/chart46.xml"/><Relationship Id="rId99" Type="http://schemas.openxmlformats.org/officeDocument/2006/relationships/chart" Target="charts/chart51.xml"/><Relationship Id="rId101" Type="http://schemas.openxmlformats.org/officeDocument/2006/relationships/chart" Target="charts/chart53.xml"/><Relationship Id="rId122" Type="http://schemas.openxmlformats.org/officeDocument/2006/relationships/header" Target="header24.xml"/><Relationship Id="rId143" Type="http://schemas.openxmlformats.org/officeDocument/2006/relationships/chart" Target="charts/chart77.xml"/><Relationship Id="rId148" Type="http://schemas.openxmlformats.org/officeDocument/2006/relationships/chart" Target="charts/chart82.xml"/><Relationship Id="rId164" Type="http://schemas.openxmlformats.org/officeDocument/2006/relationships/chart" Target="charts/chart92.xml"/><Relationship Id="rId169" Type="http://schemas.openxmlformats.org/officeDocument/2006/relationships/header" Target="header32.xml"/><Relationship Id="rId185"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chart" Target="charts/chart102.xml"/><Relationship Id="rId210" Type="http://schemas.openxmlformats.org/officeDocument/2006/relationships/chart" Target="charts/chart120.xml"/><Relationship Id="rId215" Type="http://schemas.openxmlformats.org/officeDocument/2006/relationships/chart" Target="charts/chart125.xml"/><Relationship Id="rId236" Type="http://schemas.openxmlformats.org/officeDocument/2006/relationships/header" Target="header43.xml"/><Relationship Id="rId257" Type="http://schemas.openxmlformats.org/officeDocument/2006/relationships/footer" Target="footer48.xml"/><Relationship Id="rId278" Type="http://schemas.openxmlformats.org/officeDocument/2006/relationships/chart" Target="charts/chart164.xml"/><Relationship Id="rId26" Type="http://schemas.openxmlformats.org/officeDocument/2006/relationships/chart" Target="charts/chart2.xml"/><Relationship Id="rId231" Type="http://schemas.openxmlformats.org/officeDocument/2006/relationships/chart" Target="charts/chart135.xml"/><Relationship Id="rId252" Type="http://schemas.openxmlformats.org/officeDocument/2006/relationships/header" Target="header46.xml"/><Relationship Id="rId273" Type="http://schemas.openxmlformats.org/officeDocument/2006/relationships/footer" Target="footer51.xml"/><Relationship Id="rId47" Type="http://schemas.openxmlformats.org/officeDocument/2006/relationships/chart" Target="charts/chart17.xml"/><Relationship Id="rId68" Type="http://schemas.openxmlformats.org/officeDocument/2006/relationships/chart" Target="charts/chart32.xml"/><Relationship Id="rId89" Type="http://schemas.openxmlformats.org/officeDocument/2006/relationships/header" Target="header18.xml"/><Relationship Id="rId112" Type="http://schemas.openxmlformats.org/officeDocument/2006/relationships/chart" Target="charts/chart58.xml"/><Relationship Id="rId133" Type="http://schemas.openxmlformats.org/officeDocument/2006/relationships/chart" Target="charts/chart73.xml"/><Relationship Id="rId154" Type="http://schemas.openxmlformats.org/officeDocument/2006/relationships/footer" Target="footer29.xml"/><Relationship Id="rId175" Type="http://schemas.openxmlformats.org/officeDocument/2006/relationships/chart" Target="charts/chart97.xml"/><Relationship Id="rId196" Type="http://schemas.openxmlformats.org/officeDocument/2006/relationships/chart" Target="charts/chart112.xml"/><Relationship Id="rId200" Type="http://schemas.openxmlformats.org/officeDocument/2006/relationships/chart" Target="charts/chart116.xml"/><Relationship Id="rId16" Type="http://schemas.openxmlformats.org/officeDocument/2006/relationships/footer" Target="footer2.xml"/><Relationship Id="rId221" Type="http://schemas.openxmlformats.org/officeDocument/2006/relationships/footer" Target="footer40.xml"/><Relationship Id="rId242" Type="http://schemas.openxmlformats.org/officeDocument/2006/relationships/chart" Target="charts/chart140.xml"/><Relationship Id="rId263" Type="http://schemas.openxmlformats.org/officeDocument/2006/relationships/chart" Target="charts/chart155.xml"/><Relationship Id="rId284" Type="http://schemas.openxmlformats.org/officeDocument/2006/relationships/header" Target="header52.xml"/><Relationship Id="rId37" Type="http://schemas.openxmlformats.org/officeDocument/2006/relationships/header" Target="header8.xml"/><Relationship Id="rId58" Type="http://schemas.openxmlformats.org/officeDocument/2006/relationships/footer" Target="footer12.xml"/><Relationship Id="rId79" Type="http://schemas.openxmlformats.org/officeDocument/2006/relationships/chart" Target="charts/chart37.xml"/><Relationship Id="rId102" Type="http://schemas.openxmlformats.org/officeDocument/2006/relationships/header" Target="header19.xml"/><Relationship Id="rId123" Type="http://schemas.openxmlformats.org/officeDocument/2006/relationships/footer" Target="footer24.xml"/><Relationship Id="rId144" Type="http://schemas.openxmlformats.org/officeDocument/2006/relationships/chart" Target="charts/chart78.xml"/><Relationship Id="rId90" Type="http://schemas.openxmlformats.org/officeDocument/2006/relationships/footer" Target="footer18.xml"/><Relationship Id="rId165" Type="http://schemas.openxmlformats.org/officeDocument/2006/relationships/chart" Target="charts/chart93.xml"/><Relationship Id="rId186" Type="http://schemas.openxmlformats.org/officeDocument/2006/relationships/header" Target="header35.xml"/><Relationship Id="rId211" Type="http://schemas.openxmlformats.org/officeDocument/2006/relationships/chart" Target="charts/chart121.xml"/><Relationship Id="rId232" Type="http://schemas.openxmlformats.org/officeDocument/2006/relationships/chart" Target="charts/chart136.xml"/><Relationship Id="rId253" Type="http://schemas.openxmlformats.org/officeDocument/2006/relationships/header" Target="header47.xml"/><Relationship Id="rId274" Type="http://schemas.openxmlformats.org/officeDocument/2006/relationships/chart" Target="charts/chart160.xml"/><Relationship Id="rId27" Type="http://schemas.openxmlformats.org/officeDocument/2006/relationships/chart" Target="charts/chart3.xml"/><Relationship Id="rId48" Type="http://schemas.openxmlformats.org/officeDocument/2006/relationships/chart" Target="charts/chart18.xml"/><Relationship Id="rId69" Type="http://schemas.openxmlformats.org/officeDocument/2006/relationships/header" Target="header13.xml"/><Relationship Id="rId113" Type="http://schemas.openxmlformats.org/officeDocument/2006/relationships/chart" Target="charts/chart59.xml"/><Relationship Id="rId134" Type="http://schemas.openxmlformats.org/officeDocument/2006/relationships/header" Target="header25.xml"/><Relationship Id="rId80" Type="http://schemas.openxmlformats.org/officeDocument/2006/relationships/chart" Target="charts/chart38.xml"/><Relationship Id="rId155" Type="http://schemas.openxmlformats.org/officeDocument/2006/relationships/header" Target="header30.xml"/><Relationship Id="rId176" Type="http://schemas.openxmlformats.org/officeDocument/2006/relationships/chart" Target="charts/chart98.xml"/><Relationship Id="rId197" Type="http://schemas.openxmlformats.org/officeDocument/2006/relationships/chart" Target="charts/chart113.xml"/><Relationship Id="rId201" Type="http://schemas.openxmlformats.org/officeDocument/2006/relationships/chart" Target="charts/chart117.xml"/><Relationship Id="rId222" Type="http://schemas.openxmlformats.org/officeDocument/2006/relationships/footer" Target="footer41.xml"/><Relationship Id="rId243" Type="http://schemas.openxmlformats.org/officeDocument/2006/relationships/chart" Target="charts/chart141.xml"/><Relationship Id="rId264" Type="http://schemas.openxmlformats.org/officeDocument/2006/relationships/chart" Target="charts/chart156.xml"/><Relationship Id="rId285" Type="http://schemas.openxmlformats.org/officeDocument/2006/relationships/header" Target="header53.xml"/><Relationship Id="rId17" Type="http://schemas.openxmlformats.org/officeDocument/2006/relationships/header" Target="header3.xml"/><Relationship Id="rId38" Type="http://schemas.openxmlformats.org/officeDocument/2006/relationships/footer" Target="footer7.xml"/><Relationship Id="rId59" Type="http://schemas.openxmlformats.org/officeDocument/2006/relationships/chart" Target="charts/chart23.xml"/><Relationship Id="rId103" Type="http://schemas.openxmlformats.org/officeDocument/2006/relationships/header" Target="header20.xml"/><Relationship Id="rId124" Type="http://schemas.openxmlformats.org/officeDocument/2006/relationships/chart" Target="charts/chart64.xml"/><Relationship Id="rId70" Type="http://schemas.openxmlformats.org/officeDocument/2006/relationships/header" Target="header14.xml"/><Relationship Id="rId91" Type="http://schemas.openxmlformats.org/officeDocument/2006/relationships/chart" Target="charts/chart43.xml"/><Relationship Id="rId145" Type="http://schemas.openxmlformats.org/officeDocument/2006/relationships/chart" Target="charts/chart79.xml"/><Relationship Id="rId166" Type="http://schemas.openxmlformats.org/officeDocument/2006/relationships/chart" Target="charts/chart94.xml"/><Relationship Id="rId187" Type="http://schemas.openxmlformats.org/officeDocument/2006/relationships/footer" Target="footer34.xml"/><Relationship Id="rId1" Type="http://schemas.openxmlformats.org/officeDocument/2006/relationships/customXml" Target="../customXml/item1.xml"/><Relationship Id="rId212" Type="http://schemas.openxmlformats.org/officeDocument/2006/relationships/chart" Target="charts/chart122.xml"/><Relationship Id="rId233" Type="http://schemas.openxmlformats.org/officeDocument/2006/relationships/chart" Target="charts/chart137.xml"/><Relationship Id="rId254" Type="http://schemas.openxmlformats.org/officeDocument/2006/relationships/footer" Target="footer46.xml"/><Relationship Id="rId28" Type="http://schemas.openxmlformats.org/officeDocument/2006/relationships/chart" Target="charts/chart4.xml"/><Relationship Id="rId49" Type="http://schemas.openxmlformats.org/officeDocument/2006/relationships/chart" Target="charts/chart19.xml"/><Relationship Id="rId114" Type="http://schemas.openxmlformats.org/officeDocument/2006/relationships/chart" Target="charts/chart60.xml"/><Relationship Id="rId275" Type="http://schemas.openxmlformats.org/officeDocument/2006/relationships/chart" Target="charts/chart161.xml"/><Relationship Id="rId60" Type="http://schemas.openxmlformats.org/officeDocument/2006/relationships/chart" Target="charts/chart24.xml"/><Relationship Id="rId81" Type="http://schemas.openxmlformats.org/officeDocument/2006/relationships/chart" Target="charts/chart39.xml"/><Relationship Id="rId135" Type="http://schemas.openxmlformats.org/officeDocument/2006/relationships/header" Target="header26.xml"/><Relationship Id="rId156" Type="http://schemas.openxmlformats.org/officeDocument/2006/relationships/footer" Target="footer30.xml"/><Relationship Id="rId177" Type="http://schemas.openxmlformats.org/officeDocument/2006/relationships/chart" Target="charts/chart99.xml"/><Relationship Id="rId198" Type="http://schemas.openxmlformats.org/officeDocument/2006/relationships/chart" Target="charts/chart114.xml"/><Relationship Id="rId202" Type="http://schemas.openxmlformats.org/officeDocument/2006/relationships/header" Target="header37.xml"/><Relationship Id="rId223" Type="http://schemas.openxmlformats.org/officeDocument/2006/relationships/header" Target="header42.xml"/><Relationship Id="rId244" Type="http://schemas.openxmlformats.org/officeDocument/2006/relationships/chart" Target="charts/chart142.xml"/><Relationship Id="rId18" Type="http://schemas.openxmlformats.org/officeDocument/2006/relationships/footer" Target="footer3.xml"/><Relationship Id="rId39" Type="http://schemas.openxmlformats.org/officeDocument/2006/relationships/footer" Target="footer8.xml"/><Relationship Id="rId265" Type="http://schemas.openxmlformats.org/officeDocument/2006/relationships/chart" Target="charts/chart157.xml"/><Relationship Id="rId286" Type="http://schemas.openxmlformats.org/officeDocument/2006/relationships/footer" Target="footer52.xml"/></Relationships>
</file>

<file path=word/_rels/footnotes.xml.rels><?xml version="1.0" encoding="UTF-8" standalone="yes"?>
<Relationships xmlns="http://schemas.openxmlformats.org/package/2006/relationships"><Relationship Id="rId117" Type="http://schemas.openxmlformats.org/officeDocument/2006/relationships/hyperlink" Target="http://europa.eu/rapid/press-release_MEMO-18-1444_en.htm" TargetMode="External"/><Relationship Id="rId299" Type="http://schemas.openxmlformats.org/officeDocument/2006/relationships/hyperlink" Target="http://europa.eu/rapid/press-release_IP-18-1451_en.htm" TargetMode="External"/><Relationship Id="rId21" Type="http://schemas.openxmlformats.org/officeDocument/2006/relationships/hyperlink" Target="https://eur-lex.europa.eu/legal-content/EN/TXT/?uri=CELEX%3A32016L0680" TargetMode="External"/><Relationship Id="rId63" Type="http://schemas.openxmlformats.org/officeDocument/2006/relationships/hyperlink" Target="http://europa.eu/rapid/press-release_MEMO-18-6247_en.htm" TargetMode="External"/><Relationship Id="rId159" Type="http://schemas.openxmlformats.org/officeDocument/2006/relationships/hyperlink" Target="https://eur-lex.europa.eu/legal-content/EN/TXT/?qid=1521646247233&amp;uri=CELEX:32012L0027" TargetMode="External"/><Relationship Id="rId324" Type="http://schemas.openxmlformats.org/officeDocument/2006/relationships/hyperlink" Target="http://curia.europa.eu/juris/liste.jsf?oqp=&amp;for=&amp;mat=or&amp;jge=&amp;td=%3BALL&amp;jur=C%2CT%2CF&amp;num=729%252F17&amp;page=1&amp;dates=&amp;pcs=Oor&amp;lg=&amp;pro=&amp;nat=or&amp;cit=none%252CC%252CCJ%252CR%252C2008E%252C%252C%252C%252C%252C%252C%252C%252C%252C%252Ctrue%252Cfalse%252Cfalse&amp;language=fr&amp;avg=&amp;cid=6985262" TargetMode="External"/><Relationship Id="rId366" Type="http://schemas.openxmlformats.org/officeDocument/2006/relationships/hyperlink" Target="http://europa.eu/rapid/press-release_MEMO-18-3986_en.htm" TargetMode="External"/><Relationship Id="rId531" Type="http://schemas.openxmlformats.org/officeDocument/2006/relationships/hyperlink" Target="http://curia.europa.eu/juris/liste.jsf?oqp=&amp;for=&amp;mat=or&amp;jge=&amp;td=%3BALL&amp;jur=C%2CT%2CF&amp;num=122%252F18&amp;page=1&amp;dates=&amp;pcs=Oor&amp;lg=&amp;pro=&amp;nat=or&amp;cit=none%252CC%252CCJ%252CR%252C2008E%252C%252C%252C%252C%252C%252C%252C%252C%252C%252Ctrue%252Cfalse%252Cfalse&amp;language=en&amp;avg=&amp;cid=7012349" TargetMode="External"/><Relationship Id="rId573" Type="http://schemas.openxmlformats.org/officeDocument/2006/relationships/hyperlink" Target="https://eur-lex.europa.eu/eli/dir/2017/1564/oj" TargetMode="External"/><Relationship Id="rId629" Type="http://schemas.openxmlformats.org/officeDocument/2006/relationships/hyperlink" Target="https://eur-lex.europa.eu/legal-content/EN/TXT/?uri=CELEX:32010L0064" TargetMode="External"/><Relationship Id="rId170" Type="http://schemas.openxmlformats.org/officeDocument/2006/relationships/hyperlink" Target="https://eur-lex.europa.eu/legal-content/EN/TXT/?uri=CELEX%3A32016L0680" TargetMode="External"/><Relationship Id="rId226" Type="http://schemas.openxmlformats.org/officeDocument/2006/relationships/hyperlink" Target="http://curia.europa.eu/juris/liste.jsf?oqp=&amp;for=&amp;mat=or&amp;jge=&amp;td=%3BALL&amp;jur=C%2CT%2CF&amp;num=C-360%252F16&amp;page=1&amp;dates=&amp;pcs=Oor&amp;lg=&amp;pro=&amp;nat=or&amp;cit=none%252CC%252CCJ%252CR%252C2008E%252C%252C%252C%252C%252C%252C%252C%252C%252C%252Ctrue%252Cfalse%252Cfalse&amp;language=en&amp;avg=&amp;cid=5127344" TargetMode="External"/><Relationship Id="rId433" Type="http://schemas.openxmlformats.org/officeDocument/2006/relationships/hyperlink" Target="https://eur-lex.europa.eu/legal-content/EN/TXT/?qid=1521646057107&amp;uri=CELEX:32009L0072" TargetMode="External"/><Relationship Id="rId268" Type="http://schemas.openxmlformats.org/officeDocument/2006/relationships/hyperlink" Target="https://eur-lex.europa.eu/legal-content/EN/TXT/?uri=CELEX%3A32016L2102" TargetMode="External"/><Relationship Id="rId475" Type="http://schemas.openxmlformats.org/officeDocument/2006/relationships/hyperlink" Target="http://curia.europa.eu/juris/liste.jsf?oqp=&amp;for=&amp;mat=or&amp;jge=&amp;td=%3BALL&amp;jur=C%2CT%2CF&amp;num=250%252F18&amp;page=1&amp;dates=&amp;pcs=Oor&amp;lg=&amp;pro=&amp;nat=or&amp;cit=none%252CC%252CCJ%252CR%252C2008E%252C%252C%252C%252C%252C%252C%252C%252C%252C%252Ctrue%252Cfalse%252Cfalse&amp;language=en&amp;avg=&amp;cid=7012349" TargetMode="External"/><Relationship Id="rId640" Type="http://schemas.openxmlformats.org/officeDocument/2006/relationships/hyperlink" Target="https://eur-lex.europa.eu/legal-content/EN/TXT/?uri=CELEX:32016L0097" TargetMode="External"/><Relationship Id="rId32" Type="http://schemas.openxmlformats.org/officeDocument/2006/relationships/hyperlink" Target="http://curia.europa.eu/juris/liste.jsf?oqp=&amp;for=&amp;mat=or&amp;jge=&amp;td=%3BALL&amp;jur=C%2CT%2CF&amp;num=C-356%252F15&amp;page=1&amp;dates=&amp;pcs=Oor&amp;lg=&amp;pro=&amp;nat=or&amp;cit=none%252CC%252CCJ%252CR%252C2008E%252C%252C%252C%252C%252C%252C%252C%252C%252C%252Ctrue%252Cfalse%252Cfalse&amp;language=en&amp;avg=&amp;cid=13717269" TargetMode="External"/><Relationship Id="rId74" Type="http://schemas.openxmlformats.org/officeDocument/2006/relationships/hyperlink" Target="http://europa.eu/rapid/press-release_MEMO-18-349_en.htm" TargetMode="External"/><Relationship Id="rId128" Type="http://schemas.openxmlformats.org/officeDocument/2006/relationships/hyperlink" Target="http://europa.eu/rapid/press-release_MEMO-18-4486_en.htm" TargetMode="External"/><Relationship Id="rId335" Type="http://schemas.openxmlformats.org/officeDocument/2006/relationships/hyperlink" Target="https://eur-lex.europa.eu/legal-content/EN/TXT/?qid=1521545219979&amp;uri=CELEX:32014L0066" TargetMode="External"/><Relationship Id="rId377" Type="http://schemas.openxmlformats.org/officeDocument/2006/relationships/hyperlink" Target="https://eur-lex.europa.eu/legal-content/EN/TXT/?uri=uriserv%3AOJ.L_.2014.094.01.0001.01.ENG" TargetMode="External"/><Relationship Id="rId500" Type="http://schemas.openxmlformats.org/officeDocument/2006/relationships/hyperlink" Target="http://europa.eu/rapid/press-release_MEMO-18-4486_en.htm" TargetMode="External"/><Relationship Id="rId542" Type="http://schemas.openxmlformats.org/officeDocument/2006/relationships/hyperlink" Target="http://curia.europa.eu/juris/liste.jsf?oqp=&amp;for=&amp;mat=or&amp;jge=&amp;td=%3BALL&amp;jur=C%2CT%2CF&amp;num=C-565%252F10&amp;page=1&amp;dates=&amp;pcs=Oor&amp;lg=&amp;pro=&amp;nat=or&amp;cit=none%252CC%252CCJ%252CR%252C2008E%252C%252C%252C%252C%252C%252C%252C%252C%252C%252Ctrue%252Cfalse%252Cfalse&amp;language=en&amp;avg=&amp;cid=12703267" TargetMode="External"/><Relationship Id="rId584" Type="http://schemas.openxmlformats.org/officeDocument/2006/relationships/hyperlink" Target="https://eur-lex.europa.eu/legal-content/EN/TXT/?qid=1521545327221&amp;uri=CELEX:32014L0036" TargetMode="External"/><Relationship Id="rId5" Type="http://schemas.openxmlformats.org/officeDocument/2006/relationships/hyperlink" Target="http://europa.eu/rapid/press-release_MEMO-18-349_en.htm" TargetMode="External"/><Relationship Id="rId181" Type="http://schemas.openxmlformats.org/officeDocument/2006/relationships/hyperlink" Target="http://europa.eu/rapid/press-release_IP-18-3459_fr.htm" TargetMode="External"/><Relationship Id="rId237" Type="http://schemas.openxmlformats.org/officeDocument/2006/relationships/hyperlink" Target="https://eur-lex.europa.eu/legal-content/EN/TXT/?uri=CELEX:31991L0271" TargetMode="External"/><Relationship Id="rId402" Type="http://schemas.openxmlformats.org/officeDocument/2006/relationships/hyperlink" Target="http://curia.europa.eu/juris/liste.jsf?oqp=&amp;for=&amp;mat=or&amp;jge=&amp;td=%3BALL&amp;jur=C%2CT%2CF&amp;num=C-677%252F16&amp;page=1&amp;dates=&amp;pcs=Oor&amp;lg=&amp;pro=&amp;nat=or&amp;cit=none%252CC%252CCJ%252CR%252C2008E%252C%252C%252C%252C%252C%252C%252C%252C%252C%252Ctrue%252Cfalse%252Cfalse&amp;language=en&amp;avg=&amp;cid=13718918" TargetMode="External"/><Relationship Id="rId279" Type="http://schemas.openxmlformats.org/officeDocument/2006/relationships/hyperlink" Target="https://eur-lex.europa.eu/legal-content/EN/TXT/?uri=celex%3A32005L0029" TargetMode="External"/><Relationship Id="rId444" Type="http://schemas.openxmlformats.org/officeDocument/2006/relationships/hyperlink" Target="http://curia.europa.eu/juris/liste.jsf?oqp=&amp;for=&amp;mat=or&amp;jge=&amp;td=%3BALL&amp;jur=C%2CT%2CF&amp;num=C-575%252F17&amp;page=1&amp;dates=&amp;pcs=Oor&amp;lg=&amp;pro=&amp;nat=or&amp;cit=none%252CC%252CCJ%252CR%252C2008E%252C%252C%252C%252C%252C%252C%252C%252C%252C%252Ctrue%252Cfalse%252Cfalse&amp;language=en&amp;avg=&amp;cid=5118021" TargetMode="External"/><Relationship Id="rId486" Type="http://schemas.openxmlformats.org/officeDocument/2006/relationships/hyperlink" Target="https://eur-lex.europa.eu/legal-content/EN/TXT/?uri=CELEX%3A32008L0056" TargetMode="External"/><Relationship Id="rId651" Type="http://schemas.openxmlformats.org/officeDocument/2006/relationships/hyperlink" Target="https://eur-lex.europa.eu/legal-content/EN/TXT/?uri=celex:32014L0041" TargetMode="External"/><Relationship Id="rId43" Type="http://schemas.openxmlformats.org/officeDocument/2006/relationships/hyperlink" Target="https://eur-lex.europa.eu/legal-content/EN/ALL/?uri=CELEX:32001L0042" TargetMode="External"/><Relationship Id="rId139" Type="http://schemas.openxmlformats.org/officeDocument/2006/relationships/hyperlink" Target="http://europa.eu/rapid/press-release_MEMO-18-3446_EN.htm" TargetMode="External"/><Relationship Id="rId290" Type="http://schemas.openxmlformats.org/officeDocument/2006/relationships/hyperlink" Target="https://eur-lex.europa.eu/legal-content/EN/TXT/?uri=CELEX%3A31992L0043" TargetMode="External"/><Relationship Id="rId304" Type="http://schemas.openxmlformats.org/officeDocument/2006/relationships/hyperlink" Target="http://europa.eu/rapid/press-release_MEMO-18-1444_en.htm" TargetMode="External"/><Relationship Id="rId346" Type="http://schemas.openxmlformats.org/officeDocument/2006/relationships/hyperlink" Target="http://europa.eu/rapid/press-release_MEMO-18-3446_en.htm" TargetMode="External"/><Relationship Id="rId388" Type="http://schemas.openxmlformats.org/officeDocument/2006/relationships/hyperlink" Target="https://eur-lex.europa.eu/eli/dir/2016/1214/oj" TargetMode="External"/><Relationship Id="rId511" Type="http://schemas.openxmlformats.org/officeDocument/2006/relationships/hyperlink" Target="https://eur-lex.europa.eu/legal-content/EN/TXT/?uri=CELEX%3A32017L2096" TargetMode="External"/><Relationship Id="rId553" Type="http://schemas.openxmlformats.org/officeDocument/2006/relationships/hyperlink" Target="http://curia.europa.eu/juris/liste.jsf?oqp=&amp;for=&amp;mat=or&amp;jge=&amp;td=%3BALL&amp;jur=C%2CT%2CF&amp;num=C-375%252F17&amp;page=1&amp;dates=&amp;pcs=Oor&amp;lg=&amp;pro=&amp;nat=or&amp;cit=none%252CC%252CCJ%252CR%252C2008E%252C%252C%252C%252C%252C%252C%252C%252C%252C%252Ctrue%252Cfalse%252Cfalse&amp;language=en&amp;avg=&amp;cid=3843294" TargetMode="External"/><Relationship Id="rId609" Type="http://schemas.openxmlformats.org/officeDocument/2006/relationships/hyperlink" Target="http://europa.eu/rapid/press-release_MEMO-18-3446_en.htm" TargetMode="External"/><Relationship Id="rId85" Type="http://schemas.openxmlformats.org/officeDocument/2006/relationships/hyperlink" Target="https://eur-lex.europa.eu/legal-content/EN/TXT/?uri=CELEX:32014L0089" TargetMode="External"/><Relationship Id="rId150" Type="http://schemas.openxmlformats.org/officeDocument/2006/relationships/hyperlink" Target="https://eur-lex.europa.eu/legal-content/en/ALL/?uri=CELEX:32014L0087" TargetMode="External"/><Relationship Id="rId192" Type="http://schemas.openxmlformats.org/officeDocument/2006/relationships/hyperlink" Target="http://curia.europa.eu/juris/liste.jsf?oqp=&amp;for=&amp;mat=or&amp;lgrec=en&amp;jge=&amp;td=%3BALL&amp;jur=C%2CT%2CF&amp;num=C-385%252F17&amp;page=1&amp;dates=&amp;pcs=Oor&amp;lg=&amp;pro=&amp;nat=or&amp;cit=none%252CC%252CCJ%252CR%252C2008E%252C%252C%252C%252C%252C%252C%252C%252C%252C%252Ctrue%252Cfalse%252Cfalse&amp;language=en&amp;avg=&amp;cid=2035503" TargetMode="External"/><Relationship Id="rId206" Type="http://schemas.openxmlformats.org/officeDocument/2006/relationships/hyperlink" Target="https://eur-lex.europa.eu/legal-content/EN/TXT/?qid=1545563673652&amp;uri=CELEX:32004R0261" TargetMode="External"/><Relationship Id="rId413" Type="http://schemas.openxmlformats.org/officeDocument/2006/relationships/hyperlink" Target="https://eur-lex.europa.eu/legal-content/EN/TXT/?uri=CELEX%3A32002L0049" TargetMode="External"/><Relationship Id="rId595" Type="http://schemas.openxmlformats.org/officeDocument/2006/relationships/hyperlink" Target="https://eur-lex.europa.eu/legal-content/EN/TXT/?uri=uriserv:OJ.L_.2016.194.01.0001.01.ENG" TargetMode="External"/><Relationship Id="rId248" Type="http://schemas.openxmlformats.org/officeDocument/2006/relationships/hyperlink" Target="http://europa.eu/rapid/press-release_MEMO-18-3446_en.htm" TargetMode="External"/><Relationship Id="rId455" Type="http://schemas.openxmlformats.org/officeDocument/2006/relationships/hyperlink" Target="https://eur-lex.europa.eu/legal-content/EN/TXT/?uri=CELEX%3A32009L0147" TargetMode="External"/><Relationship Id="rId497" Type="http://schemas.openxmlformats.org/officeDocument/2006/relationships/hyperlink" Target="https://eur-lex.europa.eu/legal-content/EN/TXT/?uri=CELEX:32009L0081" TargetMode="External"/><Relationship Id="rId620" Type="http://schemas.openxmlformats.org/officeDocument/2006/relationships/hyperlink" Target="https://eur-lex.europa.eu/legal-content/EN/TXT/?uri=CELEX%3A32016L0680" TargetMode="External"/><Relationship Id="rId662" Type="http://schemas.openxmlformats.org/officeDocument/2006/relationships/hyperlink" Target="https://eur-lex.europa.eu/legal-content/EN/TXT/?uri=CELEX:32016L2258" TargetMode="External"/><Relationship Id="rId12" Type="http://schemas.openxmlformats.org/officeDocument/2006/relationships/hyperlink" Target="https://eur-lex.europa.eu/legal-content/EN/TXT/?uri=CELEX%3A32002L0049" TargetMode="External"/><Relationship Id="rId108" Type="http://schemas.openxmlformats.org/officeDocument/2006/relationships/hyperlink" Target="https://eur-lex.europa.eu/eli/dir/2016/1214/oj" TargetMode="External"/><Relationship Id="rId315" Type="http://schemas.openxmlformats.org/officeDocument/2006/relationships/hyperlink" Target="https://eur-lex.europa.eu/legal-content/EN/TXT/PDF/?uri=CELEX:32013L0059&amp;from=EN" TargetMode="External"/><Relationship Id="rId357" Type="http://schemas.openxmlformats.org/officeDocument/2006/relationships/hyperlink" Target="http://europa.eu/rapid/press-release_MEMO-18-4486_en.htm" TargetMode="External"/><Relationship Id="rId522" Type="http://schemas.openxmlformats.org/officeDocument/2006/relationships/hyperlink" Target="http://curia.europa.eu/juris/liste.jsf?oqp=&amp;for=&amp;mat=or&amp;jge=&amp;td=%3BALL&amp;jur=C%2CT%2CF&amp;num=C-434%252F18&amp;page=1&amp;dates=&amp;pcs=Oor&amp;lg=&amp;pro=&amp;nat=or&amp;cit=none%252CC%252CCJ%252CR%252C2008E%252C%252C%252C%252C%252C%252C%252C%252C%252C%252Ctrue%252Cfalse%252Cfalse&amp;language=en&amp;avg=&amp;cid=3843294" TargetMode="External"/><Relationship Id="rId54" Type="http://schemas.openxmlformats.org/officeDocument/2006/relationships/hyperlink" Target="http://europa.eu/rapid/press-release_MEMO-18-6247_en.htm" TargetMode="External"/><Relationship Id="rId96" Type="http://schemas.openxmlformats.org/officeDocument/2006/relationships/hyperlink" Target="http://curia.europa.eu/juris/liste.jsf?oqp=&amp;for=&amp;mat=or&amp;jge=&amp;td=%3BALL&amp;jur=C%2CT%2CF&amp;num=C-652%252F16&amp;page=1&amp;dates=&amp;pcs=Oor&amp;lg=&amp;pro=&amp;nat=or&amp;cit=none%252CC%252CCJ%252CR%252C2008E%252C%252C%252C%252C%252C%252C%252C%252C%252C%252Ctrue%252Cfalse%252Cfalse&amp;language=en&amp;avg=&amp;cid=5130354" TargetMode="External"/><Relationship Id="rId161" Type="http://schemas.openxmlformats.org/officeDocument/2006/relationships/hyperlink" Target="https://eur-lex.europa.eu/legal-content/EN/TXT/?qid=1521645914219&amp;uri=CELEX:32011L0070" TargetMode="External"/><Relationship Id="rId217" Type="http://schemas.openxmlformats.org/officeDocument/2006/relationships/hyperlink" Target="https://eur-lex.europa.eu/legal-content/EN/TXT/PDF/?uri=CELEX:02008R1008-20180911&amp;qid=1545937681230&amp;from=EN" TargetMode="External"/><Relationship Id="rId399" Type="http://schemas.openxmlformats.org/officeDocument/2006/relationships/hyperlink" Target="http://curia.europa.eu/juris/liste.jsf?oqp=&amp;for=&amp;mat=or&amp;jge=&amp;td=%3BALL&amp;jur=C%2CT%2CF&amp;num=C-205%252F17&amp;page=1&amp;dates=&amp;pcs=Oor&amp;lg=&amp;pro=&amp;nat=or&amp;cit=none%252CC%252CCJ%252CR%252C2008E%252C%252C%252C%252C%252C%252C%252C%252C%252C%252Ctrue%252Cfalse%252Cfalse&amp;language=en&amp;avg=&amp;cid=12703267" TargetMode="External"/><Relationship Id="rId564" Type="http://schemas.openxmlformats.org/officeDocument/2006/relationships/hyperlink" Target="https://eur-lex.europa.eu/legal-content/EN/TXT/?uri=CELEX:31991L0271" TargetMode="External"/><Relationship Id="rId259" Type="http://schemas.openxmlformats.org/officeDocument/2006/relationships/hyperlink" Target="https://eur-lex.europa.eu/legal-content/EN/TXT/?uri=CELEX%3A31998L0083" TargetMode="External"/><Relationship Id="rId424" Type="http://schemas.openxmlformats.org/officeDocument/2006/relationships/hyperlink" Target="https://eur-lex.europa.eu/legal-content/EN/TXT/?uri=CELEX%3A32016L2102" TargetMode="External"/><Relationship Id="rId466" Type="http://schemas.openxmlformats.org/officeDocument/2006/relationships/hyperlink" Target="https://eur-lex.europa.eu/legal-content/EN/TXT/?uri=CELEX:32016L0097" TargetMode="External"/><Relationship Id="rId631" Type="http://schemas.openxmlformats.org/officeDocument/2006/relationships/hyperlink" Target="https://eur-lex.europa.eu/legal-content/en/ALL/?uri=CELEX:32014L0087" TargetMode="External"/><Relationship Id="rId23" Type="http://schemas.openxmlformats.org/officeDocument/2006/relationships/hyperlink" Target="https://eur-lex.europa.eu/legal-content/EN/TXT/?uri=uriserv:OJ.L_.2016.344.01.0001.01.ENG" TargetMode="External"/><Relationship Id="rId119" Type="http://schemas.openxmlformats.org/officeDocument/2006/relationships/hyperlink" Target="https://eur-lex.europa.eu/legal-content/EN/TXT/?uri=CELEX%3A32017L1279" TargetMode="External"/><Relationship Id="rId270" Type="http://schemas.openxmlformats.org/officeDocument/2006/relationships/hyperlink" Target="https://eur-lex.europa.eu/legal-content/EN/TXT/?uri=CELEX:32015L2302" TargetMode="External"/><Relationship Id="rId326" Type="http://schemas.openxmlformats.org/officeDocument/2006/relationships/hyperlink" Target="http://curia.europa.eu/juris/liste.jsf?oqp=&amp;for=&amp;mat=or&amp;lgrec=fr&amp;jge=&amp;td=%3BALL&amp;jur=C%2CT%2CF&amp;num=91%252F18&amp;page=1&amp;dates=&amp;pcs=Oor&amp;lg=&amp;pro=&amp;nat=or&amp;cit=none%252CC%252CCJ%252CR%252C2008E%252C%252C%252C%252C%252C%252C%252C%252C%252C%252Ctrue%252Cfalse%252Cfalse&amp;language=en&amp;avg=&amp;cid=6985262" TargetMode="External"/><Relationship Id="rId533" Type="http://schemas.openxmlformats.org/officeDocument/2006/relationships/hyperlink" Target="http://curia.europa.eu/juris/liste.jsf?oqp=&amp;for=&amp;mat=or&amp;jge=&amp;td=%3BALL&amp;jur=C%2CT%2CF&amp;num=304%252F18&amp;page=1&amp;dates=&amp;pcs=Oor&amp;lg=&amp;pro=&amp;nat=or&amp;cit=none%252CC%252CCJ%252CR%252C2008E%252C%252C%252C%252C%252C%252C%252C%252C%252C%252Ctrue%252Cfalse%252Cfalse&amp;language=en&amp;avg=&amp;cid=7012349" TargetMode="External"/><Relationship Id="rId65" Type="http://schemas.openxmlformats.org/officeDocument/2006/relationships/hyperlink" Target="http://europa.eu/rapid/press-release_MEMO-18-6247_en.htm" TargetMode="External"/><Relationship Id="rId130" Type="http://schemas.openxmlformats.org/officeDocument/2006/relationships/hyperlink" Target="http://europa.eu/rapid/press-release_MEMO-18-4486_en.htm" TargetMode="External"/><Relationship Id="rId368" Type="http://schemas.openxmlformats.org/officeDocument/2006/relationships/hyperlink" Target="https://eur-lex.europa.eu/legal-content/EN/TXT/?uri=CELEX%3A32008L0098" TargetMode="External"/><Relationship Id="rId575" Type="http://schemas.openxmlformats.org/officeDocument/2006/relationships/hyperlink" Target="https://eur-lex.europa.eu/legal-content/EN/TXT/?uri=CELEX%3A32016L0680" TargetMode="External"/><Relationship Id="rId172" Type="http://schemas.openxmlformats.org/officeDocument/2006/relationships/hyperlink" Target="https://eur-lex.europa.eu/legal-content/EN/TXT/?qid=1551815135749&amp;uri=CELEX:32009L0073" TargetMode="External"/><Relationship Id="rId228" Type="http://schemas.openxmlformats.org/officeDocument/2006/relationships/hyperlink" Target="http://curia.europa.eu/juris/liste.jsf?oqp=&amp;for=&amp;mat=or&amp;jge=&amp;td=%3BALL&amp;jur=C%2CT%2CF&amp;num=C-474%252F17&amp;page=1&amp;dates=&amp;pcs=Oor&amp;lg=&amp;pro=&amp;nat=or&amp;cit=none%252CC%252CCJ%252CR%252C2008E%252C%252C%252C%252C%252C%252C%252C%252C%252C%252Ctrue%252Cfalse%252Cfalse&amp;language=en&amp;avg=&amp;cid=5121656" TargetMode="External"/><Relationship Id="rId435" Type="http://schemas.openxmlformats.org/officeDocument/2006/relationships/hyperlink" Target="https://eur-lex.europa.eu/legal-content/EN/TXT/?uri=uriserv%3AOJ.L_.2014.349.01.0001.01.ENG" TargetMode="External"/><Relationship Id="rId477" Type="http://schemas.openxmlformats.org/officeDocument/2006/relationships/hyperlink" Target="https://eur-lex.europa.eu/legal-content/EN/TXT/?qid=1521645914219&amp;uri=CELEX:32011L0070" TargetMode="External"/><Relationship Id="rId600" Type="http://schemas.openxmlformats.org/officeDocument/2006/relationships/hyperlink" Target="http://europa.eu/rapid/press-release_MEMO-18-349_en.htm" TargetMode="External"/><Relationship Id="rId642" Type="http://schemas.openxmlformats.org/officeDocument/2006/relationships/hyperlink" Target="http://europa.eu/rapid/press-release_MEMO-18-349_en.htm" TargetMode="External"/><Relationship Id="rId281" Type="http://schemas.openxmlformats.org/officeDocument/2006/relationships/hyperlink" Target="http://europa.eu/rapid/press-release_MEMO-18-349_en.htm" TargetMode="External"/><Relationship Id="rId337" Type="http://schemas.openxmlformats.org/officeDocument/2006/relationships/hyperlink" Target="https://eur-lex.europa.eu/legal-content/EN/TXT/?uri=celex%3A32014L0052" TargetMode="External"/><Relationship Id="rId502" Type="http://schemas.openxmlformats.org/officeDocument/2006/relationships/hyperlink" Target="http://europa.eu/rapid/press-release_MEMO-18-3446_EN.htm" TargetMode="External"/><Relationship Id="rId34" Type="http://schemas.openxmlformats.org/officeDocument/2006/relationships/hyperlink" Target="http://curia.europa.eu/juris/liste.jsf?language=en&amp;num=c-426/16&amp;td=ALL" TargetMode="External"/><Relationship Id="rId76" Type="http://schemas.openxmlformats.org/officeDocument/2006/relationships/hyperlink" Target="https://eur-lex.europa.eu/legal-content/EN/TXT/?uri=CELEX%3A32017L1279" TargetMode="External"/><Relationship Id="rId141" Type="http://schemas.openxmlformats.org/officeDocument/2006/relationships/hyperlink" Target="https://eur-lex.europa.eu/legal-content/EN/TXT/?uri=uriserv:OJ.L_.2016.194.01.0001.01.ENG" TargetMode="External"/><Relationship Id="rId379" Type="http://schemas.openxmlformats.org/officeDocument/2006/relationships/hyperlink" Target="https://eur-lex.europa.eu/legal-content/FR/TXT/?uri=CELEX:32014L0025" TargetMode="External"/><Relationship Id="rId544" Type="http://schemas.openxmlformats.org/officeDocument/2006/relationships/hyperlink" Target="https://curia.europa.eu/jcms/upload/docs/application/pdf/2018-05/cp180074en.pdf" TargetMode="External"/><Relationship Id="rId586" Type="http://schemas.openxmlformats.org/officeDocument/2006/relationships/hyperlink" Target="https://eur-lex.europa.eu/legal-content/EN/TXT/?uri=CELEX:32015L0652" TargetMode="External"/><Relationship Id="rId7" Type="http://schemas.openxmlformats.org/officeDocument/2006/relationships/hyperlink" Target="http://curia.europa.eu/juris/document/document.jsf;jsessionid=9ea7d2dc30d8b253b0fea64b4360ba22f1be1b91238f.e34KaxiLc3qMb40Rch0SaxyPaxz0?text=&amp;docid=200966&amp;pageIndex=0&amp;doclang=en&amp;mode=lst&amp;dir=&amp;occ=first&amp;part=1&amp;cid=1144088" TargetMode="External"/><Relationship Id="rId183" Type="http://schemas.openxmlformats.org/officeDocument/2006/relationships/hyperlink" Target="https://eur-lex.europa.eu/legal-content/EN/TXT/?uri=CELEX%3A32014L0042" TargetMode="External"/><Relationship Id="rId239" Type="http://schemas.openxmlformats.org/officeDocument/2006/relationships/hyperlink" Target="https://eur-lex.europa.eu/legal-content/EN/TXT/?uri=CELEX%3A32005L0036" TargetMode="External"/><Relationship Id="rId390" Type="http://schemas.openxmlformats.org/officeDocument/2006/relationships/hyperlink" Target="https://eur-lex.europa.eu/legal-content/EN/TXT/?uri=uriserv%3AOJ.L_.2014.349.01.0001.01.ENG" TargetMode="External"/><Relationship Id="rId404" Type="http://schemas.openxmlformats.org/officeDocument/2006/relationships/hyperlink" Target="http://curia.europa.eu/juris/liste.jsf?oqp=&amp;for=&amp;mat=or&amp;jge=&amp;td=%3BALL&amp;jur=C%2CT%2CF&amp;num=C-619%252F17&amp;page=1&amp;dates=&amp;pcs=Oor&amp;lg=&amp;pro=&amp;nat=or&amp;cit=none%252CC%252CCJ%252CR%252C2008E%252C%252C%252C%252C%252C%252C%252C%252C%252C%252Ctrue%252Cfalse%252Cfalse&amp;language=en&amp;avg=&amp;cid=9139692" TargetMode="External"/><Relationship Id="rId446" Type="http://schemas.openxmlformats.org/officeDocument/2006/relationships/hyperlink" Target="https://eur-lex.europa.eu/legal-content/EN/TXT/?qid=1545566245475&amp;uri=CELEX:32006L0123" TargetMode="External"/><Relationship Id="rId611" Type="http://schemas.openxmlformats.org/officeDocument/2006/relationships/hyperlink" Target="http://europa.eu/rapid/press-release_MEMO-18-4486_en.htm" TargetMode="External"/><Relationship Id="rId653" Type="http://schemas.openxmlformats.org/officeDocument/2006/relationships/hyperlink" Target="http://curia.europa.eu/juris/liste.jsf?oqp=&amp;for=&amp;mat=or&amp;jge=&amp;td=%3BALL&amp;jur=C%2CT%2CF&amp;num=20%252F18&amp;page=1&amp;dates=&amp;pcs=Oor&amp;lg=&amp;pro=&amp;nat=or&amp;cit=none%252CC%252CCJ%252CR%252C2008E%252C%252C%252C%252C%252C%252C%252C%252C%252C%252Ctrue%252Cfalse%252Cfalse&amp;language=en&amp;avg=&amp;cid=7096533" TargetMode="External"/><Relationship Id="rId250" Type="http://schemas.openxmlformats.org/officeDocument/2006/relationships/hyperlink" Target="http://europa.eu/rapid/press-release_MEMO-18-4486_en.htm" TargetMode="External"/><Relationship Id="rId292" Type="http://schemas.openxmlformats.org/officeDocument/2006/relationships/hyperlink" Target="http://curia.europa.eu/juris/liste.jsf?oqp=&amp;for=&amp;mat=or&amp;jge=&amp;td=%3BALL&amp;jur=C%2CT%2CF&amp;num=C-461%252F17&amp;page=1&amp;dates=&amp;pcs=Oor&amp;lg=&amp;pro=&amp;nat=or&amp;cit=none%252CC%252CCJ%252CR%252C2008E%252C%252C%252C%252C%252C%252C%252C%252C%252C%252Ctrue%252Cfalse%252Cfalse&amp;language=en&amp;avg=&amp;cid=8399185" TargetMode="External"/><Relationship Id="rId306" Type="http://schemas.openxmlformats.org/officeDocument/2006/relationships/hyperlink" Target="http://europa.eu/rapid/press-release_MEMO-18-1444_en.htm" TargetMode="External"/><Relationship Id="rId488" Type="http://schemas.openxmlformats.org/officeDocument/2006/relationships/hyperlink" Target="http://europa.eu/rapid/press-release_MEMO-18-1444_en.htm" TargetMode="External"/><Relationship Id="rId45" Type="http://schemas.openxmlformats.org/officeDocument/2006/relationships/hyperlink" Target="http://curia.europa.eu/juris/liste.jsf?oqp=&amp;for=&amp;mat=or&amp;jge=&amp;td=%3BALL&amp;jur=C%2CT%2CF&amp;num=C-518%252F15&amp;page=1&amp;dates=&amp;pcs=Oor&amp;lg=&amp;pro=&amp;nat=or&amp;cit=none%252CC%252CCJ%252CR%252C2008E%252C%252C%252C%252C%252C%252C%252C%252C%252C%252Ctrue%252Cfalse%252Cfalse&amp;language=en&amp;avg=&amp;cid=5326713" TargetMode="External"/><Relationship Id="rId87" Type="http://schemas.openxmlformats.org/officeDocument/2006/relationships/hyperlink" Target="https://eur-lex.europa.eu/legal-content/EN/TXT/?uri=CELEX:32006L0093https://eur-lex.europa.eu/legal-content/EN/TXT/?uri=CELEX:32006L0093https://eur-lex.europa.eu/legal-content/EN/TXT/PDF/?uri=CELEX:32006L0093&amp;qid=1548346750623&amp;from=FR" TargetMode="External"/><Relationship Id="rId110" Type="http://schemas.openxmlformats.org/officeDocument/2006/relationships/hyperlink" Target="https://eur-lex.europa.eu/legal-content/EN/TXT/?uri=CELEX%3A32016L2102" TargetMode="External"/><Relationship Id="rId348" Type="http://schemas.openxmlformats.org/officeDocument/2006/relationships/hyperlink" Target="http://europa.eu/rapid/press-release_MEMO-18-6247_en.htm" TargetMode="External"/><Relationship Id="rId513" Type="http://schemas.openxmlformats.org/officeDocument/2006/relationships/hyperlink" Target="https://eur-lex.europa.eu/legal-content/EN/TXT/?uri=CELEX%3A32017L1279" TargetMode="External"/><Relationship Id="rId555" Type="http://schemas.openxmlformats.org/officeDocument/2006/relationships/hyperlink" Target="https://eur-lex.europa.eu/legal-content/EN/TXT/?uri=CELEX%3A32005L0036" TargetMode="External"/><Relationship Id="rId597" Type="http://schemas.openxmlformats.org/officeDocument/2006/relationships/hyperlink" Target="https://eur-lex.europa.eu/eli/dir/2017/1564/oj" TargetMode="External"/><Relationship Id="rId152" Type="http://schemas.openxmlformats.org/officeDocument/2006/relationships/hyperlink" Target="https://eur-lex.europa.eu/legal-content/en/ALL/?uri=CELEX:32009R1072" TargetMode="External"/><Relationship Id="rId194" Type="http://schemas.openxmlformats.org/officeDocument/2006/relationships/hyperlink" Target="http://curia.europa.eu/juris/liste.jsf?oqp=&amp;for=&amp;mat=or&amp;jge=&amp;td=%3BALL&amp;jur=C%2CT%2CF&amp;num=C-68%252F17&amp;page=1&amp;dates=&amp;pcs=Oor&amp;lg=&amp;pro=&amp;nat=or&amp;cit=none%252CC%252CCJ%252CR%252C2008E%252C%252C%252C%252C%252C%252C%252C%252C%252C%252Ctrue%252Cfalse%252Cfalse&amp;language=en&amp;avg=&amp;cid=8357810" TargetMode="External"/><Relationship Id="rId208" Type="http://schemas.openxmlformats.org/officeDocument/2006/relationships/hyperlink" Target="https://curia.europa.eu/jcms/upload/docs/application/pdf/2018-05/cp180077en.pdf" TargetMode="External"/><Relationship Id="rId415" Type="http://schemas.openxmlformats.org/officeDocument/2006/relationships/hyperlink" Target="https://eur-lex.europa.eu/legal-content/EN/TXT/?uri=CELEX:31991L0271" TargetMode="External"/><Relationship Id="rId457" Type="http://schemas.openxmlformats.org/officeDocument/2006/relationships/hyperlink" Target="https://eur-lex.europa.eu/legal-content/EN/TXT/?qid=1551716316185&amp;uri=CELEX:32009L0021" TargetMode="External"/><Relationship Id="rId622" Type="http://schemas.openxmlformats.org/officeDocument/2006/relationships/hyperlink" Target="https://eur-lex.europa.eu/legal-content/EN/TXT/?qid=1551714644159&amp;uri=CELEX:32009L0018https://eur-lex.europa.eu/legal-content/EN/TXT/PDF/?uri=CELEX:32009L0018&amp;qid=1548341967727&amp;from=FR" TargetMode="External"/><Relationship Id="rId261" Type="http://schemas.openxmlformats.org/officeDocument/2006/relationships/hyperlink" Target="https://eur-lex.europa.eu/eli/dir/2016/1214/oj" TargetMode="External"/><Relationship Id="rId499" Type="http://schemas.openxmlformats.org/officeDocument/2006/relationships/hyperlink" Target="https://eur-lex.europa.eu/legal-content/EN/TXT/?uri=CELEX%3A32005L0036" TargetMode="External"/><Relationship Id="rId664" Type="http://schemas.openxmlformats.org/officeDocument/2006/relationships/hyperlink" Target="https://eur-lex.europa.eu/legal-content/EN/TXT/?uri=celex%3A32014L0052" TargetMode="External"/><Relationship Id="rId14" Type="http://schemas.openxmlformats.org/officeDocument/2006/relationships/hyperlink" Target="https://eur-lex.europa.eu/legal-content/EN/TXT/?uri=CELEX%3A32015L2366" TargetMode="External"/><Relationship Id="rId56" Type="http://schemas.openxmlformats.org/officeDocument/2006/relationships/hyperlink" Target="http://europa.eu/rapid/press-release_MEMO-18-349_en.htm" TargetMode="External"/><Relationship Id="rId317" Type="http://schemas.openxmlformats.org/officeDocument/2006/relationships/hyperlink" Target="https://eur-lex.europa.eu/legal-content/EN/TXT/?uri=uriserv:OJ.L_.2016.194.01.0001.01.ENG" TargetMode="External"/><Relationship Id="rId359" Type="http://schemas.openxmlformats.org/officeDocument/2006/relationships/hyperlink" Target="http://europa.eu/rapid/press-release_MEMO-18-6247_en.htm" TargetMode="External"/><Relationship Id="rId524" Type="http://schemas.openxmlformats.org/officeDocument/2006/relationships/hyperlink" Target="https://eur-lex.europa.eu/legal-content/EN/ALL/?uri=CELEX%3A32008L0050" TargetMode="External"/><Relationship Id="rId566" Type="http://schemas.openxmlformats.org/officeDocument/2006/relationships/hyperlink" Target="https://eur-lex.europa.eu/legal-content/EN/TXT/?uri=CELEX%3A32015L2366" TargetMode="External"/><Relationship Id="rId98" Type="http://schemas.openxmlformats.org/officeDocument/2006/relationships/hyperlink" Target="https://eur-lex.europa.eu/legal-content/EN/TXT/?qid=1551716316185&amp;uri=CELEX:32009L0021" TargetMode="External"/><Relationship Id="rId121" Type="http://schemas.openxmlformats.org/officeDocument/2006/relationships/hyperlink" Target="http://europa.eu/rapid/press-release_MEMO-18-1444_en.htm" TargetMode="External"/><Relationship Id="rId163" Type="http://schemas.openxmlformats.org/officeDocument/2006/relationships/hyperlink" Target="https://eur-lex.europa.eu/legal-content/EN/TXT/?qid=1550483938301&amp;uri=CELEX:32010L0063" TargetMode="External"/><Relationship Id="rId219" Type="http://schemas.openxmlformats.org/officeDocument/2006/relationships/hyperlink" Target="https://curia.europa.eu/jcms/upload/docs/application/pdf/2018-11/cp180176en.pdf" TargetMode="External"/><Relationship Id="rId370" Type="http://schemas.openxmlformats.org/officeDocument/2006/relationships/hyperlink" Target="http://europa.eu/rapid/press-release_IP-18-3987_en.htm" TargetMode="External"/><Relationship Id="rId426" Type="http://schemas.openxmlformats.org/officeDocument/2006/relationships/hyperlink" Target="https://eur-lex.europa.eu/legal-content/EN/TXT/?uri=celex%3A32015L0849" TargetMode="External"/><Relationship Id="rId633" Type="http://schemas.openxmlformats.org/officeDocument/2006/relationships/hyperlink" Target="http://curia.europa.eu/juris/liste.jsf?oqp=&amp;for=&amp;mat=or&amp;jge=&amp;td=%3BALL&amp;jur=C%2CT%2CF&amp;num=C-540%252F16&amp;page=1&amp;dates=&amp;pcs=Oor&amp;lg=&amp;pro=&amp;nat=or&amp;cit=none%252CC%252CCJ%252CR%252C2008E%252C%252C%252C%252C%252C%252C%252C%252C%252C%252Ctrue%252Cfalse%252Cfalse&amp;language=en&amp;avg=&amp;cid=1883910" TargetMode="External"/><Relationship Id="rId230" Type="http://schemas.openxmlformats.org/officeDocument/2006/relationships/hyperlink" Target="http://curia.europa.eu/juris/liste.jsf?oqp=&amp;for=&amp;mat=or&amp;jge=&amp;td=%3BALL&amp;jur=C%2CT%2CF&amp;num=C-457%252F17&amp;page=1&amp;dates=&amp;pcs=Oor&amp;lg=&amp;pro=&amp;nat=or&amp;cit=none%252CC%252CCJ%252CR%252C2008E%252C%252C%252C%252C%252C%252C%252C%252C%252C%252Ctrue%252Cfalse%252Cfalse&amp;language=fr&amp;avg=&amp;cid=10565079" TargetMode="External"/><Relationship Id="rId468" Type="http://schemas.openxmlformats.org/officeDocument/2006/relationships/hyperlink" Target="http://europa.eu/rapid/press-release_MEMO-18-349_en.htm" TargetMode="External"/><Relationship Id="rId25" Type="http://schemas.openxmlformats.org/officeDocument/2006/relationships/hyperlink" Target="https://eur-lex.europa.eu/legal-content/EN/TXT/?qid=1521545327221&amp;uri=CELEX:32014L0036" TargetMode="External"/><Relationship Id="rId67" Type="http://schemas.openxmlformats.org/officeDocument/2006/relationships/hyperlink" Target="http://europa.eu/rapid/press-release_MEMO-18-4486_EN.htm" TargetMode="External"/><Relationship Id="rId272" Type="http://schemas.openxmlformats.org/officeDocument/2006/relationships/hyperlink" Target="https://eur-lex.europa.eu/legal-content/EN/TXT/?uri=CELEX:31997L0011" TargetMode="External"/><Relationship Id="rId328" Type="http://schemas.openxmlformats.org/officeDocument/2006/relationships/hyperlink" Target="https://eur-lex.europa.eu/legal-content/EN/TXT/?uri=CELEX:32014L0089" TargetMode="External"/><Relationship Id="rId535" Type="http://schemas.openxmlformats.org/officeDocument/2006/relationships/hyperlink" Target="https://eur-lex.europa.eu/legal-content/EN/TXT/?uri=CELEX%3A32008L0098" TargetMode="External"/><Relationship Id="rId577" Type="http://schemas.openxmlformats.org/officeDocument/2006/relationships/hyperlink" Target="https://eur-lex.europa.eu/legal-content/EN/TXT/?uri=CELEX%3A31992L0043" TargetMode="External"/><Relationship Id="rId132" Type="http://schemas.openxmlformats.org/officeDocument/2006/relationships/hyperlink" Target="http://europa.eu/rapid/press-release_MEMO-18-6247_en.htm" TargetMode="External"/><Relationship Id="rId174" Type="http://schemas.openxmlformats.org/officeDocument/2006/relationships/hyperlink" Target="http://europa.eu/rapid/press-release_IP-18-4487_en.htm" TargetMode="External"/><Relationship Id="rId381" Type="http://schemas.openxmlformats.org/officeDocument/2006/relationships/hyperlink" Target="https://eur-lex.europa.eu/legal-content/EN/TXT/PDF/?uri=CELEX:32014L0092&amp;from=en" TargetMode="External"/><Relationship Id="rId602" Type="http://schemas.openxmlformats.org/officeDocument/2006/relationships/hyperlink" Target="https://eur-lex.europa.eu/legal-content/EN/TXT/?uri=OJ%3AJOL_2014_127_R_0001" TargetMode="External"/><Relationship Id="rId241" Type="http://schemas.openxmlformats.org/officeDocument/2006/relationships/hyperlink" Target="https://eur-lex.europa.eu/eli/dir/2017/1564/oj" TargetMode="External"/><Relationship Id="rId437" Type="http://schemas.openxmlformats.org/officeDocument/2006/relationships/hyperlink" Target="https://eur-lex.europa.eu/legal-content/EN/TXT/?uri=CELEX%3A32014L0026" TargetMode="External"/><Relationship Id="rId479" Type="http://schemas.openxmlformats.org/officeDocument/2006/relationships/hyperlink" Target="http://europa.eu/rapid/press-release_MEMO-18-3446_EN.htm" TargetMode="External"/><Relationship Id="rId644" Type="http://schemas.openxmlformats.org/officeDocument/2006/relationships/hyperlink" Target="http://europa.eu/rapid/press-release_MEMO-18-3446_EN.htm" TargetMode="External"/><Relationship Id="rId36" Type="http://schemas.openxmlformats.org/officeDocument/2006/relationships/hyperlink" Target="http://curia.europa.eu/juris/liste.jsf?oqp=&amp;for=&amp;mat=or&amp;jge=&amp;td=%3BALL&amp;jur=C%2CT%2CF&amp;num=C-632%252F16&amp;page=1&amp;dates=&amp;pcs=Oor&amp;lg=&amp;pro=&amp;nat=or&amp;cit=none%252CC%252CCJ%252CR%252C2008E%252C%252C%252C%252C%252C%252C%252C%252C%252C%252Ctrue%252Cfalse%252Cfalse&amp;language=en&amp;avg=&amp;cid=13749209" TargetMode="External"/><Relationship Id="rId283" Type="http://schemas.openxmlformats.org/officeDocument/2006/relationships/hyperlink" Target="https://eur-lex.europa.eu/legal-content/EN/TXT/?uri=uriserv%3AOJ.L_.2014.349.01.0001.01.ENG" TargetMode="External"/><Relationship Id="rId339" Type="http://schemas.openxmlformats.org/officeDocument/2006/relationships/hyperlink" Target="http://curia.europa.eu/juris/liste.jsf?oqp=&amp;for=&amp;mat=or&amp;jge=&amp;td=%3BALL&amp;jur=C%2CT%2CF&amp;num=C-119%252F02&amp;page=1&amp;dates=&amp;pcs=Oor&amp;lg=&amp;pro=&amp;nat=or&amp;cit=none%252CC%252CCJ%252CR%252C2008E%252C%252C%252C%252C%252C%252C%252C%252C%252C%252Ctrue%252Cfalse%252Cfalse&amp;language=en&amp;avg=&amp;cid=12703267" TargetMode="External"/><Relationship Id="rId490" Type="http://schemas.openxmlformats.org/officeDocument/2006/relationships/hyperlink" Target="https://eur-lex.europa.eu/legal-content/EN/ALL/?uri=CELEX:32013L0030" TargetMode="External"/><Relationship Id="rId504" Type="http://schemas.openxmlformats.org/officeDocument/2006/relationships/hyperlink" Target="https://eur-lex.europa.eu/legal-content/en/ALL/?uri=CELEX:31991L0676" TargetMode="External"/><Relationship Id="rId546" Type="http://schemas.openxmlformats.org/officeDocument/2006/relationships/hyperlink" Target="http://curia.europa.eu/juris/liste.jsf?oqp=&amp;for=&amp;mat=or&amp;jge=&amp;td=%3BALL&amp;jur=C%2CT%2CF&amp;num=C-494%252F16&amp;page=1&amp;dates=&amp;pcs=Oor&amp;lg=&amp;pro=&amp;nat=or&amp;cit=none%252CC%252CCJ%252CR%252C2008E%252C%252C%252C%252C%252C%252C%252C%252C%252C%252Ctrue%252Cfalse%252Cfalse&amp;language=en&amp;avg=&amp;cid=13717269" TargetMode="External"/><Relationship Id="rId78" Type="http://schemas.openxmlformats.org/officeDocument/2006/relationships/hyperlink" Target="https://eur-lex.europa.eu/legal-content/EN/TXT/?uri=CELEX%3A32014L0042" TargetMode="External"/><Relationship Id="rId101" Type="http://schemas.openxmlformats.org/officeDocument/2006/relationships/hyperlink" Target="http://europa.eu/rapid/press-release_MEMO-18-6247_en.htm" TargetMode="External"/><Relationship Id="rId143" Type="http://schemas.openxmlformats.org/officeDocument/2006/relationships/hyperlink" Target="https://eur-lex.europa.eu/legal-content/EN/TXT/?uri=CELEX:32006L0021" TargetMode="External"/><Relationship Id="rId185" Type="http://schemas.openxmlformats.org/officeDocument/2006/relationships/hyperlink" Target="http://europa.eu/rapid/press-release_MEMO-18-1444_en.htm" TargetMode="External"/><Relationship Id="rId350" Type="http://schemas.openxmlformats.org/officeDocument/2006/relationships/hyperlink" Target="http://europa.eu/rapid/press-release_MEMO-18-1444_en.htm" TargetMode="External"/><Relationship Id="rId406" Type="http://schemas.openxmlformats.org/officeDocument/2006/relationships/hyperlink" Target="http://curia.europa.eu/juris/liste.jsf?oqp=&amp;for=&amp;mat=or&amp;jge=&amp;td=%3BALL&amp;jur=C%2CT%2CF&amp;num=C-103%252F16&amp;page=1&amp;dates=&amp;pcs=Oor&amp;lg=&amp;pro=&amp;nat=or&amp;cit=none%252CC%252CCJ%252CR%252C2008E%252C%252C%252C%252C%252C%252C%252C%252C%252C%252Ctrue%252Cfalse%252Cfalse&amp;language=en&amp;avg=&amp;cid=5125671" TargetMode="External"/><Relationship Id="rId588" Type="http://schemas.openxmlformats.org/officeDocument/2006/relationships/hyperlink" Target="http://europa.eu/rapid/press-release_MEMO-18-3986_EN.htm" TargetMode="External"/><Relationship Id="rId9" Type="http://schemas.openxmlformats.org/officeDocument/2006/relationships/hyperlink" Target="http://europa.eu/rapid/press-release_MEMO-18-3446_EN.htm" TargetMode="External"/><Relationship Id="rId210" Type="http://schemas.openxmlformats.org/officeDocument/2006/relationships/hyperlink" Target="http://curia.europa.eu/juris/liste.jsf?language=en&amp;num=C-130/18&amp;td=ALL" TargetMode="External"/><Relationship Id="rId392" Type="http://schemas.openxmlformats.org/officeDocument/2006/relationships/hyperlink" Target="https://eur-lex.europa.eu/legal-content/EN/TXT/?uri=CELEX:32015L0720" TargetMode="External"/><Relationship Id="rId448" Type="http://schemas.openxmlformats.org/officeDocument/2006/relationships/hyperlink" Target="https://curia.europa.eu/jcms/upload/docs/application/pdf/2018-04/cp180039en.pdf" TargetMode="External"/><Relationship Id="rId613" Type="http://schemas.openxmlformats.org/officeDocument/2006/relationships/hyperlink" Target="https://eur-lex.europa.eu/legal-content/EN/TXT/?uri=CELEX%3A32015L2366" TargetMode="External"/><Relationship Id="rId655" Type="http://schemas.openxmlformats.org/officeDocument/2006/relationships/hyperlink" Target="http://curia.europa.eu/juris/liste.jsf?oqp=&amp;for=&amp;mat=or&amp;jge=&amp;td=%3BALL&amp;jur=C%2CT%2CF&amp;num=87%252F18&amp;page=1&amp;dates=&amp;pcs=Oor&amp;lg=&amp;pro=&amp;nat=or&amp;cit=none%252CC%252CCJ%252CR%252C2008E%252C%252C%252C%252C%252C%252C%252C%252C%252C%252Ctrue%252Cfalse%252Cfalse&amp;language=en&amp;avg=&amp;cid=7096533" TargetMode="External"/><Relationship Id="rId252" Type="http://schemas.openxmlformats.org/officeDocument/2006/relationships/hyperlink" Target="http://europa.eu/rapid/press-release_MEMO-18-3986_en.htm" TargetMode="External"/><Relationship Id="rId294" Type="http://schemas.openxmlformats.org/officeDocument/2006/relationships/hyperlink" Target="file:///\\net1.cec.eu.int\SG\SG-F-3\Restricted\INFRACTIONS\RAPPORTS%20ANNUELS\36eme%20RAPPORT%20ANNUEL%202018\6.%20After%20proofreaders\clean\C-470\16" TargetMode="External"/><Relationship Id="rId308" Type="http://schemas.openxmlformats.org/officeDocument/2006/relationships/hyperlink" Target="http://europa.eu/rapid/press-release_MEMO-18-3446_EN.htm" TargetMode="External"/><Relationship Id="rId515" Type="http://schemas.openxmlformats.org/officeDocument/2006/relationships/hyperlink" Target="http://europa.eu/rapid/press-release_MEMO-18-3446_EN.htm" TargetMode="External"/><Relationship Id="rId47" Type="http://schemas.openxmlformats.org/officeDocument/2006/relationships/hyperlink" Target="http://curia.europa.eu/juris/liste.jsf?oqp=&amp;for=&amp;mat=or&amp;jge=&amp;td=%3BALL&amp;jur=C%2CT%2CF&amp;num=C-181%252F16&amp;page=1&amp;dates=&amp;pcs=Oor&amp;lg=&amp;pro=&amp;nat=or&amp;cit=none%252CC%252CCJ%252CR%252C2008E%252C%252C%252C%252C%252C%252C%252C%252C%252C%252Ctrue%252Cfalse%252Cfalse&amp;language=en&amp;avg=&amp;cid=5326713" TargetMode="External"/><Relationship Id="rId89" Type="http://schemas.openxmlformats.org/officeDocument/2006/relationships/hyperlink" Target="https://eur-lex.europa.eu/eli/dir/2016/1214/oj" TargetMode="External"/><Relationship Id="rId112" Type="http://schemas.openxmlformats.org/officeDocument/2006/relationships/hyperlink" Target="https://eur-lex.europa.eu/legal-content/EN/ALL/?uri=CELEX%3A32010R0994" TargetMode="External"/><Relationship Id="rId154" Type="http://schemas.openxmlformats.org/officeDocument/2006/relationships/hyperlink" Target="http://curia.europa.eu/juris/document/document.jsf;jsessionid=1B741244BB41F3BA621D3C7652D50B00?text=&amp;docid=202801&amp;pageIndex=0&amp;doclang=EN&amp;mode=lst&amp;dir=&amp;occ=first&amp;part=1&amp;cid=2048349" TargetMode="External"/><Relationship Id="rId361" Type="http://schemas.openxmlformats.org/officeDocument/2006/relationships/hyperlink" Target="https://eur-lex.europa.eu/legal-content/EN/TXT/?uri=CELEX:32016L0097" TargetMode="External"/><Relationship Id="rId557" Type="http://schemas.openxmlformats.org/officeDocument/2006/relationships/hyperlink" Target="https://eur-lex.europa.eu/legal-content/EN/TXT/?qid=1551716316185&amp;uri=CELEX:32009L0021" TargetMode="External"/><Relationship Id="rId599" Type="http://schemas.openxmlformats.org/officeDocument/2006/relationships/hyperlink" Target="https://eur-lex.europa.eu/legal-content/EN/TXT/PDF/?uri=CELEX:02009L0138-20190113&amp;qid=1548691844887&amp;from=EN" TargetMode="External"/><Relationship Id="rId196" Type="http://schemas.openxmlformats.org/officeDocument/2006/relationships/hyperlink" Target="http://curia.europa.eu/juris/liste.jsf?language=en&amp;num=c-425/17&amp;td=ALL" TargetMode="External"/><Relationship Id="rId417" Type="http://schemas.openxmlformats.org/officeDocument/2006/relationships/hyperlink" Target="http://europa.eu/rapid/press-release_MEMO-18-4486_en.htm" TargetMode="External"/><Relationship Id="rId459" Type="http://schemas.openxmlformats.org/officeDocument/2006/relationships/hyperlink" Target="https://eur-lex.europa.eu/legal-content/EN/TXT/?qid=1521645914219&amp;uri=CELEX:32011L0070" TargetMode="External"/><Relationship Id="rId624" Type="http://schemas.openxmlformats.org/officeDocument/2006/relationships/hyperlink" Target="https://eur-lex.europa.eu/legal-content/EN/TXT/?qid=1551712460925&amp;uri=CELEX:32004L0023" TargetMode="External"/><Relationship Id="rId666" Type="http://schemas.openxmlformats.org/officeDocument/2006/relationships/hyperlink" Target="https://eur-lex.europa.eu/legal-content/EN/TXT/?uri=CELEX:32010L0064" TargetMode="External"/><Relationship Id="rId16" Type="http://schemas.openxmlformats.org/officeDocument/2006/relationships/hyperlink" Target="https://eur-lex.europa.eu/legal-content/en/ALL/?uri=CELEX:32014L0087" TargetMode="External"/><Relationship Id="rId221" Type="http://schemas.openxmlformats.org/officeDocument/2006/relationships/hyperlink" Target="http://curia.europa.eu/juris/liste.jsf?oqp=&amp;for=&amp;mat=or&amp;jge=&amp;td=%3BALL&amp;jur=C%2CT%2CF&amp;num=C-440%252F17&amp;page=1&amp;dates=&amp;pcs=Oor&amp;lg=&amp;pro=&amp;nat=or&amp;cit=none%252CC%252CCJ%252CR%252C2008E%252C%252C%252C%252C%252C%252C%252C%252C%252C%252Ctrue%252Cfalse%252Cfalse&amp;language=en&amp;avg=&amp;cid=5118021" TargetMode="External"/><Relationship Id="rId263" Type="http://schemas.openxmlformats.org/officeDocument/2006/relationships/hyperlink" Target="https://eur-lex.europa.eu/eli/dir_impl/2018/100/oj" TargetMode="External"/><Relationship Id="rId319" Type="http://schemas.openxmlformats.org/officeDocument/2006/relationships/hyperlink" Target="https://eur-lex.europa.eu/legal-content/EN/TXT/?uri=CELEX%3A32016L2102" TargetMode="External"/><Relationship Id="rId470" Type="http://schemas.openxmlformats.org/officeDocument/2006/relationships/hyperlink" Target="http://europa.eu/rapid/press-release_MEMO-18-4486_en.htm" TargetMode="External"/><Relationship Id="rId526" Type="http://schemas.openxmlformats.org/officeDocument/2006/relationships/hyperlink" Target="http://europa.eu/rapid/press-release_IP-18-3450_en.htm" TargetMode="External"/><Relationship Id="rId58" Type="http://schemas.openxmlformats.org/officeDocument/2006/relationships/hyperlink" Target="https://eur-lex.europa.eu/legal-content/EN/TXT/?qid=1551815135749&amp;uri=CELEX:32009L0073" TargetMode="External"/><Relationship Id="rId123" Type="http://schemas.openxmlformats.org/officeDocument/2006/relationships/hyperlink" Target="https://eur-lex.europa.eu/legal-content/EN/TXT/?qid=1545524302898&amp;uri=CELEX:32006L0126" TargetMode="External"/><Relationship Id="rId330" Type="http://schemas.openxmlformats.org/officeDocument/2006/relationships/hyperlink" Target="https://eur-lex.europa.eu/legal-content/EN/TXT/?qid=1551866366536&amp;uri=CELEX:32000L0060" TargetMode="External"/><Relationship Id="rId568" Type="http://schemas.openxmlformats.org/officeDocument/2006/relationships/hyperlink" Target="https://eur-lex.europa.eu/eli/dir/2016/1214/oj" TargetMode="External"/><Relationship Id="rId165" Type="http://schemas.openxmlformats.org/officeDocument/2006/relationships/hyperlink" Target="https://eur-lex.europa.eu/legal-content/EN/TXT/?uri=CELEX%3A32005L0036" TargetMode="External"/><Relationship Id="rId372" Type="http://schemas.openxmlformats.org/officeDocument/2006/relationships/hyperlink" Target="http://curia.europa.eu/juris/liste.jsf?oqp=&amp;for=&amp;mat=or&amp;jge=&amp;td=%3BALL&amp;jur=C%2CT%2CF&amp;num=556%252F18&amp;page=1&amp;dates=&amp;pcs=Oor&amp;lg=&amp;pro=&amp;nat=or&amp;cit=none%252CC%252CCJ%252CR%252C2008E%252C%252C%252C%252C%252C%252C%252C%252C%252C%252Ctrue%252Cfalse%252Cfalse&amp;language=en&amp;avg=&amp;cid=7012349" TargetMode="External"/><Relationship Id="rId428" Type="http://schemas.openxmlformats.org/officeDocument/2006/relationships/hyperlink" Target="https://eur-lex.europa.eu/legal-content/EN/ALL/?uri=CELEX%3A32008L0050" TargetMode="External"/><Relationship Id="rId635" Type="http://schemas.openxmlformats.org/officeDocument/2006/relationships/hyperlink" Target="http://curia.europa.eu/juris/liste.jsf?oqp=&amp;for=&amp;mat=or&amp;jge=&amp;td=%3BALL&amp;jur=C%2CT%2CF&amp;num=C-413%252F17&amp;page=1&amp;dates=&amp;pcs=Oor&amp;lg=&amp;pro=&amp;nat=or&amp;cit=none%252CC%252CCJ%252CR%252C2008E%252C%252C%252C%252C%252C%252C%252C%252C%252C%252Ctrue%252Cfalse%252Cfalse&amp;language=en&amp;avg=&amp;cid=8584462" TargetMode="External"/><Relationship Id="rId232" Type="http://schemas.openxmlformats.org/officeDocument/2006/relationships/hyperlink" Target="http://europa.eu/rapid/press-release_MEMO-18-3986_en.htm" TargetMode="External"/><Relationship Id="rId274" Type="http://schemas.openxmlformats.org/officeDocument/2006/relationships/hyperlink" Target="http://europa.eu/rapid/press-release_IP-18-355_en.htm" TargetMode="External"/><Relationship Id="rId481" Type="http://schemas.openxmlformats.org/officeDocument/2006/relationships/hyperlink" Target="http://europa.eu/rapid/press-release_IP-18-1450_en.htm" TargetMode="External"/><Relationship Id="rId27" Type="http://schemas.openxmlformats.org/officeDocument/2006/relationships/hyperlink" Target="https://eur-lex.europa.eu/legal-content/EN/TXT/?uri=CELEX%3A32014L0091" TargetMode="External"/><Relationship Id="rId69" Type="http://schemas.openxmlformats.org/officeDocument/2006/relationships/hyperlink" Target="http://europa.eu/rapid/press-release_MEMO-18-4486_en.htm" TargetMode="External"/><Relationship Id="rId134" Type="http://schemas.openxmlformats.org/officeDocument/2006/relationships/hyperlink" Target="https://eur-lex.europa.eu/legal-content/EN/TXT/?uri=CELEX%3A32012R1151" TargetMode="External"/><Relationship Id="rId537" Type="http://schemas.openxmlformats.org/officeDocument/2006/relationships/hyperlink" Target="http://europa.eu/rapid/press-release_MEMO-18-1444_en.htm" TargetMode="External"/><Relationship Id="rId579" Type="http://schemas.openxmlformats.org/officeDocument/2006/relationships/hyperlink" Target="http://europa.eu/rapid/press-release_MEMO-18-349_en.htm" TargetMode="External"/><Relationship Id="rId80" Type="http://schemas.openxmlformats.org/officeDocument/2006/relationships/hyperlink" Target="http://europa.eu/rapid/press-release_MEMO-18-4486_en.htm" TargetMode="External"/><Relationship Id="rId176" Type="http://schemas.openxmlformats.org/officeDocument/2006/relationships/hyperlink" Target="http://europa.eu/rapid/press-release_MEMO-18-6247_en.htm" TargetMode="External"/><Relationship Id="rId341" Type="http://schemas.openxmlformats.org/officeDocument/2006/relationships/hyperlink" Target="https://curia.europa.eu/jcms/upload/docs/application/pdf/2018-02/cp180017en.pdf" TargetMode="External"/><Relationship Id="rId383" Type="http://schemas.openxmlformats.org/officeDocument/2006/relationships/hyperlink" Target="https://eur-lex.europa.eu/legal-content/EN/TXT/?uri=CELEX%3A32002L0021" TargetMode="External"/><Relationship Id="rId439" Type="http://schemas.openxmlformats.org/officeDocument/2006/relationships/hyperlink" Target="https://eur-lex.europa.eu/legal-content/EN/TXT/?uri=CELEX:32015L0652" TargetMode="External"/><Relationship Id="rId590" Type="http://schemas.openxmlformats.org/officeDocument/2006/relationships/hyperlink" Target="http://europa.eu/rapid/press-release_MEMO-18-3986_en.htm" TargetMode="External"/><Relationship Id="rId604" Type="http://schemas.openxmlformats.org/officeDocument/2006/relationships/hyperlink" Target="https://eur-lex.europa.eu/legal-content/EN/TXT/?uri=uriserv%3AOJ.L_.2014.349.01.0001.01.ENG" TargetMode="External"/><Relationship Id="rId646" Type="http://schemas.openxmlformats.org/officeDocument/2006/relationships/hyperlink" Target="https://eur-lex.europa.eu/legal-content/EN/TXT/?uri=uriserv:OJ.L_.2016.194.01.0001.01.ENG" TargetMode="External"/><Relationship Id="rId201" Type="http://schemas.openxmlformats.org/officeDocument/2006/relationships/hyperlink" Target="http://curia.europa.eu/juris/liste.jsf?language=en&amp;num=c-448/16&amp;td=ALL" TargetMode="External"/><Relationship Id="rId243" Type="http://schemas.openxmlformats.org/officeDocument/2006/relationships/hyperlink" Target="https://eur-lex.europa.eu/legal-content/EN/TXT/?uri=CELEX%3A32014L0042" TargetMode="External"/><Relationship Id="rId285" Type="http://schemas.openxmlformats.org/officeDocument/2006/relationships/hyperlink" Target="https://eur-lex.europa.eu/legal-content/EN/TXT/?uri=CELEX%3A32017L1279" TargetMode="External"/><Relationship Id="rId450" Type="http://schemas.openxmlformats.org/officeDocument/2006/relationships/hyperlink" Target="http://curia.europa.eu/juris/liste.jsf?oqp=&amp;for=&amp;mat=or&amp;jge=&amp;td=%3BALL&amp;jur=C%2CT%2CF&amp;num=C-59%252F17&amp;page=1&amp;dates=&amp;pcs=Oor&amp;lg=&amp;pro=&amp;nat=or&amp;cit=none%252CC%252CCJ%252CR%252C2008E%252C%252C%252C%252C%252C%252C%252C%252C%252C%252Ctrue%252Cfalse%252Cfalse&amp;language=en&amp;avg=&amp;cid=8750372" TargetMode="External"/><Relationship Id="rId506" Type="http://schemas.openxmlformats.org/officeDocument/2006/relationships/hyperlink" Target="https://eur-lex.europa.eu/legal-content/EN/TXT/?uri=CELEX:31991L0271" TargetMode="External"/><Relationship Id="rId38" Type="http://schemas.openxmlformats.org/officeDocument/2006/relationships/hyperlink" Target="https://eur-lex.europa.eu/legal-content/EN/TXT/?qid=1549985614190&amp;uri=CELEX:32004L0038" TargetMode="External"/><Relationship Id="rId103" Type="http://schemas.openxmlformats.org/officeDocument/2006/relationships/hyperlink" Target="http://europa.eu/rapid/press-release_MEMO-18-3446_EN.htm" TargetMode="External"/><Relationship Id="rId310" Type="http://schemas.openxmlformats.org/officeDocument/2006/relationships/hyperlink" Target="http://europa.eu/rapid/press-release_MEMO-18-1444_en.htm" TargetMode="External"/><Relationship Id="rId492" Type="http://schemas.openxmlformats.org/officeDocument/2006/relationships/hyperlink" Target="https://eur-lex.europa.eu/legal-content/EN/TXT/?qid=1521545219979&amp;uri=CELEX:32014L0066" TargetMode="External"/><Relationship Id="rId548" Type="http://schemas.openxmlformats.org/officeDocument/2006/relationships/hyperlink" Target="https://eur-lex.europa.eu/legal-content/EN/TXT/?uri=CELEX:31999L0070" TargetMode="External"/><Relationship Id="rId91" Type="http://schemas.openxmlformats.org/officeDocument/2006/relationships/hyperlink" Target="https://eur-lex.europa.eu/legal-content/EN/TXT/?uri=CELEX%3A32014L0091" TargetMode="External"/><Relationship Id="rId145" Type="http://schemas.openxmlformats.org/officeDocument/2006/relationships/hyperlink" Target="https://eur-lex.europa.eu/legal-content/EN/TXT/?uri=CELEX:32003L0088" TargetMode="External"/><Relationship Id="rId187" Type="http://schemas.openxmlformats.org/officeDocument/2006/relationships/hyperlink" Target="http://curia.europa.eu/juris/liste.jsf?oqp=&amp;for=&amp;mat=or&amp;jge=&amp;td=%3BALL&amp;jur=C%2CT%2CF&amp;num=C-543%252F16&amp;page=1&amp;dates=&amp;pcs=Oor&amp;lg=&amp;pro=&amp;nat=or&amp;cit=none%252CC%252CCJ%252CR%252C2008E%252C%252C%252C%252C%252C%252C%252C%252C%252C%252Ctrue%252Cfalse%252Cfalse&amp;language=en&amp;avg=&amp;cid=8268903" TargetMode="External"/><Relationship Id="rId352" Type="http://schemas.openxmlformats.org/officeDocument/2006/relationships/hyperlink" Target="http://europa.eu/rapid/press-release_MEMO-18-3446_EN.htm" TargetMode="External"/><Relationship Id="rId394" Type="http://schemas.openxmlformats.org/officeDocument/2006/relationships/hyperlink" Target="https://eur-lex.europa.eu/legal-content/FR/TXT/?uri=CELEX:32014R0596" TargetMode="External"/><Relationship Id="rId408" Type="http://schemas.openxmlformats.org/officeDocument/2006/relationships/hyperlink" Target="http://curia.europa.eu/juris/liste.jsf?oqp=&amp;for=&amp;mat=or&amp;jge=&amp;td=%3BALL&amp;jur=C%2CT%2CF&amp;num=C-169%252F17&amp;page=1&amp;dates=&amp;pcs=Oor&amp;lg=&amp;pro=&amp;nat=or&amp;cit=none%252CC%252CCJ%252CR%252C2008E%252C%252C%252C%252C%252C%252C%252C%252C%252C%252Ctrue%252Cfalse%252Cfalse&amp;language=en&amp;avg=&amp;cid=8750372" TargetMode="External"/><Relationship Id="rId615" Type="http://schemas.openxmlformats.org/officeDocument/2006/relationships/hyperlink" Target="http://europa.eu/rapid/press-release_MEMO-18-349_en.htm" TargetMode="External"/><Relationship Id="rId212" Type="http://schemas.openxmlformats.org/officeDocument/2006/relationships/hyperlink" Target="http://curia.europa.eu/juris/liste.jsf?language=en&amp;num=C-532/17&amp;td=ALL" TargetMode="External"/><Relationship Id="rId254" Type="http://schemas.openxmlformats.org/officeDocument/2006/relationships/hyperlink" Target="http://europa.eu/rapid/press-release_MEMO-18-3446_EN.htm" TargetMode="External"/><Relationship Id="rId657" Type="http://schemas.openxmlformats.org/officeDocument/2006/relationships/hyperlink" Target="https://eur-lex.europa.eu/eli/dir/2016/1214/oj" TargetMode="External"/><Relationship Id="rId49" Type="http://schemas.openxmlformats.org/officeDocument/2006/relationships/hyperlink" Target="http://curia.europa.eu/juris/liste.jsf?oqp=&amp;for=&amp;mat=or&amp;jge=&amp;td=%3BALL&amp;jur=C%2CT%2CF&amp;num=C-82%252F16&amp;page=1&amp;dates=&amp;pcs=Oor&amp;lg=&amp;pro=&amp;nat=or&amp;cit=none%252CC%252CCJ%252CR%252C2008E%252C%252C%252C%252C%252C%252C%252C%252C%252C%252Ctrue%252Cfalse%252Cfalse&amp;language=en&amp;avg=&amp;cid=5326713" TargetMode="External"/><Relationship Id="rId114" Type="http://schemas.openxmlformats.org/officeDocument/2006/relationships/hyperlink" Target="https://eur-lex.europa.eu/legal-content/EN/TXT/?uri=CELEX%3A32014R0511" TargetMode="External"/><Relationship Id="rId296" Type="http://schemas.openxmlformats.org/officeDocument/2006/relationships/hyperlink" Target="http://curia.europa.eu/juris/liste.jsf?oqp=&amp;for=&amp;mat=or&amp;jge=&amp;td=%3BALL&amp;jur=C%2CT%2CF&amp;num=C-327%252F18&amp;page=1&amp;dates=&amp;pcs=Oor&amp;lg=&amp;pro=&amp;nat=or&amp;cit=none%252CC%252CCJ%252CR%252C2008E%252C%252C%252C%252C%252C%252C%252C%252C%252C%252Ctrue%252Cfalse%252Cfalse&amp;language=fr&amp;avg=&amp;cid=10005641" TargetMode="External"/><Relationship Id="rId461" Type="http://schemas.openxmlformats.org/officeDocument/2006/relationships/hyperlink" Target="https://eur-lex.europa.eu/legal-content/en/TXT/?uri=CELEX%3A32017D0899" TargetMode="External"/><Relationship Id="rId517" Type="http://schemas.openxmlformats.org/officeDocument/2006/relationships/hyperlink" Target="https://eur-lex.europa.eu/legal-content/EN/TXT/?uri=CELEX:32015L1794" TargetMode="External"/><Relationship Id="rId559" Type="http://schemas.openxmlformats.org/officeDocument/2006/relationships/hyperlink" Target="http://europa.eu/rapid/press-release_IP-18-1451_en.htm" TargetMode="External"/><Relationship Id="rId60" Type="http://schemas.openxmlformats.org/officeDocument/2006/relationships/hyperlink" Target="https://eur-lex.europa.eu/legal-content/EN/TXT/?qid=1521645914219&amp;uri=CELEX:32011L0070" TargetMode="External"/><Relationship Id="rId156" Type="http://schemas.openxmlformats.org/officeDocument/2006/relationships/hyperlink" Target="https://eur-lex.europa.eu/legal-content/EN/TXT/?qid=1551716014187&amp;uri=CELEX:32004L0049" TargetMode="External"/><Relationship Id="rId198" Type="http://schemas.openxmlformats.org/officeDocument/2006/relationships/hyperlink" Target="https://eur-lex.europa.eu/legal-content/EN/TXT/?qid=1545563673652&amp;uri=CELEX:32004R0261" TargetMode="External"/><Relationship Id="rId321" Type="http://schemas.openxmlformats.org/officeDocument/2006/relationships/hyperlink" Target="file:///\\net1.cec.eu.int\SG\SG-F-3\Restricted\INFRACTIONS\RAPPORTS%20ANNUELS\36eme%20RAPPORT%20ANNUEL%202018\6.%20After%20proofreaders\clean\2016\343\EU" TargetMode="External"/><Relationship Id="rId363" Type="http://schemas.openxmlformats.org/officeDocument/2006/relationships/hyperlink" Target="http://europa.eu/rapid/press-release_MEMO-18-349_en.htm" TargetMode="External"/><Relationship Id="rId419" Type="http://schemas.openxmlformats.org/officeDocument/2006/relationships/hyperlink" Target="http://europa.eu/rapid/press-release_MEMO-18-3986_en.htm" TargetMode="External"/><Relationship Id="rId570" Type="http://schemas.openxmlformats.org/officeDocument/2006/relationships/hyperlink" Target="https://eur-lex.europa.eu/legal-content/EN/TXT/PDF/?uri=CELEX:32013L0059&amp;from=EN" TargetMode="External"/><Relationship Id="rId626" Type="http://schemas.openxmlformats.org/officeDocument/2006/relationships/hyperlink" Target="https://eur-lex.europa.eu/legal-content/EN/TXT/?qid=1551712516810&amp;uri=CELEX:32006L0086" TargetMode="External"/><Relationship Id="rId223" Type="http://schemas.openxmlformats.org/officeDocument/2006/relationships/hyperlink" Target="https://eur-lex.europa.eu/legal-content/EN/TXT/?qid=1521717571342&amp;uri=CELEX:31992L0043" TargetMode="External"/><Relationship Id="rId430" Type="http://schemas.openxmlformats.org/officeDocument/2006/relationships/hyperlink" Target="http://curia.europa.eu/juris/liste.jsf?language=en&amp;num=C-636/18&amp;td=ALL" TargetMode="External"/><Relationship Id="rId668" Type="http://schemas.openxmlformats.org/officeDocument/2006/relationships/hyperlink" Target="https://eur-lex.europa.eu/legal-content/EN/TXT/?uri=celex:32006F0960" TargetMode="External"/><Relationship Id="rId18" Type="http://schemas.openxmlformats.org/officeDocument/2006/relationships/hyperlink" Target="http://europa.eu/rapid/press-release_MEMO-18-4486_en.htm" TargetMode="External"/><Relationship Id="rId39" Type="http://schemas.openxmlformats.org/officeDocument/2006/relationships/hyperlink" Target="http://curia.europa.eu/juris/liste.jsf?oqp=&amp;for=&amp;mat=or&amp;lgrec=fr&amp;jge=&amp;td=%3BALL&amp;jur=C%2CT%2CF&amp;num=C-246%252F17&amp;page=1&amp;dates=&amp;pcs=Oor&amp;lg=&amp;pro=&amp;nat=or&amp;cit=none%252CC%252CCJ%252CR%252C2008E%252C%252C%252C%252C%252C%252C%252C%252C%252C%252Ctrue%252Cfalse%252Cfalse&amp;language=en&amp;avg=&amp;cid=13253957" TargetMode="External"/><Relationship Id="rId265" Type="http://schemas.openxmlformats.org/officeDocument/2006/relationships/hyperlink" Target="http://europa.eu/rapid/press-release_MEMO-18-3446_EN.htm" TargetMode="External"/><Relationship Id="rId286" Type="http://schemas.openxmlformats.org/officeDocument/2006/relationships/hyperlink" Target="http://curia.europa.eu/juris/liste.jsf?oqp=&amp;for=&amp;mat=or&amp;jge=&amp;td=%3BALL&amp;jur=C%2CT%2CF&amp;num=C-504%252F17&amp;page=1&amp;dates=&amp;pcs=Oor&amp;lg=&amp;pro=&amp;nat=or&amp;cit=none%252CC%252CCJ%252CR%252C2008E%252C%252C%252C%252C%252C%252C%252C%252C%252C%252Ctrue%252Cfalse%252Cfalse&amp;language=en&amp;avg=&amp;cid=5118021" TargetMode="External"/><Relationship Id="rId451" Type="http://schemas.openxmlformats.org/officeDocument/2006/relationships/hyperlink" Target="https://eur-lex.europa.eu/legal-content/EN/TXT/?uri=CELEX:32001L0018" TargetMode="External"/><Relationship Id="rId472" Type="http://schemas.openxmlformats.org/officeDocument/2006/relationships/hyperlink" Target="https://eur-lex.europa.eu/legal-content/EN/TXT/?uri=CELEX%3A32016L0680" TargetMode="External"/><Relationship Id="rId493" Type="http://schemas.openxmlformats.org/officeDocument/2006/relationships/hyperlink" Target="https://eur-lex.europa.eu/legal-content/EN/TXT/?uri=CELEX:32015L0720" TargetMode="External"/><Relationship Id="rId507" Type="http://schemas.openxmlformats.org/officeDocument/2006/relationships/hyperlink" Target="http://europa.eu/rapid/press-release_MEMO-18-4486_en.htm" TargetMode="External"/><Relationship Id="rId528" Type="http://schemas.openxmlformats.org/officeDocument/2006/relationships/hyperlink" Target="http://europa.eu/rapid/press-release_IP-18-3806_fr.htm" TargetMode="External"/><Relationship Id="rId549" Type="http://schemas.openxmlformats.org/officeDocument/2006/relationships/hyperlink" Target="http://curia.europa.eu/juris/liste.jsf?oqp=&amp;for=&amp;mat=or&amp;jge=&amp;td=%3BALL&amp;jur=C%2CT%2CF&amp;num=C-616%252F16&amp;page=1&amp;dates=&amp;pcs=Oor&amp;lg=&amp;pro=&amp;nat=or&amp;cit=none%252CC%252CCJ%252CR%252C2008E%252C%252C%252C%252C%252C%252C%252C%252C%252C%252Ctrue%252Cfalse%252Cfalse&amp;language=en&amp;avg=&amp;cid=9993630" TargetMode="External"/><Relationship Id="rId50" Type="http://schemas.openxmlformats.org/officeDocument/2006/relationships/hyperlink" Target="https://curia.europa.eu/jcms/upload/docs/application/pdf/2018-05/cp180064en.pdf" TargetMode="External"/><Relationship Id="rId104" Type="http://schemas.openxmlformats.org/officeDocument/2006/relationships/hyperlink" Target="https://eur-lex.europa.eu/legal-content/EN/TXT/?qid=1521645914219&amp;uri=CELEX:32011L0070" TargetMode="External"/><Relationship Id="rId125" Type="http://schemas.openxmlformats.org/officeDocument/2006/relationships/hyperlink" Target="http://curia.europa.eu/juris/liste.jsf?language=en&amp;num=c-314/16&amp;td=ALL" TargetMode="External"/><Relationship Id="rId146" Type="http://schemas.openxmlformats.org/officeDocument/2006/relationships/hyperlink" Target="https://eur-lex.europa.eu/legal-content/EN/TXT/?uri=celex%3A32014L0052" TargetMode="External"/><Relationship Id="rId167" Type="http://schemas.openxmlformats.org/officeDocument/2006/relationships/hyperlink" Target="https://eur-lex.europa.eu/legal-content/EN/TXT/?uri=CELEX:32016L0097" TargetMode="External"/><Relationship Id="rId188" Type="http://schemas.openxmlformats.org/officeDocument/2006/relationships/hyperlink" Target="http://curia.europa.eu/juris/liste.jsf?oqp=&amp;for=&amp;mat=or&amp;jge=&amp;td=%3BALL&amp;jur=C%2CT%2CF&amp;num=C-668%252F16&amp;page=1&amp;dates=&amp;pcs=Oor&amp;lg=&amp;pro=&amp;nat=or&amp;cit=none%252CC%252CCJ%252CR%252C2008E%252C%252C%252C%252C%252C%252C%252C%252C%252C%252Ctrue%252Cfalse%252Cfalse&amp;language=en&amp;avg=&amp;cid=10048334" TargetMode="External"/><Relationship Id="rId311" Type="http://schemas.openxmlformats.org/officeDocument/2006/relationships/hyperlink" Target="https://eur-lex.europa.eu/legal-content/EN/TXT/?uri=CELEX%3A32015L2366" TargetMode="External"/><Relationship Id="rId332" Type="http://schemas.openxmlformats.org/officeDocument/2006/relationships/hyperlink" Target="https://eur-lex.europa.eu/legal-content/EN/ALL/?uri=CELEX%3A32014L0017" TargetMode="External"/><Relationship Id="rId353" Type="http://schemas.openxmlformats.org/officeDocument/2006/relationships/hyperlink" Target="https://eur-lex.europa.eu/legal-content/EN/TXT/?uri=CELEX:32007L0060" TargetMode="External"/><Relationship Id="rId374" Type="http://schemas.openxmlformats.org/officeDocument/2006/relationships/hyperlink" Target="http://curia.europa.eu/juris/liste.jsf?oqp=&amp;for=&amp;mat=or&amp;jge=&amp;td=%3BALL&amp;jur=C%2CT%2CF&amp;num=C-207%252F18&amp;page=1&amp;dates=&amp;pcs=Oor&amp;lg=&amp;pro=&amp;nat=or&amp;cit=none%252CC%252CCJ%252CR%252C2008E%252C%252C%252C%252C%252C%252C%252C%252C%252C%252Ctrue%252Cfalse%252Cfalse&amp;language=en&amp;avg=&amp;cid=4688910" TargetMode="External"/><Relationship Id="rId395" Type="http://schemas.openxmlformats.org/officeDocument/2006/relationships/hyperlink" Target="http://curia.europa.eu/juris/liste.jsf?oqp=&amp;for=&amp;mat=or&amp;jge=&amp;td=%3BALL&amp;jur=C%2CT%2CF&amp;num=C-599%252F17&amp;page=1&amp;dates=&amp;pcs=Oor&amp;lg=&amp;pro=&amp;nat=or&amp;cit=none%252CC%252CCJ%252CR%252C2008E%252C%252C%252C%252C%252C%252C%252C%252C%252C%252Ctrue%252Cfalse%252Cfalse&amp;language=en&amp;avg=&amp;cid=12707696" TargetMode="External"/><Relationship Id="rId409" Type="http://schemas.openxmlformats.org/officeDocument/2006/relationships/hyperlink" Target="https://eur-lex.europa.eu/legal-content/EN/TXT/?qid=1521646247233&amp;uri=CELEX:32012L0027" TargetMode="External"/><Relationship Id="rId560" Type="http://schemas.openxmlformats.org/officeDocument/2006/relationships/hyperlink" Target="https://eur-lex.europa.eu/legal-content/EN/TXT/?qid=1521646247233&amp;uri=CELEX:32012L0027" TargetMode="External"/><Relationship Id="rId581" Type="http://schemas.openxmlformats.org/officeDocument/2006/relationships/hyperlink" Target="https://eur-lex.europa.eu/legal-content/EN/TXT/?uri=uriserv%3AOJ.L_.2015.314.01.0001.01.ENG" TargetMode="External"/><Relationship Id="rId71" Type="http://schemas.openxmlformats.org/officeDocument/2006/relationships/hyperlink" Target="https://eur-lex.europa.eu/legal-content/EN/TXT/?uri=CELEX%3A32015L2366" TargetMode="External"/><Relationship Id="rId92" Type="http://schemas.openxmlformats.org/officeDocument/2006/relationships/hyperlink" Target="https://eur-lex.europa.eu/legal-content/EN/TXT/?uri=CELEX:32015L2302" TargetMode="External"/><Relationship Id="rId213" Type="http://schemas.openxmlformats.org/officeDocument/2006/relationships/hyperlink" Target="https://curia.europa.eu/jcms/upload/docs/application/pdf/2018-07/cp180100en.pdf" TargetMode="External"/><Relationship Id="rId234" Type="http://schemas.openxmlformats.org/officeDocument/2006/relationships/hyperlink" Target="http://europa.eu/rapid/press-release_MEMO-18-3446_EN.htm" TargetMode="External"/><Relationship Id="rId420" Type="http://schemas.openxmlformats.org/officeDocument/2006/relationships/hyperlink" Target="https://eur-lex.europa.eu/legal-content/EN/TXT/?qid=1553004958624&amp;uri=CELEX:32016L1214" TargetMode="External"/><Relationship Id="rId616" Type="http://schemas.openxmlformats.org/officeDocument/2006/relationships/hyperlink" Target="https://eur-lex.europa.eu/legal-content/EN/TXT/?uri=uriserv:OJ.L_.2016.194.01.0001.01.ENG" TargetMode="External"/><Relationship Id="rId637" Type="http://schemas.openxmlformats.org/officeDocument/2006/relationships/hyperlink" Target="https://eur-lex.europa.eu/eli/dir/2016/1214/oj" TargetMode="External"/><Relationship Id="rId658" Type="http://schemas.openxmlformats.org/officeDocument/2006/relationships/hyperlink" Target="https://eur-lex.europa.eu/legal-content/EN/TXT/?uri=CELEX%3A32017L1279" TargetMode="External"/><Relationship Id="rId2" Type="http://schemas.openxmlformats.org/officeDocument/2006/relationships/hyperlink" Target="https://eur-lex.europa.eu/legal-content/EN/TXT/?uri=CELEX%3A32005L0036" TargetMode="External"/><Relationship Id="rId29" Type="http://schemas.openxmlformats.org/officeDocument/2006/relationships/hyperlink" Target="https://eur-lex.europa.eu/legal-content/EN/TXT/?uri=uriserv%3AOJ.L_.2014.349.01.0001.01.ENG" TargetMode="External"/><Relationship Id="rId255" Type="http://schemas.openxmlformats.org/officeDocument/2006/relationships/hyperlink" Target="https://eur-lex.europa.eu/legal-content/EN/TXT/?uri=CELEX%3A31992L0043" TargetMode="External"/><Relationship Id="rId276" Type="http://schemas.openxmlformats.org/officeDocument/2006/relationships/hyperlink" Target="https://eur-lex.europa.eu/legal-content/EN/TXT/?qid=1551714584252&amp;uri=CELEX:32005L0004" TargetMode="External"/><Relationship Id="rId297" Type="http://schemas.openxmlformats.org/officeDocument/2006/relationships/hyperlink" Target="http://curia.europa.eu/juris/liste.jsf?oqp=&amp;for=&amp;mat=or&amp;jge=&amp;td=%3BALL&amp;jur=C%2CT%2CF&amp;num=C-216%252F18&amp;page=1&amp;dates=&amp;pcs=Oor&amp;lg=&amp;pro=&amp;nat=or&amp;cit=none%252CC%252CCJ%252CR%252C2008E%252C%252C%252C%252C%252C%252C%252C%252C%252C%252Ctrue%252Cfalse%252Cfalse&amp;language=en&amp;avg=&amp;cid=5125671" TargetMode="External"/><Relationship Id="rId441" Type="http://schemas.openxmlformats.org/officeDocument/2006/relationships/hyperlink" Target="https://eur-lex.europa.eu/legal-content/EN/TXT/?qid=1553180124373&amp;uri=CELEX:32016L1214" TargetMode="External"/><Relationship Id="rId462" Type="http://schemas.openxmlformats.org/officeDocument/2006/relationships/hyperlink" Target="http://europa.eu/rapid/press-release_MEMO-18-6247_en.htm" TargetMode="External"/><Relationship Id="rId483" Type="http://schemas.openxmlformats.org/officeDocument/2006/relationships/hyperlink" Target="https://eur-lex.europa.eu/legal-content/EN/TXT/?uri=CELEX%3A32014R0511" TargetMode="External"/><Relationship Id="rId518" Type="http://schemas.openxmlformats.org/officeDocument/2006/relationships/hyperlink" Target="http://europa.eu/rapid/press-release_MEMO-18-3446_en.htm" TargetMode="External"/><Relationship Id="rId539" Type="http://schemas.openxmlformats.org/officeDocument/2006/relationships/hyperlink" Target="https://eur-lex.europa.eu/legal-content/EN/TXT/?uri=uriserv%3AOJ.L_.2015.314.01.0001.01.ENG" TargetMode="External"/><Relationship Id="rId40" Type="http://schemas.openxmlformats.org/officeDocument/2006/relationships/hyperlink" Target="https://eur-lex.europa.eu/legal-content/EN/TXT/?qid=1549985614190&amp;uri=CELEX:32004L0038" TargetMode="External"/><Relationship Id="rId115" Type="http://schemas.openxmlformats.org/officeDocument/2006/relationships/hyperlink" Target="https://eur-lex.europa.eu/legal-content/EN/ALL/?uri=CELEX%3A32014L0054" TargetMode="External"/><Relationship Id="rId136" Type="http://schemas.openxmlformats.org/officeDocument/2006/relationships/hyperlink" Target="https://eur-lex.europa.eu/legal-content/EN/TXT/?qid=1521645914219&amp;uri=CELEX:32011L0070" TargetMode="External"/><Relationship Id="rId157" Type="http://schemas.openxmlformats.org/officeDocument/2006/relationships/hyperlink" Target="http://europa.eu/rapid/press-release_MEMO-18-3446_en.htm" TargetMode="External"/><Relationship Id="rId178" Type="http://schemas.openxmlformats.org/officeDocument/2006/relationships/hyperlink" Target="http://europa.eu/rapid/press-release_IP-18-3450_en.htm" TargetMode="External"/><Relationship Id="rId301" Type="http://schemas.openxmlformats.org/officeDocument/2006/relationships/hyperlink" Target="https://eur-lex.europa.eu/legal-content/EN/TXT/?uri=CELEX%3A32005L0036" TargetMode="External"/><Relationship Id="rId322" Type="http://schemas.openxmlformats.org/officeDocument/2006/relationships/hyperlink" Target="https://eur-lex.europa.eu/legal-content/FR/TXT/?uri=CELEX:32015L0637" TargetMode="External"/><Relationship Id="rId343" Type="http://schemas.openxmlformats.org/officeDocument/2006/relationships/hyperlink" Target="http://curia.europa.eu/juris/liste.jsf?oqp=&amp;for=&amp;mat=or&amp;jge=&amp;td=%3BALL&amp;jur=C%2CT%2CF&amp;num=C-485%252F10&amp;page=1&amp;dates=&amp;pcs=Oor&amp;lg=&amp;pro=&amp;nat=or&amp;cit=none%252CC%252CCJ%252CR%252C2008E%252C%252C%252C%252C%252C%252C%252C%252C%252C%252Ctrue%252Cfalse%252Cfalse&amp;language=en&amp;avg=&amp;cid=5125671" TargetMode="External"/><Relationship Id="rId364" Type="http://schemas.openxmlformats.org/officeDocument/2006/relationships/hyperlink" Target="https://eur-lex.europa.eu/eli/dir/2016/1214/oj" TargetMode="External"/><Relationship Id="rId550" Type="http://schemas.openxmlformats.org/officeDocument/2006/relationships/hyperlink" Target="http://curia.europa.eu/juris/liste.jsf?oqp=&amp;for=&amp;mat=or&amp;jge=&amp;td=%3BALL&amp;jur=C%2CT%2CF&amp;num=C-675%252F17&amp;page=1&amp;dates=&amp;pcs=Oor&amp;lg=&amp;pro=&amp;nat=or&amp;cit=none%252CC%252CCJ%252CR%252C2008E%252C%252C%252C%252C%252C%252C%252C%252C%252C%252Ctrue%252Cfalse%252Cfalse&amp;language=en&amp;avg=&amp;cid=9994485" TargetMode="External"/><Relationship Id="rId61" Type="http://schemas.openxmlformats.org/officeDocument/2006/relationships/hyperlink" Target="http://europa.eu/rapid/press-release_MEMO-18-3446_EN.htm" TargetMode="External"/><Relationship Id="rId82" Type="http://schemas.openxmlformats.org/officeDocument/2006/relationships/hyperlink" Target="file:///\\net1.cec.eu.int\SG\SG-F-3\Restricted\INFRACTIONS\RAPPORTS%20ANNUELS\36eme%20RAPPORT%20ANNUEL%202018\6.%20After%20proofreaders\clean\2016\343\EU" TargetMode="External"/><Relationship Id="rId199" Type="http://schemas.openxmlformats.org/officeDocument/2006/relationships/hyperlink" Target="http://curia.europa.eu/juris/liste.jsf?language=en&amp;num=c-274/16&amp;td=ALL" TargetMode="External"/><Relationship Id="rId203" Type="http://schemas.openxmlformats.org/officeDocument/2006/relationships/hyperlink" Target="https://eur-lex.europa.eu/legal-content/EN/TXT/?qid=1545563673652&amp;uri=CELEX:32004R0261" TargetMode="External"/><Relationship Id="rId385" Type="http://schemas.openxmlformats.org/officeDocument/2006/relationships/hyperlink" Target="https://eur-lex.europa.eu/legal-content/en/TXT/?uri=CELEX:32014L0024" TargetMode="External"/><Relationship Id="rId571" Type="http://schemas.openxmlformats.org/officeDocument/2006/relationships/hyperlink" Target="http://europa.eu/rapid/press-release_MEMO-18-3446_EN.htm" TargetMode="External"/><Relationship Id="rId592" Type="http://schemas.openxmlformats.org/officeDocument/2006/relationships/hyperlink" Target="https://eur-lex.europa.eu/legal-content/EN/TXT/?uri=CELEX:32016L0097" TargetMode="External"/><Relationship Id="rId606" Type="http://schemas.openxmlformats.org/officeDocument/2006/relationships/hyperlink" Target="https://eur-lex.europa.eu/legal-content/EN/TXT/?qid=1521645914219&amp;uri=CELEX:32011L0070" TargetMode="External"/><Relationship Id="rId627" Type="http://schemas.openxmlformats.org/officeDocument/2006/relationships/hyperlink" Target="https://eur-lex.europa.eu/legal-content/EN/TXT/?qid=1521545219979&amp;uri=CELEX:32014L0066" TargetMode="External"/><Relationship Id="rId648" Type="http://schemas.openxmlformats.org/officeDocument/2006/relationships/hyperlink" Target="https://eur-lex.europa.eu/legal-content/EN/TXT/?uri=CELEX%3A32016L2102" TargetMode="External"/><Relationship Id="rId19" Type="http://schemas.openxmlformats.org/officeDocument/2006/relationships/hyperlink" Target="https://eur-lex.europa.eu/legal-content/EN/TXT/?uri=CELEX%3A32016L2102" TargetMode="External"/><Relationship Id="rId224" Type="http://schemas.openxmlformats.org/officeDocument/2006/relationships/hyperlink" Target="https://eur-lex.europa.eu/legal-content/EN/TXT/?qid=1521731575817&amp;uri=CELEX:32004L0035" TargetMode="External"/><Relationship Id="rId245" Type="http://schemas.openxmlformats.org/officeDocument/2006/relationships/hyperlink" Target="https://eur-lex.europa.eu/legal-content/EN/NIM/?uri=CELEX:32009L0018&amp;qid=1551716096414" TargetMode="External"/><Relationship Id="rId266" Type="http://schemas.openxmlformats.org/officeDocument/2006/relationships/hyperlink" Target="https://eur-lex.europa.eu/legal-content/EN/TXT/?uri=uriserv:OJ.L_.2016.194.01.0001.01.ENG" TargetMode="External"/><Relationship Id="rId287" Type="http://schemas.openxmlformats.org/officeDocument/2006/relationships/hyperlink" Target="http://curia.europa.eu/juris/liste.jsf?oqp=&amp;for=&amp;mat=or&amp;jge=&amp;td=%3BALL&amp;jur=C%2CT%2CF&amp;num=C-249%252F17&amp;page=1&amp;dates=&amp;pcs=Oor&amp;lg=&amp;pro=&amp;nat=or&amp;cit=none%252CC%252CCJ%252CR%252C2008E%252C%252C%252C%252C%252C%252C%252C%252C%252C%252Ctrue%252Cfalse%252Cfalse&amp;language=en&amp;avg=&amp;cid=5118021" TargetMode="External"/><Relationship Id="rId410" Type="http://schemas.openxmlformats.org/officeDocument/2006/relationships/hyperlink" Target="http://curia.europa.eu/juris/liste.jsf?oqp=&amp;for=&amp;mat=or&amp;jge=&amp;td=%3BALL&amp;jur=C%2CT%2CF&amp;num=C-561%252F16&amp;page=1&amp;dates=&amp;pcs=Oor&amp;lg=&amp;pro=&amp;nat=or&amp;cit=none%252CC%252CCJ%252CR%252C2008E%252C%252C%252C%252C%252C%252C%252C%252C%252C%252Ctrue%252Cfalse%252Cfalse&amp;language=en&amp;avg=&amp;cid=12631466" TargetMode="External"/><Relationship Id="rId431" Type="http://schemas.openxmlformats.org/officeDocument/2006/relationships/hyperlink" Target="http://europa.eu/rapid/press-release_IP-18-3450_en.htm" TargetMode="External"/><Relationship Id="rId452" Type="http://schemas.openxmlformats.org/officeDocument/2006/relationships/hyperlink" Target="http://curia.europa.eu/juris/liste.jsf?language=en&amp;num=c-528/16&amp;td=ALL" TargetMode="External"/><Relationship Id="rId473" Type="http://schemas.openxmlformats.org/officeDocument/2006/relationships/hyperlink" Target="file:///\\net1.cec.eu.int\SG\SG-F-3\Restricted\INFRACTIONS\RAPPORTS%20ANNUELS\36eme%20RAPPORT%20ANNUEL%202018\6.%20After%20proofreaders\clean\2016\343\EU" TargetMode="External"/><Relationship Id="rId494" Type="http://schemas.openxmlformats.org/officeDocument/2006/relationships/hyperlink" Target="http://europa.eu/rapid/press-release_IP-18-6265_EN.htm" TargetMode="External"/><Relationship Id="rId508" Type="http://schemas.openxmlformats.org/officeDocument/2006/relationships/hyperlink" Target="https://eur-lex.europa.eu/legal-content/EN/TXT/?uri=CELEX:31991L0271" TargetMode="External"/><Relationship Id="rId529" Type="http://schemas.openxmlformats.org/officeDocument/2006/relationships/hyperlink" Target="http://curia.europa.eu/juris/liste.jsf?oqp=&amp;for=&amp;mat=or&amp;jge=&amp;td=%3BALL&amp;jur=C%2CT%2CF&amp;num=443%252F18&amp;page=1&amp;dates=&amp;pcs=Oor&amp;lg=&amp;pro=&amp;nat=or&amp;cit=none%252CC%252CCJ%252CR%252C2008E%252C%252C%252C%252C%252C%252C%252C%252C%252C%252Ctrue%252Cfalse%252Cfalse&amp;language=en&amp;avg=&amp;cid=7012349" TargetMode="External"/><Relationship Id="rId30" Type="http://schemas.openxmlformats.org/officeDocument/2006/relationships/hyperlink" Target="https://eur-lex.europa.eu/legal-content/EN/TXT/?uri=CELEX%3A32014L0042" TargetMode="External"/><Relationship Id="rId105" Type="http://schemas.openxmlformats.org/officeDocument/2006/relationships/hyperlink" Target="http://europa.eu/rapid/press-release_MEMO-18-3446_EN.htm" TargetMode="External"/><Relationship Id="rId126" Type="http://schemas.openxmlformats.org/officeDocument/2006/relationships/hyperlink" Target="http://curia.europa.eu/juris/liste.jsf?oqp=&amp;for=&amp;mat=or&amp;jge=&amp;td=%3BALL&amp;jur=C%2CT%2CF&amp;num=C-575%252F16&amp;page=1&amp;dates=&amp;pcs=Oor&amp;lg=&amp;pro=&amp;nat=or&amp;cit=none%252CC%252CCJ%252CR%252C2008E%252C%252C%252C%252C%252C%252C%252C%252C%252C%252Ctrue%252Cfalse%252Cfalse&amp;language=en&amp;avg=&amp;cid=9991868" TargetMode="External"/><Relationship Id="rId147" Type="http://schemas.openxmlformats.org/officeDocument/2006/relationships/hyperlink" Target="https://eur-lex.europa.eu/legal-content/EN/TXT/?qid=1553099158396&amp;uri=CELEX:32016L1214" TargetMode="External"/><Relationship Id="rId168" Type="http://schemas.openxmlformats.org/officeDocument/2006/relationships/hyperlink" Target="https://eur-lex.europa.eu/legal-content/EN/TXT/?uri=CELEX%3A32016L2102" TargetMode="External"/><Relationship Id="rId312" Type="http://schemas.openxmlformats.org/officeDocument/2006/relationships/hyperlink" Target="https://eur-lex.europa.eu/legal-content/EN/TXT/?uri=CELEX:32016L0097" TargetMode="External"/><Relationship Id="rId333" Type="http://schemas.openxmlformats.org/officeDocument/2006/relationships/hyperlink" Target="http://europa.eu/rapid/press-release_MEMO-18-1444_en.htm" TargetMode="External"/><Relationship Id="rId354" Type="http://schemas.openxmlformats.org/officeDocument/2006/relationships/hyperlink" Target="https://eur-lex.europa.eu/legal-content/EN/TXT/?uri=CELEX%3A32005L0036" TargetMode="External"/><Relationship Id="rId540" Type="http://schemas.openxmlformats.org/officeDocument/2006/relationships/hyperlink" Target="https://eur-lex.europa.eu/legal-content/EN/TXT/?uri=CELEX%3A32017L1279" TargetMode="External"/><Relationship Id="rId51" Type="http://schemas.openxmlformats.org/officeDocument/2006/relationships/hyperlink" Target="https://eur-lex.europa.eu/legal-content/EN/TXT/?qid=1551716014187&amp;uri=CELEX:32004L0049" TargetMode="External"/><Relationship Id="rId72" Type="http://schemas.openxmlformats.org/officeDocument/2006/relationships/hyperlink" Target="https://eur-lex.europa.eu/legal-content/EN/TXT/?uri=CELEX:32016L0097" TargetMode="External"/><Relationship Id="rId93" Type="http://schemas.openxmlformats.org/officeDocument/2006/relationships/hyperlink" Target="https://eur-lex.europa.eu/legal-content/EN/TXT/?uri=CELEX:32015L0652" TargetMode="External"/><Relationship Id="rId189" Type="http://schemas.openxmlformats.org/officeDocument/2006/relationships/hyperlink" Target="http://curia.europa.eu/juris/liste.jsf?oqp=&amp;for=&amp;mat=or&amp;jge=&amp;td=%3BALL&amp;jur=C%2CT%2CF&amp;num=C-380%252F16&amp;page=1&amp;dates=&amp;pcs=Oor&amp;lg=&amp;pro=&amp;nat=or&amp;cit=none%252CC%252CCJ%252CR%252C2008E%252C%252C%252C%252C%252C%252C%252C%252C%252C%252Ctrue%252Cfalse%252Cfalse&amp;language=en&amp;avg=&amp;cid=5118021" TargetMode="External"/><Relationship Id="rId375" Type="http://schemas.openxmlformats.org/officeDocument/2006/relationships/hyperlink" Target="https://eur-lex.europa.eu/legal-content/EN/TXT/?uri=CELEX%3A32014L0026" TargetMode="External"/><Relationship Id="rId396" Type="http://schemas.openxmlformats.org/officeDocument/2006/relationships/hyperlink" Target="https://eur-lex.europa.eu/legal-content/EN/TXT/PDF/?uri=CELEX:02009R1071-20130701&amp;qid=1545526319011&amp;from=EN" TargetMode="External"/><Relationship Id="rId561" Type="http://schemas.openxmlformats.org/officeDocument/2006/relationships/hyperlink" Target="http://europa.eu/rapid/press-release_MEMO-18-4486_en.htm" TargetMode="External"/><Relationship Id="rId582" Type="http://schemas.openxmlformats.org/officeDocument/2006/relationships/hyperlink" Target="https://eur-lex.europa.eu/legal-content/EN/TXT/?uri=uriserv%3AOJ.L_.2014.349.01.0001.01.ENG" TargetMode="External"/><Relationship Id="rId617" Type="http://schemas.openxmlformats.org/officeDocument/2006/relationships/hyperlink" Target="http://europa.eu/rapid/press-release_MEMO-18-4486_en.htm" TargetMode="External"/><Relationship Id="rId638" Type="http://schemas.openxmlformats.org/officeDocument/2006/relationships/hyperlink" Target="https://eur-lex.europa.eu/legal-content/EN/TXT/?uri=CELEX%3A32017L1279" TargetMode="External"/><Relationship Id="rId659" Type="http://schemas.openxmlformats.org/officeDocument/2006/relationships/hyperlink" Target="https://eur-lex.europa.eu/legal-content/EN/ALL/?uri=CELEX%3A32014L0017" TargetMode="External"/><Relationship Id="rId3" Type="http://schemas.openxmlformats.org/officeDocument/2006/relationships/hyperlink" Target="http://europa.eu/rapid/press-release_MEMO-18-4486_en.htm" TargetMode="External"/><Relationship Id="rId214" Type="http://schemas.openxmlformats.org/officeDocument/2006/relationships/hyperlink" Target="https://eur-lex.europa.eu/legal-content/EN/TXT/?qid=1545563673652&amp;uri=CELEX:32004R0261" TargetMode="External"/><Relationship Id="rId235" Type="http://schemas.openxmlformats.org/officeDocument/2006/relationships/hyperlink" Target="https://eur-lex.europa.eu/legal-content/EN/TXT/?qid=1550483938301&amp;uri=CELEX:32010L0063" TargetMode="External"/><Relationship Id="rId256" Type="http://schemas.openxmlformats.org/officeDocument/2006/relationships/hyperlink" Target="http://europa.eu/rapid/press-release_MEMO-18-6247_en.htm" TargetMode="External"/><Relationship Id="rId277" Type="http://schemas.openxmlformats.org/officeDocument/2006/relationships/hyperlink" Target="https://eur-lex.europa.eu/legal-content/EN/TXT/?qid=1551866366536&amp;uri=CELEX:32000L0060" TargetMode="External"/><Relationship Id="rId298" Type="http://schemas.openxmlformats.org/officeDocument/2006/relationships/hyperlink" Target="https://curia.europa.eu/jcms/upload/docs/application/pdf/2018-07/cp180113en.pdf" TargetMode="External"/><Relationship Id="rId400" Type="http://schemas.openxmlformats.org/officeDocument/2006/relationships/hyperlink" Target="https://curia.europa.eu/jcms/upload/docs/application/pdf/2018-07/cp180120en.pdf" TargetMode="External"/><Relationship Id="rId421" Type="http://schemas.openxmlformats.org/officeDocument/2006/relationships/hyperlink" Target="https://eur-lex.europa.eu/legal-content/EN/TXT/?uri=CELEX:32016L0097" TargetMode="External"/><Relationship Id="rId442" Type="http://schemas.openxmlformats.org/officeDocument/2006/relationships/hyperlink" Target="http://curia.europa.eu/juris/liste.jsf?oqp=&amp;for=&amp;mat=or&amp;jge=&amp;td=%3BALL&amp;jur=C%2CT%2CF&amp;num=C-416%252F17&amp;page=1&amp;dates=&amp;pcs=Oor&amp;lg=&amp;pro=&amp;nat=or&amp;cit=none%252CC%252CCJ%252CR%252C2008E%252C%252C%252C%252C%252C%252C%252C%252C%252C%252Ctrue%252Cfalse%252Cfalse&amp;language=en&amp;avg=&amp;cid=5118021" TargetMode="External"/><Relationship Id="rId463" Type="http://schemas.openxmlformats.org/officeDocument/2006/relationships/hyperlink" Target="https://eur-lex.europa.eu/legal-content/EN/TXT/?uri=CELEX%3A32005L0036" TargetMode="External"/><Relationship Id="rId484" Type="http://schemas.openxmlformats.org/officeDocument/2006/relationships/hyperlink" Target="https://eur-lex.europa.eu/legal-content/EN/TXT/?uri=CELEX%3A32008L0098" TargetMode="External"/><Relationship Id="rId519" Type="http://schemas.openxmlformats.org/officeDocument/2006/relationships/hyperlink" Target="https://eur-lex.europa.eu/legal-content/EN/TXT/?uri=CELEX:32015L2302" TargetMode="External"/><Relationship Id="rId116" Type="http://schemas.openxmlformats.org/officeDocument/2006/relationships/hyperlink" Target="https://eur-lex.europa.eu/legal-content/EN/ALL/?uri=CELEX%3A32014L0017" TargetMode="External"/><Relationship Id="rId137" Type="http://schemas.openxmlformats.org/officeDocument/2006/relationships/hyperlink" Target="http://europa.eu/rapid/press-release_MEMO-18-3986_en.htm" TargetMode="External"/><Relationship Id="rId158" Type="http://schemas.openxmlformats.org/officeDocument/2006/relationships/hyperlink" Target="http://europa.eu/rapid/press-release_MEMO-18-1444_EN.htm" TargetMode="External"/><Relationship Id="rId302" Type="http://schemas.openxmlformats.org/officeDocument/2006/relationships/hyperlink" Target="http://europa.eu/rapid/press-release_MEMO-18-4486_en.htm" TargetMode="External"/><Relationship Id="rId323" Type="http://schemas.openxmlformats.org/officeDocument/2006/relationships/hyperlink" Target="https://eur-lex.europa.eu/legal-content/EN/TXT/?uri=CELEX%3A32006L0123" TargetMode="External"/><Relationship Id="rId344" Type="http://schemas.openxmlformats.org/officeDocument/2006/relationships/hyperlink" Target="http://curia.europa.eu/juris/liste.jsf?oqp=&amp;for=&amp;mat=or&amp;jge=&amp;td=%3BALL&amp;jur=C%2CT%2CF&amp;num=C-93%252F17&amp;page=1&amp;dates=&amp;pcs=Oor&amp;lg=&amp;pro=&amp;nat=or&amp;cit=none%252CC%252CCJ%252CR%252C2008E%252C%252C%252C%252C%252C%252C%252C%252C%252C%252Ctrue%252Cfalse%252Cfalse&amp;language=en&amp;avg=&amp;cid=5125671" TargetMode="External"/><Relationship Id="rId530" Type="http://schemas.openxmlformats.org/officeDocument/2006/relationships/hyperlink" Target="http://europa.eu/rapid/press-release_IP-18-3805_en.htm" TargetMode="External"/><Relationship Id="rId20" Type="http://schemas.openxmlformats.org/officeDocument/2006/relationships/hyperlink" Target="https://eur-lex.europa.eu/eli/dir/2017/1564/oj" TargetMode="External"/><Relationship Id="rId41" Type="http://schemas.openxmlformats.org/officeDocument/2006/relationships/hyperlink" Target="http://curia.europa.eu/juris/liste.jsf?oqp=&amp;for=&amp;mat=or&amp;jge=&amp;td=%3BALL&amp;jur=C%2CT%2CF&amp;num=C-331%252F16&amp;page=1&amp;dates=&amp;pcs=Oor&amp;lg=&amp;pro=&amp;nat=or&amp;cit=none%252CC%252CCJ%252CR%252C2008E%252C%252C%252C%252C%252C%252C%252C%252C%252C%252Ctrue%252Cfalse%252Cfalse&amp;language=en&amp;avg=&amp;cid=13254506" TargetMode="External"/><Relationship Id="rId62" Type="http://schemas.openxmlformats.org/officeDocument/2006/relationships/hyperlink" Target="https://eur-lex.europa.eu/legal-content/EN/ALL/?uri=CELEX%3A32008L0050" TargetMode="External"/><Relationship Id="rId83" Type="http://schemas.openxmlformats.org/officeDocument/2006/relationships/hyperlink" Target="https://eur-lex.europa.eu/legal-content/EN/TXT/?uri=CELEX%3A32016L0680" TargetMode="External"/><Relationship Id="rId179" Type="http://schemas.openxmlformats.org/officeDocument/2006/relationships/hyperlink" Target="https://eur-lex.europa.eu/legal-content/EN/TXT/?uri=CELEX%3A32009R1107" TargetMode="External"/><Relationship Id="rId365" Type="http://schemas.openxmlformats.org/officeDocument/2006/relationships/hyperlink" Target="https://eur-lex.europa.eu/legal-content/en/ALL/?uri=CELEX:32014L0087" TargetMode="External"/><Relationship Id="rId386" Type="http://schemas.openxmlformats.org/officeDocument/2006/relationships/hyperlink" Target="https://eur-lex.europa.eu/legal-content/EN/TXT/?uri=CELEX%3A31992L0043" TargetMode="External"/><Relationship Id="rId551" Type="http://schemas.openxmlformats.org/officeDocument/2006/relationships/hyperlink" Target="http://curia.europa.eu/juris/liste.jsf?language=en&amp;num=c-29/17&amp;td=ALL" TargetMode="External"/><Relationship Id="rId572" Type="http://schemas.openxmlformats.org/officeDocument/2006/relationships/hyperlink" Target="https://eur-lex.europa.eu/legal-content/EN/TXT/?uri=CELEX%3A32016L2102" TargetMode="External"/><Relationship Id="rId593" Type="http://schemas.openxmlformats.org/officeDocument/2006/relationships/hyperlink" Target="https://eur-lex.europa.eu/legal-content/EN/TXT/?uri=celex%3A32014L0065" TargetMode="External"/><Relationship Id="rId607" Type="http://schemas.openxmlformats.org/officeDocument/2006/relationships/hyperlink" Target="http://europa.eu/rapid/press-release_MEMO-18-3446_EN.htm" TargetMode="External"/><Relationship Id="rId628" Type="http://schemas.openxmlformats.org/officeDocument/2006/relationships/hyperlink" Target="https://eur-lex.europa.eu/legal-content/EN/TXT/?qid=1521545327221&amp;uri=CELEX:32014L0036" TargetMode="External"/><Relationship Id="rId649" Type="http://schemas.openxmlformats.org/officeDocument/2006/relationships/hyperlink" Target="https://eur-lex.europa.eu/eli/dir/2017/1564/oj" TargetMode="External"/><Relationship Id="rId190" Type="http://schemas.openxmlformats.org/officeDocument/2006/relationships/hyperlink" Target="http://curia.europa.eu/juris/liste.jsf?oqp=&amp;for=&amp;mat=or&amp;jge=&amp;td=%3BALL&amp;jur=C%2CT%2CF&amp;num=C-684%252F16&amp;page=1&amp;dates=&amp;pcs=Oor&amp;lg=&amp;pro=&amp;nat=or&amp;cit=none%252CC%252CCJ%252CR%252C2008E%252C%252C%252C%252C%252C%252C%252C%252C%252C%252Ctrue%252Cfalse%252Cfalse&amp;language=en&amp;avg=&amp;cid=13717269" TargetMode="External"/><Relationship Id="rId204" Type="http://schemas.openxmlformats.org/officeDocument/2006/relationships/hyperlink" Target="http://curia.europa.eu/juris/liste.jsf?num=C-195/17&amp;language=en" TargetMode="External"/><Relationship Id="rId225" Type="http://schemas.openxmlformats.org/officeDocument/2006/relationships/hyperlink" Target="http://curia.europa.eu/juris/liste.jsf?oqp=&amp;for=&amp;mat=or&amp;jge=&amp;td=%3BALL&amp;jur=C%2CT%2CF&amp;num=C-683%252F16&amp;page=1&amp;dates=&amp;pcs=Oor&amp;lg=&amp;pro=&amp;nat=or&amp;cit=none%252CC%252CCJ%252CR%252C2008E%252C%252C%252C%252C%252C%252C%252C%252C%252C%252Ctrue%252Cfalse%252Cfalse&amp;language=en&amp;avg=&amp;cid=1883947" TargetMode="External"/><Relationship Id="rId246" Type="http://schemas.openxmlformats.org/officeDocument/2006/relationships/hyperlink" Target="http://europa.eu/rapid/press-release_IP-18-4492_en.htm" TargetMode="External"/><Relationship Id="rId267" Type="http://schemas.openxmlformats.org/officeDocument/2006/relationships/hyperlink" Target="http://europa.eu/rapid/press-release_MEMO-18-4486_EN.htm" TargetMode="External"/><Relationship Id="rId288" Type="http://schemas.openxmlformats.org/officeDocument/2006/relationships/hyperlink" Target="https://eur-lex.europa.eu/legal-content/EN/TXT/?uri=CELEX%3A31992L0043" TargetMode="External"/><Relationship Id="rId411" Type="http://schemas.openxmlformats.org/officeDocument/2006/relationships/hyperlink" Target="https://eur-lex.europa.eu/legal-content/EN/ALL/?uri=CELEX%3A32008L0050" TargetMode="External"/><Relationship Id="rId432" Type="http://schemas.openxmlformats.org/officeDocument/2006/relationships/hyperlink" Target="https://eur-lex.europa.eu/legal-content/EN/TXT/?uri=uriserv:OJ.L_.2016.344.01.0001.01.ENG" TargetMode="External"/><Relationship Id="rId453" Type="http://schemas.openxmlformats.org/officeDocument/2006/relationships/hyperlink" Target="https://curia.europa.eu/jcms/upload/docs/application/pdf/2018-07/cp180111en.pdf" TargetMode="External"/><Relationship Id="rId474" Type="http://schemas.openxmlformats.org/officeDocument/2006/relationships/hyperlink" Target="https://eur-lex.europa.eu/legal-content/EN/TXT/?uri=CELEX%3A32008L0098" TargetMode="External"/><Relationship Id="rId509" Type="http://schemas.openxmlformats.org/officeDocument/2006/relationships/hyperlink" Target="http://europa.eu/rapid/press-release_MEMO-18-3446_en.htm" TargetMode="External"/><Relationship Id="rId660" Type="http://schemas.openxmlformats.org/officeDocument/2006/relationships/hyperlink" Target="https://eur-lex.europa.eu/legal-content/EN/TXT/?uri=CELEX%3A32014L0061" TargetMode="External"/><Relationship Id="rId106" Type="http://schemas.openxmlformats.org/officeDocument/2006/relationships/hyperlink" Target="https://eur-lex.europa.eu/legal-content/EN/TXT/?uri=CELEX%3A32005L0036" TargetMode="External"/><Relationship Id="rId127" Type="http://schemas.openxmlformats.org/officeDocument/2006/relationships/hyperlink" Target="https://eur-lex.europa.eu/legal-content/EN/TXT/?qid=1551716193704&amp;uri=CELEX:32009R1072" TargetMode="External"/><Relationship Id="rId313" Type="http://schemas.openxmlformats.org/officeDocument/2006/relationships/hyperlink" Target="http://eur-lex.europa.eu/legal-content/EN/TXT/?uri=celex%3A32014L0065" TargetMode="External"/><Relationship Id="rId495" Type="http://schemas.openxmlformats.org/officeDocument/2006/relationships/hyperlink" Target="http://europa.eu/rapid/press-release_IP-18-6265_EN.htm" TargetMode="External"/><Relationship Id="rId10" Type="http://schemas.openxmlformats.org/officeDocument/2006/relationships/hyperlink" Target="https://eur-lex.europa.eu/legal-content/EN/ALL/?uri=CELEX%3A32008L0050" TargetMode="External"/><Relationship Id="rId31" Type="http://schemas.openxmlformats.org/officeDocument/2006/relationships/hyperlink" Target="https://eur-lex.europa.eu/legal-content/EN/TXT/?uri=celex:32004R0883R(01)" TargetMode="External"/><Relationship Id="rId52" Type="http://schemas.openxmlformats.org/officeDocument/2006/relationships/hyperlink" Target="http://europa.eu/rapid/press-release_IP-18-6252_en.htm" TargetMode="External"/><Relationship Id="rId73" Type="http://schemas.openxmlformats.org/officeDocument/2006/relationships/hyperlink" Target="https://eur-lex.europa.eu/legal-content/EN/TXT/?uri=celex%3A32014L0065" TargetMode="External"/><Relationship Id="rId94" Type="http://schemas.openxmlformats.org/officeDocument/2006/relationships/hyperlink" Target="https://eur-lex.europa.eu/legal-content/EN/TXT/?uri=CELEX%3A32009L0147" TargetMode="External"/><Relationship Id="rId148" Type="http://schemas.openxmlformats.org/officeDocument/2006/relationships/hyperlink" Target="https://eur-lex.europa.eu/legal-content/EN/ALL/?uri=CELEX%3A32014L0017" TargetMode="External"/><Relationship Id="rId169" Type="http://schemas.openxmlformats.org/officeDocument/2006/relationships/hyperlink" Target="https://eur-lex.europa.eu/eli/dir/2017/1564/oj" TargetMode="External"/><Relationship Id="rId334" Type="http://schemas.openxmlformats.org/officeDocument/2006/relationships/hyperlink" Target="https://eur-lex.europa.eu/legal-content/EN/TXT/?uri=CELEX%3A32014L0091" TargetMode="External"/><Relationship Id="rId355" Type="http://schemas.openxmlformats.org/officeDocument/2006/relationships/hyperlink" Target="http://europa.eu/rapid/press-release_MEMO-18-4486_en.htm" TargetMode="External"/><Relationship Id="rId376" Type="http://schemas.openxmlformats.org/officeDocument/2006/relationships/hyperlink" Target="http://curia.europa.eu/juris/liste.jsf?oqp=&amp;for=&amp;mat=or&amp;jge=&amp;td=%3BALL&amp;jur=C%2CT%2CF&amp;num=164%252F18&amp;page=1&amp;dates=&amp;pcs=Oor&amp;lg=&amp;pro=&amp;nat=or&amp;cit=none%252CC%252CCJ%252CR%252C2008E%252C%252C%252C%252C%252C%252C%252C%252C%252C%252Ctrue%252Cfalse%252Cfalse&amp;language=en&amp;avg=&amp;cid=7012349" TargetMode="External"/><Relationship Id="rId397" Type="http://schemas.openxmlformats.org/officeDocument/2006/relationships/hyperlink" Target="http://curia.europa.eu/juris/liste.jsf?language=en&amp;num=c-181/17&amp;td=ALL" TargetMode="External"/><Relationship Id="rId520" Type="http://schemas.openxmlformats.org/officeDocument/2006/relationships/hyperlink" Target="https://eur-lex.europa.eu/legal-content/EN/TXT/?uri=CELEX:32017L0164" TargetMode="External"/><Relationship Id="rId541" Type="http://schemas.openxmlformats.org/officeDocument/2006/relationships/hyperlink" Target="http://curia.europa.eu/juris/liste.jsf?language=FR&amp;num=C-433/15" TargetMode="External"/><Relationship Id="rId562" Type="http://schemas.openxmlformats.org/officeDocument/2006/relationships/hyperlink" Target="https://eur-lex.europa.eu/legal-content/EN/TXT/?uri=CELEX%3A31992L0043" TargetMode="External"/><Relationship Id="rId583" Type="http://schemas.openxmlformats.org/officeDocument/2006/relationships/hyperlink" Target="http://europa.eu/rapid/press-release_MEMO-18-1444_en.htm" TargetMode="External"/><Relationship Id="rId618" Type="http://schemas.openxmlformats.org/officeDocument/2006/relationships/hyperlink" Target="https://eur-lex.europa.eu/legal-content/EN/TXT/?uri=CELEX%3A32016L2102" TargetMode="External"/><Relationship Id="rId639" Type="http://schemas.openxmlformats.org/officeDocument/2006/relationships/hyperlink" Target="https://eur-lex.europa.eu/legal-content/EN/TXT/?uri=CELEX%3A32015L2366" TargetMode="External"/><Relationship Id="rId4" Type="http://schemas.openxmlformats.org/officeDocument/2006/relationships/hyperlink" Target="https://eur-lex.europa.eu/legal-content/EN/TXT/?uri=CELEX:31996L0075" TargetMode="External"/><Relationship Id="rId180" Type="http://schemas.openxmlformats.org/officeDocument/2006/relationships/hyperlink" Target="https://eur-lex.europa.eu/legal-content/EN/TXT/?qid=1551714410245&amp;uri=CELEX:32004L0049" TargetMode="External"/><Relationship Id="rId215" Type="http://schemas.openxmlformats.org/officeDocument/2006/relationships/hyperlink" Target="http://curia.europa.eu/juris/liste.jsf?language=en&amp;num=C-601/17&amp;td=ALL" TargetMode="External"/><Relationship Id="rId236" Type="http://schemas.openxmlformats.org/officeDocument/2006/relationships/hyperlink" Target="http://europa.eu/rapid/press-release_MEMO-18-4486_en.htm" TargetMode="External"/><Relationship Id="rId257" Type="http://schemas.openxmlformats.org/officeDocument/2006/relationships/hyperlink" Target="https://eur-lex.europa.eu/legal-content/EN/TXT/?uri=CELEX%3A32005L0036" TargetMode="External"/><Relationship Id="rId278" Type="http://schemas.openxmlformats.org/officeDocument/2006/relationships/hyperlink" Target="https://eur-lex.europa.eu/legal-content/EN/TXT/?uri=CELEX:32007L0060" TargetMode="External"/><Relationship Id="rId401" Type="http://schemas.openxmlformats.org/officeDocument/2006/relationships/hyperlink" Target="http://curia.europa.eu/juris/document/document.jsf?text=&amp;docid=206332&amp;pageIndex=0&amp;doclang=en&amp;mode=lst&amp;dir=&amp;occ=first&amp;part=1&amp;cid=7870784" TargetMode="External"/><Relationship Id="rId422" Type="http://schemas.openxmlformats.org/officeDocument/2006/relationships/hyperlink" Target="https://eur-lex.europa.eu/legal-content/EN/TXT/?uri=uriserv:OJ.L_.2016.194.01.0001.01.ENG" TargetMode="External"/><Relationship Id="rId443" Type="http://schemas.openxmlformats.org/officeDocument/2006/relationships/hyperlink" Target="http://curia.europa.eu/juris/liste.jsf?oqp=&amp;for=&amp;mat=or&amp;jge=&amp;td=%3BALL&amp;jur=C%2CT%2CF&amp;num=C-103%252F17&amp;page=1&amp;dates=&amp;pcs=Oor&amp;lg=&amp;pro=&amp;nat=or&amp;cit=none%252CC%252CCJ%252CR%252C2008E%252C%252C%252C%252C%252C%252C%252C%252C%252C%252Ctrue%252Cfalse%252Cfalse&amp;language=en&amp;avg=&amp;cid=5118021" TargetMode="External"/><Relationship Id="rId464" Type="http://schemas.openxmlformats.org/officeDocument/2006/relationships/hyperlink" Target="http://europa.eu/rapid/press-release_MEMO-18-4486_en.htm" TargetMode="External"/><Relationship Id="rId650" Type="http://schemas.openxmlformats.org/officeDocument/2006/relationships/hyperlink" Target="https://eur-lex.europa.eu/legal-content/EN/TXT/?uri=CELEX:32015L2302" TargetMode="External"/><Relationship Id="rId303" Type="http://schemas.openxmlformats.org/officeDocument/2006/relationships/hyperlink" Target="https://eur-lex.europa.eu/legal-content/EN/TXT/?qid=1551715956066&amp;uri=CELEX:32008R0300" TargetMode="External"/><Relationship Id="rId485" Type="http://schemas.openxmlformats.org/officeDocument/2006/relationships/hyperlink" Target="https://eur-lex.europa.eu/legal-content/EN/TXT/?uri=CELEX%3A32002L0049" TargetMode="External"/><Relationship Id="rId42" Type="http://schemas.openxmlformats.org/officeDocument/2006/relationships/hyperlink" Target="http://curia.europa.eu/juris/liste.jsf?oqp=&amp;for=&amp;mat=or&amp;jge=&amp;td=%3BALL&amp;jur=C%2CT%2CF&amp;num=C-366%252F16&amp;page=1&amp;dates=&amp;pcs=Oor&amp;lg=&amp;pro=&amp;nat=or&amp;cit=none%252CC%252CCJ%252CR%252C2008E%252C%252C%252C%252C%252C%252C%252C%252C%252C%252Ctrue%252Cfalse%252Cfalse&amp;language=en&amp;avg=&amp;cid=13254506" TargetMode="External"/><Relationship Id="rId84" Type="http://schemas.openxmlformats.org/officeDocument/2006/relationships/hyperlink" Target="https://eur-lex.europa.eu/eli/dir/2017/1564/oj" TargetMode="External"/><Relationship Id="rId138" Type="http://schemas.openxmlformats.org/officeDocument/2006/relationships/hyperlink" Target="https://eur-lex.europa.eu/legal-content/EN/TXT/?qid=1521645914219&amp;uri=CELEX:32011L0070" TargetMode="External"/><Relationship Id="rId345" Type="http://schemas.openxmlformats.org/officeDocument/2006/relationships/hyperlink" Target="https://curia.europa.eu/jcms/upload/docs/application/pdf/2018-11/cp180172en.pdf" TargetMode="External"/><Relationship Id="rId387" Type="http://schemas.openxmlformats.org/officeDocument/2006/relationships/hyperlink" Target="https://eur-lex.europa.eu/legal-content/EN/TXT/?uri=CELEX:32015L0652" TargetMode="External"/><Relationship Id="rId510" Type="http://schemas.openxmlformats.org/officeDocument/2006/relationships/hyperlink" Target="http://curia.europa.eu/juris/liste.jsf?oqp=&amp;for=&amp;mat=or&amp;jge=&amp;td=%3BALL&amp;jur=C%2CT%2CF&amp;num=C-85%252F13&amp;page=1&amp;dates=&amp;pcs=Oor&amp;lg=&amp;pro=&amp;nat=or&amp;cit=none%252CC%252CCJ%252CR%252C2008E%252C%252C%252C%252C%252C%252C%252C%252C%252C%252Ctrue%252Cfalse%252Cfalse&amp;language=en&amp;avg=&amp;cid=5282800" TargetMode="External"/><Relationship Id="rId552" Type="http://schemas.openxmlformats.org/officeDocument/2006/relationships/hyperlink" Target="https://curia.europa.eu/jcms/upload/docs/application/pdf/2018-11/cp180181en.pdf" TargetMode="External"/><Relationship Id="rId594" Type="http://schemas.openxmlformats.org/officeDocument/2006/relationships/hyperlink" Target="http://europa.eu/rapid/press-release_MEMO-18-349_en.htm" TargetMode="External"/><Relationship Id="rId608" Type="http://schemas.openxmlformats.org/officeDocument/2006/relationships/hyperlink" Target="https://eur-lex.europa.eu/legal-content/EN/TXT/?uri=CELEX%3A31992L0043" TargetMode="External"/><Relationship Id="rId191" Type="http://schemas.openxmlformats.org/officeDocument/2006/relationships/hyperlink" Target="http://curia.europa.eu/juris/liste.jsf?oqp=&amp;for=&amp;mat=or&amp;jge=&amp;td=%3BALL&amp;jur=C%2CT%2CF&amp;num=C-569%252F16&amp;page=1&amp;dates=&amp;pcs=Oor&amp;lg=&amp;pro=&amp;nat=or&amp;cit=none%252CC%252CCJ%252CR%252C2008E%252C%252C%252C%252C%252C%252C%252C%252C%252C%252Ctrue%252Cfalse%252Cfalse&amp;language=en&amp;avg=&amp;cid=13717269" TargetMode="External"/><Relationship Id="rId205" Type="http://schemas.openxmlformats.org/officeDocument/2006/relationships/hyperlink" Target="https://curia.europa.eu/jcms/upload/docs/application/pdf/2018-04/cp180049en.pdf" TargetMode="External"/><Relationship Id="rId247" Type="http://schemas.openxmlformats.org/officeDocument/2006/relationships/hyperlink" Target="https://eur-lex.europa.eu/legal-content/EN/TXT/?qid=1521541720492&amp;uri=CELEX:32009R1224" TargetMode="External"/><Relationship Id="rId412" Type="http://schemas.openxmlformats.org/officeDocument/2006/relationships/hyperlink" Target="https://eur-lex.europa.eu/legal-content/EN/TXT/?uri=CELEX%3A32008L0098" TargetMode="External"/><Relationship Id="rId107" Type="http://schemas.openxmlformats.org/officeDocument/2006/relationships/hyperlink" Target="http://europa.eu/rapid/press-release_MEMO-18-4486_en.htm" TargetMode="External"/><Relationship Id="rId289" Type="http://schemas.openxmlformats.org/officeDocument/2006/relationships/hyperlink" Target="http://curia.europa.eu/juris/liste.jsf?oqp=&amp;for=&amp;mat=or&amp;jge=&amp;td=%3BALL&amp;jur=C%2CT%2CF&amp;num=C-164%252F17&amp;page=1&amp;dates=&amp;pcs=Oor&amp;lg=&amp;pro=&amp;nat=or&amp;cit=none%252CC%252CCJ%252CR%252C2008E%252C%252C%252C%252C%252C%252C%252C%252C%252C%252Ctrue%252Cfalse%252Cfalse&amp;language=en&amp;avg=&amp;cid=8399185" TargetMode="External"/><Relationship Id="rId454" Type="http://schemas.openxmlformats.org/officeDocument/2006/relationships/hyperlink" Target="https://eur-lex.europa.eu/legal-content/EN/TXT/?uri=CELEX%3A31992L0043" TargetMode="External"/><Relationship Id="rId496" Type="http://schemas.openxmlformats.org/officeDocument/2006/relationships/hyperlink" Target="http://europa.eu/rapid/press-release_MEMO-18-3446_en.htm" TargetMode="External"/><Relationship Id="rId661" Type="http://schemas.openxmlformats.org/officeDocument/2006/relationships/hyperlink" Target="http://europa.eu/rapid/press-release_IP-18-352_fr.htm" TargetMode="External"/><Relationship Id="rId11" Type="http://schemas.openxmlformats.org/officeDocument/2006/relationships/hyperlink" Target="http://europa.eu/rapid/press-release_MEMO-18-6247_en.htm" TargetMode="External"/><Relationship Id="rId53" Type="http://schemas.openxmlformats.org/officeDocument/2006/relationships/hyperlink" Target="https://eur-lex.europa.eu/legal-content/EN/TXT/?qid=1551716377512&amp;uri=CELEX:32009L0012" TargetMode="External"/><Relationship Id="rId149" Type="http://schemas.openxmlformats.org/officeDocument/2006/relationships/hyperlink" Target="http://europa.eu/rapid/press-release_MEMO-18-1444_en.htm" TargetMode="External"/><Relationship Id="rId314" Type="http://schemas.openxmlformats.org/officeDocument/2006/relationships/hyperlink" Target="http://europa.eu/rapid/press-release_MEMO-18-349_en.htm" TargetMode="External"/><Relationship Id="rId356" Type="http://schemas.openxmlformats.org/officeDocument/2006/relationships/hyperlink" Target="https://eur-lex.europa.eu/legal-content/EN/TXT/?qid=1550483938301&amp;uri=CELEX:32010L0063" TargetMode="External"/><Relationship Id="rId398" Type="http://schemas.openxmlformats.org/officeDocument/2006/relationships/hyperlink" Target="http://curia.europa.eu/juris/liste.jsf?oqp=&amp;for=&amp;mat=or&amp;jge=&amp;td=%3BALL&amp;jur=C%2CT%2CF&amp;num=C-343%252F10&amp;page=1&amp;dates=&amp;pcs=Oor&amp;lg=&amp;pro=&amp;nat=or&amp;cit=none%252CC%252CCJ%252CR%252C2008E%252C%252C%252C%252C%252C%252C%252C%252C%252C%252Ctrue%252Cfalse%252Cfalse&amp;language=en&amp;avg=&amp;cid=5316432" TargetMode="External"/><Relationship Id="rId521" Type="http://schemas.openxmlformats.org/officeDocument/2006/relationships/hyperlink" Target="https://eur-lex.europa.eu/legal-content/EN/TXT/?qid=1521645914219&amp;uri=CELEX:32011L0070" TargetMode="External"/><Relationship Id="rId563" Type="http://schemas.openxmlformats.org/officeDocument/2006/relationships/hyperlink" Target="http://europa.eu/rapid/press-release_MEMO-18-3446_en.htm" TargetMode="External"/><Relationship Id="rId619" Type="http://schemas.openxmlformats.org/officeDocument/2006/relationships/hyperlink" Target="https://eur-lex.europa.eu/eli/dir/2017/1564/oj" TargetMode="External"/><Relationship Id="rId95" Type="http://schemas.openxmlformats.org/officeDocument/2006/relationships/hyperlink" Target="http://curia.europa.eu/juris/liste.jsf?oqp=&amp;for=&amp;mat=or&amp;jge=&amp;td=%3BALL&amp;jur=C%2CT%2CF&amp;num=C-97%252F17&amp;page=1&amp;dates=&amp;pcs=Oor&amp;lg=&amp;pro=&amp;nat=or&amp;cit=none%252CC%252CCJ%252CR%252C2008E%252C%252C%252C%252C%252C%252C%252C%252C%252C%252Ctrue%252Cfalse%252Cfalse&amp;lang" TargetMode="External"/><Relationship Id="rId160" Type="http://schemas.openxmlformats.org/officeDocument/2006/relationships/hyperlink" Target="http://europa.eu/rapid/press-release_MEMO-18-6247_en.htm" TargetMode="External"/><Relationship Id="rId216" Type="http://schemas.openxmlformats.org/officeDocument/2006/relationships/hyperlink" Target="https://curia.europa.eu/jcms/upload/docs/application/pdf/2018-09/cp180128en.pdf" TargetMode="External"/><Relationship Id="rId423" Type="http://schemas.openxmlformats.org/officeDocument/2006/relationships/hyperlink" Target="http://europa.eu/rapid/press-release_MEMO-18-4486_en.htm" TargetMode="External"/><Relationship Id="rId258" Type="http://schemas.openxmlformats.org/officeDocument/2006/relationships/hyperlink" Target="http://europa.eu/rapid/press-release_MEMO-18-4486_en.htm" TargetMode="External"/><Relationship Id="rId465" Type="http://schemas.openxmlformats.org/officeDocument/2006/relationships/hyperlink" Target="https://eur-lex.europa.eu/legal-content/EN/TXT/?uri=CELEX%3A32015L2366" TargetMode="External"/><Relationship Id="rId630" Type="http://schemas.openxmlformats.org/officeDocument/2006/relationships/hyperlink" Target="https://eur-lex.europa.eu/legal-content/EN/TXT/?uri=CELEX:32012L0013" TargetMode="External"/><Relationship Id="rId22" Type="http://schemas.openxmlformats.org/officeDocument/2006/relationships/hyperlink" Target="https://eur-lex.europa.eu/legal-content/EN/TXT/?uri=CELEX%3A32015L2193" TargetMode="External"/><Relationship Id="rId64" Type="http://schemas.openxmlformats.org/officeDocument/2006/relationships/hyperlink" Target="https://eur-lex.europa.eu/legal-content/EN/ALL/?uri=CELEX%3A32008L0050" TargetMode="External"/><Relationship Id="rId118" Type="http://schemas.openxmlformats.org/officeDocument/2006/relationships/hyperlink" Target="https://eur-lex.europa.eu/eli/dir/2016/1214/oj" TargetMode="External"/><Relationship Id="rId325" Type="http://schemas.openxmlformats.org/officeDocument/2006/relationships/hyperlink" Target="https://eur-lex.europa.eu/legal-content/EN/TXT/?uri=CELEX%3A32005L0036" TargetMode="External"/><Relationship Id="rId367" Type="http://schemas.openxmlformats.org/officeDocument/2006/relationships/hyperlink" Target="http://europa.eu/rapid/press-release_MEMO-18-4486_en.htm" TargetMode="External"/><Relationship Id="rId532" Type="http://schemas.openxmlformats.org/officeDocument/2006/relationships/hyperlink" Target="https://eur-lex.europa.eu/legal-content/EN/TXT/?uri=CELEX:32011L0007" TargetMode="External"/><Relationship Id="rId574" Type="http://schemas.openxmlformats.org/officeDocument/2006/relationships/hyperlink" Target="file:///\\net1.cec.eu.int\SG\SG-F-3\Restricted\INFRACTIONS\RAPPORTS%20ANNUELS\36eme%20RAPPORT%20ANNUEL%202018\6.%20After%20proofreaders\clean\2016\343\EU" TargetMode="External"/><Relationship Id="rId171" Type="http://schemas.openxmlformats.org/officeDocument/2006/relationships/hyperlink" Target="https://eur-lex.europa.eu/legal-content/EN/TXT/?qid=1521646057107&amp;uri=CELEX:32009L0072" TargetMode="External"/><Relationship Id="rId227" Type="http://schemas.openxmlformats.org/officeDocument/2006/relationships/hyperlink" Target="http://curia.europa.eu/juris/liste.jsf?oqp=&amp;for=&amp;mat=or&amp;jge=&amp;td=%3BALL&amp;jur=C%2CT%2CF&amp;num=C-412%252F17&amp;page=1&amp;dates=&amp;pcs=Oor&amp;lg=&amp;pro=&amp;nat=or&amp;cit=none%252CC%252CCJ%252CR%252C2008E%252C%252C%252C%252C%252C%252C%252C%252C%252C%252Ctrue%252Cfalse%252Cfalse&amp;language=en&amp;avg=&amp;cid=5121656" TargetMode="External"/><Relationship Id="rId269" Type="http://schemas.openxmlformats.org/officeDocument/2006/relationships/hyperlink" Target="https://eur-lex.europa.eu/legal-content/EN/TXT/?uri=CELEX:32009F0315" TargetMode="External"/><Relationship Id="rId434" Type="http://schemas.openxmlformats.org/officeDocument/2006/relationships/hyperlink" Target="https://eur-lex.europa.eu/legal-content/EN/TXT/?qid=1551815135749&amp;uri=CELEX:32009L0073" TargetMode="External"/><Relationship Id="rId476" Type="http://schemas.openxmlformats.org/officeDocument/2006/relationships/hyperlink" Target="http://europa.eu/rapid/press-release_IP-18-1448_en.htm" TargetMode="External"/><Relationship Id="rId641" Type="http://schemas.openxmlformats.org/officeDocument/2006/relationships/hyperlink" Target="https://eur-lex.europa.eu/legal-content/EN/TXT/?uri=celex%3A32014L0065" TargetMode="External"/><Relationship Id="rId33" Type="http://schemas.openxmlformats.org/officeDocument/2006/relationships/hyperlink" Target="http://curia.europa.eu/juris/liste.jsf?oqp=&amp;for=&amp;mat=or&amp;jge=&amp;td=%3BALL&amp;jur=C%2CT%2CF&amp;num=C-359%252F16&amp;page=1&amp;dates=&amp;pcs=Oor&amp;lg=&amp;pro=&amp;nat=or&amp;cit=none%252CC%252CCJ%252CR%252C2008E%252C%252C%252C%252C%252C%252C%252C%252C%252C%252Ctrue%252Cfalse%252Cfalse&amp;language=en&amp;avg=&amp;cid=13717269" TargetMode="External"/><Relationship Id="rId129" Type="http://schemas.openxmlformats.org/officeDocument/2006/relationships/hyperlink" Target="https://eur-lex.europa.eu/legal-content/EN/TXT/?uri=CELEX%3A32005L0036" TargetMode="External"/><Relationship Id="rId280" Type="http://schemas.openxmlformats.org/officeDocument/2006/relationships/hyperlink" Target="https://eur-lex.europa.eu/legal-content/EN/TXT/?qid=1553100289621&amp;uri=CELEX:32009L0138" TargetMode="External"/><Relationship Id="rId336" Type="http://schemas.openxmlformats.org/officeDocument/2006/relationships/hyperlink" Target="https://eur-lex.europa.eu/legal-content/EN/TXT/?uri=CELEX:32015L0720" TargetMode="External"/><Relationship Id="rId501" Type="http://schemas.openxmlformats.org/officeDocument/2006/relationships/hyperlink" Target="https://eur-lex.europa.eu/legal-content/EN/TXT/?qid=1521645914219&amp;uri=CELEX:32011L0070" TargetMode="External"/><Relationship Id="rId543" Type="http://schemas.openxmlformats.org/officeDocument/2006/relationships/hyperlink" Target="http://curia.europa.eu/juris/liste.jsf?oqp=&amp;for=&amp;mat=or&amp;jge=&amp;td=%3BALL&amp;jur=C%2CT%2CF&amp;num=C-251%252F17&amp;page=1&amp;dates=&amp;pcs=Oor&amp;lg=&amp;pro=&amp;nat=or&amp;cit=none%252CC%252CCJ%252CR%252C2008E%252C%252C%252C%252C%252C%252C%252C%252C%252C%252Ctrue%252Cfalse%252Cfalse&amp;language=en&amp;avg=&amp;cid=12703267" TargetMode="External"/><Relationship Id="rId75" Type="http://schemas.openxmlformats.org/officeDocument/2006/relationships/hyperlink" Target="https://eur-lex.europa.eu/eli/dir/2016/1214/oj" TargetMode="External"/><Relationship Id="rId140" Type="http://schemas.openxmlformats.org/officeDocument/2006/relationships/hyperlink" Target="https://eur-lex.europa.eu/legal-content/EN/TXT/?qid=1553004958624&amp;uri=CELEX:32016L1214" TargetMode="External"/><Relationship Id="rId182" Type="http://schemas.openxmlformats.org/officeDocument/2006/relationships/hyperlink" Target="https://eur-lex.europa.eu/legal-content/EN/TXT/?qid=1521545219979&amp;uri=CELEX:32014L0066" TargetMode="External"/><Relationship Id="rId378" Type="http://schemas.openxmlformats.org/officeDocument/2006/relationships/hyperlink" Target="http://curia.europa.eu/juris/liste.jsf?oqp=&amp;for=&amp;mat=or&amp;jge=&amp;td=%3BALL&amp;jur=C%2CT%2CF&amp;num=165%252F18&amp;page=1&amp;dates=&amp;pcs=Oor&amp;lg=&amp;pro=&amp;nat=or&amp;cit=none%252CC%252CCJ%252CR%252C2008E%252C%252C%252C%252C%252C%252C%252C%252C%252C%252Ctrue%252Cfalse%252Cfalse&amp;language=en&amp;avg=&amp;cid=7012349" TargetMode="External"/><Relationship Id="rId403" Type="http://schemas.openxmlformats.org/officeDocument/2006/relationships/hyperlink" Target="http://curia.europa.eu/juris/liste.jsf?oqp=&amp;for=&amp;mat=or&amp;jge=&amp;td=%3BALL&amp;jur=C%2CT%2CF&amp;num=C-574%252F16&amp;page=1&amp;dates=&amp;pcs=Oor&amp;lg=&amp;pro=&amp;nat=or&amp;cit=none%252CC%252CCJ%252CR%252C2008E%252C%252C%252C%252C%252C%252C%252C%252C%252C%252Ctrue%252Cfalse%252Cfalse&amp;language=en&amp;avg=&amp;cid=13718918" TargetMode="External"/><Relationship Id="rId585" Type="http://schemas.openxmlformats.org/officeDocument/2006/relationships/hyperlink" Target="https://eur-lex.europa.eu/legal-content/EN/TXT/?uri=CELEX:32015L0720" TargetMode="External"/><Relationship Id="rId6" Type="http://schemas.openxmlformats.org/officeDocument/2006/relationships/hyperlink" Target="http://europa.eu/rapid/press-release_MEMO-18-6247_en.htm" TargetMode="External"/><Relationship Id="rId238" Type="http://schemas.openxmlformats.org/officeDocument/2006/relationships/hyperlink" Target="http://europa.eu/rapid/press-release_MEMO-18-3986_en.htm" TargetMode="External"/><Relationship Id="rId445" Type="http://schemas.openxmlformats.org/officeDocument/2006/relationships/hyperlink" Target="https://eur-lex.europa.eu/legal-content/EN/TXT/PDF/?uri=CELEX:01998L0034-20151007&amp;qid=1545565708508&amp;from=EN" TargetMode="External"/><Relationship Id="rId487" Type="http://schemas.openxmlformats.org/officeDocument/2006/relationships/hyperlink" Target="https://eur-lex.europa.eu/legal-content/EN/TXT/?uri=uriserv%3AOJ.L_.2014.349.01.0001.01.ENG" TargetMode="External"/><Relationship Id="rId610" Type="http://schemas.openxmlformats.org/officeDocument/2006/relationships/hyperlink" Target="https://eur-lex.europa.eu/legal-content/EN/TXT/?uri=CELEX%3A32005L0036" TargetMode="External"/><Relationship Id="rId652" Type="http://schemas.openxmlformats.org/officeDocument/2006/relationships/hyperlink" Target="http://europa.eu/rapid/press-release_MEMO-18-349_en.htm" TargetMode="External"/><Relationship Id="rId291" Type="http://schemas.openxmlformats.org/officeDocument/2006/relationships/hyperlink" Target="https://eur-lex.europa.eu/legal-content/EN/TXT/?uri=CELEX%3A32011L0092" TargetMode="External"/><Relationship Id="rId305" Type="http://schemas.openxmlformats.org/officeDocument/2006/relationships/hyperlink" Target="https://eur-lex.europa.eu/legal-content/EN/TXT/?qid=1521646247233&amp;uri=CELEX:32012L0027" TargetMode="External"/><Relationship Id="rId347" Type="http://schemas.openxmlformats.org/officeDocument/2006/relationships/hyperlink" Target="https://eur-lex.europa.eu/legal-content/EN/TXT/?qid=1521646247233&amp;uri=CELEX:32012L0027" TargetMode="External"/><Relationship Id="rId512" Type="http://schemas.openxmlformats.org/officeDocument/2006/relationships/hyperlink" Target="https://eur-lex.europa.eu/legal-content/EN/TXT/?uri=CELEX%3A32016L1214" TargetMode="External"/><Relationship Id="rId44" Type="http://schemas.openxmlformats.org/officeDocument/2006/relationships/hyperlink" Target="http://curia.europa.eu/juris/liste.jsf?oqp=&amp;for=&amp;mat=or&amp;jge=&amp;td=%3BALL&amp;jur=C%2CT%2CF&amp;num=C-671%252F16&amp;page=1&amp;dates=&amp;pcs=Oor&amp;lg=&amp;pro=&amp;nat=or&amp;cit=none%252CC%252CCJ%252CR%252C2008E%252C%252C%252C%252C%252C%252C%252C%252C%252C%252Ctrue%252Cfalse%252Cfalse&amp;language=en&amp;avg=&amp;cid=8399185" TargetMode="External"/><Relationship Id="rId86" Type="http://schemas.openxmlformats.org/officeDocument/2006/relationships/hyperlink" Target="https://eur-lex.europa.eu/legal-content/en/ALL/?uri=CELEX:31991L0676" TargetMode="External"/><Relationship Id="rId151" Type="http://schemas.openxmlformats.org/officeDocument/2006/relationships/hyperlink" Target="https://eur-lex.europa.eu/legal-content/EN/TXT/?qid=1545849056969&amp;uri=CELEX:32009R1072" TargetMode="External"/><Relationship Id="rId389" Type="http://schemas.openxmlformats.org/officeDocument/2006/relationships/hyperlink" Target="https://eur-lex.europa.eu/legal-content/EN/TXT/?uri=CELEX:32013L0011" TargetMode="External"/><Relationship Id="rId554" Type="http://schemas.openxmlformats.org/officeDocument/2006/relationships/hyperlink" Target="https://eur-lex.europa.eu/legal-content/EN/TXT/?uri=CELEX:31997L0009" TargetMode="External"/><Relationship Id="rId596" Type="http://schemas.openxmlformats.org/officeDocument/2006/relationships/hyperlink" Target="http://europa.eu/rapid/press-release_MEMO-18-4486_en.htm" TargetMode="External"/><Relationship Id="rId193" Type="http://schemas.openxmlformats.org/officeDocument/2006/relationships/hyperlink" Target="http://curia.europa.eu/juris/liste.jsf?oqp=&amp;for=&amp;mat=or&amp;jge=&amp;td=%3BALL&amp;jur=C%2CT%2CF&amp;num=C-414%252F16&amp;page=1&amp;dates=&amp;pcs=Oor&amp;lg=&amp;pro=&amp;nat=or&amp;cit=none%252CC%252CCJ%252CR%252C2008E%252C%252C%252C%252C%252C%252C%252C%252C%252C%252Ctrue%252Cfalse%252Cfalse&amp;language=en&amp;avg=&amp;cid=8357810" TargetMode="External"/><Relationship Id="rId207" Type="http://schemas.openxmlformats.org/officeDocument/2006/relationships/hyperlink" Target="http://curia.europa.eu/juris/liste.jsf?language=en&amp;num=c-537/17&amp;td=ALL" TargetMode="External"/><Relationship Id="rId249" Type="http://schemas.openxmlformats.org/officeDocument/2006/relationships/hyperlink" Target="https://eur-lex.europa.eu/legal-content/EN/TXT/?qid=1521646247233&amp;uri=CELEX:32012L0027" TargetMode="External"/><Relationship Id="rId414" Type="http://schemas.openxmlformats.org/officeDocument/2006/relationships/hyperlink" Target="https://eur-lex.europa.eu/legal-content/EN/TXT/?uri=CELEX%3A32002L0049" TargetMode="External"/><Relationship Id="rId456" Type="http://schemas.openxmlformats.org/officeDocument/2006/relationships/hyperlink" Target="https://eur-lex.europa.eu/legal-content/EN/TXT/?uri=CELEX%3A32011L0092" TargetMode="External"/><Relationship Id="rId498" Type="http://schemas.openxmlformats.org/officeDocument/2006/relationships/hyperlink" Target="http://europa.eu/rapid/press-release_IP-18-357_fr.htm" TargetMode="External"/><Relationship Id="rId621" Type="http://schemas.openxmlformats.org/officeDocument/2006/relationships/hyperlink" Target="https://eur-lex.europa.eu/legal-content/EN/TXT/?uri=CELEX:32015L2302" TargetMode="External"/><Relationship Id="rId663" Type="http://schemas.openxmlformats.org/officeDocument/2006/relationships/hyperlink" Target="http://europa.eu/rapid/press-release_MEMO-18-6247_en.htm" TargetMode="External"/><Relationship Id="rId13" Type="http://schemas.openxmlformats.org/officeDocument/2006/relationships/hyperlink" Target="http://europa.eu/rapid/press-release_MEMO-18-3446_EN.htm" TargetMode="External"/><Relationship Id="rId109" Type="http://schemas.openxmlformats.org/officeDocument/2006/relationships/hyperlink" Target="https://eur-lex.europa.eu/legal-content/EN/TXT/?uri=CELEX%3A32017L1279" TargetMode="External"/><Relationship Id="rId260" Type="http://schemas.openxmlformats.org/officeDocument/2006/relationships/hyperlink" Target="http://europa.eu/rapid/press-release_MEMO-18-4486_EN.htm" TargetMode="External"/><Relationship Id="rId316" Type="http://schemas.openxmlformats.org/officeDocument/2006/relationships/hyperlink" Target="http://europa.eu/rapid/press-release_MEMO-18-3446_EN.htm" TargetMode="External"/><Relationship Id="rId523" Type="http://schemas.openxmlformats.org/officeDocument/2006/relationships/hyperlink" Target="http://europa.eu/rapid/press-release_MEMO-18-3446_EN.htm" TargetMode="External"/><Relationship Id="rId55" Type="http://schemas.openxmlformats.org/officeDocument/2006/relationships/hyperlink" Target="https://eur-lex.europa.eu/legal-content/EN/TXT/?uri=CELEX%3A32012R1151" TargetMode="External"/><Relationship Id="rId97" Type="http://schemas.openxmlformats.org/officeDocument/2006/relationships/hyperlink" Target="http://curia.europa.eu/juris/document/document.jsf?text=&amp;docid=206431&amp;pageIndex=0&amp;doclang=en&amp;mode=lst&amp;dir=&amp;occ=first&amp;part=1&amp;cid=7870542" TargetMode="External"/><Relationship Id="rId120" Type="http://schemas.openxmlformats.org/officeDocument/2006/relationships/hyperlink" Target="https://eur-lex.europa.eu/legal-content/EN/TXT/?qid=1521545219979&amp;uri=CELEX:32014L0066" TargetMode="External"/><Relationship Id="rId358" Type="http://schemas.openxmlformats.org/officeDocument/2006/relationships/hyperlink" Target="https://eur-lex.europa.eu/legal-content/en/ALL/?uri=CELEX:31991L0676" TargetMode="External"/><Relationship Id="rId565" Type="http://schemas.openxmlformats.org/officeDocument/2006/relationships/hyperlink" Target="http://europa.eu/rapid/press-release_MEMO-18-3986_en.htm" TargetMode="External"/><Relationship Id="rId162" Type="http://schemas.openxmlformats.org/officeDocument/2006/relationships/hyperlink" Target="http://europa.eu/rapid/press-release_MEMO-18-3446_EN.htm" TargetMode="External"/><Relationship Id="rId218" Type="http://schemas.openxmlformats.org/officeDocument/2006/relationships/hyperlink" Target="http://curia.europa.eu/juris/liste.jsf?language=en&amp;num=c-330/17&amp;td=ALL" TargetMode="External"/><Relationship Id="rId425" Type="http://schemas.openxmlformats.org/officeDocument/2006/relationships/hyperlink" Target="https://eur-lex.europa.eu/eli/dir/2017/1564/oj" TargetMode="External"/><Relationship Id="rId467" Type="http://schemas.openxmlformats.org/officeDocument/2006/relationships/hyperlink" Target="http://eur-lex.europa.eu/legal-content/EN/TXT/?uri=celex%3A32014L0065" TargetMode="External"/><Relationship Id="rId632" Type="http://schemas.openxmlformats.org/officeDocument/2006/relationships/hyperlink" Target="https://eur-lex.europa.eu/legal-content/EN/TXT/?uri=CELEX:02013R1380-20171120" TargetMode="External"/><Relationship Id="rId271" Type="http://schemas.openxmlformats.org/officeDocument/2006/relationships/hyperlink" Target="https://eur-lex.europa.eu/legal-content/EN/TXT/?uri=CELEX%3A31985L0337" TargetMode="External"/><Relationship Id="rId24" Type="http://schemas.openxmlformats.org/officeDocument/2006/relationships/hyperlink" Target="http://curia.europa.eu/juris/liste.jsf?oqp=&amp;for=&amp;mat=or&amp;jge=&amp;td=%3BALL&amp;jur=C%2CT%2CF&amp;num=C-384%252F18&amp;page=1&amp;dates=&amp;pcs=Oor&amp;lg=&amp;pro=&amp;nat=or&amp;cit=none%252CC%252CCJ%252CR%252C2008E%252C%252C%252C%252C%252C%252C%252C%252C%252C%252Ctrue%252Cfalse%252Cfalse&amp;language=en&amp;avg=&amp;cid=5321134" TargetMode="External"/><Relationship Id="rId66" Type="http://schemas.openxmlformats.org/officeDocument/2006/relationships/hyperlink" Target="http://curia.europa.eu/juris/liste.jsf?oqp=&amp;for=&amp;mat=or&amp;jge=&amp;td=%3BALL&amp;jur=C%2CT%2CF&amp;num=C-488%252F15&amp;page=1&amp;dates=&amp;pcs=Oor&amp;lg=&amp;pro=&amp;nat=or&amp;cit=none%252CC%252CCJ%252CR%252C2008E%252C%252C%252C%252C%252C%252C%252C%252C%252C%252Ctrue%252Cfalse%252Cfalse&amp;language=en&amp;avg=&amp;cid=5326713" TargetMode="External"/><Relationship Id="rId131" Type="http://schemas.openxmlformats.org/officeDocument/2006/relationships/hyperlink" Target="https://eur-lex.europa.eu/legal-content/EN/TXT/?uri=CELEX:32004L0035" TargetMode="External"/><Relationship Id="rId327" Type="http://schemas.openxmlformats.org/officeDocument/2006/relationships/hyperlink" Target="http://europa.eu/rapid/press-release_IP-17-242_EN.htm" TargetMode="External"/><Relationship Id="rId369" Type="http://schemas.openxmlformats.org/officeDocument/2006/relationships/hyperlink" Target="http://curia.europa.eu/juris/liste.jsf?oqp=&amp;for=&amp;mat=or&amp;jge=&amp;td=%3BALL&amp;jur=C%2CT%2CF&amp;num=642%252F18&amp;page=1&amp;dates=&amp;pcs=Oor&amp;lg=&amp;pro=&amp;nat=or&amp;cit=none%252CC%252CCJ%252CR%252C2008E%252C%252C%252C%252C%252C%252C%252C%252C%252C%252Ctrue%252Cfalse%252Cfalse&amp;language=en&amp;avg=&amp;cid=7012349" TargetMode="External"/><Relationship Id="rId534" Type="http://schemas.openxmlformats.org/officeDocument/2006/relationships/hyperlink" Target="http://curia.europa.eu/juris/liste.jsf?oqp=&amp;for=&amp;mat=or&amp;jge=&amp;td=%3BALL&amp;jur=C%2CT%2CF&amp;num=C-576%252F18&amp;page=1&amp;dates=&amp;pcs=Oor&amp;lg=&amp;pro=&amp;nat=or&amp;cit=none%252CC%252CCJ%252CR%252C2008E%252C%252C%252C%252C%252C%252C%252C%252C%252C%252Ctrue%252Cfalse%252Cfalse&amp;language=en&amp;avg=&amp;cid=5318697" TargetMode="External"/><Relationship Id="rId576" Type="http://schemas.openxmlformats.org/officeDocument/2006/relationships/hyperlink" Target="https://eur-lex.europa.eu/legal-content/EN/ALL/?uri=CELEX%3A32009L0016https://eur-lex.europa.eu/legal-content/EN/TXT/PDF/?uri=CELEX:02009L0016-20151231&amp;qid=1548344710647&amp;from=FR" TargetMode="External"/><Relationship Id="rId173" Type="http://schemas.openxmlformats.org/officeDocument/2006/relationships/hyperlink" Target="http://curia.europa.eu/juris/liste.jsf?oqp=&amp;for=&amp;mat=or&amp;jge=&amp;td=%3BALL&amp;jur=C%2CT%2CF&amp;num=718%252F18&amp;page=1&amp;dates=&amp;pcs=Oor&amp;lg=&amp;pro=&amp;nat=or&amp;cit=none%252CC%252CCJ%252CR%252C2008E%252C%252C%252C%252C%252C%252C%252C%252C%252C%252Ctrue%252Cfalse%252Cfalse&amp;language=fr&amp;avg=&amp;cid=6985262" TargetMode="External"/><Relationship Id="rId229" Type="http://schemas.openxmlformats.org/officeDocument/2006/relationships/hyperlink" Target="http://curia.europa.eu/juris/liste.jsf?language=en&amp;num=C-124/17" TargetMode="External"/><Relationship Id="rId380" Type="http://schemas.openxmlformats.org/officeDocument/2006/relationships/hyperlink" Target="http://curia.europa.eu/juris/liste.jsf?oqp=&amp;for=&amp;mat=or&amp;jge=&amp;td=%3BALL&amp;jur=C%2CT%2CF&amp;num=430%252F18&amp;page=1&amp;dates=&amp;pcs=Oor&amp;lg=&amp;pro=&amp;nat=or&amp;cit=none%252CC%252CCJ%252CR%252C2008E%252C%252C%252C%252C%252C%252C%252C%252C%252C%252Ctrue%252Cfalse%252Cfalse&amp;language=en&amp;avg=&amp;cid=7012349" TargetMode="External"/><Relationship Id="rId436" Type="http://schemas.openxmlformats.org/officeDocument/2006/relationships/hyperlink" Target="http://europa.eu/rapid/press-release_MEMO-18-1444_en.htm" TargetMode="External"/><Relationship Id="rId601" Type="http://schemas.openxmlformats.org/officeDocument/2006/relationships/hyperlink" Target="https://eur-lex.europa.eu/legal-content/EN/TXT/?uri=CELEX%3A32014L0091" TargetMode="External"/><Relationship Id="rId643" Type="http://schemas.openxmlformats.org/officeDocument/2006/relationships/hyperlink" Target="https://eur-lex.europa.eu/legal-content/EN/TXT/PDF/?uri=CELEX:32013L0059&amp;from=EN" TargetMode="External"/><Relationship Id="rId240" Type="http://schemas.openxmlformats.org/officeDocument/2006/relationships/hyperlink" Target="http://europa.eu/rapid/press-release_MEMO-18-4486_en.htm" TargetMode="External"/><Relationship Id="rId478" Type="http://schemas.openxmlformats.org/officeDocument/2006/relationships/hyperlink" Target="http://curia.europa.eu/juris/liste.jsf?oqp=&amp;for=&amp;mat=or&amp;jge=&amp;td=%3BALL&amp;jur=C%2CT%2CF&amp;num=391%252F18&amp;page=1&amp;dates=&amp;pcs=Oor&amp;lg=&amp;pro=&amp;nat=or&amp;cit=none%252CC%252CCJ%252CR%252C2008E%252C%252C%252C%252C%252C%252C%252C%252C%252C%252Ctrue%252Cfalse%252Cfalse&amp;language=en&amp;avg=&amp;cid=7012349" TargetMode="External"/><Relationship Id="rId35" Type="http://schemas.openxmlformats.org/officeDocument/2006/relationships/hyperlink" Target="https://curia.europa.eu/jcms/upload/docs/application/pdf/2018-05/cp180069en.pdf" TargetMode="External"/><Relationship Id="rId77" Type="http://schemas.openxmlformats.org/officeDocument/2006/relationships/hyperlink" Target="https://eur-lex.europa.eu/eli/dir_impl/2018/100/oj" TargetMode="External"/><Relationship Id="rId100" Type="http://schemas.openxmlformats.org/officeDocument/2006/relationships/hyperlink" Target="https://eur-lex.europa.eu/legal-content/EN/ALL/?uri=CELEX%3A32008L0050" TargetMode="External"/><Relationship Id="rId282" Type="http://schemas.openxmlformats.org/officeDocument/2006/relationships/hyperlink" Target="https://eur-lex.europa.eu/legal-content/EN/TXT/?uri=CELEX%3A32014L0042" TargetMode="External"/><Relationship Id="rId338" Type="http://schemas.openxmlformats.org/officeDocument/2006/relationships/hyperlink" Target="https://eur-lex.europa.eu/legal-content/EN/TXT/?uri=CELEX:32015L0652" TargetMode="External"/><Relationship Id="rId503" Type="http://schemas.openxmlformats.org/officeDocument/2006/relationships/hyperlink" Target="https://eur-lex.europa.eu/legal-content/EN/TXT/?uri=CELEX%3A32008L0056" TargetMode="External"/><Relationship Id="rId545" Type="http://schemas.openxmlformats.org/officeDocument/2006/relationships/hyperlink" Target="http://curia.europa.eu/juris/liste.jsf?oqp=&amp;for=&amp;mat=or&amp;jge=&amp;td=%3BALL&amp;jur=C%2CT%2CF&amp;num=C-524%252F15&amp;page=1&amp;dates=&amp;pcs=Oor&amp;lg=&amp;pro=&amp;nat=or&amp;cit=none%252CC%252CCJ%252CR%252C2008E%252C%252C%252C%252C%252C%252C%252C%252C%252C%252Ctrue%252Cfalse%252Cfalse&amp;language=en&amp;avg=&amp;cid=5118021" TargetMode="External"/><Relationship Id="rId587" Type="http://schemas.openxmlformats.org/officeDocument/2006/relationships/hyperlink" Target="http://europa.eu/rapid/press-release_MEMO-18-3446_en.htm" TargetMode="External"/><Relationship Id="rId8" Type="http://schemas.openxmlformats.org/officeDocument/2006/relationships/hyperlink" Target="https://eur-lex.europa.eu/legal-content/EN/TXT/?qid=1521645914219&amp;uri=CELEX:32011L0070" TargetMode="External"/><Relationship Id="rId142" Type="http://schemas.openxmlformats.org/officeDocument/2006/relationships/hyperlink" Target="http://europa.eu/rapid/press-release_MEMO-18-4486_en.htm" TargetMode="External"/><Relationship Id="rId184" Type="http://schemas.openxmlformats.org/officeDocument/2006/relationships/hyperlink" Target="https://eur-lex.europa.eu/legal-content/EN/TXT/?uri=CELEX:32015L0652" TargetMode="External"/><Relationship Id="rId391" Type="http://schemas.openxmlformats.org/officeDocument/2006/relationships/hyperlink" Target="http://europa.eu/rapid/press-release_MEMO-18-1444_en.htm" TargetMode="External"/><Relationship Id="rId405" Type="http://schemas.openxmlformats.org/officeDocument/2006/relationships/hyperlink" Target="http://curia.europa.eu/juris/liste.jsf?oqp=&amp;for=&amp;mat=or&amp;jge=&amp;td=%3BALL&amp;jur=C%2CT%2CF&amp;num=C-41%252F17&amp;page=1&amp;dates=&amp;pcs=Oor&amp;lg=&amp;pro=&amp;nat=or&amp;cit=none%252CC%252CCJ%252CR%252C2008E%252C%252C%252C%252C%252C%252C%252C%252C%252C%252Ctrue%252Cfalse%252Cfalse&amp;language=en&amp;avg=&amp;cid=13254074" TargetMode="External"/><Relationship Id="rId447" Type="http://schemas.openxmlformats.org/officeDocument/2006/relationships/hyperlink" Target="http://curia.europa.eu/juris/liste.jsf?language=en&amp;num=c-320/16&amp;td=ALL" TargetMode="External"/><Relationship Id="rId612" Type="http://schemas.openxmlformats.org/officeDocument/2006/relationships/hyperlink" Target="http://europa.eu/rapid/press-release_MEMO-18-349_en.htm" TargetMode="External"/><Relationship Id="rId251" Type="http://schemas.openxmlformats.org/officeDocument/2006/relationships/hyperlink" Target="https://eur-lex.europa.eu/legal-content/EN/TXT/?qid=1521645914219&amp;uri=CELEX:32011L0070" TargetMode="External"/><Relationship Id="rId489" Type="http://schemas.openxmlformats.org/officeDocument/2006/relationships/hyperlink" Target="https://eur-lex.europa.eu/legal-content/EN/ALL/?uri=CELEX%3A32014L0017" TargetMode="External"/><Relationship Id="rId654" Type="http://schemas.openxmlformats.org/officeDocument/2006/relationships/hyperlink" Target="http://curia.europa.eu/juris/liste.jsf?oqp=&amp;for=&amp;mat=or&amp;jge=&amp;td=%3BALL&amp;jur=C%2CT%2CF&amp;num=86%252F18&amp;page=1&amp;dates=&amp;pcs=Oor&amp;lg=&amp;pro=&amp;nat=or&amp;cit=none%252CC%252CCJ%252CR%252C2008E%252C%252C%252C%252C%252C%252C%252C%252C%252C%252Ctrue%252Cfalse%252Cfalse&amp;language=en&amp;avg=&amp;cid=7096533" TargetMode="External"/><Relationship Id="rId46" Type="http://schemas.openxmlformats.org/officeDocument/2006/relationships/hyperlink" Target="https://curia.europa.eu/jcms/upload/docs/application/pdf/2018-02/cp180014en.pdf" TargetMode="External"/><Relationship Id="rId293" Type="http://schemas.openxmlformats.org/officeDocument/2006/relationships/hyperlink" Target="http://curia.europa.eu/juris/liste.jsf?oqp=&amp;for=&amp;mat=or&amp;jge=&amp;td=%3BALL&amp;jur=C%2CT%2CF&amp;num=C-323%252F17&amp;page=1&amp;dates=&amp;pcs=Oor&amp;lg=&amp;pro=&amp;nat=or&amp;cit=none%252CC%252CCJ%252CR%252C2008E%252C%252C%252C%252C%252C%252C%252C%252C%252C%252Ctrue%252Cfalse%252Cfalse&amp;language=en&amp;avg=&amp;cid=5125671" TargetMode="External"/><Relationship Id="rId307" Type="http://schemas.openxmlformats.org/officeDocument/2006/relationships/hyperlink" Target="https://eur-lex.europa.eu/legal-content/EN/TXT/?qid=1521645914219&amp;uri=CELEX:32011L0070" TargetMode="External"/><Relationship Id="rId349" Type="http://schemas.openxmlformats.org/officeDocument/2006/relationships/hyperlink" Target="https://eur-lex.europa.eu/legal-content/EN/TXT/?qid=1521646247233&amp;uri=CELEX:32012L0027" TargetMode="External"/><Relationship Id="rId514" Type="http://schemas.openxmlformats.org/officeDocument/2006/relationships/hyperlink" Target="https://eur-lex.europa.eu/legal-content/EN/TXT/PDF/?uri=CELEX:32013L0059&amp;from=EN" TargetMode="External"/><Relationship Id="rId556" Type="http://schemas.openxmlformats.org/officeDocument/2006/relationships/hyperlink" Target="http://europa.eu/rapid/press-release_MEMO-18-4486_en.htm" TargetMode="External"/><Relationship Id="rId88" Type="http://schemas.openxmlformats.org/officeDocument/2006/relationships/hyperlink" Target="https://eur-lex.europa.eu/legal-content/EN/TXT/?uri=OJ%3AJOL_2014_127_R_0001" TargetMode="External"/><Relationship Id="rId111" Type="http://schemas.openxmlformats.org/officeDocument/2006/relationships/hyperlink" Target="https://eur-lex.europa.eu/eli/dir/2017/1564/oj" TargetMode="External"/><Relationship Id="rId153" Type="http://schemas.openxmlformats.org/officeDocument/2006/relationships/hyperlink" Target="http://curia.europa.eu/juris/liste.jsf?language=en&amp;num=c-541/16&amp;td=ALL" TargetMode="External"/><Relationship Id="rId195" Type="http://schemas.openxmlformats.org/officeDocument/2006/relationships/hyperlink" Target="http://curia.europa.eu/juris/liste.jsf?oqp=&amp;for=&amp;mat=or&amp;jge=&amp;td=%3BALL&amp;jur=C%2CT%2CF&amp;num=C-210%252F16&amp;page=1&amp;dates=&amp;pcs=Oor&amp;lg=&amp;pro=&amp;nat=or&amp;cit=none%252CC%252CCJ%252CR%252C2008E%252C%252C%252C%252C%252C%252C%252C%252C%252C%252Ctrue%252Cfalse%252Cfalse&amp;language=fr&amp;avg=&amp;cid=10006124" TargetMode="External"/><Relationship Id="rId209" Type="http://schemas.openxmlformats.org/officeDocument/2006/relationships/hyperlink" Target="https://eur-lex.europa.eu/legal-content/EN/TXT/?qid=1545563673652&amp;uri=CELEX:32004R0261" TargetMode="External"/><Relationship Id="rId360" Type="http://schemas.openxmlformats.org/officeDocument/2006/relationships/hyperlink" Target="https://eur-lex.europa.eu/legal-content/EN/TXT/?uri=CELEX%3A32015L2366" TargetMode="External"/><Relationship Id="rId416" Type="http://schemas.openxmlformats.org/officeDocument/2006/relationships/hyperlink" Target="https://eur-lex.europa.eu/legal-content/EN/TXT/?uri=CELEX%3A32005L0036" TargetMode="External"/><Relationship Id="rId598" Type="http://schemas.openxmlformats.org/officeDocument/2006/relationships/hyperlink" Target="https://eur-lex.europa.eu/legal-content/EN/TXT/?uri=CELEX%3A32017L2096" TargetMode="External"/><Relationship Id="rId220" Type="http://schemas.openxmlformats.org/officeDocument/2006/relationships/hyperlink" Target="http://curia.europa.eu/juris/liste.jsf?oqp=&amp;for=&amp;mat=or&amp;jge=&amp;td=%3BALL&amp;jur=C%2CT%2CF&amp;num=C-382%252F16&amp;page=1&amp;dates=&amp;pcs=Oor&amp;lg=&amp;pro=&amp;nat=or&amp;cit=none%252CC%252CCJ%252CR%252C2008E%252C%252C%252C%252C%252C%252C%252C%252C%252C%252Ctrue%252Cfalse%252Cfalse&amp;language=en&amp;avg=&amp;cid=5118021" TargetMode="External"/><Relationship Id="rId458" Type="http://schemas.openxmlformats.org/officeDocument/2006/relationships/hyperlink" Target="http://europa.eu/rapid/press-release_MEMO-18-4486_en.htm" TargetMode="External"/><Relationship Id="rId623" Type="http://schemas.openxmlformats.org/officeDocument/2006/relationships/hyperlink" Target="https://eur-lex.europa.eu/legal-content/EN/TXT/?qid=1551714718598&amp;uri=CELEX:31986R4055" TargetMode="External"/><Relationship Id="rId665" Type="http://schemas.openxmlformats.org/officeDocument/2006/relationships/hyperlink" Target="https://eur-lex.europa.eu/legal-content/EN/ALL/?uri=CELEX%3A32014L0054" TargetMode="External"/><Relationship Id="rId15" Type="http://schemas.openxmlformats.org/officeDocument/2006/relationships/hyperlink" Target="https://eur-lex.europa.eu/legal-content/EN/TXT/?uri=CELEX:32016L0097" TargetMode="External"/><Relationship Id="rId57" Type="http://schemas.openxmlformats.org/officeDocument/2006/relationships/hyperlink" Target="https://eur-lex.europa.eu/legal-content/EN/TXT/?qid=1521646057107&amp;uri=CELEX:32009L0072" TargetMode="External"/><Relationship Id="rId262" Type="http://schemas.openxmlformats.org/officeDocument/2006/relationships/hyperlink" Target="https://eur-lex.europa.eu/legal-content/EN/TXT/?uri=CELEX%3A32017L1279" TargetMode="External"/><Relationship Id="rId318" Type="http://schemas.openxmlformats.org/officeDocument/2006/relationships/hyperlink" Target="http://europa.eu/rapid/press-release_MEMO-18-4486_en.htm" TargetMode="External"/><Relationship Id="rId525" Type="http://schemas.openxmlformats.org/officeDocument/2006/relationships/hyperlink" Target="http://curia.europa.eu/juris/liste.jsf?oqp=&amp;for=&amp;mat=or&amp;jge=&amp;td=%3BALL&amp;jur=C%2CT%2CF&amp;num=644%252F18&amp;page=1&amp;dates=&amp;pcs=Oor&amp;lg=&amp;pro=&amp;nat=or&amp;cit=none%252CC%252CCJ%252CR%252C2008E%252C%252C%252C%252C%252C%252C%252C%252C%252C%252Ctrue%252Cfalse%252Cfalse&amp;language=en&amp;avg=&amp;cid=7012349" TargetMode="External"/><Relationship Id="rId567" Type="http://schemas.openxmlformats.org/officeDocument/2006/relationships/hyperlink" Target="https://eur-lex.europa.eu/legal-content/EN/TXT/?uri=CELEX:32016L0097" TargetMode="External"/><Relationship Id="rId99" Type="http://schemas.openxmlformats.org/officeDocument/2006/relationships/hyperlink" Target="http://europa.eu/rapid/press-release_MEMO-18-4486_en.htm" TargetMode="External"/><Relationship Id="rId122" Type="http://schemas.openxmlformats.org/officeDocument/2006/relationships/hyperlink" Target="https://eur-lex.europa.eu/legal-content/EN/TXT/?uri=CELEX%3A32014L0042" TargetMode="External"/><Relationship Id="rId164" Type="http://schemas.openxmlformats.org/officeDocument/2006/relationships/hyperlink" Target="http://europa.eu/rapid/press-release_MEMO-18-4486_en.htm" TargetMode="External"/><Relationship Id="rId371" Type="http://schemas.openxmlformats.org/officeDocument/2006/relationships/hyperlink" Target="https://eur-lex.europa.eu/legal-content/EN/TXT/?uri=CELEX:32000L0060" TargetMode="External"/><Relationship Id="rId427" Type="http://schemas.openxmlformats.org/officeDocument/2006/relationships/hyperlink" Target="https://eur-lex.europa.eu/legal-content/EN/TXT/?uri=CELEX:32017L0164" TargetMode="External"/><Relationship Id="rId469" Type="http://schemas.openxmlformats.org/officeDocument/2006/relationships/hyperlink" Target="https://eur-lex.europa.eu/legal-content/EN/TXT/?uri=uriserv:OJ.L_.2016.194.01.0001.01.ENG" TargetMode="External"/><Relationship Id="rId634" Type="http://schemas.openxmlformats.org/officeDocument/2006/relationships/hyperlink" Target="http://curia.europa.eu/juris/liste.jsf?oqp=&amp;for=&amp;mat=or&amp;jge=&amp;td=%3BALL&amp;jur=C%2CT%2CF&amp;num=C-531%252F16&amp;page=1&amp;dates=&amp;pcs=Oor&amp;lg=&amp;pro=&amp;nat=or&amp;cit=none%252CC%252CCJ%252CR%252C2008E%252C%252C%252C%252C%252C%252C%252C%252C%252C%252Ctrue%252Cfalse%252Cfalse&amp;language=en&amp;avg=&amp;cid=8582251" TargetMode="External"/><Relationship Id="rId26" Type="http://schemas.openxmlformats.org/officeDocument/2006/relationships/hyperlink" Target="https://eur-lex.europa.eu/legal-content/EN/ALL/?uri=CELEX%3A32008L0050" TargetMode="External"/><Relationship Id="rId231" Type="http://schemas.openxmlformats.org/officeDocument/2006/relationships/hyperlink" Target="https://eur-lex.europa.eu/legal-content/EN/TXT/?qid=1521645914219&amp;uri=CELEX:32011L0070" TargetMode="External"/><Relationship Id="rId273" Type="http://schemas.openxmlformats.org/officeDocument/2006/relationships/hyperlink" Target="http://curia.europa.eu/juris/liste.jsf?language=fr&amp;num=C-261/18&amp;td=ALL" TargetMode="External"/><Relationship Id="rId329" Type="http://schemas.openxmlformats.org/officeDocument/2006/relationships/hyperlink" Target="http://curia.europa.eu/juris/liste.jsf?oqp=&amp;for=&amp;mat=or&amp;jge=&amp;td=%3BALL&amp;jur=C%2CT%2CF&amp;num=C-36%252F18&amp;page=1&amp;dates=&amp;pcs=Oor&amp;lg=&amp;pro=&amp;nat=or&amp;cit=none%252CC%252CCJ%252CR%252C2008E%252C%252C%252C%252C%252C%252C%252C%252C%252C%252Ctrue%252Cfalse%252Cfalse&amp;language=en&amp;avg=&amp;cid=6371351" TargetMode="External"/><Relationship Id="rId480" Type="http://schemas.openxmlformats.org/officeDocument/2006/relationships/hyperlink" Target="https://eur-lex.europa.eu/legal-content/EN/TXT/PDF/?uri=CELEX:02008R0300-20100201&amp;qid=1547198924371&amp;from=EN" TargetMode="External"/><Relationship Id="rId536" Type="http://schemas.openxmlformats.org/officeDocument/2006/relationships/hyperlink" Target="https://eur-lex.europa.eu/legal-content/EN/TXT/?uri=uriserv%3AOJ.L_.2014.349.01.0001.01.ENG" TargetMode="External"/><Relationship Id="rId68" Type="http://schemas.openxmlformats.org/officeDocument/2006/relationships/hyperlink" Target="https://eur-lex.europa.eu/legal-content/EN/TXT/?uri=CELEX%3A32005L0036" TargetMode="External"/><Relationship Id="rId133" Type="http://schemas.openxmlformats.org/officeDocument/2006/relationships/hyperlink" Target="http://europa.eu/rapid/press-release_IP-18-357_en.htm" TargetMode="External"/><Relationship Id="rId175" Type="http://schemas.openxmlformats.org/officeDocument/2006/relationships/hyperlink" Target="https://eur-lex.europa.eu/legal-content/EN/ALL/?uri=CELEX%3A32008L0050" TargetMode="External"/><Relationship Id="rId340" Type="http://schemas.openxmlformats.org/officeDocument/2006/relationships/hyperlink" Target="http://curia.europa.eu/juris/liste.jsf?oqp=&amp;for=&amp;mat=or&amp;jge=&amp;td=%3BALL&amp;jur=C%2CT%2CF&amp;num=C-328%252F16&amp;page=1&amp;dates=&amp;pcs=Oor&amp;lg=&amp;pro=&amp;nat=or&amp;cit=none%252CC%252CCJ%252CR%252C2008E%252C%252C%252C%252C%252C%252C%252C%252C%252C%252Ctrue%252Cfalse%252Cfalse&amp;language=en&amp;avg=&amp;cid=12703267" TargetMode="External"/><Relationship Id="rId578" Type="http://schemas.openxmlformats.org/officeDocument/2006/relationships/hyperlink" Target="https://eur-lex.europa.eu/legal-content/EN/TXT/?qid=1553100289621&amp;uri=CELEX:32009L0138" TargetMode="External"/><Relationship Id="rId200" Type="http://schemas.openxmlformats.org/officeDocument/2006/relationships/hyperlink" Target="http://curia.europa.eu/juris/liste.jsf?language=en&amp;num=c-447/16&amp;td=ALL" TargetMode="External"/><Relationship Id="rId382" Type="http://schemas.openxmlformats.org/officeDocument/2006/relationships/hyperlink" Target="https://eur-lex.europa.eu/legal-content/EN/TXT/?uri=uriserv%3AOJ.L_.2013.039.01.0001.01.ENG" TargetMode="External"/><Relationship Id="rId438" Type="http://schemas.openxmlformats.org/officeDocument/2006/relationships/hyperlink" Target="http://europa.eu/rapid/press-release_IP-18-353_en.htm" TargetMode="External"/><Relationship Id="rId603" Type="http://schemas.openxmlformats.org/officeDocument/2006/relationships/hyperlink" Target="https://eur-lex.europa.eu/legal-content/EN/TXT/?qid=1521645914219&amp;uri=CELEX:32011L0070" TargetMode="External"/><Relationship Id="rId645" Type="http://schemas.openxmlformats.org/officeDocument/2006/relationships/hyperlink" Target="https://eur-lex.europa.eu/legal-content/EN/TXT/?uri=CELEX%3A32015L2193" TargetMode="External"/><Relationship Id="rId242" Type="http://schemas.openxmlformats.org/officeDocument/2006/relationships/hyperlink" Target="https://eur-lex.europa.eu/legal-content/EN/TXT/?uri=CELEX%3A32016L0680" TargetMode="External"/><Relationship Id="rId284" Type="http://schemas.openxmlformats.org/officeDocument/2006/relationships/hyperlink" Target="https://eur-lex.europa.eu/eli/dir/2016/1214/oj" TargetMode="External"/><Relationship Id="rId491" Type="http://schemas.openxmlformats.org/officeDocument/2006/relationships/hyperlink" Target="https://eur-lex.europa.eu/legal-content/EN/TXT/?uri=CELEX:32013L0011" TargetMode="External"/><Relationship Id="rId505" Type="http://schemas.openxmlformats.org/officeDocument/2006/relationships/hyperlink" Target="http://europa.eu/rapid/press-release_MEMO-18-6247_en.htm" TargetMode="External"/><Relationship Id="rId37" Type="http://schemas.openxmlformats.org/officeDocument/2006/relationships/hyperlink" Target="https://curia.europa.eu/jcms/upload/docs/application/pdf/2018-07/cp180117en.pdf" TargetMode="External"/><Relationship Id="rId79" Type="http://schemas.openxmlformats.org/officeDocument/2006/relationships/hyperlink" Target="https://eur-lex.europa.eu/legal-content/EN/TXT/?uri=uriserv:OJ.L_.2016.194.01.0001.01.ENG" TargetMode="External"/><Relationship Id="rId102" Type="http://schemas.openxmlformats.org/officeDocument/2006/relationships/hyperlink" Target="https://eur-lex.europa.eu/legal-content/EN/TXT/?qid=1521645914219&amp;uri=CELEX:32011L0070" TargetMode="External"/><Relationship Id="rId144" Type="http://schemas.openxmlformats.org/officeDocument/2006/relationships/hyperlink" Target="https://eur-lex.europa.eu/legal-content/en/ALL/?uri=CELEX:32009R1072https://eur-lex.europa.eu/legal-content/EN/TXT/PDF/?uri=CELEX:02009R1072-20130701&amp;qid=1548342199248&amp;from=FR" TargetMode="External"/><Relationship Id="rId547" Type="http://schemas.openxmlformats.org/officeDocument/2006/relationships/hyperlink" Target="http://curia.europa.eu/juris/liste.jsf?oqp=&amp;for=&amp;mat=or&amp;jge=&amp;td=%3BALL&amp;jur=C%2CT%2CF&amp;num=C-331%252F17&amp;page=1&amp;dates=&amp;pcs=Oor&amp;lg=&amp;pro=&amp;nat=or&amp;cit=none%252CC%252CCJ%252CR%252C2008E%252C%252C%252C%252C%252C%252C%252C%252C%252C%252Ctrue%252Cfalse%252Cfalse&amp;language=en&amp;avg=&amp;cid=13718918" TargetMode="External"/><Relationship Id="rId589" Type="http://schemas.openxmlformats.org/officeDocument/2006/relationships/hyperlink" Target="https://eur-lex.europa.eu/legal-content/EN/TXT/?qid=1521645914219&amp;uri=CELEX:32011L0070" TargetMode="External"/><Relationship Id="rId90" Type="http://schemas.openxmlformats.org/officeDocument/2006/relationships/hyperlink" Target="https://eur-lex.europa.eu/legal-content/EN/TXT/?uri=CELEX%3A32017L1279" TargetMode="External"/><Relationship Id="rId186" Type="http://schemas.openxmlformats.org/officeDocument/2006/relationships/hyperlink" Target="https://eur-lex.europa.eu/legal-content/en/ALL/?uri=CELEX:31991L0676" TargetMode="External"/><Relationship Id="rId351" Type="http://schemas.openxmlformats.org/officeDocument/2006/relationships/hyperlink" Target="https://eur-lex.europa.eu/legal-content/EN/TXT/?qid=1521645914219&amp;uri=CELEX:32011L0070" TargetMode="External"/><Relationship Id="rId393" Type="http://schemas.openxmlformats.org/officeDocument/2006/relationships/hyperlink" Target="https://eur-lex.europa.eu/legal-content/en/TXT/?uri=CELEX%3A32015L2392" TargetMode="External"/><Relationship Id="rId407" Type="http://schemas.openxmlformats.org/officeDocument/2006/relationships/hyperlink" Target="http://curia.europa.eu/juris/liste.jsf?oqp=&amp;for=&amp;mat=or&amp;jge=&amp;td=%3BALL&amp;jur=C%2CT%2CF&amp;num=C-190%252F17&amp;page=1&amp;dates=&amp;pcs=Oor&amp;lg=&amp;pro=&amp;nat=or&amp;cit=none%252CC%252CCJ%252CR%252C2008E%252C%252C%252C%252C%252C%252C%252C%252C%252C%252Ctrue%252Cfalse%252Cfalse&amp;language=en&amp;avg=&amp;cid=5118021" TargetMode="External"/><Relationship Id="rId449" Type="http://schemas.openxmlformats.org/officeDocument/2006/relationships/hyperlink" Target="http://curia.europa.eu/juris/liste.jsf?oqp=&amp;for=&amp;mat=or&amp;jge=&amp;td=%3BALL&amp;jur=C%2CT%2CF&amp;num=C-647%252F16&amp;page=1&amp;dates=&amp;pcs=Oor&amp;lg=&amp;pro=&amp;nat=or&amp;cit=none%252CC%252CCJ%252CR%252C2008E%252C%252C%252C%252C%252C%252C%252C%252C%252C%252Ctrue%252Cfalse%252Cfalse&amp;language=en&amp;avg=&amp;cid=5121066" TargetMode="External"/><Relationship Id="rId614" Type="http://schemas.openxmlformats.org/officeDocument/2006/relationships/hyperlink" Target="http://eur-lex.europa.eu/legal-content/EN/TXT/?uri=celex%3A32014L0065" TargetMode="External"/><Relationship Id="rId656" Type="http://schemas.openxmlformats.org/officeDocument/2006/relationships/hyperlink" Target="http://curia.europa.eu/juris/liste.jsf?oqp=&amp;for=&amp;mat=or&amp;jge=&amp;td=%3BALL&amp;jur=C%2CT%2CF&amp;num=88%252F18&amp;page=1&amp;dates=&amp;pcs=Oor&amp;lg=&amp;pro=&amp;nat=or&amp;cit=none%252CC%252CCJ%252CR%252C2008E%252C%252C%252C%252C%252C%252C%252C%252C%252C%252Ctrue%252Cfalse%252Cfalse&amp;language=en&amp;avg=&amp;cid=7096533" TargetMode="External"/><Relationship Id="rId211" Type="http://schemas.openxmlformats.org/officeDocument/2006/relationships/hyperlink" Target="https://eur-lex.europa.eu/legal-content/EN/TXT/?qid=1545563673652&amp;uri=CELEX:32004R0261" TargetMode="External"/><Relationship Id="rId253" Type="http://schemas.openxmlformats.org/officeDocument/2006/relationships/hyperlink" Target="https://eur-lex.europa.eu/legal-content/EN/TXT/?qid=1521645914219&amp;uri=CELEX:32011L0070" TargetMode="External"/><Relationship Id="rId295" Type="http://schemas.openxmlformats.org/officeDocument/2006/relationships/hyperlink" Target="http://curia.europa.eu/juris/liste.jsf?oqp=&amp;for=&amp;mat=or&amp;jge=&amp;td=%3BALL&amp;jur=C%2CT%2CF&amp;num=C-167%252F17&amp;page=1&amp;dates=&amp;pcs=Oor&amp;lg=&amp;pro=&amp;nat=or&amp;cit=none%252CC%252CCJ%252CR%252C2008E%252C%252C%252C%252C%252C%252C%252C%252C%252C%252Ctrue%252Cfalse%252Cfalse&amp;language=en&amp;avg=&amp;cid=5125671" TargetMode="External"/><Relationship Id="rId309" Type="http://schemas.openxmlformats.org/officeDocument/2006/relationships/hyperlink" Target="https://eur-lex.europa.eu/legal-content/EN/TXT/?uri=CELEX%3A31992L0043" TargetMode="External"/><Relationship Id="rId460" Type="http://schemas.openxmlformats.org/officeDocument/2006/relationships/hyperlink" Target="http://europa.eu/rapid/press-release_MEMO-18-3986_en.htm" TargetMode="External"/><Relationship Id="rId516" Type="http://schemas.openxmlformats.org/officeDocument/2006/relationships/hyperlink" Target="https://eur-lex.europa.eu/eli/dir/2017/1564/oj" TargetMode="External"/><Relationship Id="rId48" Type="http://schemas.openxmlformats.org/officeDocument/2006/relationships/hyperlink" Target="https://curia.europa.eu/jcms/upload/docs/application/pdf/2018-06/cp180088en.pdf" TargetMode="External"/><Relationship Id="rId113" Type="http://schemas.openxmlformats.org/officeDocument/2006/relationships/hyperlink" Target="https://eur-lex.europa.eu/legal-content/en/ALL/?uri=CELEX:32002L0020" TargetMode="External"/><Relationship Id="rId320" Type="http://schemas.openxmlformats.org/officeDocument/2006/relationships/hyperlink" Target="https://eur-lex.europa.eu/eli/dir/2017/1564/oj" TargetMode="External"/><Relationship Id="rId558" Type="http://schemas.openxmlformats.org/officeDocument/2006/relationships/hyperlink" Target="http://europa.eu/rapid/press-release_MEMO-18-4486_en.htm" TargetMode="External"/><Relationship Id="rId155" Type="http://schemas.openxmlformats.org/officeDocument/2006/relationships/hyperlink" Target="http://curia.europa.eu/juris/liste.jsf?oqp=&amp;for=&amp;mat=or&amp;jge=&amp;td=%3BALL&amp;jur=C%2CT%2CF&amp;num=C-230%252F17&amp;page=1&amp;dates=&amp;pcs=Oor&amp;lg=&amp;pro=&amp;nat=or&amp;cit=none%252CC%252CCJ%252CR%252C2008E%252C%252C%252C%252C%252C%252C%252C%252C%252C%252Ctrue%252Cfalse%252Cfalse&amp;language=fr&amp;avg=&amp;cid=10006124" TargetMode="External"/><Relationship Id="rId197" Type="http://schemas.openxmlformats.org/officeDocument/2006/relationships/hyperlink" Target="http://curia.europa.eu/juris/liste.jsf?oqp=&amp;for=&amp;mat=or&amp;jge=&amp;td=%3BALL&amp;jur=C%2CT%2CF&amp;num=C-284%252F16&amp;page=1&amp;dates=&amp;pcs=Oor&amp;lg=&amp;pro=&amp;nat=or&amp;cit=none%252CC%252CCJ%252CR%252C2008E%252C%252C%252C%252C%252C%252C%252C%252C%252C%252Ctrue%252Cfalse%252Cfalse&amp;language=en&amp;avg=&amp;cid=9171156" TargetMode="External"/><Relationship Id="rId362" Type="http://schemas.openxmlformats.org/officeDocument/2006/relationships/hyperlink" Target="https://eur-lex.europa.eu/legal-content/EN/TXT/?uri=celex%3A32014L0065" TargetMode="External"/><Relationship Id="rId418" Type="http://schemas.openxmlformats.org/officeDocument/2006/relationships/hyperlink" Target="https://eur-lex.europa.eu/legal-content/EN/TXT/?uri=CELEX%3A32015L2193" TargetMode="External"/><Relationship Id="rId625" Type="http://schemas.openxmlformats.org/officeDocument/2006/relationships/hyperlink" Target="https://eur-lex.europa.eu/legal-content/EN/TXT/?qid=1551712492254&amp;uri=CELEX:32006L0017" TargetMode="External"/><Relationship Id="rId222" Type="http://schemas.openxmlformats.org/officeDocument/2006/relationships/hyperlink" Target="http://curia.europa.eu/juris/liste.jsf?oqp=&amp;for=&amp;mat=or&amp;jge=&amp;td=%3BALL&amp;jur=C%2CT%2CF&amp;num=C-367%252F17&amp;page=1&amp;dates=&amp;pcs=Oor&amp;lg=&amp;pro=&amp;nat=or&amp;cit=none%252CC%252CCJ%252CR%252C2008E%252C%252C%252C%252C%252C%252C%252C%252C%252C%252Ctrue%252Cfalse%252Cfalse&amp;language=en&amp;avg=&amp;cid=9101901" TargetMode="External"/><Relationship Id="rId264" Type="http://schemas.openxmlformats.org/officeDocument/2006/relationships/hyperlink" Target="https://eur-lex.europa.eu/legal-content/EN/TXT/PDF/?uri=CELEX:32013L0059&amp;from=EN" TargetMode="External"/><Relationship Id="rId471" Type="http://schemas.openxmlformats.org/officeDocument/2006/relationships/hyperlink" Target="https://eur-lex.europa.eu/legal-content/EN/TXT/?uri=CELEX%3A32016L2102" TargetMode="External"/><Relationship Id="rId667" Type="http://schemas.openxmlformats.org/officeDocument/2006/relationships/hyperlink" Target="https://eur-lex.europa.eu/legal-content/EN/TXT/?uri=CELEX:32012L0013" TargetMode="External"/><Relationship Id="rId17" Type="http://schemas.openxmlformats.org/officeDocument/2006/relationships/hyperlink" Target="http://europa.eu/rapid/press-release_MEMO-18-3986_en.htm" TargetMode="External"/><Relationship Id="rId59" Type="http://schemas.openxmlformats.org/officeDocument/2006/relationships/hyperlink" Target="http://europa.eu/rapid/press-release_MEMO-18-349_en.htm" TargetMode="External"/><Relationship Id="rId124" Type="http://schemas.openxmlformats.org/officeDocument/2006/relationships/hyperlink" Target="https://eur-lex.europa.eu/legal-content/EN/TXT/PDF/?uri=CELEX:02006L0126-20180722&amp;qid=1545524302898&amp;from=EN" TargetMode="External"/><Relationship Id="rId527" Type="http://schemas.openxmlformats.org/officeDocument/2006/relationships/hyperlink" Target="http://curia.europa.eu/juris/liste.jsf?oqp=&amp;for=&amp;mat=or&amp;jge=&amp;td=%3BALL&amp;jur=C%2CT%2CF&amp;num=481%252F18&amp;page=1&amp;dates=&amp;pcs=Oor&amp;lg=&amp;pro=&amp;nat=or&amp;cit=none%252CC%252CCJ%252CR%252C2008E%252C%252C%252C%252C%252C%252C%252C%252C%252C%252Ctrue%252Cfalse%252Cfalse&amp;language=en&amp;avg=&amp;cid=7012349" TargetMode="External"/><Relationship Id="rId569" Type="http://schemas.openxmlformats.org/officeDocument/2006/relationships/hyperlink" Target="https://eur-lex.europa.eu/eli/dir_impl/2018/100/oj" TargetMode="External"/><Relationship Id="rId70" Type="http://schemas.openxmlformats.org/officeDocument/2006/relationships/hyperlink" Target="http://europa.eu/rapid/press-release_MEMO-18-6247_EN.htm" TargetMode="External"/><Relationship Id="rId166" Type="http://schemas.openxmlformats.org/officeDocument/2006/relationships/hyperlink" Target="http://europa.eu/rapid/press-release_MEMO-18-4486_en.htm" TargetMode="External"/><Relationship Id="rId331" Type="http://schemas.openxmlformats.org/officeDocument/2006/relationships/hyperlink" Target="https://eur-lex.europa.eu/legal-content/EN/TXT/?uri=CELEX:32003L0088" TargetMode="External"/><Relationship Id="rId373" Type="http://schemas.openxmlformats.org/officeDocument/2006/relationships/hyperlink" Target="http://europa.eu/rapid/press-release_IP-18-1445_en.htm" TargetMode="External"/><Relationship Id="rId429" Type="http://schemas.openxmlformats.org/officeDocument/2006/relationships/hyperlink" Target="http://europa.eu/rapid/press-release_MEMO-18-6247_en.htm" TargetMode="External"/><Relationship Id="rId580" Type="http://schemas.openxmlformats.org/officeDocument/2006/relationships/hyperlink" Target="https://eur-lex.europa.eu/eli/dir/2016/1214/oj" TargetMode="External"/><Relationship Id="rId636" Type="http://schemas.openxmlformats.org/officeDocument/2006/relationships/hyperlink" Target="https://eur-lex.europa.eu/legal-content/EN/TXT/?uri=CELEX%3A32005L0036" TargetMode="External"/><Relationship Id="rId1" Type="http://schemas.openxmlformats.org/officeDocument/2006/relationships/hyperlink" Target="https://eur-lex.europa.eu/legal-content/en/TXT/?uri=CELEX%3A32017D0899" TargetMode="External"/><Relationship Id="rId233" Type="http://schemas.openxmlformats.org/officeDocument/2006/relationships/hyperlink" Target="https://eur-lex.europa.eu/legal-content/EN/TXT/?qid=1521645914219&amp;uri=CELEX:32011L0070" TargetMode="External"/><Relationship Id="rId440" Type="http://schemas.openxmlformats.org/officeDocument/2006/relationships/hyperlink" Target="https://eur-lex.europa.eu/legal-content/EN/TXT/?uri=OJ%3AJOL_2014_127_R_0001" TargetMode="External"/><Relationship Id="rId28" Type="http://schemas.openxmlformats.org/officeDocument/2006/relationships/hyperlink" Target="https://eur-lex.europa.eu/legal-content/EN/TXT/?qid=1551821083425&amp;uri=CELEX:32013L0051" TargetMode="External"/><Relationship Id="rId275" Type="http://schemas.openxmlformats.org/officeDocument/2006/relationships/hyperlink" Target="http://curia.europa.eu/juris/liste.jsf?oqp=&amp;for=&amp;mat=or&amp;lgrec=fr&amp;jge=&amp;td=%3BALL&amp;jur=C%2CT%2CF&amp;num=550%252F18&amp;page=1&amp;dates=&amp;pcs=Oor&amp;lg=&amp;pro=&amp;nat=or&amp;cit=none%252CC%252CCJ%252CR%252C2008E%252C%252C%252C%252C%252C%252C%252C%252C%252C%252Ctrue%252Cfalse%252Cfalse&amp;language=en&amp;avg=&amp;cid=13249526" TargetMode="External"/><Relationship Id="rId300" Type="http://schemas.openxmlformats.org/officeDocument/2006/relationships/hyperlink" Target="https://eur-lex.europa.eu/legal-content/EN/TXT/?uri=CELEX%3A32005L0036" TargetMode="External"/><Relationship Id="rId482" Type="http://schemas.openxmlformats.org/officeDocument/2006/relationships/hyperlink" Target="http://europa.eu/rapid/press-release_MEMO-18-1444_en.htm" TargetMode="External"/><Relationship Id="rId538" Type="http://schemas.openxmlformats.org/officeDocument/2006/relationships/hyperlink" Target="https://eur-lex.europa.eu/eli/dir/2016/1214/oj" TargetMode="External"/><Relationship Id="rId81" Type="http://schemas.openxmlformats.org/officeDocument/2006/relationships/hyperlink" Target="https://eur-lex.europa.eu/legal-content/EN/TXT/?uri=CELEX%3A32016L2102" TargetMode="External"/><Relationship Id="rId135" Type="http://schemas.openxmlformats.org/officeDocument/2006/relationships/hyperlink" Target="http://europa.eu/rapid/press-release_MEMO-18-349_en.htm" TargetMode="External"/><Relationship Id="rId177" Type="http://schemas.openxmlformats.org/officeDocument/2006/relationships/hyperlink" Target="http://curia.europa.eu/juris/liste.jsf?oqp=&amp;for=&amp;mat=or&amp;jge=&amp;td=%3BALL&amp;jur=C%2CT%2CF&amp;num=635%252F18&amp;page=1&amp;dates=&amp;pcs=Oor&amp;lg=&amp;pro=&amp;nat=or&amp;cit=none%252CC%252CCJ%252CR%252C2008E%252C%252C%252C%252C%252C%252C%252C%252C%252C%252Ctrue%252Cfalse%252Cfalse&amp;language=fr&amp;avg=&amp;cid=6985262" TargetMode="External"/><Relationship Id="rId342" Type="http://schemas.openxmlformats.org/officeDocument/2006/relationships/hyperlink" Target="http://curia.europa.eu/juris/liste.jsf?oqp=&amp;for=&amp;mat=or&amp;jge=&amp;td=%3BALL&amp;jur=C%2CT%2CF&amp;num=C-590%252F16&amp;page=1&amp;dates=&amp;pcs=Oor&amp;lg=&amp;pro=&amp;nat=or&amp;cit=none%252CC%252CCJ%252CR%252C2008E%252C%252C%252C%252C%252C%252C%252C%252C%252C%252Ctrue%252Cfalse%252Cfalse&amp;language=en&amp;avg=&amp;cid=5118021" TargetMode="External"/><Relationship Id="rId384" Type="http://schemas.openxmlformats.org/officeDocument/2006/relationships/hyperlink" Target="https://eur-lex.europa.eu/legal-content/en/ALL/?uri=CELEX%3A32006L0115" TargetMode="External"/><Relationship Id="rId591" Type="http://schemas.openxmlformats.org/officeDocument/2006/relationships/hyperlink" Target="https://eur-lex.europa.eu/legal-content/EN/TXT/?uri=CELEX%3A32015L2366" TargetMode="External"/><Relationship Id="rId605" Type="http://schemas.openxmlformats.org/officeDocument/2006/relationships/hyperlink" Target="http://europa.eu/rapid/press-release_MEMO-18-1444_en.htm" TargetMode="External"/><Relationship Id="rId202" Type="http://schemas.openxmlformats.org/officeDocument/2006/relationships/hyperlink" Target="https://curia.europa.eu/jcms/upload/docs/application/pdf/2018-03/cp180028en.pdf" TargetMode="External"/><Relationship Id="rId244" Type="http://schemas.openxmlformats.org/officeDocument/2006/relationships/hyperlink" Target="https://eur-lex.europa.eu/legal-content/EN/TXT/?uri=uriserv%3AOJ.L_.2014.349.01.0001.01.ENG" TargetMode="External"/><Relationship Id="rId647" Type="http://schemas.openxmlformats.org/officeDocument/2006/relationships/hyperlink" Target="http://europa.eu/rapid/press-release_MEMO-18-4486_en.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143.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144.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145.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146.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147.xlsx"/><Relationship Id="rId1" Type="http://schemas.openxmlformats.org/officeDocument/2006/relationships/themeOverride" Target="../theme/themeOverride147.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148.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9.xlsx"/><Relationship Id="rId1" Type="http://schemas.openxmlformats.org/officeDocument/2006/relationships/themeOverride" Target="../theme/themeOverride14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150.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151.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152.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153.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154.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155.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156.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157.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158.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15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60.xlsx"/><Relationship Id="rId1" Type="http://schemas.openxmlformats.org/officeDocument/2006/relationships/themeOverride" Target="../theme/themeOverride160.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61.xlsx"/><Relationship Id="rId1" Type="http://schemas.openxmlformats.org/officeDocument/2006/relationships/themeOverride" Target="../theme/themeOverride161.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162.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163.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164.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Microsoft_Excel_Worksheet165.xlsx"/><Relationship Id="rId1" Type="http://schemas.openxmlformats.org/officeDocument/2006/relationships/themeOverride" Target="../theme/themeOverride165.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Excel_Worksheet166.xlsx"/><Relationship Id="rId1" Type="http://schemas.openxmlformats.org/officeDocument/2006/relationships/themeOverride" Target="../theme/themeOverride166.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Excel_Worksheet167.xlsx"/><Relationship Id="rId1" Type="http://schemas.openxmlformats.org/officeDocument/2006/relationships/themeOverride" Target="../theme/themeOverride167.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Excel_Worksheet168.xlsx"/><Relationship Id="rId1" Type="http://schemas.openxmlformats.org/officeDocument/2006/relationships/themeOverride" Target="../theme/themeOverride168.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Microsoft_Excel_Worksheet169.xlsx"/><Relationship Id="rId1" Type="http://schemas.openxmlformats.org/officeDocument/2006/relationships/themeOverride" Target="../theme/themeOverride16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124</c:v>
                </c:pt>
                <c:pt idx="1">
                  <c:v>106</c:v>
                </c:pt>
                <c:pt idx="2">
                  <c:v>134</c:v>
                </c:pt>
                <c:pt idx="3">
                  <c:v>101</c:v>
                </c:pt>
                <c:pt idx="4">
                  <c:v>126</c:v>
                </c:pt>
              </c:numCache>
            </c:numRef>
          </c:val>
          <c:smooth val="0"/>
          <c:extLst xmlns:c16r2="http://schemas.microsoft.com/office/drawing/2015/06/chart">
            <c:ext xmlns:c16="http://schemas.microsoft.com/office/drawing/2014/chart" uri="{C3380CC4-5D6E-409C-BE32-E72D297353CC}">
              <c16:uniqueId val="{00000004-A265-4059-9636-C71B5AF0C23E}"/>
            </c:ext>
          </c:extLst>
        </c:ser>
        <c:dLbls>
          <c:dLblPos val="t"/>
          <c:showLegendKey val="0"/>
          <c:showVal val="1"/>
          <c:showCatName val="0"/>
          <c:showSerName val="0"/>
          <c:showPercent val="0"/>
          <c:showBubbleSize val="0"/>
        </c:dLbls>
        <c:marker val="1"/>
        <c:smooth val="0"/>
        <c:axId val="64684032"/>
        <c:axId val="64686720"/>
      </c:lineChart>
      <c:catAx>
        <c:axId val="64684032"/>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64686720"/>
        <c:crosses val="autoZero"/>
        <c:auto val="1"/>
        <c:lblAlgn val="ctr"/>
        <c:lblOffset val="100"/>
        <c:noMultiLvlLbl val="0"/>
      </c:catAx>
      <c:valAx>
        <c:axId val="64686720"/>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64684032"/>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11240385996529E-2"/>
          <c:y val="9.1535261548594551E-2"/>
          <c:w val="0.93909191583610185"/>
          <c:h val="0.7964197530864197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40</c:v>
                </c:pt>
                <c:pt idx="1">
                  <c:v>28</c:v>
                </c:pt>
                <c:pt idx="2">
                  <c:v>43</c:v>
                </c:pt>
                <c:pt idx="3">
                  <c:v>23</c:v>
                </c:pt>
                <c:pt idx="4">
                  <c:v>20</c:v>
                </c:pt>
              </c:numCache>
            </c:numRef>
          </c:val>
          <c:smooth val="0"/>
          <c:extLst xmlns:c16r2="http://schemas.microsoft.com/office/drawing/2015/06/chart">
            <c:ext xmlns:c16="http://schemas.microsoft.com/office/drawing/2014/chart" uri="{C3380CC4-5D6E-409C-BE32-E72D297353CC}">
              <c16:uniqueId val="{00000004-F01D-4710-A9C6-8B46801A1154}"/>
            </c:ext>
          </c:extLst>
        </c:ser>
        <c:dLbls>
          <c:dLblPos val="b"/>
          <c:showLegendKey val="0"/>
          <c:showVal val="1"/>
          <c:showCatName val="0"/>
          <c:showSerName val="0"/>
          <c:showPercent val="0"/>
          <c:showBubbleSize val="0"/>
        </c:dLbls>
        <c:marker val="1"/>
        <c:smooth val="0"/>
        <c:axId val="106384768"/>
        <c:axId val="106416384"/>
      </c:lineChart>
      <c:catAx>
        <c:axId val="106384768"/>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416384"/>
        <c:crosses val="autoZero"/>
        <c:auto val="1"/>
        <c:lblAlgn val="ctr"/>
        <c:lblOffset val="100"/>
        <c:noMultiLvlLbl val="0"/>
      </c:catAx>
      <c:valAx>
        <c:axId val="106416384"/>
        <c:scaling>
          <c:orientation val="minMax"/>
          <c:min val="15"/>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06384768"/>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France</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859105847063235"/>
          <c:y val="2.5367779440793041E-2"/>
        </c:manualLayout>
      </c:layout>
      <c:overlay val="0"/>
    </c:title>
    <c:autoTitleDeleted val="0"/>
    <c:plotArea>
      <c:layout/>
      <c:pieChart>
        <c:varyColors val="1"/>
        <c:ser>
          <c:idx val="0"/>
          <c:order val="0"/>
          <c:tx>
            <c:strRef>
              <c:f>Blad1!$A$3:$A$6</c:f>
              <c:strCache>
                <c:ptCount val="4"/>
                <c:pt idx="0">
                  <c:v>Environment</c:v>
                </c:pt>
                <c:pt idx="1">
                  <c:v>Energy</c:v>
                </c:pt>
                <c:pt idx="2">
                  <c:v>Health and food safety</c:v>
                </c:pt>
                <c:pt idx="3">
                  <c:v>Mobility and transport</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DAD-4544-B1C8-9353036B01FD}"/>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DAD-4544-B1C8-9353036B01FD}"/>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DAD-4544-B1C8-9353036B01FD}"/>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DAD-4544-B1C8-9353036B01FD}"/>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DAD-4544-B1C8-9353036B01FD}"/>
              </c:ext>
            </c:extLst>
          </c:dPt>
          <c:dLbls>
            <c:dLbl>
              <c:idx val="0"/>
              <c:layout>
                <c:manualLayout>
                  <c:x val="-5.9308253773078037E-2"/>
                  <c:y val="-3.104062346816577E-2"/>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AD-4544-B1C8-9353036B01FD}"/>
                </c:ext>
              </c:extLst>
            </c:dLbl>
            <c:dLbl>
              <c:idx val="1"/>
              <c:layout>
                <c:manualLayout>
                  <c:x val="-2.7199755370384552E-2"/>
                  <c:y val="6.303059635276081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AD-4544-B1C8-9353036B01FD}"/>
                </c:ext>
              </c:extLst>
            </c:dLbl>
            <c:dLbl>
              <c:idx val="2"/>
              <c:layout>
                <c:manualLayout>
                  <c:x val="-1.6452605309582202E-2"/>
                  <c:y val="3.94723333084941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AD-4544-B1C8-9353036B01FD}"/>
                </c:ext>
              </c:extLst>
            </c:dLbl>
            <c:dLbl>
              <c:idx val="3"/>
              <c:layout>
                <c:manualLayout>
                  <c:x val="6.1124736457123189E-3"/>
                  <c:y val="-3.149564900601935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AD-4544-B1C8-9353036B01FD}"/>
                </c:ext>
              </c:extLst>
            </c:dLbl>
            <c:dLbl>
              <c:idx val="4"/>
              <c:layout>
                <c:manualLayout>
                  <c:x val="4.6178735854739472E-2"/>
                  <c:y val="-1.0846435993598416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DAD-4544-B1C8-9353036B01FD}"/>
                </c:ext>
              </c:extLst>
            </c:dLbl>
            <c:dLbl>
              <c:idx val="5"/>
              <c:layout>
                <c:manualLayout>
                  <c:x val="-7.9495614035087717E-2"/>
                  <c:y val="-0.1727642276422764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DAD-4544-B1C8-9353036B01FD}"/>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Energy</c:v>
                </c:pt>
                <c:pt idx="2">
                  <c:v>Health and food safety</c:v>
                </c:pt>
                <c:pt idx="3">
                  <c:v>Mobility and transport</c:v>
                </c:pt>
              </c:strCache>
            </c:strRef>
          </c:cat>
          <c:val>
            <c:numRef>
              <c:f>Blad1!$B$3:$B$6</c:f>
              <c:numCache>
                <c:formatCode>General</c:formatCode>
                <c:ptCount val="4"/>
                <c:pt idx="0">
                  <c:v>1</c:v>
                </c:pt>
                <c:pt idx="1">
                  <c:v>3</c:v>
                </c:pt>
                <c:pt idx="2">
                  <c:v>1</c:v>
                </c:pt>
                <c:pt idx="3">
                  <c:v>1</c:v>
                </c:pt>
              </c:numCache>
            </c:numRef>
          </c:val>
          <c:extLst xmlns:c16r2="http://schemas.microsoft.com/office/drawing/2015/06/chart">
            <c:ext xmlns:c16="http://schemas.microsoft.com/office/drawing/2014/chart" uri="{C3380CC4-5D6E-409C-BE32-E72D297353CC}">
              <c16:uniqueId val="{0000000B-EDAD-4544-B1C8-9353036B01FD}"/>
            </c:ext>
          </c:extLst>
        </c:ser>
        <c:dLbls>
          <c:showLegendKey val="0"/>
          <c:showVal val="0"/>
          <c:showCatName val="0"/>
          <c:showSerName val="0"/>
          <c:showPercent val="0"/>
          <c:showBubbleSize val="0"/>
          <c:showLeaderLines val="0"/>
        </c:dLbls>
        <c:firstSliceAng val="16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France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040700302796726E-2"/>
                  <c:y val="7.49863070121243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DFC-44E0-B9EC-421BBA6F5079}"/>
                </c:ext>
              </c:extLst>
            </c:dLbl>
            <c:dLbl>
              <c:idx val="1"/>
              <c:layout>
                <c:manualLayout>
                  <c:x val="-5.084708277636299E-2"/>
                  <c:y val="7.18594858447368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FC-44E0-B9EC-421BBA6F5079}"/>
                </c:ext>
              </c:extLst>
            </c:dLbl>
            <c:dLbl>
              <c:idx val="2"/>
              <c:layout>
                <c:manualLayout>
                  <c:x val="-4.5709837695319062E-2"/>
                  <c:y val="-5.72883940425644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FC-44E0-B9EC-421BBA6F5079}"/>
                </c:ext>
              </c:extLst>
            </c:dLbl>
            <c:dLbl>
              <c:idx val="3"/>
              <c:layout>
                <c:manualLayout>
                  <c:x val="-5.0953977716849931E-2"/>
                  <c:y val="-6.490958246245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FC-44E0-B9EC-421BBA6F5079}"/>
                </c:ext>
              </c:extLst>
            </c:dLbl>
            <c:dLbl>
              <c:idx val="4"/>
              <c:layout>
                <c:manualLayout>
                  <c:x val="-5.2688003551794829E-2"/>
                  <c:y val="-5.88926174496644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FC-44E0-B9EC-421BBA6F5079}"/>
                </c:ext>
              </c:extLst>
            </c:dLbl>
            <c:spPr>
              <a:noFill/>
              <a:ln w="25417">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0.75</c:v>
                </c:pt>
                <c:pt idx="1">
                  <c:v>0.68</c:v>
                </c:pt>
                <c:pt idx="2">
                  <c:v>0.74</c:v>
                </c:pt>
                <c:pt idx="3">
                  <c:v>0.84</c:v>
                </c:pt>
                <c:pt idx="4">
                  <c:v>0.8</c:v>
                </c:pt>
              </c:numCache>
            </c:numRef>
          </c:val>
          <c:smooth val="0"/>
          <c:extLst xmlns:c16r2="http://schemas.microsoft.com/office/drawing/2015/06/chart">
            <c:ext xmlns:c16="http://schemas.microsoft.com/office/drawing/2014/chart" uri="{C3380CC4-5D6E-409C-BE32-E72D297353CC}">
              <c16:uniqueId val="{00000004-4DFC-44E0-B9EC-421BBA6F5079}"/>
            </c:ext>
          </c:extLst>
        </c:ser>
        <c:ser>
          <c:idx val="1"/>
          <c:order val="1"/>
          <c:tx>
            <c:strRef>
              <c:f>Blad1!$C$2</c:f>
              <c:strCache>
                <c:ptCount val="1"/>
                <c:pt idx="0">
                  <c:v>General rate for all Member States</c:v>
                </c:pt>
              </c:strCache>
            </c:strRef>
          </c:tx>
          <c:spPr>
            <a:ln w="25417">
              <a:solidFill>
                <a:srgbClr val="92D050"/>
              </a:solidFill>
            </a:ln>
          </c:spPr>
          <c:marker>
            <c:symbol val="square"/>
            <c:size val="5"/>
            <c:spPr>
              <a:solidFill>
                <a:srgbClr val="92D050"/>
              </a:solidFill>
              <a:ln>
                <a:solidFill>
                  <a:srgbClr val="92D050"/>
                </a:solidFill>
              </a:ln>
            </c:spPr>
          </c:marker>
          <c:dLbls>
            <c:dLbl>
              <c:idx val="0"/>
              <c:layout>
                <c:manualLayout>
                  <c:x val="-6.0794383353877546E-2"/>
                  <c:y val="-5.82913780184822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DFC-44E0-B9EC-421BBA6F5079}"/>
                </c:ext>
              </c:extLst>
            </c:dLbl>
            <c:dLbl>
              <c:idx val="1"/>
              <c:layout>
                <c:manualLayout>
                  <c:x val="-4.7129177006529695E-2"/>
                  <c:y val="-5.23760072561881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FC-44E0-B9EC-421BBA6F5079}"/>
                </c:ext>
              </c:extLst>
            </c:dLbl>
            <c:dLbl>
              <c:idx val="2"/>
              <c:layout>
                <c:manualLayout>
                  <c:x val="-4.3558495708482636E-2"/>
                  <c:y val="5.6469005648083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FC-44E0-B9EC-421BBA6F5079}"/>
                </c:ext>
              </c:extLst>
            </c:dLbl>
            <c:dLbl>
              <c:idx val="3"/>
              <c:layout>
                <c:manualLayout>
                  <c:x val="-4.6295357882244918E-2"/>
                  <c:y val="5.0612860892388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FC-44E0-B9EC-421BBA6F5079}"/>
                </c:ext>
              </c:extLst>
            </c:dLbl>
            <c:dLbl>
              <c:idx val="4"/>
              <c:layout>
                <c:manualLayout>
                  <c:x val="-4.4396129588279078E-2"/>
                  <c:y val="7.0078299776286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FC-44E0-B9EC-421BBA6F5079}"/>
                </c:ext>
              </c:extLst>
            </c:dLbl>
            <c:spPr>
              <a:noFill/>
              <a:ln w="25417">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9-4DFC-44E0-B9EC-421BBA6F5079}"/>
            </c:ext>
          </c:extLst>
        </c:ser>
        <c:dLbls>
          <c:showLegendKey val="0"/>
          <c:showVal val="0"/>
          <c:showCatName val="0"/>
          <c:showSerName val="0"/>
          <c:showPercent val="0"/>
          <c:showBubbleSize val="0"/>
        </c:dLbls>
        <c:marker val="1"/>
        <c:smooth val="0"/>
        <c:axId val="120075776"/>
        <c:axId val="120077312"/>
      </c:lineChart>
      <c:catAx>
        <c:axId val="12007577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0077312"/>
        <c:crosses val="autoZero"/>
        <c:auto val="1"/>
        <c:lblAlgn val="ctr"/>
        <c:lblOffset val="100"/>
        <c:noMultiLvlLbl val="0"/>
      </c:catAx>
      <c:valAx>
        <c:axId val="120077312"/>
        <c:scaling>
          <c:orientation val="minMax"/>
          <c:min val="0.5"/>
        </c:scaling>
        <c:delete val="1"/>
        <c:axPos val="l"/>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extTo"/>
        <c:crossAx val="120075776"/>
        <c:crosses val="autoZero"/>
        <c:crossBetween val="between"/>
      </c:valAx>
      <c:spPr>
        <a:noFill/>
        <a:ln w="25417">
          <a:noFill/>
        </a:ln>
      </c:spPr>
    </c:plotArea>
    <c:legend>
      <c:legendPos val="b"/>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78</c:v>
                </c:pt>
                <c:pt idx="1">
                  <c:v>80</c:v>
                </c:pt>
                <c:pt idx="2">
                  <c:v>83</c:v>
                </c:pt>
                <c:pt idx="3">
                  <c:v>65</c:v>
                </c:pt>
                <c:pt idx="4">
                  <c:v>62</c:v>
                </c:pt>
              </c:numCache>
            </c:numRef>
          </c:val>
          <c:smooth val="0"/>
          <c:extLst xmlns:c16r2="http://schemas.microsoft.com/office/drawing/2015/06/chart">
            <c:ext xmlns:c16="http://schemas.microsoft.com/office/drawing/2014/chart" uri="{C3380CC4-5D6E-409C-BE32-E72D297353CC}">
              <c16:uniqueId val="{00000001-861C-4612-9578-5F5F61F003F6}"/>
            </c:ext>
          </c:extLst>
        </c:ser>
        <c:dLbls>
          <c:dLblPos val="b"/>
          <c:showLegendKey val="0"/>
          <c:showVal val="1"/>
          <c:showCatName val="0"/>
          <c:showSerName val="0"/>
          <c:showPercent val="0"/>
          <c:showBubbleSize val="0"/>
        </c:dLbls>
        <c:marker val="1"/>
        <c:smooth val="0"/>
        <c:axId val="120113408"/>
        <c:axId val="120128640"/>
      </c:lineChart>
      <c:catAx>
        <c:axId val="120113408"/>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0128640"/>
        <c:crosses val="autoZero"/>
        <c:auto val="1"/>
        <c:lblAlgn val="ctr"/>
        <c:lblOffset val="100"/>
        <c:noMultiLvlLbl val="0"/>
      </c:catAx>
      <c:valAx>
        <c:axId val="120128640"/>
        <c:scaling>
          <c:orientation val="minMax"/>
          <c:min val="55"/>
        </c:scaling>
        <c:delete val="1"/>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one"/>
        <c:crossAx val="120113408"/>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38946702014006"/>
          <c:y val="3.2787012734519297E-2"/>
        </c:manualLayout>
      </c:layout>
      <c:overlay val="0"/>
      <c:spPr>
        <a:noFill/>
        <a:ln w="25321">
          <a:noFill/>
        </a:ln>
      </c:spPr>
    </c:title>
    <c:autoTitleDeleted val="0"/>
    <c:plotArea>
      <c:layout/>
      <c:pieChart>
        <c:varyColors val="1"/>
        <c:ser>
          <c:idx val="0"/>
          <c:order val="0"/>
          <c:tx>
            <c:strRef>
              <c:f>Blad1!$B$1</c:f>
              <c:strCache>
                <c:ptCount val="1"/>
                <c:pt idx="0">
                  <c:v>[Number of infringement cases] infringement cases against France</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751-44D2-8878-9DE5D9AB70A8}"/>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751-44D2-8878-9DE5D9AB70A8}"/>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751-44D2-8878-9DE5D9AB70A8}"/>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751-44D2-8878-9DE5D9AB70A8}"/>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751-44D2-8878-9DE5D9AB70A8}"/>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751-44D2-8878-9DE5D9AB70A8}"/>
              </c:ext>
            </c:extLst>
          </c:dPt>
          <c:dPt>
            <c:idx val="6"/>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B355-4900-99C1-EF5BC5640577}"/>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B355-4900-99C1-EF5BC564057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51-44D2-8878-9DE5D9AB70A8}"/>
                </c:ext>
              </c:extLst>
            </c:dLbl>
            <c:dLbl>
              <c:idx val="1"/>
              <c:layout>
                <c:manualLayout>
                  <c:x val="9.9213257890502383E-3"/>
                  <c:y val="3.97787930829634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275414693766296"/>
                      <c:h val="0.26872449585777086"/>
                    </c:manualLayout>
                  </c15:layout>
                </c:ext>
                <c:ext xmlns:c16="http://schemas.microsoft.com/office/drawing/2014/chart" uri="{C3380CC4-5D6E-409C-BE32-E72D297353CC}">
                  <c16:uniqueId val="{00000003-B751-44D2-8878-9DE5D9AB70A8}"/>
                </c:ext>
              </c:extLst>
            </c:dLbl>
            <c:dLbl>
              <c:idx val="2"/>
              <c:layout>
                <c:manualLayout>
                  <c:x val="-8.0366179101984112E-2"/>
                  <c:y val="9.27163734162858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51-44D2-8878-9DE5D9AB70A8}"/>
                </c:ext>
              </c:extLst>
            </c:dLbl>
            <c:dLbl>
              <c:idx val="3"/>
              <c:layout>
                <c:manualLayout>
                  <c:x val="-4.3320056098515324E-2"/>
                  <c:y val="-2.19478737997256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51-44D2-8878-9DE5D9AB70A8}"/>
                </c:ext>
              </c:extLst>
            </c:dLbl>
            <c:dLbl>
              <c:idx val="4"/>
              <c:layout>
                <c:manualLayout>
                  <c:x val="-1.9566335615084315E-3"/>
                  <c:y val="-3.84096432390396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51-44D2-8878-9DE5D9AB70A8}"/>
                </c:ext>
              </c:extLst>
            </c:dLbl>
            <c:dLbl>
              <c:idx val="5"/>
              <c:layout>
                <c:manualLayout>
                  <c:x val="1.3596416025886109E-2"/>
                  <c:y val="-5.39334435047470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751-44D2-8878-9DE5D9AB70A8}"/>
                </c:ext>
              </c:extLst>
            </c:dLbl>
            <c:spPr>
              <a:noFill/>
              <a:ln w="25321">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Internal market, industry, entrepreneurship and SMEs</c:v>
                </c:pt>
                <c:pt idx="2">
                  <c:v>Mobility and transport</c:v>
                </c:pt>
                <c:pt idx="3">
                  <c:v>Communication networks</c:v>
                </c:pt>
                <c:pt idx="4">
                  <c:v>Justice and consumers</c:v>
                </c:pt>
                <c:pt idx="5">
                  <c:v>Migration and home affairs</c:v>
                </c:pt>
                <c:pt idx="6">
                  <c:v>Employment</c:v>
                </c:pt>
                <c:pt idx="7">
                  <c:v>Other</c:v>
                </c:pt>
              </c:strCache>
            </c:strRef>
          </c:cat>
          <c:val>
            <c:numRef>
              <c:f>Blad1!$B$2:$B$9</c:f>
              <c:numCache>
                <c:formatCode>General</c:formatCode>
                <c:ptCount val="8"/>
                <c:pt idx="0">
                  <c:v>0</c:v>
                </c:pt>
                <c:pt idx="1">
                  <c:v>4</c:v>
                </c:pt>
                <c:pt idx="2">
                  <c:v>4</c:v>
                </c:pt>
                <c:pt idx="3">
                  <c:v>3</c:v>
                </c:pt>
                <c:pt idx="4">
                  <c:v>2</c:v>
                </c:pt>
                <c:pt idx="5">
                  <c:v>2</c:v>
                </c:pt>
                <c:pt idx="6">
                  <c:v>2</c:v>
                </c:pt>
                <c:pt idx="7">
                  <c:v>3</c:v>
                </c:pt>
              </c:numCache>
            </c:numRef>
          </c:val>
          <c:extLst xmlns:c16r2="http://schemas.microsoft.com/office/drawing/2015/06/chart">
            <c:ext xmlns:c16="http://schemas.microsoft.com/office/drawing/2014/chart" uri="{C3380CC4-5D6E-409C-BE32-E72D297353CC}">
              <c16:uniqueId val="{0000000C-B751-44D2-8878-9DE5D9AB70A8}"/>
            </c:ext>
          </c:extLst>
        </c:ser>
        <c:dLbls>
          <c:showLegendKey val="0"/>
          <c:showVal val="0"/>
          <c:showCatName val="0"/>
          <c:showSerName val="0"/>
          <c:showPercent val="0"/>
          <c:showBubbleSize val="0"/>
          <c:showLeaderLines val="0"/>
        </c:dLbls>
        <c:firstSliceAng val="241"/>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17</c:v>
                </c:pt>
                <c:pt idx="1">
                  <c:v>24</c:v>
                </c:pt>
                <c:pt idx="2">
                  <c:v>35</c:v>
                </c:pt>
                <c:pt idx="3">
                  <c:v>26</c:v>
                </c:pt>
                <c:pt idx="4">
                  <c:v>26</c:v>
                </c:pt>
              </c:numCache>
            </c:numRef>
          </c:val>
          <c:smooth val="0"/>
          <c:extLst xmlns:c16r2="http://schemas.microsoft.com/office/drawing/2015/06/chart">
            <c:ext xmlns:c16="http://schemas.microsoft.com/office/drawing/2014/chart" uri="{C3380CC4-5D6E-409C-BE32-E72D297353CC}">
              <c16:uniqueId val="{00000001-A30A-4A93-83FE-C17205F0A9B8}"/>
            </c:ext>
          </c:extLst>
        </c:ser>
        <c:dLbls>
          <c:dLblPos val="b"/>
          <c:showLegendKey val="0"/>
          <c:showVal val="1"/>
          <c:showCatName val="0"/>
          <c:showSerName val="0"/>
          <c:showPercent val="0"/>
          <c:showBubbleSize val="0"/>
        </c:dLbls>
        <c:marker val="1"/>
        <c:smooth val="0"/>
        <c:axId val="120253824"/>
        <c:axId val="119871744"/>
      </c:lineChart>
      <c:catAx>
        <c:axId val="12025382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871744"/>
        <c:crosses val="autoZero"/>
        <c:auto val="1"/>
        <c:lblAlgn val="ctr"/>
        <c:lblOffset val="100"/>
        <c:noMultiLvlLbl val="0"/>
      </c:catAx>
      <c:valAx>
        <c:axId val="119871744"/>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2025382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19</c:v>
                </c:pt>
                <c:pt idx="1">
                  <c:v>22</c:v>
                </c:pt>
                <c:pt idx="2">
                  <c:v>33</c:v>
                </c:pt>
                <c:pt idx="3">
                  <c:v>15</c:v>
                </c:pt>
                <c:pt idx="4">
                  <c:v>17</c:v>
                </c:pt>
              </c:numCache>
            </c:numRef>
          </c:val>
          <c:smooth val="0"/>
          <c:extLst xmlns:c16r2="http://schemas.microsoft.com/office/drawing/2015/06/chart">
            <c:ext xmlns:c16="http://schemas.microsoft.com/office/drawing/2014/chart" uri="{C3380CC4-5D6E-409C-BE32-E72D297353CC}">
              <c16:uniqueId val="{00000001-3567-43F6-9328-A02A8592AE73}"/>
            </c:ext>
          </c:extLst>
        </c:ser>
        <c:dLbls>
          <c:dLblPos val="b"/>
          <c:showLegendKey val="0"/>
          <c:showVal val="1"/>
          <c:showCatName val="0"/>
          <c:showSerName val="0"/>
          <c:showPercent val="0"/>
          <c:showBubbleSize val="0"/>
        </c:dLbls>
        <c:marker val="1"/>
        <c:smooth val="0"/>
        <c:axId val="119964800"/>
        <c:axId val="119971840"/>
      </c:lineChart>
      <c:catAx>
        <c:axId val="119964800"/>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971840"/>
        <c:crosses val="autoZero"/>
        <c:auto val="1"/>
        <c:lblAlgn val="ctr"/>
        <c:lblOffset val="100"/>
        <c:noMultiLvlLbl val="0"/>
      </c:catAx>
      <c:valAx>
        <c:axId val="119971840"/>
        <c:scaling>
          <c:orientation val="minMax"/>
          <c:min val="5"/>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19964800"/>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29036476446"/>
          <c:y val="1.9607886173472814E-2"/>
        </c:manualLayout>
      </c:layout>
      <c:overlay val="0"/>
      <c:spPr>
        <a:noFill/>
        <a:ln w="25340">
          <a:noFill/>
        </a:ln>
      </c:spPr>
    </c:title>
    <c:autoTitleDeleted val="0"/>
    <c:plotArea>
      <c:layout>
        <c:manualLayout>
          <c:layoutTarget val="inner"/>
          <c:xMode val="edge"/>
          <c:yMode val="edge"/>
          <c:x val="0.33278387338696208"/>
          <c:y val="0.23546156167627263"/>
          <c:w val="0.31907066309626858"/>
          <c:h val="0.61684714363800197"/>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F3B-4053-9120-BEA06E711BE0}"/>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F3B-4053-9120-BEA06E711BE0}"/>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F3B-4053-9120-BEA06E711BE0}"/>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CF3B-4053-9120-BEA06E711BE0}"/>
              </c:ext>
            </c:extLst>
          </c:dPt>
          <c:dPt>
            <c:idx val="4"/>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F3B-4053-9120-BEA06E711BE0}"/>
              </c:ext>
            </c:extLst>
          </c:dPt>
          <c:dPt>
            <c:idx val="5"/>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CF3B-4053-9120-BEA06E711BE0}"/>
              </c:ext>
            </c:extLst>
          </c:dPt>
          <c:dPt>
            <c:idx val="6"/>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F3B-4053-9120-BEA06E711BE0}"/>
              </c:ext>
            </c:extLst>
          </c:dPt>
          <c:dPt>
            <c:idx val="7"/>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F3B-4053-9120-BEA06E711BE0}"/>
              </c:ext>
            </c:extLst>
          </c:dPt>
          <c:dPt>
            <c:idx val="8"/>
            <c:bubble3D val="0"/>
            <c:spPr>
              <a:solidFill>
                <a:srgbClr val="FF7DFF"/>
              </a:solidFill>
              <a:ln>
                <a:solidFill>
                  <a:srgbClr val="FF7DFF"/>
                </a:solidFill>
              </a:ln>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9EBB-4C78-972D-D46A5769CC98}"/>
              </c:ext>
            </c:extLst>
          </c:dPt>
          <c:dLbls>
            <c:dLbl>
              <c:idx val="0"/>
              <c:layout>
                <c:manualLayout>
                  <c:x val="-2.7727713849993035E-3"/>
                  <c:y val="-7.2366657732511386E-2"/>
                </c:manualLayout>
              </c:layout>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3162749672234406"/>
                      <c:h val="0.26789085698246445"/>
                    </c:manualLayout>
                  </c15:layout>
                </c:ext>
                <c:ext xmlns:c16="http://schemas.microsoft.com/office/drawing/2014/chart" uri="{C3380CC4-5D6E-409C-BE32-E72D297353CC}">
                  <c16:uniqueId val="{00000001-CF3B-4053-9120-BEA06E711BE0}"/>
                </c:ext>
              </c:extLst>
            </c:dLbl>
            <c:dLbl>
              <c:idx val="1"/>
              <c:layout>
                <c:manualLayout>
                  <c:x val="-5.545542769998614E-3"/>
                  <c:y val="6.4325917984454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3B-4053-9120-BEA06E711BE0}"/>
                </c:ext>
              </c:extLst>
            </c:dLbl>
            <c:dLbl>
              <c:idx val="2"/>
              <c:layout>
                <c:manualLayout>
                  <c:x val="-3.3273256619991781E-2"/>
                  <c:y val="2.68024658268560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3B-4053-9120-BEA06E711BE0}"/>
                </c:ext>
              </c:extLst>
            </c:dLbl>
            <c:dLbl>
              <c:idx val="3"/>
              <c:layout>
                <c:manualLayout>
                  <c:x val="-2.7727713849993067E-2"/>
                  <c:y val="-3.752345215759850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3B-4053-9120-BEA06E711BE0}"/>
                </c:ext>
              </c:extLst>
            </c:dLbl>
            <c:dLbl>
              <c:idx val="4"/>
              <c:layout>
                <c:manualLayout>
                  <c:x val="2.772771384999307E-3"/>
                  <c:y val="-6.9686411149825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3B-4053-9120-BEA06E711BE0}"/>
                </c:ext>
              </c:extLst>
            </c:dLbl>
            <c:dLbl>
              <c:idx val="5"/>
              <c:layout>
                <c:manualLayout>
                  <c:x val="4.4364342159988808E-2"/>
                  <c:y val="-4.2883945322969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3B-4053-9120-BEA06E711BE0}"/>
                </c:ext>
              </c:extLst>
            </c:dLbl>
            <c:dLbl>
              <c:idx val="6"/>
              <c:layout>
                <c:manualLayout>
                  <c:x val="0.10916400942742276"/>
                  <c:y val="2.68024658268560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3B-4053-9120-BEA06E711BE0}"/>
                </c:ext>
              </c:extLst>
            </c:dLbl>
            <c:dLbl>
              <c:idx val="7"/>
              <c:layout>
                <c:manualLayout>
                  <c:x val="1.5510053479555177E-3"/>
                  <c:y val="0"/>
                </c:manualLayout>
              </c:layout>
              <c:spPr>
                <a:noFill/>
                <a:ln>
                  <a:noFill/>
                </a:ln>
                <a:effectLst/>
              </c:spPr>
              <c:txPr>
                <a:bodyPr wrap="square" lIns="38100" tIns="19050" rIns="38100" bIns="19050" anchor="ctr">
                  <a:noAutofit/>
                </a:bodyPr>
                <a:lstStyle/>
                <a:p>
                  <a:pPr>
                    <a:defRPr sz="8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5558424148873804"/>
                      <c:h val="0.23036740482486592"/>
                    </c:manualLayout>
                  </c15:layout>
                </c:ext>
                <c:ext xmlns:c16="http://schemas.microsoft.com/office/drawing/2014/chart" uri="{C3380CC4-5D6E-409C-BE32-E72D297353CC}">
                  <c16:uniqueId val="{0000000A-CF3B-4053-9120-BEA06E711BE0}"/>
                </c:ext>
              </c:extLst>
            </c:dLbl>
            <c:dLbl>
              <c:idx val="8"/>
              <c:layout>
                <c:manualLayout>
                  <c:x val="-3.6046028004990988E-2"/>
                  <c:y val="-0.1393728222996515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BB-4C78-972D-D46A5769CC98}"/>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Blad1!$A$4:$A$12</c:f>
              <c:strCache>
                <c:ptCount val="9"/>
                <c:pt idx="0">
                  <c:v>Internal market, industry, entrepreneurship and SMEs</c:v>
                </c:pt>
                <c:pt idx="1">
                  <c:v>Communication networks</c:v>
                </c:pt>
                <c:pt idx="2">
                  <c:v>Justice and consumers</c:v>
                </c:pt>
                <c:pt idx="3">
                  <c:v>Migration and home affairs</c:v>
                </c:pt>
                <c:pt idx="4">
                  <c:v>Employment</c:v>
                </c:pt>
                <c:pt idx="5">
                  <c:v>Mobility and transport</c:v>
                </c:pt>
                <c:pt idx="6">
                  <c:v>Environment</c:v>
                </c:pt>
                <c:pt idx="7">
                  <c:v>Financial stability, financial services and Capital Markets Union</c:v>
                </c:pt>
                <c:pt idx="8">
                  <c:v>Health and food safety</c:v>
                </c:pt>
              </c:strCache>
            </c:strRef>
          </c:cat>
          <c:val>
            <c:numRef>
              <c:f>Blad1!$B$4:$B$12</c:f>
              <c:numCache>
                <c:formatCode>General</c:formatCode>
                <c:ptCount val="9"/>
                <c:pt idx="0">
                  <c:v>3</c:v>
                </c:pt>
                <c:pt idx="1">
                  <c:v>3</c:v>
                </c:pt>
                <c:pt idx="2">
                  <c:v>2</c:v>
                </c:pt>
                <c:pt idx="3">
                  <c:v>2</c:v>
                </c:pt>
                <c:pt idx="4">
                  <c:v>2</c:v>
                </c:pt>
                <c:pt idx="5">
                  <c:v>2</c:v>
                </c:pt>
                <c:pt idx="6">
                  <c:v>1</c:v>
                </c:pt>
                <c:pt idx="7">
                  <c:v>1</c:v>
                </c:pt>
                <c:pt idx="8">
                  <c:v>1</c:v>
                </c:pt>
              </c:numCache>
            </c:numRef>
          </c:val>
          <c:extLst xmlns:c16r2="http://schemas.microsoft.com/office/drawing/2015/06/chart">
            <c:ext xmlns:c16="http://schemas.microsoft.com/office/drawing/2014/chart" uri="{C3380CC4-5D6E-409C-BE32-E72D297353CC}">
              <c16:uniqueId val="{0000000B-CF3B-4053-9120-BEA06E711BE0}"/>
            </c:ext>
          </c:extLst>
        </c:ser>
        <c:dLbls>
          <c:dLblPos val="outEnd"/>
          <c:showLegendKey val="0"/>
          <c:showVal val="1"/>
          <c:showCatName val="0"/>
          <c:showSerName val="0"/>
          <c:showPercent val="0"/>
          <c:showBubbleSize val="0"/>
          <c:showLeaderLines val="0"/>
        </c:dLbls>
        <c:firstSliceAng val="245"/>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8">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105</c:v>
                </c:pt>
                <c:pt idx="1">
                  <c:v>89</c:v>
                </c:pt>
                <c:pt idx="2">
                  <c:v>50</c:v>
                </c:pt>
                <c:pt idx="3">
                  <c:v>65</c:v>
                </c:pt>
                <c:pt idx="4">
                  <c:v>60</c:v>
                </c:pt>
              </c:numCache>
            </c:numRef>
          </c:val>
          <c:smooth val="0"/>
          <c:extLst xmlns:c16r2="http://schemas.microsoft.com/office/drawing/2015/06/chart">
            <c:ext xmlns:c16="http://schemas.microsoft.com/office/drawing/2014/chart" uri="{C3380CC4-5D6E-409C-BE32-E72D297353CC}">
              <c16:uniqueId val="{00000000-2F31-407C-BEA8-E786C519046A}"/>
            </c:ext>
          </c:extLst>
        </c:ser>
        <c:dLbls>
          <c:showLegendKey val="0"/>
          <c:showVal val="0"/>
          <c:showCatName val="0"/>
          <c:showSerName val="0"/>
          <c:showPercent val="0"/>
          <c:showBubbleSize val="0"/>
        </c:dLbls>
        <c:marker val="1"/>
        <c:smooth val="0"/>
        <c:axId val="120825344"/>
        <c:axId val="120826880"/>
      </c:lineChart>
      <c:catAx>
        <c:axId val="120825344"/>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0826880"/>
        <c:crosses val="autoZero"/>
        <c:auto val="1"/>
        <c:lblAlgn val="ctr"/>
        <c:lblOffset val="100"/>
        <c:noMultiLvlLbl val="0"/>
      </c:catAx>
      <c:valAx>
        <c:axId val="120826880"/>
        <c:scaling>
          <c:orientation val="minMax"/>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20825344"/>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60 complaints made against Croatia</a:t>
            </a: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9D5-4C8B-B020-F4629B4C7B2D}"/>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9D5-4C8B-B020-F4629B4C7B2D}"/>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9D5-4C8B-B020-F4629B4C7B2D}"/>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9D5-4C8B-B020-F4629B4C7B2D}"/>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9D5-4C8B-B020-F4629B4C7B2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D5-4C8B-B020-F4629B4C7B2D}"/>
                </c:ext>
              </c:extLst>
            </c:dLbl>
            <c:dLbl>
              <c:idx val="1"/>
              <c:layout>
                <c:manualLayout>
                  <c:x val="-5.4931961758486941E-2"/>
                  <c:y val="0.1333046927765951"/>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D5-4C8B-B020-F4629B4C7B2D}"/>
                </c:ext>
              </c:extLst>
            </c:dLbl>
            <c:dLbl>
              <c:idx val="2"/>
              <c:layout>
                <c:manualLayout>
                  <c:x val="-1.6377693457911614E-2"/>
                  <c:y val="6.5231760455370949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D5-4C8B-B020-F4629B4C7B2D}"/>
                </c:ext>
              </c:extLst>
            </c:dLbl>
            <c:dLbl>
              <c:idx val="3"/>
              <c:layout>
                <c:manualLayout>
                  <c:x val="-5.4839364892781284E-3"/>
                  <c:y val="7.608382692994671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9D5-4C8B-B020-F4629B4C7B2D}"/>
                </c:ext>
              </c:extLst>
            </c:dLbl>
            <c:dLbl>
              <c:idx val="4"/>
              <c:layout>
                <c:manualLayout>
                  <c:x val="-0.11803374331227258"/>
                  <c:y val="-0.162853298594399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9D5-4C8B-B020-F4629B4C7B2D}"/>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Taxation and customs</c:v>
                </c:pt>
                <c:pt idx="2">
                  <c:v>Justice and consumers</c:v>
                </c:pt>
                <c:pt idx="3">
                  <c:v>Agriculture and rural development</c:v>
                </c:pt>
                <c:pt idx="4">
                  <c:v>Other</c:v>
                </c:pt>
              </c:strCache>
            </c:strRef>
          </c:cat>
          <c:val>
            <c:numRef>
              <c:f>Blad1!$B$2:$B$6</c:f>
              <c:numCache>
                <c:formatCode>General</c:formatCode>
                <c:ptCount val="5"/>
                <c:pt idx="0">
                  <c:v>0</c:v>
                </c:pt>
                <c:pt idx="1">
                  <c:v>14</c:v>
                </c:pt>
                <c:pt idx="2">
                  <c:v>10</c:v>
                </c:pt>
                <c:pt idx="3">
                  <c:v>7</c:v>
                </c:pt>
                <c:pt idx="4">
                  <c:v>29</c:v>
                </c:pt>
              </c:numCache>
            </c:numRef>
          </c:val>
          <c:extLst xmlns:c16r2="http://schemas.microsoft.com/office/drawing/2015/06/chart">
            <c:ext xmlns:c16="http://schemas.microsoft.com/office/drawing/2014/chart" uri="{C3380CC4-5D6E-409C-BE32-E72D297353CC}">
              <c16:uniqueId val="{00000009-39D5-4C8B-B020-F4629B4C7B2D}"/>
            </c:ext>
          </c:extLst>
        </c:ser>
        <c:dLbls>
          <c:showLegendKey val="0"/>
          <c:showVal val="0"/>
          <c:showCatName val="0"/>
          <c:showSerName val="0"/>
          <c:showPercent val="0"/>
          <c:showBubbleSize val="0"/>
          <c:showLeaderLines val="0"/>
        </c:dLbls>
        <c:firstSliceAng val="279"/>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43</c:v>
                </c:pt>
                <c:pt idx="1">
                  <c:v>35</c:v>
                </c:pt>
                <c:pt idx="2">
                  <c:v>30</c:v>
                </c:pt>
                <c:pt idx="3">
                  <c:v>9</c:v>
                </c:pt>
                <c:pt idx="4">
                  <c:v>6</c:v>
                </c:pt>
              </c:numCache>
            </c:numRef>
          </c:val>
          <c:smooth val="0"/>
          <c:extLst xmlns:c16r2="http://schemas.microsoft.com/office/drawing/2015/06/chart">
            <c:ext xmlns:c16="http://schemas.microsoft.com/office/drawing/2014/chart" uri="{C3380CC4-5D6E-409C-BE32-E72D297353CC}">
              <c16:uniqueId val="{00000000-F5F9-4C39-A9B6-9976AC205E73}"/>
            </c:ext>
          </c:extLst>
        </c:ser>
        <c:dLbls>
          <c:showLegendKey val="0"/>
          <c:showVal val="0"/>
          <c:showCatName val="0"/>
          <c:showSerName val="0"/>
          <c:showPercent val="0"/>
          <c:showBubbleSize val="0"/>
        </c:dLbls>
        <c:marker val="1"/>
        <c:smooth val="0"/>
        <c:axId val="116720768"/>
        <c:axId val="116722304"/>
      </c:lineChart>
      <c:catAx>
        <c:axId val="116720768"/>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722304"/>
        <c:crosses val="autoZero"/>
        <c:auto val="1"/>
        <c:lblAlgn val="ctr"/>
        <c:lblOffset val="100"/>
        <c:noMultiLvlLbl val="0"/>
      </c:catAx>
      <c:valAx>
        <c:axId val="116722304"/>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16720768"/>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121528413599462"/>
          <c:y val="2.9411764705882353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293-419E-A5B8-829519898580}"/>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293-419E-A5B8-829519898580}"/>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293-419E-A5B8-829519898580}"/>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293-419E-A5B8-829519898580}"/>
              </c:ext>
            </c:extLst>
          </c:dPt>
          <c:dPt>
            <c:idx val="4"/>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293-419E-A5B8-829519898580}"/>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50A0-44B7-9857-CB0483D70572}"/>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50A0-44B7-9857-CB0483D70572}"/>
              </c:ext>
            </c:extLst>
          </c:dPt>
          <c:dLbls>
            <c:dLbl>
              <c:idx val="0"/>
              <c:layout>
                <c:manualLayout>
                  <c:x val="-2.7681660899654234E-3"/>
                  <c:y val="-8.8235294117647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93-419E-A5B8-829519898580}"/>
                </c:ext>
              </c:extLst>
            </c:dLbl>
            <c:dLbl>
              <c:idx val="1"/>
              <c:layout>
                <c:manualLayout>
                  <c:x val="2.7681660899653727E-3"/>
                  <c:y val="6.862745098039216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93-419E-A5B8-829519898580}"/>
                </c:ext>
              </c:extLst>
            </c:dLbl>
            <c:dLbl>
              <c:idx val="2"/>
              <c:layout>
                <c:manualLayout>
                  <c:x val="-1.9377162629757888E-2"/>
                  <c:y val="1.47058823529411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93-419E-A5B8-829519898580}"/>
                </c:ext>
              </c:extLst>
            </c:dLbl>
            <c:dLbl>
              <c:idx val="3"/>
              <c:layout>
                <c:manualLayout>
                  <c:x val="-2.2145328719723183E-2"/>
                  <c:y val="5.88235294117647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93-419E-A5B8-829519898580}"/>
                </c:ext>
              </c:extLst>
            </c:dLbl>
            <c:dLbl>
              <c:idx val="4"/>
              <c:layout>
                <c:manualLayout>
                  <c:x val="-5.5363321799307957E-3"/>
                  <c:y val="5.39215686274509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93-419E-A5B8-829519898580}"/>
                </c:ext>
              </c:extLst>
            </c:dLbl>
            <c:dLbl>
              <c:idx val="5"/>
              <c:layout>
                <c:manualLayout>
                  <c:x val="0"/>
                  <c:y val="2.45098039215685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A0-44B7-9857-CB0483D70572}"/>
                </c:ext>
              </c:extLst>
            </c:dLbl>
            <c:dLbl>
              <c:idx val="6"/>
              <c:layout>
                <c:manualLayout>
                  <c:x val="-0.11626297577854676"/>
                  <c:y val="-2.45098039215688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A0-44B7-9857-CB0483D70572}"/>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Blad1!$A$3:$A$9</c:f>
              <c:strCache>
                <c:ptCount val="7"/>
                <c:pt idx="0">
                  <c:v>Mobility and transport</c:v>
                </c:pt>
                <c:pt idx="1">
                  <c:v>Communication networks</c:v>
                </c:pt>
                <c:pt idx="2">
                  <c:v>Environment</c:v>
                </c:pt>
                <c:pt idx="3">
                  <c:v>Financial stability, financial services and Capital Markets Union</c:v>
                </c:pt>
                <c:pt idx="4">
                  <c:v>Internal market, industry, entrepreneurship and SMEs</c:v>
                </c:pt>
                <c:pt idx="5">
                  <c:v>Migration and home affairs</c:v>
                </c:pt>
                <c:pt idx="6">
                  <c:v>Other</c:v>
                </c:pt>
              </c:strCache>
            </c:strRef>
          </c:cat>
          <c:val>
            <c:numRef>
              <c:f>Blad1!$B$3:$B$9</c:f>
              <c:numCache>
                <c:formatCode>General</c:formatCode>
                <c:ptCount val="7"/>
                <c:pt idx="0">
                  <c:v>4</c:v>
                </c:pt>
                <c:pt idx="1">
                  <c:v>3</c:v>
                </c:pt>
                <c:pt idx="2">
                  <c:v>3</c:v>
                </c:pt>
                <c:pt idx="3">
                  <c:v>2</c:v>
                </c:pt>
                <c:pt idx="4">
                  <c:v>2</c:v>
                </c:pt>
                <c:pt idx="5">
                  <c:v>2</c:v>
                </c:pt>
                <c:pt idx="6">
                  <c:v>4</c:v>
                </c:pt>
              </c:numCache>
            </c:numRef>
          </c:val>
          <c:extLst xmlns:c16r2="http://schemas.microsoft.com/office/drawing/2015/06/chart">
            <c:ext xmlns:c16="http://schemas.microsoft.com/office/drawing/2014/chart" uri="{C3380CC4-5D6E-409C-BE32-E72D297353CC}">
              <c16:uniqueId val="{0000000A-2293-419E-A5B8-829519898580}"/>
            </c:ext>
          </c:extLst>
        </c:ser>
        <c:dLbls>
          <c:dLblPos val="outEnd"/>
          <c:showLegendKey val="0"/>
          <c:showVal val="1"/>
          <c:showCatName val="0"/>
          <c:showSerName val="0"/>
          <c:showPercent val="0"/>
          <c:showBubbleSize val="0"/>
          <c:showLeaderLines val="0"/>
        </c:dLbls>
        <c:firstSliceAng val="21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37</c:v>
                </c:pt>
                <c:pt idx="1">
                  <c:v>36</c:v>
                </c:pt>
                <c:pt idx="2">
                  <c:v>34</c:v>
                </c:pt>
                <c:pt idx="3">
                  <c:v>29</c:v>
                </c:pt>
                <c:pt idx="4">
                  <c:v>15</c:v>
                </c:pt>
              </c:numCache>
            </c:numRef>
          </c:val>
          <c:smooth val="0"/>
          <c:extLst xmlns:c16r2="http://schemas.microsoft.com/office/drawing/2015/06/chart">
            <c:ext xmlns:c16="http://schemas.microsoft.com/office/drawing/2014/chart" uri="{C3380CC4-5D6E-409C-BE32-E72D297353CC}">
              <c16:uniqueId val="{00000000-63ED-48CE-92BD-2F4192526971}"/>
            </c:ext>
          </c:extLst>
        </c:ser>
        <c:dLbls>
          <c:showLegendKey val="0"/>
          <c:showVal val="0"/>
          <c:showCatName val="0"/>
          <c:showSerName val="0"/>
          <c:showPercent val="0"/>
          <c:showBubbleSize val="0"/>
        </c:dLbls>
        <c:marker val="1"/>
        <c:smooth val="0"/>
        <c:axId val="116755072"/>
        <c:axId val="116760960"/>
      </c:lineChart>
      <c:catAx>
        <c:axId val="116755072"/>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760960"/>
        <c:crosses val="autoZero"/>
        <c:auto val="1"/>
        <c:lblAlgn val="ctr"/>
        <c:lblOffset val="100"/>
        <c:noMultiLvlLbl val="0"/>
      </c:catAx>
      <c:valAx>
        <c:axId val="116760960"/>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16755072"/>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6 EU Pilot files opened against </a:t>
            </a:r>
            <a:r>
              <a:rPr lang="en-US" sz="1098"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Croatia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D38-46A8-A924-561B868EB97C}"/>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D38-46A8-A924-561B868EB97C}"/>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D38-46A8-A924-561B868EB97C}"/>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D38-46A8-A924-561B868EB97C}"/>
              </c:ext>
            </c:extLst>
          </c:dPt>
          <c:dPt>
            <c:idx val="4"/>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D38-46A8-A924-561B868EB97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38-46A8-A924-561B868EB97C}"/>
                </c:ext>
              </c:extLst>
            </c:dLbl>
            <c:dLbl>
              <c:idx val="1"/>
              <c:layout>
                <c:manualLayout>
                  <c:x val="9.604829857299671E-2"/>
                  <c:y val="-4.189578423671127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38-46A8-A924-561B868EB97C}"/>
                </c:ext>
              </c:extLst>
            </c:dLbl>
            <c:dLbl>
              <c:idx val="2"/>
              <c:layout>
                <c:manualLayout>
                  <c:x val="-6.8605927552141512E-3"/>
                  <c:y val="0.10818837907890674"/>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7991240049439483"/>
                      <c:h val="0.20648135329237688"/>
                    </c:manualLayout>
                  </c15:layout>
                </c:ext>
                <c:ext xmlns:c16="http://schemas.microsoft.com/office/drawing/2014/chart" uri="{C3380CC4-5D6E-409C-BE32-E72D297353CC}">
                  <c16:uniqueId val="{00000005-6D38-46A8-A924-561B868EB97C}"/>
                </c:ext>
              </c:extLst>
            </c:dLbl>
            <c:dLbl>
              <c:idx val="3"/>
              <c:layout>
                <c:manualLayout>
                  <c:x val="1.4164152916670268E-3"/>
                  <c:y val="-3.66588112071222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D38-46A8-A924-561B868EB97C}"/>
                </c:ext>
              </c:extLst>
            </c:dLbl>
            <c:dLbl>
              <c:idx val="4"/>
              <c:layout>
                <c:manualLayout>
                  <c:x val="6.5861690450054883E-2"/>
                  <c:y val="-3.14218381775333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D38-46A8-A924-561B868EB97C}"/>
                </c:ext>
              </c:extLst>
            </c:dLbl>
            <c:dLbl>
              <c:idx val="5"/>
              <c:layout>
                <c:manualLayout>
                  <c:x val="-0.19758507135016465"/>
                  <c:y val="-6.28436763550668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D38-46A8-A924-561B868EB97C}"/>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1">
                  <c:v>Environment</c:v>
                </c:pt>
                <c:pt idx="2">
                  <c:v>Energy</c:v>
                </c:pt>
                <c:pt idx="3">
                  <c:v>Migration and home affairs</c:v>
                </c:pt>
              </c:strCache>
            </c:strRef>
          </c:cat>
          <c:val>
            <c:numRef>
              <c:f>Blad1!$B$2:$B$5</c:f>
              <c:numCache>
                <c:formatCode>General</c:formatCode>
                <c:ptCount val="4"/>
                <c:pt idx="0">
                  <c:v>0</c:v>
                </c:pt>
                <c:pt idx="1">
                  <c:v>2</c:v>
                </c:pt>
                <c:pt idx="2">
                  <c:v>3</c:v>
                </c:pt>
                <c:pt idx="3">
                  <c:v>1</c:v>
                </c:pt>
              </c:numCache>
            </c:numRef>
          </c:val>
          <c:extLst xmlns:c16r2="http://schemas.microsoft.com/office/drawing/2015/06/chart">
            <c:ext xmlns:c16="http://schemas.microsoft.com/office/drawing/2014/chart" uri="{C3380CC4-5D6E-409C-BE32-E72D297353CC}">
              <c16:uniqueId val="{0000000B-6D38-46A8-A924-561B868EB97C}"/>
            </c:ext>
          </c:extLst>
        </c:ser>
        <c:dLbls>
          <c:dLblPos val="outEnd"/>
          <c:showLegendKey val="0"/>
          <c:showVal val="1"/>
          <c:showCatName val="0"/>
          <c:showSerName val="0"/>
          <c:showPercent val="0"/>
          <c:showBubbleSize val="0"/>
          <c:showLeaderLines val="0"/>
        </c:dLbls>
        <c:firstSliceAng val="103"/>
      </c:pieChart>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Croatia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5.0962961992479724E-2"/>
                  <c:y val="5.74659901667221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1A-4F3B-AB57-9EE81745BD1A}"/>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0.65</c:v>
                </c:pt>
                <c:pt idx="1">
                  <c:v>0.67</c:v>
                </c:pt>
                <c:pt idx="2">
                  <c:v>0.65</c:v>
                </c:pt>
                <c:pt idx="3">
                  <c:v>0.71</c:v>
                </c:pt>
                <c:pt idx="4">
                  <c:v>0.85</c:v>
                </c:pt>
              </c:numCache>
            </c:numRef>
          </c:val>
          <c:smooth val="0"/>
          <c:extLst xmlns:c16r2="http://schemas.microsoft.com/office/drawing/2015/06/chart">
            <c:ext xmlns:c16="http://schemas.microsoft.com/office/drawing/2014/chart" uri="{C3380CC4-5D6E-409C-BE32-E72D297353CC}">
              <c16:uniqueId val="{00000001-AA1A-4F3B-AB57-9EE81745BD1A}"/>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2-AA1A-4F3B-AB57-9EE81745BD1A}"/>
            </c:ext>
          </c:extLst>
        </c:ser>
        <c:dLbls>
          <c:showLegendKey val="0"/>
          <c:showVal val="0"/>
          <c:showCatName val="0"/>
          <c:showSerName val="0"/>
          <c:showPercent val="0"/>
          <c:showBubbleSize val="0"/>
        </c:dLbls>
        <c:marker val="1"/>
        <c:smooth val="0"/>
        <c:axId val="121241600"/>
        <c:axId val="121243136"/>
      </c:lineChart>
      <c:catAx>
        <c:axId val="12124160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1243136"/>
        <c:crosses val="autoZero"/>
        <c:auto val="1"/>
        <c:lblAlgn val="ctr"/>
        <c:lblOffset val="100"/>
        <c:noMultiLvlLbl val="0"/>
      </c:catAx>
      <c:valAx>
        <c:axId val="121243136"/>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121241600"/>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10</c:v>
                </c:pt>
                <c:pt idx="1">
                  <c:v>21</c:v>
                </c:pt>
                <c:pt idx="2">
                  <c:v>44</c:v>
                </c:pt>
                <c:pt idx="3">
                  <c:v>56</c:v>
                </c:pt>
                <c:pt idx="4">
                  <c:v>48</c:v>
                </c:pt>
              </c:numCache>
            </c:numRef>
          </c:val>
          <c:smooth val="0"/>
          <c:extLst xmlns:c16r2="http://schemas.microsoft.com/office/drawing/2015/06/chart">
            <c:ext xmlns:c16="http://schemas.microsoft.com/office/drawing/2014/chart" uri="{C3380CC4-5D6E-409C-BE32-E72D297353CC}">
              <c16:uniqueId val="{00000000-588E-4C0E-93E4-B3E5379D2D6C}"/>
            </c:ext>
          </c:extLst>
        </c:ser>
        <c:dLbls>
          <c:showLegendKey val="0"/>
          <c:showVal val="0"/>
          <c:showCatName val="0"/>
          <c:showSerName val="0"/>
          <c:showPercent val="0"/>
          <c:showBubbleSize val="0"/>
        </c:dLbls>
        <c:marker val="1"/>
        <c:smooth val="0"/>
        <c:axId val="121313152"/>
        <c:axId val="121314688"/>
      </c:lineChart>
      <c:catAx>
        <c:axId val="12131315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1314688"/>
        <c:crosses val="autoZero"/>
        <c:auto val="1"/>
        <c:lblAlgn val="ctr"/>
        <c:lblOffset val="100"/>
        <c:noMultiLvlLbl val="0"/>
      </c:catAx>
      <c:valAx>
        <c:axId val="121314688"/>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21313152"/>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14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83229910829"/>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774-427D-9E71-5E2A3E6A40F6}"/>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774-427D-9E71-5E2A3E6A40F6}"/>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774-427D-9E71-5E2A3E6A40F6}"/>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774-427D-9E71-5E2A3E6A40F6}"/>
              </c:ext>
            </c:extLst>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774-427D-9E71-5E2A3E6A40F6}"/>
              </c:ext>
            </c:extLst>
          </c:dPt>
          <c:dPt>
            <c:idx val="5"/>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9774-427D-9E71-5E2A3E6A40F6}"/>
              </c:ext>
            </c:extLst>
          </c:dPt>
          <c:dPt>
            <c:idx val="6"/>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9774-427D-9E71-5E2A3E6A40F6}"/>
              </c:ext>
            </c:extLst>
          </c:dPt>
          <c:dPt>
            <c:idx val="7"/>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4634-431C-96C2-6904BB1F1583}"/>
              </c:ext>
            </c:extLst>
          </c:dPt>
          <c:dPt>
            <c:idx val="8"/>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4634-431C-96C2-6904BB1F1583}"/>
              </c:ext>
            </c:extLst>
          </c:dPt>
          <c:dPt>
            <c:idx val="9"/>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4634-431C-96C2-6904BB1F158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74-427D-9E71-5E2A3E6A40F6}"/>
                </c:ext>
              </c:extLst>
            </c:dLbl>
            <c:dLbl>
              <c:idx val="1"/>
              <c:layout>
                <c:manualLayout>
                  <c:x val="4.6246697477561275E-3"/>
                  <c:y val="3.54165138460700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74-427D-9E71-5E2A3E6A40F6}"/>
                </c:ext>
              </c:extLst>
            </c:dLbl>
            <c:dLbl>
              <c:idx val="2"/>
              <c:layout>
                <c:manualLayout>
                  <c:x val="0"/>
                  <c:y val="9.751414158138399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74-427D-9E71-5E2A3E6A40F6}"/>
                </c:ext>
              </c:extLst>
            </c:dLbl>
            <c:dLbl>
              <c:idx val="3"/>
              <c:layout>
                <c:manualLayout>
                  <c:x val="-0.14789478762490502"/>
                  <c:y val="8.453721033074219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2173067895633247"/>
                      <c:h val="0.16281628623943967"/>
                    </c:manualLayout>
                  </c15:layout>
                </c:ext>
                <c:ext xmlns:c16="http://schemas.microsoft.com/office/drawing/2014/chart" uri="{C3380CC4-5D6E-409C-BE32-E72D297353CC}">
                  <c16:uniqueId val="{00000007-9774-427D-9E71-5E2A3E6A40F6}"/>
                </c:ext>
              </c:extLst>
            </c:dLbl>
            <c:dLbl>
              <c:idx val="4"/>
              <c:layout>
                <c:manualLayout>
                  <c:x val="-6.7356171556622338E-2"/>
                  <c:y val="5.9095986704084141E-2"/>
                </c:manualLayout>
              </c:layout>
              <c:spPr>
                <a:noFill/>
                <a:ln w="25345">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788367532125393"/>
                      <c:h val="0.22877316672919212"/>
                    </c:manualLayout>
                  </c15:layout>
                </c:ext>
                <c:ext xmlns:c16="http://schemas.microsoft.com/office/drawing/2014/chart" uri="{C3380CC4-5D6E-409C-BE32-E72D297353CC}">
                  <c16:uniqueId val="{00000009-9774-427D-9E71-5E2A3E6A40F6}"/>
                </c:ext>
              </c:extLst>
            </c:dLbl>
            <c:dLbl>
              <c:idx val="5"/>
              <c:layout>
                <c:manualLayout>
                  <c:x val="-1.7921489677483103E-2"/>
                  <c:y val="-3.1940797126204339E-2"/>
                </c:manualLayout>
              </c:layout>
              <c:spPr>
                <a:noFill/>
                <a:ln w="25345">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032343850451156"/>
                      <c:h val="0.21812637407547908"/>
                    </c:manualLayout>
                  </c15:layout>
                </c:ext>
                <c:ext xmlns:c16="http://schemas.microsoft.com/office/drawing/2014/chart" uri="{C3380CC4-5D6E-409C-BE32-E72D297353CC}">
                  <c16:uniqueId val="{0000000B-9774-427D-9E71-5E2A3E6A40F6}"/>
                </c:ext>
              </c:extLst>
            </c:dLbl>
            <c:dLbl>
              <c:idx val="6"/>
              <c:layout>
                <c:manualLayout>
                  <c:x val="4.101318190244807E-2"/>
                  <c:y val="-1.110787422533066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74-427D-9E71-5E2A3E6A40F6}"/>
                </c:ext>
              </c:extLst>
            </c:dLbl>
            <c:dLbl>
              <c:idx val="7"/>
              <c:layout>
                <c:manualLayout>
                  <c:x val="2.7536830510808206E-2"/>
                  <c:y val="-2.12935853074261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34-431C-96C2-6904BB1F1583}"/>
                </c:ext>
              </c:extLst>
            </c:dLbl>
            <c:spPr>
              <a:noFill/>
              <a:ln w="25345">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Blad1!$A$2:$A$11</c:f>
              <c:strCache>
                <c:ptCount val="10"/>
                <c:pt idx="0">
                  <c:v>Policy Area</c:v>
                </c:pt>
                <c:pt idx="1">
                  <c:v>Communication networks</c:v>
                </c:pt>
                <c:pt idx="2">
                  <c:v>Justice and consumers</c:v>
                </c:pt>
                <c:pt idx="3">
                  <c:v>Migration and home affairs</c:v>
                </c:pt>
                <c:pt idx="4">
                  <c:v>Financial stability, financial services and Capital Markets Union</c:v>
                </c:pt>
                <c:pt idx="5">
                  <c:v>Internal market, industry, entrepreneurship and SMEs</c:v>
                </c:pt>
                <c:pt idx="6">
                  <c:v>Mobility and transport</c:v>
                </c:pt>
                <c:pt idx="7">
                  <c:v>Employment</c:v>
                </c:pt>
                <c:pt idx="8">
                  <c:v>Environment</c:v>
                </c:pt>
                <c:pt idx="9">
                  <c:v>Energy</c:v>
                </c:pt>
              </c:strCache>
            </c:strRef>
          </c:cat>
          <c:val>
            <c:numRef>
              <c:f>Blad1!$B$2:$B$11</c:f>
              <c:numCache>
                <c:formatCode>General</c:formatCode>
                <c:ptCount val="10"/>
                <c:pt idx="0">
                  <c:v>0</c:v>
                </c:pt>
                <c:pt idx="1">
                  <c:v>3</c:v>
                </c:pt>
                <c:pt idx="2">
                  <c:v>2</c:v>
                </c:pt>
                <c:pt idx="3">
                  <c:v>2</c:v>
                </c:pt>
                <c:pt idx="4">
                  <c:v>2</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D-9774-427D-9E71-5E2A3E6A40F6}"/>
            </c:ext>
          </c:extLst>
        </c:ser>
        <c:dLbls>
          <c:showLegendKey val="0"/>
          <c:showVal val="0"/>
          <c:showCatName val="0"/>
          <c:showSerName val="0"/>
          <c:showPercent val="0"/>
          <c:showBubbleSize val="0"/>
          <c:showLeaderLines val="0"/>
        </c:dLbls>
        <c:firstSliceAng val="202"/>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13</c:v>
                </c:pt>
                <c:pt idx="1">
                  <c:v>6</c:v>
                </c:pt>
                <c:pt idx="2">
                  <c:v>25</c:v>
                </c:pt>
                <c:pt idx="3">
                  <c:v>34</c:v>
                </c:pt>
                <c:pt idx="4">
                  <c:v>26</c:v>
                </c:pt>
              </c:numCache>
            </c:numRef>
          </c:val>
          <c:smooth val="0"/>
          <c:extLst xmlns:c16r2="http://schemas.microsoft.com/office/drawing/2015/06/chart">
            <c:ext xmlns:c16="http://schemas.microsoft.com/office/drawing/2014/chart" uri="{C3380CC4-5D6E-409C-BE32-E72D297353CC}">
              <c16:uniqueId val="{00000001-0FE3-4FC2-B658-63B8B49F864E}"/>
            </c:ext>
          </c:extLst>
        </c:ser>
        <c:dLbls>
          <c:dLblPos val="t"/>
          <c:showLegendKey val="0"/>
          <c:showVal val="1"/>
          <c:showCatName val="0"/>
          <c:showSerName val="0"/>
          <c:showPercent val="0"/>
          <c:showBubbleSize val="0"/>
        </c:dLbls>
        <c:marker val="1"/>
        <c:smooth val="0"/>
        <c:axId val="121525760"/>
        <c:axId val="121532800"/>
      </c:lineChart>
      <c:catAx>
        <c:axId val="121525760"/>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1532800"/>
        <c:crosses val="autoZero"/>
        <c:auto val="1"/>
        <c:lblAlgn val="ctr"/>
        <c:lblOffset val="100"/>
        <c:noMultiLvlLbl val="0"/>
      </c:catAx>
      <c:valAx>
        <c:axId val="121532800"/>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21525760"/>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6</c:v>
                </c:pt>
                <c:pt idx="1">
                  <c:v>7</c:v>
                </c:pt>
                <c:pt idx="2">
                  <c:v>25</c:v>
                </c:pt>
                <c:pt idx="3">
                  <c:v>26</c:v>
                </c:pt>
                <c:pt idx="4">
                  <c:v>9</c:v>
                </c:pt>
              </c:numCache>
            </c:numRef>
          </c:val>
          <c:smooth val="0"/>
          <c:extLst xmlns:c16r2="http://schemas.microsoft.com/office/drawing/2015/06/chart">
            <c:ext xmlns:c16="http://schemas.microsoft.com/office/drawing/2014/chart" uri="{C3380CC4-5D6E-409C-BE32-E72D297353CC}">
              <c16:uniqueId val="{00000000-6485-4AD0-9B92-EF6A21308E8E}"/>
            </c:ext>
          </c:extLst>
        </c:ser>
        <c:dLbls>
          <c:showLegendKey val="0"/>
          <c:showVal val="0"/>
          <c:showCatName val="0"/>
          <c:showSerName val="0"/>
          <c:showPercent val="0"/>
          <c:showBubbleSize val="0"/>
        </c:dLbls>
        <c:marker val="1"/>
        <c:smooth val="0"/>
        <c:axId val="121442688"/>
        <c:axId val="121444224"/>
      </c:lineChart>
      <c:catAx>
        <c:axId val="121442688"/>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1444224"/>
        <c:crosses val="autoZero"/>
        <c:auto val="1"/>
        <c:lblAlgn val="ctr"/>
        <c:lblOffset val="100"/>
        <c:noMultiLvlLbl val="0"/>
      </c:catAx>
      <c:valAx>
        <c:axId val="121444224"/>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21442688"/>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9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Croatia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9.9044767813917245E-2"/>
          <c:y val="2.9411764705882353E-2"/>
        </c:manualLayout>
      </c:layout>
      <c:overlay val="0"/>
      <c:spPr>
        <a:noFill/>
        <a:ln w="2532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559-4D7B-8DD6-65C592D2E6E5}"/>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559-4D7B-8DD6-65C592D2E6E5}"/>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559-4D7B-8DD6-65C592D2E6E5}"/>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559-4D7B-8DD6-65C592D2E6E5}"/>
              </c:ext>
            </c:extLst>
          </c:dPt>
          <c:dPt>
            <c:idx val="4"/>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559-4D7B-8DD6-65C592D2E6E5}"/>
              </c:ext>
            </c:extLst>
          </c:dPt>
          <c:dPt>
            <c:idx val="5"/>
            <c:bubble3D val="0"/>
            <c:extLst xmlns:c16r2="http://schemas.microsoft.com/office/drawing/2015/06/chart">
              <c:ext xmlns:c16="http://schemas.microsoft.com/office/drawing/2014/chart" uri="{C3380CC4-5D6E-409C-BE32-E72D297353CC}">
                <c16:uniqueId val="{0000000A-4559-4D7B-8DD6-65C592D2E6E5}"/>
              </c:ext>
            </c:extLst>
          </c:dPt>
          <c:dLbls>
            <c:dLbl>
              <c:idx val="0"/>
              <c:layout>
                <c:manualLayout>
                  <c:x val="8.4154703177006258E-3"/>
                  <c:y val="3.096283393469721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59-4D7B-8DD6-65C592D2E6E5}"/>
                </c:ext>
              </c:extLst>
            </c:dLbl>
            <c:dLbl>
              <c:idx val="1"/>
              <c:layout>
                <c:manualLayout>
                  <c:x val="-0.11912044198412534"/>
                  <c:y val="0.1156982634507029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59-4D7B-8DD6-65C592D2E6E5}"/>
                </c:ext>
              </c:extLst>
            </c:dLbl>
            <c:dLbl>
              <c:idx val="2"/>
              <c:layout>
                <c:manualLayout>
                  <c:x val="-2.20994245953555E-2"/>
                  <c:y val="-3.06668918078242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59-4D7B-8DD6-65C592D2E6E5}"/>
                </c:ext>
              </c:extLst>
            </c:dLbl>
            <c:dLbl>
              <c:idx val="3"/>
              <c:layout>
                <c:manualLayout>
                  <c:x val="4.5731951605314451E-2"/>
                  <c:y val="-1.0346005388007218E-16"/>
                </c:manualLayout>
              </c:layout>
              <c:spPr>
                <a:noFill/>
                <a:ln w="25321">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31381244057372348"/>
                      <c:h val="0.26509615897335631"/>
                    </c:manualLayout>
                  </c15:layout>
                </c:ext>
                <c:ext xmlns:c16="http://schemas.microsoft.com/office/drawing/2014/chart" uri="{C3380CC4-5D6E-409C-BE32-E72D297353CC}">
                  <c16:uniqueId val="{00000007-4559-4D7B-8DD6-65C592D2E6E5}"/>
                </c:ext>
              </c:extLst>
            </c:dLbl>
            <c:dLbl>
              <c:idx val="4"/>
              <c:layout>
                <c:manualLayout>
                  <c:x val="2.521693661160787E-4"/>
                  <c:y val="-1.02406640479196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559-4D7B-8DD6-65C592D2E6E5}"/>
                </c:ext>
              </c:extLst>
            </c:dLbl>
            <c:spPr>
              <a:noFill/>
              <a:ln w="25321">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5"/>
                <c:pt idx="0">
                  <c:v>Communication networks</c:v>
                </c:pt>
                <c:pt idx="1">
                  <c:v>Justice and consumers</c:v>
                </c:pt>
                <c:pt idx="2">
                  <c:v>Migration and home affairs</c:v>
                </c:pt>
                <c:pt idx="3">
                  <c:v>Financial stability, financial services and Capital Markets Union</c:v>
                </c:pt>
                <c:pt idx="4">
                  <c:v>Employment</c:v>
                </c:pt>
              </c:strCache>
            </c:strRef>
          </c:cat>
          <c:val>
            <c:numRef>
              <c:f>Blad1!$B$4:$B$9</c:f>
              <c:numCache>
                <c:formatCode>General</c:formatCode>
                <c:ptCount val="5"/>
                <c:pt idx="0">
                  <c:v>2</c:v>
                </c:pt>
                <c:pt idx="1">
                  <c:v>2</c:v>
                </c:pt>
                <c:pt idx="2">
                  <c:v>2</c:v>
                </c:pt>
                <c:pt idx="3">
                  <c:v>2</c:v>
                </c:pt>
                <c:pt idx="4">
                  <c:v>1</c:v>
                </c:pt>
              </c:numCache>
            </c:numRef>
          </c:val>
          <c:extLst xmlns:c16r2="http://schemas.microsoft.com/office/drawing/2015/06/chart">
            <c:ext xmlns:c16="http://schemas.microsoft.com/office/drawing/2014/chart" uri="{C3380CC4-5D6E-409C-BE32-E72D297353CC}">
              <c16:uniqueId val="{0000000B-4559-4D7B-8DD6-65C592D2E6E5}"/>
            </c:ext>
          </c:extLst>
        </c:ser>
        <c:dLbls>
          <c:showLegendKey val="0"/>
          <c:showVal val="0"/>
          <c:showCatName val="0"/>
          <c:showSerName val="0"/>
          <c:showPercent val="0"/>
          <c:showBubbleSize val="0"/>
          <c:showLeaderLines val="0"/>
        </c:dLbls>
        <c:firstSliceAng val="233"/>
      </c:pieChart>
      <c:spPr>
        <a:noFill/>
        <a:ln w="25321">
          <a:noFill/>
        </a:ln>
      </c:spPr>
    </c:plotArea>
    <c:plotVisOnly val="1"/>
    <c:dispBlanksAs val="gap"/>
    <c:showDLblsOverMax val="0"/>
  </c:chart>
  <c:spPr>
    <a:solidFill>
      <a:schemeClr val="bg1"/>
    </a:solidFill>
    <a:ln w="949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7390349562706061E-2"/>
                  <c:y val="7.20230796666364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7D-48D9-B015-DBFB54A08C4F}"/>
                </c:ext>
              </c:extLst>
            </c:dLbl>
            <c:dLbl>
              <c:idx val="2"/>
              <c:layout>
                <c:manualLayout>
                  <c:x val="-4.4491403972427422E-2"/>
                  <c:y val="-5.6472584454147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AB-4A78-AC09-19B85649F33B}"/>
                </c:ext>
              </c:extLst>
            </c:dLbl>
            <c:dLbl>
              <c:idx val="3"/>
              <c:layout>
                <c:manualLayout>
                  <c:x val="-4.7259570062392821E-2"/>
                  <c:y val="5.60977720186477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7D-48D9-B015-DBFB54A08C4F}"/>
                </c:ext>
              </c:extLst>
            </c:dLbl>
            <c:dLbl>
              <c:idx val="4"/>
              <c:layout>
                <c:manualLayout>
                  <c:x val="-4.1846759204850641E-2"/>
                  <c:y val="6.66109662337223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7D-48D9-B015-DBFB54A08C4F}"/>
                </c:ext>
              </c:extLst>
            </c:dLbl>
            <c:spPr>
              <a:noFill/>
              <a:ln w="2537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475</c:v>
                </c:pt>
                <c:pt idx="1">
                  <c:v>637</c:v>
                </c:pt>
                <c:pt idx="2">
                  <c:v>753</c:v>
                </c:pt>
                <c:pt idx="3">
                  <c:v>533</c:v>
                </c:pt>
                <c:pt idx="4">
                  <c:v>633</c:v>
                </c:pt>
              </c:numCache>
            </c:numRef>
          </c:val>
          <c:smooth val="0"/>
          <c:extLst xmlns:c16r2="http://schemas.microsoft.com/office/drawing/2015/06/chart">
            <c:ext xmlns:c16="http://schemas.microsoft.com/office/drawing/2014/chart" uri="{C3380CC4-5D6E-409C-BE32-E72D297353CC}">
              <c16:uniqueId val="{00000002-127D-48D9-B015-DBFB54A08C4F}"/>
            </c:ext>
          </c:extLst>
        </c:ser>
        <c:dLbls>
          <c:showLegendKey val="0"/>
          <c:showVal val="0"/>
          <c:showCatName val="0"/>
          <c:showSerName val="0"/>
          <c:showPercent val="0"/>
          <c:showBubbleSize val="0"/>
        </c:dLbls>
        <c:marker val="1"/>
        <c:smooth val="0"/>
        <c:axId val="121949568"/>
        <c:axId val="121660544"/>
      </c:lineChart>
      <c:catAx>
        <c:axId val="121949568"/>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1660544"/>
        <c:crosses val="autoZero"/>
        <c:auto val="1"/>
        <c:lblAlgn val="ctr"/>
        <c:lblOffset val="100"/>
        <c:noMultiLvlLbl val="0"/>
      </c:catAx>
      <c:valAx>
        <c:axId val="121660544"/>
        <c:scaling>
          <c:orientation val="minMax"/>
          <c:min val="370"/>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121949568"/>
        <c:crosses val="autoZero"/>
        <c:crossBetween val="between"/>
      </c:valAx>
      <c:spPr>
        <a:noFill/>
        <a:ln w="25375">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633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6298888475932825"/>
          <c:y val="3.1537402118739025E-2"/>
        </c:manualLayout>
      </c:layout>
      <c:overlay val="0"/>
      <c:spPr>
        <a:noFill/>
        <a:ln w="25396">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B3A-4240-AF34-9BB27923393C}"/>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B3A-4240-AF34-9BB27923393C}"/>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B3A-4240-AF34-9BB27923393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B3A-4240-AF34-9BB27923393C}"/>
              </c:ext>
            </c:extLst>
          </c:dPt>
          <c:dPt>
            <c:idx val="4"/>
            <c:bubble3D val="0"/>
            <c:extLst xmlns:c16r2="http://schemas.microsoft.com/office/drawing/2015/06/chart">
              <c:ext xmlns:c16="http://schemas.microsoft.com/office/drawing/2014/chart" uri="{C3380CC4-5D6E-409C-BE32-E72D297353CC}">
                <c16:uniqueId val="{00000008-CB3A-4240-AF34-9BB27923393C}"/>
              </c:ext>
            </c:extLst>
          </c:dPt>
          <c:dLbls>
            <c:dLbl>
              <c:idx val="0"/>
              <c:layout>
                <c:manualLayout>
                  <c:x val="0.2167899772682092"/>
                  <c:y val="0.16334437885786518"/>
                </c:manualLayout>
              </c:layout>
              <c:spPr>
                <a:noFill/>
                <a:ln w="25396">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3A-4240-AF34-9BB27923393C}"/>
                </c:ext>
              </c:extLst>
            </c:dLbl>
            <c:dLbl>
              <c:idx val="1"/>
              <c:layout>
                <c:manualLayout>
                  <c:x val="5.4037701928311742E-3"/>
                  <c:y val="-3.364004064288869E-2"/>
                </c:manualLayout>
              </c:layout>
              <c:spPr>
                <a:noFill/>
                <a:ln w="25396">
                  <a:noFill/>
                </a:ln>
              </c:spPr>
              <c:txPr>
                <a:bodyPr rot="0" spcFirstLastPara="1" vertOverflow="ellipsis" vert="horz" wrap="square" lIns="38100" tIns="19050" rIns="38100" bIns="19050" anchor="ctr" anchorCtr="1">
                  <a:spAutoFit/>
                </a:bodyPr>
                <a:lstStyle/>
                <a:p>
                  <a:pPr>
                    <a:defRPr sz="82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3A-4240-AF34-9BB27923393C}"/>
                </c:ext>
              </c:extLst>
            </c:dLbl>
            <c:dLbl>
              <c:idx val="2"/>
              <c:layout>
                <c:manualLayout>
                  <c:x val="1.0968305141879119E-2"/>
                  <c:y val="-4.1487077171446412E-3"/>
                </c:manualLayout>
              </c:layout>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3A-4240-AF34-9BB27923393C}"/>
                </c:ext>
              </c:extLst>
            </c:dLbl>
            <c:dLbl>
              <c:idx val="3"/>
              <c:layout>
                <c:manualLayout>
                  <c:x val="-7.1274752154334167E-2"/>
                  <c:y val="-0.11217828912585154"/>
                </c:manualLayout>
              </c:layout>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3A-4240-AF34-9BB27923393C}"/>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Internal market, industry, entrepreneurship and SMEs</c:v>
                </c:pt>
                <c:pt idx="1">
                  <c:v>Environment</c:v>
                </c:pt>
                <c:pt idx="2">
                  <c:v>Justice and consumers</c:v>
                </c:pt>
                <c:pt idx="3">
                  <c:v>Other</c:v>
                </c:pt>
              </c:strCache>
            </c:strRef>
          </c:cat>
          <c:val>
            <c:numRef>
              <c:f>Blad1!$B$2:$B$5</c:f>
              <c:numCache>
                <c:formatCode>General</c:formatCode>
                <c:ptCount val="4"/>
                <c:pt idx="0">
                  <c:v>312</c:v>
                </c:pt>
                <c:pt idx="1">
                  <c:v>75</c:v>
                </c:pt>
                <c:pt idx="2">
                  <c:v>70</c:v>
                </c:pt>
                <c:pt idx="3">
                  <c:v>176</c:v>
                </c:pt>
              </c:numCache>
            </c:numRef>
          </c:val>
          <c:extLst xmlns:c16r2="http://schemas.microsoft.com/office/drawing/2015/06/chart">
            <c:ext xmlns:c16="http://schemas.microsoft.com/office/drawing/2014/chart" uri="{C3380CC4-5D6E-409C-BE32-E72D297353CC}">
              <c16:uniqueId val="{00000009-CB3A-4240-AF34-9BB27923393C}"/>
            </c:ext>
          </c:extLst>
        </c:ser>
        <c:dLbls>
          <c:showLegendKey val="0"/>
          <c:showVal val="0"/>
          <c:showCatName val="0"/>
          <c:showSerName val="0"/>
          <c:showPercent val="0"/>
          <c:showBubbleSize val="0"/>
          <c:showLeaderLines val="0"/>
        </c:dLbls>
        <c:firstSliceAng val="270"/>
      </c:pieChart>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133</c:v>
                </c:pt>
                <c:pt idx="1">
                  <c:v>179</c:v>
                </c:pt>
                <c:pt idx="2">
                  <c:v>147</c:v>
                </c:pt>
                <c:pt idx="3">
                  <c:v>131</c:v>
                </c:pt>
                <c:pt idx="4">
                  <c:v>142</c:v>
                </c:pt>
              </c:numCache>
            </c:numRef>
          </c:val>
          <c:smooth val="0"/>
          <c:extLst xmlns:c16r2="http://schemas.microsoft.com/office/drawing/2015/06/chart">
            <c:ext xmlns:c16="http://schemas.microsoft.com/office/drawing/2014/chart" uri="{C3380CC4-5D6E-409C-BE32-E72D297353CC}">
              <c16:uniqueId val="{00000003-30DA-497E-B6A2-797A30EB1B5E}"/>
            </c:ext>
          </c:extLst>
        </c:ser>
        <c:dLbls>
          <c:showLegendKey val="0"/>
          <c:showVal val="0"/>
          <c:showCatName val="0"/>
          <c:showSerName val="0"/>
          <c:showPercent val="0"/>
          <c:showBubbleSize val="0"/>
        </c:dLbls>
        <c:marker val="1"/>
        <c:smooth val="0"/>
        <c:axId val="108311296"/>
        <c:axId val="108312832"/>
      </c:lineChart>
      <c:catAx>
        <c:axId val="108311296"/>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312832"/>
        <c:crosses val="autoZero"/>
        <c:auto val="1"/>
        <c:lblAlgn val="ctr"/>
        <c:lblOffset val="100"/>
        <c:noMultiLvlLbl val="0"/>
      </c:catAx>
      <c:valAx>
        <c:axId val="108312832"/>
        <c:scaling>
          <c:orientation val="minMax"/>
          <c:min val="7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08311296"/>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6.9186206896551736E-2"/>
                  <c:y val="7.7103606182026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22E-4033-90A7-DA80FED08D91}"/>
                </c:ext>
              </c:extLst>
            </c:dLbl>
            <c:dLbl>
              <c:idx val="1"/>
              <c:layout>
                <c:manualLayout>
                  <c:x val="-5.2646646755362479E-2"/>
                  <c:y val="5.41792679464008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C3-4404-8D9C-8A50E9C487A9}"/>
                </c:ext>
              </c:extLst>
            </c:dLbl>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128</c:v>
                </c:pt>
                <c:pt idx="1">
                  <c:v>68</c:v>
                </c:pt>
                <c:pt idx="2">
                  <c:v>52</c:v>
                </c:pt>
                <c:pt idx="3">
                  <c:v>16</c:v>
                </c:pt>
                <c:pt idx="4">
                  <c:v>3</c:v>
                </c:pt>
              </c:numCache>
            </c:numRef>
          </c:val>
          <c:smooth val="0"/>
          <c:extLst xmlns:c16r2="http://schemas.microsoft.com/office/drawing/2015/06/chart">
            <c:ext xmlns:c16="http://schemas.microsoft.com/office/drawing/2014/chart" uri="{C3380CC4-5D6E-409C-BE32-E72D297353CC}">
              <c16:uniqueId val="{00000000-CF45-4D9D-A6EF-5ABA0CCB7B37}"/>
            </c:ext>
          </c:extLst>
        </c:ser>
        <c:dLbls>
          <c:showLegendKey val="0"/>
          <c:showVal val="0"/>
          <c:showCatName val="0"/>
          <c:showSerName val="0"/>
          <c:showPercent val="0"/>
          <c:showBubbleSize val="0"/>
        </c:dLbls>
        <c:marker val="1"/>
        <c:smooth val="0"/>
        <c:axId val="120995840"/>
        <c:axId val="120997376"/>
      </c:lineChart>
      <c:catAx>
        <c:axId val="120995840"/>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0997376"/>
        <c:crosses val="autoZero"/>
        <c:auto val="1"/>
        <c:lblAlgn val="ctr"/>
        <c:lblOffset val="100"/>
        <c:noMultiLvlLbl val="0"/>
      </c:catAx>
      <c:valAx>
        <c:axId val="120997376"/>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20995840"/>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3.9227586206896654E-2"/>
                  <c:y val="4.84831139095591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32-4D73-A5FB-08D3C39C9C32}"/>
                </c:ext>
              </c:extLst>
            </c:dLbl>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139</c:v>
                </c:pt>
                <c:pt idx="1">
                  <c:v>111</c:v>
                </c:pt>
                <c:pt idx="2">
                  <c:v>99</c:v>
                </c:pt>
                <c:pt idx="3">
                  <c:v>70</c:v>
                </c:pt>
                <c:pt idx="4">
                  <c:v>45</c:v>
                </c:pt>
              </c:numCache>
            </c:numRef>
          </c:val>
          <c:smooth val="0"/>
          <c:extLst xmlns:c16r2="http://schemas.microsoft.com/office/drawing/2015/06/chart">
            <c:ext xmlns:c16="http://schemas.microsoft.com/office/drawing/2014/chart" uri="{C3380CC4-5D6E-409C-BE32-E72D297353CC}">
              <c16:uniqueId val="{00000000-F581-4A52-A355-B2CD059755E1}"/>
            </c:ext>
          </c:extLst>
        </c:ser>
        <c:dLbls>
          <c:showLegendKey val="0"/>
          <c:showVal val="0"/>
          <c:showCatName val="0"/>
          <c:showSerName val="0"/>
          <c:showPercent val="0"/>
          <c:showBubbleSize val="0"/>
        </c:dLbls>
        <c:marker val="1"/>
        <c:smooth val="0"/>
        <c:axId val="121071488"/>
        <c:axId val="121073024"/>
      </c:lineChart>
      <c:catAx>
        <c:axId val="121071488"/>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1073024"/>
        <c:crosses val="autoZero"/>
        <c:auto val="1"/>
        <c:lblAlgn val="ctr"/>
        <c:lblOffset val="100"/>
        <c:noMultiLvlLbl val="0"/>
      </c:catAx>
      <c:valAx>
        <c:axId val="121073024"/>
        <c:scaling>
          <c:orientation val="minMax"/>
          <c:min val="40"/>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21071488"/>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Italy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olidFill>
              <a:srgbClr val="808AA4"/>
            </a:solidFill>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18E-44FF-8D7E-3B17A40E8D39}"/>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18E-44FF-8D7E-3B17A40E8D39}"/>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18E-44FF-8D7E-3B17A40E8D39}"/>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18E-44FF-8D7E-3B17A40E8D39}"/>
              </c:ext>
            </c:extLst>
          </c:dPt>
          <c:dPt>
            <c:idx val="4"/>
            <c:bubble3D val="0"/>
            <c:extLst xmlns:c16r2="http://schemas.microsoft.com/office/drawing/2015/06/chart">
              <c:ext xmlns:c16="http://schemas.microsoft.com/office/drawing/2014/chart" uri="{C3380CC4-5D6E-409C-BE32-E72D297353CC}">
                <c16:uniqueId val="{00000008-F18E-44FF-8D7E-3B17A40E8D39}"/>
              </c:ext>
            </c:extLst>
          </c:dPt>
          <c:dLbls>
            <c:dLbl>
              <c:idx val="0"/>
              <c:layout>
                <c:manualLayout>
                  <c:x val="-2.1649240566240697E-2"/>
                  <c:y val="4.0554119924198662E-2"/>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8E-44FF-8D7E-3B17A40E8D39}"/>
                </c:ext>
              </c:extLst>
            </c:dLbl>
            <c:dLbl>
              <c:idx val="1"/>
              <c:layout>
                <c:manualLayout>
                  <c:x val="-3.82033505212915E-2"/>
                  <c:y val="-4.22971761450993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219882401203335"/>
                      <c:h val="0.38853703951611912"/>
                    </c:manualLayout>
                  </c15:layout>
                </c:ext>
                <c:ext xmlns:c16="http://schemas.microsoft.com/office/drawing/2014/chart" uri="{C3380CC4-5D6E-409C-BE32-E72D297353CC}">
                  <c16:uniqueId val="{00000003-F18E-44FF-8D7E-3B17A40E8D39}"/>
                </c:ext>
              </c:extLst>
            </c:dLbl>
            <c:dLbl>
              <c:idx val="2"/>
              <c:layout>
                <c:manualLayout>
                  <c:x val="-8.1838081466399495E-2"/>
                  <c:y val="-0.1171321706888648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18E-44FF-8D7E-3B17A40E8D39}"/>
                </c:ext>
              </c:extLst>
            </c:dLbl>
            <c:dLbl>
              <c:idx val="3"/>
              <c:layout>
                <c:manualLayout>
                  <c:x val="5.1866959253044187E-2"/>
                  <c:y val="-4.159142269378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18E-44FF-8D7E-3B17A40E8D39}"/>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Energy </c:v>
                </c:pt>
                <c:pt idx="1">
                  <c:v>Financial stability, financial services and Capital Markets Union</c:v>
                </c:pt>
                <c:pt idx="2">
                  <c:v>Taxation and customs</c:v>
                </c:pt>
              </c:strCache>
            </c:strRef>
          </c:cat>
          <c:val>
            <c:numRef>
              <c:f>Blad1!$B$3:$B$5</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9-F18E-44FF-8D7E-3B17A40E8D39}"/>
            </c:ext>
          </c:extLst>
        </c:ser>
        <c:dLbls>
          <c:showLegendKey val="0"/>
          <c:showVal val="0"/>
          <c:showCatName val="0"/>
          <c:showSerName val="0"/>
          <c:showPercent val="0"/>
          <c:showBubbleSize val="0"/>
          <c:showLeaderLines val="0"/>
        </c:dLbls>
        <c:firstSliceAng val="266"/>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Italy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508705010489622E-2"/>
                  <c:y val="-6.14104379476610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4C-46A4-B2C1-F7DA3EE5EA49}"/>
                </c:ext>
              </c:extLst>
            </c:dLbl>
            <c:dLbl>
              <c:idx val="1"/>
              <c:layout>
                <c:manualLayout>
                  <c:x val="-5.5508705010489656E-2"/>
                  <c:y val="-8.47272552021058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A1-42CF-9348-6772DAD1E158}"/>
                </c:ext>
              </c:extLst>
            </c:dLbl>
            <c:dLbl>
              <c:idx val="2"/>
              <c:layout>
                <c:manualLayout>
                  <c:x val="-5.2747839659577439E-2"/>
                  <c:y val="-6.7220050290916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BE-468F-B4E7-7D3506CA4D67}"/>
                </c:ext>
              </c:extLst>
            </c:dLbl>
            <c:dLbl>
              <c:idx val="3"/>
              <c:layout>
                <c:manualLayout>
                  <c:x val="-4.265852927553606E-2"/>
                  <c:y val="-7.07766382014839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5B-4167-9470-DBD3129A5E07}"/>
                </c:ext>
              </c:extLst>
            </c:dLbl>
            <c:dLbl>
              <c:idx val="4"/>
              <c:layout>
                <c:manualLayout>
                  <c:x val="-5.2747839659577439E-2"/>
                  <c:y val="6.6812583741717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BE-468F-B4E7-7D3506CA4D67}"/>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0.75</c:v>
                </c:pt>
                <c:pt idx="1">
                  <c:v>0.76</c:v>
                </c:pt>
                <c:pt idx="2">
                  <c:v>0.89</c:v>
                </c:pt>
                <c:pt idx="3">
                  <c:v>0.88</c:v>
                </c:pt>
                <c:pt idx="4">
                  <c:v>0.71</c:v>
                </c:pt>
              </c:numCache>
            </c:numRef>
          </c:val>
          <c:smooth val="0"/>
          <c:extLst xmlns:c16r2="http://schemas.microsoft.com/office/drawing/2015/06/chart">
            <c:ext xmlns:c16="http://schemas.microsoft.com/office/drawing/2014/chart" uri="{C3380CC4-5D6E-409C-BE32-E72D297353CC}">
              <c16:uniqueId val="{00000001-EC5B-4167-9470-DBD3129A5E07}"/>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dLbl>
              <c:idx val="0"/>
              <c:layout>
                <c:manualLayout>
                  <c:x val="-4.3051957605645313E-2"/>
                  <c:y val="7.59839077241546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4C-46A4-B2C1-F7DA3EE5EA49}"/>
                </c:ext>
              </c:extLst>
            </c:dLbl>
            <c:dLbl>
              <c:idx val="1"/>
              <c:layout>
                <c:manualLayout>
                  <c:x val="-5.4124621965506957E-2"/>
                  <c:y val="7.59839077241547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A1-42CF-9348-6772DAD1E158}"/>
                </c:ext>
              </c:extLst>
            </c:dLbl>
            <c:dLbl>
              <c:idx val="2"/>
              <c:layout>
                <c:manualLayout>
                  <c:x val="-4.0289367898780092E-2"/>
                  <c:y val="5.84792504083842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BE-468F-B4E7-7D3506CA4D67}"/>
                </c:ext>
              </c:extLst>
            </c:dLbl>
            <c:dLbl>
              <c:idx val="3"/>
              <c:layout>
                <c:manualLayout>
                  <c:x val="-5.6900663579843219E-2"/>
                  <c:y val="5.2651744580878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BE-468F-B4E7-7D3506CA4D67}"/>
                </c:ext>
              </c:extLst>
            </c:dLbl>
            <c:dLbl>
              <c:idx val="4"/>
              <c:layout>
                <c:manualLayout>
                  <c:x val="-5.4124621965506908E-2"/>
                  <c:y val="5.26670904697099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BE-468F-B4E7-7D3506CA4D67}"/>
                </c:ext>
              </c:extLst>
            </c:dLbl>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2-EC5B-4167-9470-DBD3129A5E07}"/>
            </c:ext>
          </c:extLst>
        </c:ser>
        <c:dLbls>
          <c:showLegendKey val="0"/>
          <c:showVal val="0"/>
          <c:showCatName val="0"/>
          <c:showSerName val="0"/>
          <c:showPercent val="0"/>
          <c:showBubbleSize val="0"/>
        </c:dLbls>
        <c:marker val="1"/>
        <c:smooth val="0"/>
        <c:axId val="42316928"/>
        <c:axId val="42318464"/>
      </c:lineChart>
      <c:catAx>
        <c:axId val="4231692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42318464"/>
        <c:crosses val="autoZero"/>
        <c:auto val="1"/>
        <c:lblAlgn val="ctr"/>
        <c:lblOffset val="100"/>
        <c:noMultiLvlLbl val="0"/>
      </c:catAx>
      <c:valAx>
        <c:axId val="42318464"/>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42316928"/>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54815020091449E-2"/>
          <c:y val="6.5986802639472111E-2"/>
          <c:w val="0.93899057127010543"/>
          <c:h val="0.65789620272286109"/>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4"/>
              <c:layout>
                <c:manualLayout>
                  <c:x val="-4.4983583789278525E-2"/>
                  <c:y val="7.5715552487709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EE-46B7-B224-97C5D478B1DC}"/>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89</c:v>
                </c:pt>
                <c:pt idx="1">
                  <c:v>89</c:v>
                </c:pt>
                <c:pt idx="2">
                  <c:v>70</c:v>
                </c:pt>
                <c:pt idx="3">
                  <c:v>62</c:v>
                </c:pt>
                <c:pt idx="4">
                  <c:v>70</c:v>
                </c:pt>
              </c:numCache>
            </c:numRef>
          </c:val>
          <c:smooth val="0"/>
          <c:extLst xmlns:c16r2="http://schemas.microsoft.com/office/drawing/2015/06/chart">
            <c:ext xmlns:c16="http://schemas.microsoft.com/office/drawing/2014/chart" uri="{C3380CC4-5D6E-409C-BE32-E72D297353CC}">
              <c16:uniqueId val="{00000001-3FEE-46B7-B224-97C5D478B1DC}"/>
            </c:ext>
          </c:extLst>
        </c:ser>
        <c:dLbls>
          <c:showLegendKey val="0"/>
          <c:showVal val="0"/>
          <c:showCatName val="0"/>
          <c:showSerName val="0"/>
          <c:showPercent val="0"/>
          <c:showBubbleSize val="0"/>
        </c:dLbls>
        <c:marker val="1"/>
        <c:smooth val="0"/>
        <c:axId val="42368384"/>
        <c:axId val="42374272"/>
      </c:lineChart>
      <c:catAx>
        <c:axId val="4236838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42374272"/>
        <c:crosses val="autoZero"/>
        <c:auto val="1"/>
        <c:lblAlgn val="ctr"/>
        <c:lblOffset val="100"/>
        <c:noMultiLvlLbl val="0"/>
      </c:catAx>
      <c:valAx>
        <c:axId val="42374272"/>
        <c:scaling>
          <c:orientation val="minMax"/>
          <c:min val="50"/>
        </c:scaling>
        <c:delete val="1"/>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one"/>
        <c:crossAx val="4236838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Italy</c:v>
                </c:pt>
              </c:strCache>
            </c:strRef>
          </c:tx>
          <c:spPr>
            <a:solidFill>
              <a:srgbClr val="00A676"/>
            </a:solidFill>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E08-4F72-926A-AF0F09801F67}"/>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E08-4F72-926A-AF0F09801F67}"/>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E08-4F72-926A-AF0F09801F67}"/>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E08-4F72-926A-AF0F09801F67}"/>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E08-4F72-926A-AF0F09801F67}"/>
              </c:ext>
            </c:extLst>
          </c:dPt>
          <c:dPt>
            <c:idx val="5"/>
            <c:bubble3D val="0"/>
            <c:extLst xmlns:c16r2="http://schemas.microsoft.com/office/drawing/2015/06/chart">
              <c:ext xmlns:c16="http://schemas.microsoft.com/office/drawing/2014/chart" uri="{C3380CC4-5D6E-409C-BE32-E72D297353CC}">
                <c16:uniqueId val="{0000000A-EE08-4F72-926A-AF0F09801F6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08-4F72-926A-AF0F09801F67}"/>
                </c:ext>
              </c:extLst>
            </c:dLbl>
            <c:dLbl>
              <c:idx val="1"/>
              <c:layout>
                <c:manualLayout>
                  <c:x val="8.2332234422254312E-3"/>
                  <c:y val="3.542002237495374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08-4F72-926A-AF0F09801F67}"/>
                </c:ext>
              </c:extLst>
            </c:dLbl>
            <c:dLbl>
              <c:idx val="2"/>
              <c:layout>
                <c:manualLayout>
                  <c:x val="3.0402964335340434E-3"/>
                  <c:y val="0.14767276951016819"/>
                </c:manualLayout>
              </c:layout>
              <c:spPr>
                <a:noFill/>
                <a:ln w="25384">
                  <a:noFill/>
                </a:ln>
              </c:spPr>
              <c:txPr>
                <a:bodyPr rot="0" spcFirstLastPara="1" vertOverflow="ellipsis" vert="horz" wrap="square" lIns="38100" tIns="19050" rIns="38100" bIns="19050" anchor="ctr" anchorCtr="1">
                  <a:spAutoFit/>
                </a:bodyPr>
                <a:lstStyle/>
                <a:p>
                  <a:pPr>
                    <a:defRPr sz="82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470866141732281"/>
                      <c:h val="0.27261635082900698"/>
                    </c:manualLayout>
                  </c15:layout>
                </c:ext>
                <c:ext xmlns:c16="http://schemas.microsoft.com/office/drawing/2014/chart" uri="{C3380CC4-5D6E-409C-BE32-E72D297353CC}">
                  <c16:uniqueId val="{00000005-EE08-4F72-926A-AF0F09801F67}"/>
                </c:ext>
              </c:extLst>
            </c:dLbl>
            <c:dLbl>
              <c:idx val="3"/>
              <c:layout>
                <c:manualLayout>
                  <c:x val="-4.5496008500667522E-3"/>
                  <c:y val="-3.120942400537341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E08-4F72-926A-AF0F09801F67}"/>
                </c:ext>
              </c:extLst>
            </c:dLbl>
            <c:dLbl>
              <c:idx val="4"/>
              <c:layout>
                <c:manualLayout>
                  <c:x val="-0.16076004686265427"/>
                  <c:y val="-0.128190944347115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E08-4F72-926A-AF0F09801F67}"/>
                </c:ext>
              </c:extLst>
            </c:dLbl>
            <c:dLbl>
              <c:idx val="5"/>
              <c:layout>
                <c:manualLayout>
                  <c:x val="0.11092601569562541"/>
                  <c:y val="4.91798975947678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E08-4F72-926A-AF0F09801F67}"/>
                </c:ext>
              </c:extLst>
            </c:dLbl>
            <c:dLbl>
              <c:idx val="6"/>
              <c:layout>
                <c:manualLayout>
                  <c:x val="-1.6638935108153077E-2"/>
                  <c:y val="8.193666365474806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E08-4F72-926A-AF0F09801F67}"/>
                </c:ext>
              </c:extLst>
            </c:dLbl>
            <c:dLbl>
              <c:idx val="7"/>
              <c:layout>
                <c:manualLayout>
                  <c:x val="0.1192457016084304"/>
                  <c:y val="4.91803278688524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E08-4F72-926A-AF0F09801F67}"/>
                </c:ext>
              </c:extLst>
            </c:dLbl>
            <c:dLbl>
              <c:idx val="8"/>
              <c:layout>
                <c:manualLayout>
                  <c:x val="2.7731558513588465E-3"/>
                  <c:y val="4.91803278688524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E08-4F72-926A-AF0F09801F67}"/>
                </c:ext>
              </c:extLst>
            </c:dLbl>
            <c:dLbl>
              <c:idx val="9"/>
              <c:layout>
                <c:manualLayout>
                  <c:x val="1.3865779256794232E-2"/>
                  <c:y val="6.01092896174863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E08-4F72-926A-AF0F09801F67}"/>
                </c:ext>
              </c:extLst>
            </c:dLbl>
            <c:dLbl>
              <c:idx val="10"/>
              <c:layout>
                <c:manualLayout>
                  <c:x val="-8.3194675540765387E-3"/>
                  <c:y val="1.09289617486338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E08-4F72-926A-AF0F09801F67}"/>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Taxation and customs</c:v>
                </c:pt>
                <c:pt idx="2">
                  <c:v>Internal market, industry, entrepreneurship and SMEs</c:v>
                </c:pt>
                <c:pt idx="3">
                  <c:v>Environment</c:v>
                </c:pt>
                <c:pt idx="4">
                  <c:v>Other</c:v>
                </c:pt>
              </c:strCache>
            </c:strRef>
          </c:cat>
          <c:val>
            <c:numRef>
              <c:f>Blad1!$B$2:$B$6</c:f>
              <c:numCache>
                <c:formatCode>General</c:formatCode>
                <c:ptCount val="5"/>
                <c:pt idx="0">
                  <c:v>0</c:v>
                </c:pt>
                <c:pt idx="1">
                  <c:v>6</c:v>
                </c:pt>
                <c:pt idx="2">
                  <c:v>5</c:v>
                </c:pt>
                <c:pt idx="3">
                  <c:v>4</c:v>
                </c:pt>
                <c:pt idx="4">
                  <c:v>11</c:v>
                </c:pt>
              </c:numCache>
            </c:numRef>
          </c:val>
          <c:extLst xmlns:c16r2="http://schemas.microsoft.com/office/drawing/2015/06/chart">
            <c:ext xmlns:c16="http://schemas.microsoft.com/office/drawing/2014/chart" uri="{C3380CC4-5D6E-409C-BE32-E72D297353CC}">
              <c16:uniqueId val="{00000010-EE08-4F72-926A-AF0F09801F67}"/>
            </c:ext>
          </c:extLst>
        </c:ser>
        <c:dLbls>
          <c:showLegendKey val="0"/>
          <c:showVal val="0"/>
          <c:showCatName val="0"/>
          <c:showSerName val="0"/>
          <c:showPercent val="0"/>
          <c:showBubbleSize val="0"/>
          <c:showLeaderLines val="0"/>
        </c:dLbls>
        <c:firstSliceAng val="266"/>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10012805492739E-2"/>
                  <c:y val="-5.74939570019908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F0-4441-83CB-1578F4667517}"/>
                </c:ext>
              </c:extLst>
            </c:dLbl>
            <c:dLbl>
              <c:idx val="3"/>
              <c:layout>
                <c:manualLayout>
                  <c:x val="-4.2239380977031851E-2"/>
                  <c:y val="5.0930429852197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F0-4441-83CB-1578F4667517}"/>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15</c:v>
                </c:pt>
                <c:pt idx="1">
                  <c:v>20</c:v>
                </c:pt>
                <c:pt idx="2">
                  <c:v>14</c:v>
                </c:pt>
                <c:pt idx="3">
                  <c:v>9</c:v>
                </c:pt>
                <c:pt idx="4">
                  <c:v>9</c:v>
                </c:pt>
              </c:numCache>
            </c:numRef>
          </c:val>
          <c:smooth val="0"/>
          <c:extLst xmlns:c16r2="http://schemas.microsoft.com/office/drawing/2015/06/chart">
            <c:ext xmlns:c16="http://schemas.microsoft.com/office/drawing/2014/chart" uri="{C3380CC4-5D6E-409C-BE32-E72D297353CC}">
              <c16:uniqueId val="{00000002-F4F0-4441-83CB-1578F4667517}"/>
            </c:ext>
          </c:extLst>
        </c:ser>
        <c:dLbls>
          <c:showLegendKey val="0"/>
          <c:showVal val="0"/>
          <c:showCatName val="0"/>
          <c:showSerName val="0"/>
          <c:showPercent val="0"/>
          <c:showBubbleSize val="0"/>
        </c:dLbls>
        <c:marker val="1"/>
        <c:smooth val="0"/>
        <c:axId val="122185600"/>
        <c:axId val="122187136"/>
      </c:lineChart>
      <c:catAx>
        <c:axId val="12218560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2187136"/>
        <c:crosses val="autoZero"/>
        <c:auto val="1"/>
        <c:lblAlgn val="ctr"/>
        <c:lblOffset val="100"/>
        <c:noMultiLvlLbl val="0"/>
      </c:catAx>
      <c:valAx>
        <c:axId val="122187136"/>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one"/>
        <c:crossAx val="122185600"/>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277742963790436E-2"/>
                  <c:y val="-5.1241638920744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4F-41BC-A588-E22BFD59413A}"/>
                </c:ext>
              </c:extLst>
            </c:dLbl>
            <c:dLbl>
              <c:idx val="1"/>
              <c:layout>
                <c:manualLayout>
                  <c:x val="-3.1166666666666665E-2"/>
                  <c:y val="-8.0314960629921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4F-41BC-A588-E22BFD59413A}"/>
                </c:ext>
              </c:extLst>
            </c:dLbl>
            <c:dLbl>
              <c:idx val="2"/>
              <c:layout>
                <c:manualLayout>
                  <c:x val="-4.2277777777777775E-2"/>
                  <c:y val="-7.3692810457516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4F-41BC-A588-E22BFD59413A}"/>
                </c:ext>
              </c:extLst>
            </c:dLbl>
            <c:dLbl>
              <c:idx val="3"/>
              <c:layout>
                <c:manualLayout>
                  <c:x val="-4.2277777777777775E-2"/>
                  <c:y val="-9.54793028322440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4F-41BC-A588-E22BFD59413A}"/>
                </c:ext>
              </c:extLst>
            </c:dLbl>
            <c:dLbl>
              <c:idx val="4"/>
              <c:layout>
                <c:manualLayout>
                  <c:x val="-3.3944444444444444E-2"/>
                  <c:y val="-9.54793028322440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4F-41BC-A588-E22BFD59413A}"/>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22</c:v>
                </c:pt>
                <c:pt idx="1">
                  <c:v>18</c:v>
                </c:pt>
                <c:pt idx="2">
                  <c:v>15</c:v>
                </c:pt>
                <c:pt idx="3">
                  <c:v>7</c:v>
                </c:pt>
                <c:pt idx="4">
                  <c:v>11</c:v>
                </c:pt>
              </c:numCache>
            </c:numRef>
          </c:val>
          <c:smooth val="0"/>
          <c:extLst xmlns:c16r2="http://schemas.microsoft.com/office/drawing/2015/06/chart">
            <c:ext xmlns:c16="http://schemas.microsoft.com/office/drawing/2014/chart" uri="{C3380CC4-5D6E-409C-BE32-E72D297353CC}">
              <c16:uniqueId val="{00000005-154F-41BC-A588-E22BFD59413A}"/>
            </c:ext>
          </c:extLst>
        </c:ser>
        <c:dLbls>
          <c:showLegendKey val="0"/>
          <c:showVal val="0"/>
          <c:showCatName val="0"/>
          <c:showSerName val="0"/>
          <c:showPercent val="0"/>
          <c:showBubbleSize val="0"/>
        </c:dLbls>
        <c:marker val="1"/>
        <c:smooth val="0"/>
        <c:axId val="122824192"/>
        <c:axId val="122825728"/>
      </c:lineChart>
      <c:catAx>
        <c:axId val="12282419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2825728"/>
        <c:crosses val="autoZero"/>
        <c:auto val="1"/>
        <c:lblAlgn val="ctr"/>
        <c:lblOffset val="100"/>
        <c:noMultiLvlLbl val="0"/>
      </c:catAx>
      <c:valAx>
        <c:axId val="122825728"/>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crossAx val="12282419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11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Italy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09669246852618"/>
          <c:y val="2.9411636045494315E-2"/>
        </c:manualLayout>
      </c:layout>
      <c:overlay val="0"/>
      <c:spPr>
        <a:noFill/>
        <a:ln w="2539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olidFill>
              <a:srgbClr val="808AA4"/>
            </a:solidFill>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3BA-4A44-80AF-2ED2793907E2}"/>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3BA-4A44-80AF-2ED2793907E2}"/>
              </c:ext>
            </c:extLst>
          </c:dPt>
          <c:dPt>
            <c:idx val="2"/>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4-63BA-4A44-80AF-2ED2793907E2}"/>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3BA-4A44-80AF-2ED2793907E2}"/>
              </c:ext>
            </c:extLst>
          </c:dPt>
          <c:dPt>
            <c:idx val="4"/>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6-63BA-4A44-80AF-2ED2793907E2}"/>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FB65-417E-A6CF-C8D287D6BF7E}"/>
              </c:ext>
            </c:extLst>
          </c:dPt>
          <c:dPt>
            <c:idx val="6"/>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B65-417E-A6CF-C8D287D6BF7E}"/>
              </c:ext>
            </c:extLst>
          </c:dPt>
          <c:dPt>
            <c:idx val="7"/>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FB65-417E-A6CF-C8D287D6BF7E}"/>
              </c:ext>
            </c:extLst>
          </c:dPt>
          <c:dLbls>
            <c:dLbl>
              <c:idx val="0"/>
              <c:layout>
                <c:manualLayout>
                  <c:x val="4.1785821548424585E-4"/>
                  <c:y val="-8.44687206891932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BA-4A44-80AF-2ED2793907E2}"/>
                </c:ext>
              </c:extLst>
            </c:dLbl>
            <c:dLbl>
              <c:idx val="1"/>
              <c:layout>
                <c:manualLayout>
                  <c:x val="-0.10191191897032774"/>
                  <c:y val="0.11643651525541289"/>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BA-4A44-80AF-2ED2793907E2}"/>
                </c:ext>
              </c:extLst>
            </c:dLbl>
            <c:dLbl>
              <c:idx val="2"/>
              <c:layout>
                <c:manualLayout>
                  <c:x val="-3.2116103646248298E-2"/>
                  <c:y val="3.08127024662457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3BA-4A44-80AF-2ED2793907E2}"/>
                </c:ext>
              </c:extLst>
            </c:dLbl>
            <c:dLbl>
              <c:idx val="3"/>
              <c:layout>
                <c:manualLayout>
                  <c:x val="-8.3996030346952903E-3"/>
                  <c:y val="3.3706541186856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BA-4A44-80AF-2ED2793907E2}"/>
                </c:ext>
              </c:extLst>
            </c:dLbl>
            <c:dLbl>
              <c:idx val="4"/>
              <c:layout>
                <c:manualLayout>
                  <c:x val="-2.5245600518840617E-5"/>
                  <c:y val="-2.317277907829088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3BA-4A44-80AF-2ED2793907E2}"/>
                </c:ext>
              </c:extLst>
            </c:dLbl>
            <c:spPr>
              <a:noFill/>
              <a:ln w="25396">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Blad1!$A$4:$A$11</c:f>
              <c:strCache>
                <c:ptCount val="8"/>
                <c:pt idx="0">
                  <c:v>Health and food safety</c:v>
                </c:pt>
                <c:pt idx="1">
                  <c:v>Internal market, industry, entrepreneurship and SMEs</c:v>
                </c:pt>
                <c:pt idx="2">
                  <c:v>Communication networks</c:v>
                </c:pt>
                <c:pt idx="3">
                  <c:v>Justice and consumers</c:v>
                </c:pt>
                <c:pt idx="4">
                  <c:v>Employment</c:v>
                </c:pt>
                <c:pt idx="5">
                  <c:v>Environment</c:v>
                </c:pt>
                <c:pt idx="6">
                  <c:v>Energy</c:v>
                </c:pt>
                <c:pt idx="7">
                  <c:v>Taxation and customs</c:v>
                </c:pt>
              </c:strCache>
            </c:strRef>
          </c:cat>
          <c:val>
            <c:numRef>
              <c:f>Blad1!$B$4:$B$11</c:f>
              <c:numCache>
                <c:formatCode>General</c:formatCode>
                <c:ptCount val="8"/>
                <c:pt idx="0">
                  <c:v>3</c:v>
                </c:pt>
                <c:pt idx="1">
                  <c:v>2</c:v>
                </c:pt>
                <c:pt idx="2">
                  <c:v>1</c:v>
                </c:pt>
                <c:pt idx="3">
                  <c:v>1</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7-63BA-4A44-80AF-2ED2793907E2}"/>
            </c:ext>
          </c:extLst>
        </c:ser>
        <c:dLbls>
          <c:showLegendKey val="0"/>
          <c:showVal val="0"/>
          <c:showCatName val="0"/>
          <c:showSerName val="0"/>
          <c:showPercent val="0"/>
          <c:showBubbleSize val="0"/>
          <c:showLeaderLines val="0"/>
        </c:dLbls>
        <c:firstSliceAng val="219"/>
      </c:pieChart>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679700043690325E-2"/>
                  <c:y val="6.49083826158558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B4-408F-B616-DABC1167C547}"/>
                </c:ext>
              </c:extLst>
            </c:dLbl>
            <c:spPr>
              <a:noFill/>
              <a:ln w="25368">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62</c:v>
                </c:pt>
                <c:pt idx="1">
                  <c:v>43</c:v>
                </c:pt>
                <c:pt idx="2">
                  <c:v>62</c:v>
                </c:pt>
                <c:pt idx="3">
                  <c:v>90</c:v>
                </c:pt>
                <c:pt idx="4">
                  <c:v>57</c:v>
                </c:pt>
              </c:numCache>
            </c:numRef>
          </c:val>
          <c:smooth val="0"/>
          <c:extLst xmlns:c16r2="http://schemas.microsoft.com/office/drawing/2015/06/chart">
            <c:ext xmlns:c16="http://schemas.microsoft.com/office/drawing/2014/chart" uri="{C3380CC4-5D6E-409C-BE32-E72D297353CC}">
              <c16:uniqueId val="{00000001-50B4-408F-B616-DABC1167C547}"/>
            </c:ext>
          </c:extLst>
        </c:ser>
        <c:dLbls>
          <c:showLegendKey val="0"/>
          <c:showVal val="0"/>
          <c:showCatName val="0"/>
          <c:showSerName val="0"/>
          <c:showPercent val="0"/>
          <c:showBubbleSize val="0"/>
        </c:dLbls>
        <c:marker val="1"/>
        <c:smooth val="0"/>
        <c:axId val="123156352"/>
        <c:axId val="123157888"/>
      </c:lineChart>
      <c:catAx>
        <c:axId val="123156352"/>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157888"/>
        <c:crosses val="autoZero"/>
        <c:auto val="1"/>
        <c:lblAlgn val="ctr"/>
        <c:lblOffset val="100"/>
        <c:noMultiLvlLbl val="0"/>
      </c:catAx>
      <c:valAx>
        <c:axId val="123157888"/>
        <c:scaling>
          <c:orientation val="minMax"/>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23156352"/>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142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99">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15B-4D22-91A2-D5469FBD0447}"/>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15B-4D22-91A2-D5469FBD0447}"/>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15B-4D22-91A2-D5469FBD0447}"/>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15B-4D22-91A2-D5469FBD0447}"/>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B15B-4D22-91A2-D5469FBD0447}"/>
              </c:ext>
            </c:extLst>
          </c:dPt>
          <c:dLbls>
            <c:dLbl>
              <c:idx val="0"/>
              <c:layout>
                <c:manualLayout>
                  <c:x val="-4.9783162052602942E-2"/>
                  <c:y val="0.16949055272028443"/>
                </c:manualLayout>
              </c:layout>
              <c:spPr>
                <a:noFill/>
                <a:ln w="25399">
                  <a:noFill/>
                </a:ln>
              </c:spPr>
              <c:txPr>
                <a:bodyPr rot="0" spcFirstLastPara="1" vertOverflow="ellipsis" vert="horz" wrap="square" lIns="38100" tIns="19050" rIns="38100" bIns="19050" anchor="ctr" anchorCtr="1">
                  <a:no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7308033051850952"/>
                      <c:h val="0.22359698056452795"/>
                    </c:manualLayout>
                  </c15:layout>
                </c:ext>
                <c:ext xmlns:c16="http://schemas.microsoft.com/office/drawing/2014/chart" uri="{C3380CC4-5D6E-409C-BE32-E72D297353CC}">
                  <c16:uniqueId val="{00000001-B15B-4D22-91A2-D5469FBD0447}"/>
                </c:ext>
              </c:extLst>
            </c:dLbl>
            <c:dLbl>
              <c:idx val="1"/>
              <c:layout>
                <c:manualLayout>
                  <c:x val="-3.8423857144091994E-2"/>
                  <c:y val="-2.0389325112635144E-2"/>
                </c:manualLayout>
              </c:layout>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5B-4D22-91A2-D5469FBD0447}"/>
                </c:ext>
              </c:extLst>
            </c:dLbl>
            <c:dLbl>
              <c:idx val="2"/>
              <c:layout>
                <c:manualLayout>
                  <c:x val="1.1013466209149761E-2"/>
                  <c:y val="5.1109200570816665E-2"/>
                </c:manualLayout>
              </c:layout>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5B-4D22-91A2-D5469FBD0447}"/>
                </c:ext>
              </c:extLst>
            </c:dLbl>
            <c:dLbl>
              <c:idx val="3"/>
              <c:layout>
                <c:manualLayout>
                  <c:x val="-1.6720939177333898E-2"/>
                  <c:y val="0.17785754649978991"/>
                </c:manualLayout>
              </c:layout>
              <c:spPr>
                <a:noFill/>
                <a:ln w="25399">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9791459588407648"/>
                      <c:h val="0.33741993504651624"/>
                    </c:manualLayout>
                  </c15:layout>
                </c:ext>
                <c:ext xmlns:c16="http://schemas.microsoft.com/office/drawing/2014/chart" uri="{C3380CC4-5D6E-409C-BE32-E72D297353CC}">
                  <c16:uniqueId val="{00000007-B15B-4D22-91A2-D5469FBD0447}"/>
                </c:ext>
              </c:extLst>
            </c:dLbl>
            <c:dLbl>
              <c:idx val="4"/>
              <c:layout>
                <c:manualLayout>
                  <c:x val="-0.21130625686059279"/>
                  <c:y val="-0.1228707065065623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15B-4D22-91A2-D5469FBD0447}"/>
                </c:ext>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Justice and consumers</c:v>
                </c:pt>
                <c:pt idx="1">
                  <c:v>Environment</c:v>
                </c:pt>
                <c:pt idx="2">
                  <c:v>Agriculture and rural development</c:v>
                </c:pt>
                <c:pt idx="3">
                  <c:v>Financial stability, financial services and capital markets union</c:v>
                </c:pt>
                <c:pt idx="4">
                  <c:v>Other</c:v>
                </c:pt>
              </c:strCache>
            </c:strRef>
          </c:cat>
          <c:val>
            <c:numRef>
              <c:f>Blad1!$B$2:$B$6</c:f>
              <c:numCache>
                <c:formatCode>General</c:formatCode>
                <c:ptCount val="5"/>
                <c:pt idx="0">
                  <c:v>52</c:v>
                </c:pt>
                <c:pt idx="1">
                  <c:v>17</c:v>
                </c:pt>
                <c:pt idx="2">
                  <c:v>9</c:v>
                </c:pt>
                <c:pt idx="3">
                  <c:v>9</c:v>
                </c:pt>
                <c:pt idx="4">
                  <c:v>55</c:v>
                </c:pt>
              </c:numCache>
            </c:numRef>
          </c:val>
          <c:extLst xmlns:c16r2="http://schemas.microsoft.com/office/drawing/2015/06/chart">
            <c:ext xmlns:c16="http://schemas.microsoft.com/office/drawing/2014/chart" uri="{C3380CC4-5D6E-409C-BE32-E72D297353CC}">
              <c16:uniqueId val="{00000009-B15B-4D22-91A2-D5469FBD0447}"/>
            </c:ext>
          </c:extLst>
        </c:ser>
        <c:dLbls>
          <c:showLegendKey val="0"/>
          <c:showVal val="0"/>
          <c:showCatName val="0"/>
          <c:showSerName val="0"/>
          <c:showPercent val="0"/>
          <c:showBubbleSize val="0"/>
          <c:showLeaderLines val="0"/>
        </c:dLbls>
        <c:firstSliceAng val="251"/>
      </c:pie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57 complaints made against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5398087135814362"/>
          <c:y val="3.1537493072960353E-2"/>
        </c:manualLayout>
      </c:layout>
      <c:overlay val="0"/>
      <c:spPr>
        <a:noFill/>
        <a:ln w="2534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6FF-48A7-A2F5-6349554E9EDF}"/>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6FF-48A7-A2F5-6349554E9EDF}"/>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6FF-48A7-A2F5-6349554E9EDF}"/>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6FF-48A7-A2F5-6349554E9ED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76FF-48A7-A2F5-6349554E9EDF}"/>
              </c:ext>
            </c:extLst>
          </c:dPt>
          <c:dLbls>
            <c:dLbl>
              <c:idx val="0"/>
              <c:layout>
                <c:manualLayout>
                  <c:x val="2.4745978534861362E-2"/>
                  <c:y val="0.12087069557945636"/>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FF-48A7-A2F5-6349554E9EDF}"/>
                </c:ext>
              </c:extLst>
            </c:dLbl>
            <c:dLbl>
              <c:idx val="1"/>
              <c:layout>
                <c:manualLayout>
                  <c:x val="-4.8248543497479103E-3"/>
                  <c:y val="9.2595361848005403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FF-48A7-A2F5-6349554E9EDF}"/>
                </c:ext>
              </c:extLst>
            </c:dLbl>
            <c:dLbl>
              <c:idx val="2"/>
              <c:layout>
                <c:manualLayout>
                  <c:x val="6.7001127210195906E-3"/>
                  <c:y val="2.0431380126563935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FF-48A7-A2F5-6349554E9EDF}"/>
                </c:ext>
              </c:extLst>
            </c:dLbl>
            <c:dLbl>
              <c:idx val="3"/>
              <c:layout>
                <c:manualLayout>
                  <c:x val="7.1634915717876486E-3"/>
                  <c:y val="2.7366588134763163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FF-48A7-A2F5-6349554E9EDF}"/>
                </c:ext>
              </c:extLst>
            </c:dLbl>
            <c:dLbl>
              <c:idx val="4"/>
              <c:layout>
                <c:manualLayout>
                  <c:x val="9.1503267973856203E-2"/>
                  <c:y val="-3.07692307692307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6FF-48A7-A2F5-6349554E9EDF}"/>
                </c:ext>
              </c:extLst>
            </c:dLbl>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Justice and consumers</c:v>
                </c:pt>
                <c:pt idx="2">
                  <c:v>Employment</c:v>
                </c:pt>
                <c:pt idx="3">
                  <c:v>Environment</c:v>
                </c:pt>
                <c:pt idx="4">
                  <c:v>Other</c:v>
                </c:pt>
              </c:strCache>
            </c:strRef>
          </c:cat>
          <c:val>
            <c:numRef>
              <c:f>Blad1!$B$2:$B$6</c:f>
              <c:numCache>
                <c:formatCode>General</c:formatCode>
                <c:ptCount val="5"/>
                <c:pt idx="1">
                  <c:v>14</c:v>
                </c:pt>
                <c:pt idx="2">
                  <c:v>9</c:v>
                </c:pt>
                <c:pt idx="3">
                  <c:v>7</c:v>
                </c:pt>
                <c:pt idx="4">
                  <c:v>27</c:v>
                </c:pt>
              </c:numCache>
            </c:numRef>
          </c:val>
          <c:extLst xmlns:c16r2="http://schemas.microsoft.com/office/drawing/2015/06/chart">
            <c:ext xmlns:c16="http://schemas.microsoft.com/office/drawing/2014/chart" uri="{C3380CC4-5D6E-409C-BE32-E72D297353CC}">
              <c16:uniqueId val="{00000009-76FF-48A7-A2F5-6349554E9EDF}"/>
            </c:ext>
          </c:extLst>
        </c:ser>
        <c:dLbls>
          <c:showLegendKey val="0"/>
          <c:showVal val="0"/>
          <c:showCatName val="0"/>
          <c:showSerName val="0"/>
          <c:showPercent val="0"/>
          <c:showBubbleSize val="0"/>
          <c:showLeaderLines val="0"/>
        </c:dLbls>
        <c:firstSliceAng val="212"/>
      </c:pieChart>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37320044296787E-2"/>
                  <c:y val="-5.9693877551020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EA-4705-8796-34F09047091E}"/>
                </c:ext>
              </c:extLst>
            </c:dLbl>
            <c:dLbl>
              <c:idx val="2"/>
              <c:layout>
                <c:manualLayout>
                  <c:x val="-5.0184642617347251E-2"/>
                  <c:y val="6.9280179263306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EA-4705-8796-34F09047091E}"/>
                </c:ext>
              </c:extLst>
            </c:dLbl>
            <c:dLbl>
              <c:idx val="3"/>
              <c:layout>
                <c:manualLayout>
                  <c:x val="-4.4902090686939997E-2"/>
                  <c:y val="6.48042160644139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EA-4705-8796-34F09047091E}"/>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31</c:v>
                </c:pt>
                <c:pt idx="1">
                  <c:v>31</c:v>
                </c:pt>
                <c:pt idx="2">
                  <c:v>27</c:v>
                </c:pt>
                <c:pt idx="3">
                  <c:v>4</c:v>
                </c:pt>
                <c:pt idx="4">
                  <c:v>7</c:v>
                </c:pt>
              </c:numCache>
            </c:numRef>
          </c:val>
          <c:smooth val="0"/>
          <c:extLst xmlns:c16r2="http://schemas.microsoft.com/office/drawing/2015/06/chart">
            <c:ext xmlns:c16="http://schemas.microsoft.com/office/drawing/2014/chart" uri="{C3380CC4-5D6E-409C-BE32-E72D297353CC}">
              <c16:uniqueId val="{00000003-69EA-4705-8796-34F09047091E}"/>
            </c:ext>
          </c:extLst>
        </c:ser>
        <c:dLbls>
          <c:showLegendKey val="0"/>
          <c:showVal val="0"/>
          <c:showCatName val="0"/>
          <c:showSerName val="0"/>
          <c:showPercent val="0"/>
          <c:showBubbleSize val="0"/>
        </c:dLbls>
        <c:marker val="1"/>
        <c:smooth val="0"/>
        <c:axId val="123116544"/>
        <c:axId val="123122432"/>
      </c:lineChart>
      <c:catAx>
        <c:axId val="123116544"/>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122432"/>
        <c:crosses val="autoZero"/>
        <c:auto val="1"/>
        <c:lblAlgn val="ctr"/>
        <c:lblOffset val="100"/>
        <c:noMultiLvlLbl val="0"/>
      </c:catAx>
      <c:valAx>
        <c:axId val="123122432"/>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23116544"/>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4896008688569099E-2"/>
                  <c:y val="5.88164981070367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FA-492F-AA4A-CBEDF6F7E9B0}"/>
                </c:ext>
              </c:extLst>
            </c:dLbl>
            <c:dLbl>
              <c:idx val="2"/>
              <c:layout>
                <c:manualLayout>
                  <c:x val="-4.1908878631550364E-2"/>
                  <c:y val="-6.6159950942926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FA-492F-AA4A-CBEDF6F7E9B0}"/>
                </c:ext>
              </c:extLst>
            </c:dLbl>
            <c:dLbl>
              <c:idx val="3"/>
              <c:layout>
                <c:manualLayout>
                  <c:x val="-4.4902163392366655E-2"/>
                  <c:y val="8.73774706733086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FA-492F-AA4A-CBEDF6F7E9B0}"/>
                </c:ext>
              </c:extLst>
            </c:dLbl>
            <c:dLbl>
              <c:idx val="4"/>
              <c:layout>
                <c:manualLayout>
                  <c:x val="-5.5779310344827686E-2"/>
                  <c:y val="8.16591422121896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FA-492F-AA4A-CBEDF6F7E9B0}"/>
                </c:ext>
              </c:extLst>
            </c:dLbl>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37</c:v>
                </c:pt>
                <c:pt idx="1">
                  <c:v>36</c:v>
                </c:pt>
                <c:pt idx="2">
                  <c:v>40</c:v>
                </c:pt>
                <c:pt idx="3">
                  <c:v>24</c:v>
                </c:pt>
                <c:pt idx="4">
                  <c:v>14</c:v>
                </c:pt>
              </c:numCache>
            </c:numRef>
          </c:val>
          <c:smooth val="0"/>
          <c:extLst xmlns:c16r2="http://schemas.microsoft.com/office/drawing/2015/06/chart">
            <c:ext xmlns:c16="http://schemas.microsoft.com/office/drawing/2014/chart" uri="{C3380CC4-5D6E-409C-BE32-E72D297353CC}">
              <c16:uniqueId val="{00000003-8CFA-492F-AA4A-CBEDF6F7E9B0}"/>
            </c:ext>
          </c:extLst>
        </c:ser>
        <c:dLbls>
          <c:showLegendKey val="0"/>
          <c:showVal val="0"/>
          <c:showCatName val="0"/>
          <c:showSerName val="0"/>
          <c:showPercent val="0"/>
          <c:showBubbleSize val="0"/>
        </c:dLbls>
        <c:marker val="1"/>
        <c:smooth val="0"/>
        <c:axId val="122611968"/>
        <c:axId val="122617856"/>
      </c:lineChart>
      <c:catAx>
        <c:axId val="122611968"/>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2617856"/>
        <c:crosses val="autoZero"/>
        <c:auto val="1"/>
        <c:lblAlgn val="ctr"/>
        <c:lblOffset val="100"/>
        <c:noMultiLvlLbl val="0"/>
      </c:catAx>
      <c:valAx>
        <c:axId val="122617856"/>
        <c:scaling>
          <c:orientation val="minMax"/>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22611968"/>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7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Cyprus</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755-4993-8229-6BA68BBB1C1B}"/>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755-4993-8229-6BA68BBB1C1B}"/>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755-4993-8229-6BA68BBB1C1B}"/>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755-4993-8229-6BA68BBB1C1B}"/>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755-4993-8229-6BA68BBB1C1B}"/>
              </c:ext>
            </c:extLst>
          </c:dPt>
          <c:dLbls>
            <c:dLbl>
              <c:idx val="0"/>
              <c:layout>
                <c:manualLayout>
                  <c:x val="-3.8663753794074003E-2"/>
                  <c:y val="-5.05872634918548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55-4993-8229-6BA68BBB1C1B}"/>
                </c:ext>
              </c:extLst>
            </c:dLbl>
            <c:dLbl>
              <c:idx val="1"/>
              <c:layout>
                <c:manualLayout>
                  <c:x val="-2.6131869575375961E-3"/>
                  <c:y val="-6.997641082964838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55-4993-8229-6BA68BBB1C1B}"/>
                </c:ext>
              </c:extLst>
            </c:dLbl>
            <c:dLbl>
              <c:idx val="2"/>
              <c:layout>
                <c:manualLayout>
                  <c:x val="-5.7884190703428587E-3"/>
                  <c:y val="5.18185031150855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55-4993-8229-6BA68BBB1C1B}"/>
                </c:ext>
              </c:extLst>
            </c:dLbl>
            <c:dLbl>
              <c:idx val="3"/>
              <c:layout>
                <c:manualLayout>
                  <c:x val="5.1919621082507583E-2"/>
                  <c:y val="-9.5684350456935232E-17"/>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422948669772628"/>
                      <c:h val="0.27074655203590159"/>
                    </c:manualLayout>
                  </c15:layout>
                </c:ext>
                <c:ext xmlns:c16="http://schemas.microsoft.com/office/drawing/2014/chart" uri="{C3380CC4-5D6E-409C-BE32-E72D297353CC}">
                  <c16:uniqueId val="{00000007-E755-4993-8229-6BA68BBB1C1B}"/>
                </c:ext>
              </c:extLst>
            </c:dLbl>
            <c:dLbl>
              <c:idx val="4"/>
              <c:layout>
                <c:manualLayout>
                  <c:x val="8.2236842105263153E-3"/>
                  <c:y val="-2.03252032520325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55-4993-8229-6BA68BBB1C1B}"/>
                </c:ext>
              </c:extLst>
            </c:dLbl>
            <c:dLbl>
              <c:idx val="5"/>
              <c:layout>
                <c:manualLayout>
                  <c:x val="1.6447368421052631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55-4993-8229-6BA68BBB1C1B}"/>
                </c:ext>
              </c:extLst>
            </c:dLbl>
            <c:dLbl>
              <c:idx val="6"/>
              <c:layout>
                <c:manualLayout>
                  <c:x val="-3.0153508771929825E-2"/>
                  <c:y val="-5.5894308943089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55-4993-8229-6BA68BBB1C1B}"/>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Environment</c:v>
                </c:pt>
                <c:pt idx="1">
                  <c:v>Energy</c:v>
                </c:pt>
                <c:pt idx="2">
                  <c:v>Migration and home affairs</c:v>
                </c:pt>
                <c:pt idx="3">
                  <c:v>Financial stability, financial services and Capital Makets Union</c:v>
                </c:pt>
              </c:strCache>
            </c:strRef>
          </c:cat>
          <c:val>
            <c:numRef>
              <c:f>Blad1!$B$3:$B$6</c:f>
              <c:numCache>
                <c:formatCode>General</c:formatCode>
                <c:ptCount val="4"/>
                <c:pt idx="0">
                  <c:v>1</c:v>
                </c:pt>
                <c:pt idx="1">
                  <c:v>2</c:v>
                </c:pt>
                <c:pt idx="2">
                  <c:v>3</c:v>
                </c:pt>
                <c:pt idx="3">
                  <c:v>1</c:v>
                </c:pt>
              </c:numCache>
            </c:numRef>
          </c:val>
          <c:extLst xmlns:c16r2="http://schemas.microsoft.com/office/drawing/2015/06/chart">
            <c:ext xmlns:c16="http://schemas.microsoft.com/office/drawing/2014/chart" uri="{C3380CC4-5D6E-409C-BE32-E72D297353CC}">
              <c16:uniqueId val="{0000000C-E755-4993-8229-6BA68BBB1C1B}"/>
            </c:ext>
          </c:extLst>
        </c:ser>
        <c:dLbls>
          <c:showLegendKey val="0"/>
          <c:showVal val="0"/>
          <c:showCatName val="0"/>
          <c:showSerName val="0"/>
          <c:showPercent val="0"/>
          <c:showBubbleSize val="0"/>
          <c:showLeaderLines val="0"/>
        </c:dLbls>
        <c:firstSliceAng val="181"/>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175529847454589E-2"/>
          <c:y val="5.5722834645669288E-2"/>
          <c:w val="0.87779859464322363"/>
          <c:h val="0.69629112999947851"/>
        </c:manualLayout>
      </c:layout>
      <c:lineChart>
        <c:grouping val="standard"/>
        <c:varyColors val="0"/>
        <c:ser>
          <c:idx val="0"/>
          <c:order val="0"/>
          <c:tx>
            <c:strRef>
              <c:f>Blad1!$B$2</c:f>
              <c:strCache>
                <c:ptCount val="1"/>
                <c:pt idx="0">
                  <c:v>Cyprus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4387045213358E-2"/>
                  <c:y val="-5.25938189845474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25-43B0-BFEA-BFDC85279825}"/>
                </c:ext>
              </c:extLst>
            </c:dLbl>
            <c:dLbl>
              <c:idx val="1"/>
              <c:layout>
                <c:manualLayout>
                  <c:x val="-5.2863338006210125E-2"/>
                  <c:y val="6.8818984547461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25-43B0-BFEA-BFDC85279825}"/>
                </c:ext>
              </c:extLst>
            </c:dLbl>
            <c:dLbl>
              <c:idx val="2"/>
              <c:layout>
                <c:manualLayout>
                  <c:x val="-5.0090182154851275E-2"/>
                  <c:y val="-7.46688741721854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25-43B0-BFEA-BFDC85279825}"/>
                </c:ext>
              </c:extLst>
            </c:dLbl>
            <c:dLbl>
              <c:idx val="3"/>
              <c:layout>
                <c:manualLayout>
                  <c:x val="-4.7119424385298064E-2"/>
                  <c:y val="-6.87978080676249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B8-4F44-873B-B17CAB8E3D7F}"/>
                </c:ext>
              </c:extLst>
            </c:dLbl>
            <c:dLbl>
              <c:idx val="4"/>
              <c:layout>
                <c:manualLayout>
                  <c:x val="-5.5636493857568969E-2"/>
                  <c:y val="-5.81125827814569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25-43B0-BFEA-BFDC85279825}"/>
                </c:ext>
              </c:extLst>
            </c:dLbl>
            <c:dLbl>
              <c:idx val="5"/>
              <c:layout>
                <c:manualLayout>
                  <c:x val="-4.1731940770636099E-2"/>
                  <c:y val="-8.0098080877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25-43B0-BFEA-BFDC85279825}"/>
                </c:ext>
              </c:extLst>
            </c:dLbl>
            <c:spPr>
              <a:noFill/>
              <a:ln w="25370">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0.76</c:v>
                </c:pt>
                <c:pt idx="1">
                  <c:v>0.72</c:v>
                </c:pt>
                <c:pt idx="2">
                  <c:v>0.87</c:v>
                </c:pt>
                <c:pt idx="3">
                  <c:v>0.82</c:v>
                </c:pt>
                <c:pt idx="4">
                  <c:v>0.75</c:v>
                </c:pt>
              </c:numCache>
            </c:numRef>
          </c:val>
          <c:smooth val="0"/>
          <c:extLst xmlns:c16r2="http://schemas.microsoft.com/office/drawing/2015/06/chart">
            <c:ext xmlns:c16="http://schemas.microsoft.com/office/drawing/2014/chart" uri="{C3380CC4-5D6E-409C-BE32-E72D297353CC}">
              <c16:uniqueId val="{00000005-A525-43B0-BFEA-BFDC85279825}"/>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0"/>
              <c:layout>
                <c:manualLayout>
                  <c:x val="-4.454387045213358E-2"/>
                  <c:y val="6.9150110375275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25-43B0-BFEA-BFDC85279825}"/>
                </c:ext>
              </c:extLst>
            </c:dLbl>
            <c:dLbl>
              <c:idx val="1"/>
              <c:layout>
                <c:manualLayout>
                  <c:x val="-5.5636493857568969E-2"/>
                  <c:y val="-7.4337748344370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25-43B0-BFEA-BFDC85279825}"/>
                </c:ext>
              </c:extLst>
            </c:dLbl>
            <c:dLbl>
              <c:idx val="2"/>
              <c:layout>
                <c:manualLayout>
                  <c:x val="-4.7317026303492431E-2"/>
                  <c:y val="6.36313465783664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525-43B0-BFEA-BFDC85279825}"/>
                </c:ext>
              </c:extLst>
            </c:dLbl>
            <c:dLbl>
              <c:idx val="3"/>
              <c:layout>
                <c:manualLayout>
                  <c:x val="-3.7448244501352222E-2"/>
                  <c:y val="4.95885805163487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B8-4F44-873B-B17CAB8E3D7F}"/>
                </c:ext>
              </c:extLst>
            </c:dLbl>
            <c:dLbl>
              <c:idx val="4"/>
              <c:layout>
                <c:manualLayout>
                  <c:x val="-5.5636493857568969E-2"/>
                  <c:y val="6.9150110375275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25-43B0-BFEA-BFDC85279825}"/>
                </c:ext>
              </c:extLst>
            </c:dLbl>
            <c:dLbl>
              <c:idx val="5"/>
              <c:layout>
                <c:manualLayout>
                  <c:x val="-3.8961359112104833E-2"/>
                  <c:y val="5.80476800851457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25-43B0-BFEA-BFDC85279825}"/>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B-A525-43B0-BFEA-BFDC85279825}"/>
            </c:ext>
          </c:extLst>
        </c:ser>
        <c:dLbls>
          <c:showLegendKey val="0"/>
          <c:showVal val="0"/>
          <c:showCatName val="0"/>
          <c:showSerName val="0"/>
          <c:showPercent val="0"/>
          <c:showBubbleSize val="0"/>
        </c:dLbls>
        <c:marker val="1"/>
        <c:smooth val="0"/>
        <c:axId val="123630336"/>
        <c:axId val="123631872"/>
      </c:lineChart>
      <c:catAx>
        <c:axId val="123630336"/>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631872"/>
        <c:crosses val="autoZero"/>
        <c:auto val="1"/>
        <c:lblAlgn val="ctr"/>
        <c:lblOffset val="100"/>
        <c:noMultiLvlLbl val="0"/>
      </c:catAx>
      <c:valAx>
        <c:axId val="123631872"/>
        <c:scaling>
          <c:orientation val="minMax"/>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123630336"/>
        <c:crosses val="autoZero"/>
        <c:crossBetween val="between"/>
      </c:valAx>
      <c:spPr>
        <a:noFill/>
        <a:ln w="25370">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41</c:v>
                </c:pt>
                <c:pt idx="1">
                  <c:v>47</c:v>
                </c:pt>
                <c:pt idx="2">
                  <c:v>68</c:v>
                </c:pt>
                <c:pt idx="3">
                  <c:v>61</c:v>
                </c:pt>
                <c:pt idx="4">
                  <c:v>67</c:v>
                </c:pt>
              </c:numCache>
            </c:numRef>
          </c:val>
          <c:smooth val="0"/>
          <c:extLst xmlns:c16r2="http://schemas.microsoft.com/office/drawing/2015/06/chart">
            <c:ext xmlns:c16="http://schemas.microsoft.com/office/drawing/2014/chart" uri="{C3380CC4-5D6E-409C-BE32-E72D297353CC}">
              <c16:uniqueId val="{00000000-67EA-4BBF-9D3A-272DF7C9BA62}"/>
            </c:ext>
          </c:extLst>
        </c:ser>
        <c:dLbls>
          <c:dLblPos val="b"/>
          <c:showLegendKey val="0"/>
          <c:showVal val="1"/>
          <c:showCatName val="0"/>
          <c:showSerName val="0"/>
          <c:showPercent val="0"/>
          <c:showBubbleSize val="0"/>
        </c:dLbls>
        <c:marker val="1"/>
        <c:smooth val="0"/>
        <c:axId val="123663872"/>
        <c:axId val="123670912"/>
      </c:lineChart>
      <c:catAx>
        <c:axId val="12366387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670912"/>
        <c:crosses val="autoZero"/>
        <c:auto val="1"/>
        <c:lblAlgn val="ctr"/>
        <c:lblOffset val="100"/>
        <c:noMultiLvlLbl val="0"/>
      </c:catAx>
      <c:valAx>
        <c:axId val="123670912"/>
        <c:scaling>
          <c:orientation val="minMax"/>
          <c:min val="30"/>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23663872"/>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37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olidFill>
              <a:srgbClr val="FF7DFF"/>
            </a:solidFill>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45B4-405C-BFA1-A53173D9E63F}"/>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45B4-405C-BFA1-A53173D9E63F}"/>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45B4-405C-BFA1-A53173D9E63F}"/>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45B4-405C-BFA1-A53173D9E63F}"/>
              </c:ext>
            </c:extLst>
          </c:dPt>
          <c:dPt>
            <c:idx val="4"/>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45B4-405C-BFA1-A53173D9E63F}"/>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45B4-405C-BFA1-A53173D9E63F}"/>
              </c:ext>
            </c:extLst>
          </c:dPt>
          <c:dPt>
            <c:idx val="6"/>
            <c:bubble3D val="0"/>
            <c:extLst xmlns:c16r2="http://schemas.microsoft.com/office/drawing/2015/06/chart">
              <c:ext xmlns:c16="http://schemas.microsoft.com/office/drawing/2014/chart" uri="{C3380CC4-5D6E-409C-BE32-E72D297353CC}">
                <c16:uniqueId val="{0000000C-45B4-405C-BFA1-A53173D9E63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B4-405C-BFA1-A53173D9E63F}"/>
                </c:ext>
              </c:extLst>
            </c:dLbl>
            <c:dLbl>
              <c:idx val="1"/>
              <c:layout>
                <c:manualLayout>
                  <c:x val="2.4871910374283622E-2"/>
                  <c:y val="5.3956488088283211E-2"/>
                </c:manualLayout>
              </c:layout>
              <c:spPr>
                <a:noFill/>
                <a:ln w="25384">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97924965261695"/>
                      <c:h val="0.31123233595800526"/>
                    </c:manualLayout>
                  </c15:layout>
                </c:ext>
                <c:ext xmlns:c16="http://schemas.microsoft.com/office/drawing/2014/chart" uri="{C3380CC4-5D6E-409C-BE32-E72D297353CC}">
                  <c16:uniqueId val="{00000003-45B4-405C-BFA1-A53173D9E63F}"/>
                </c:ext>
              </c:extLst>
            </c:dLbl>
            <c:dLbl>
              <c:idx val="2"/>
              <c:layout>
                <c:manualLayout>
                  <c:x val="-3.3141487071901482E-2"/>
                  <c:y val="1.59900057537852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B4-405C-BFA1-A53173D9E63F}"/>
                </c:ext>
              </c:extLst>
            </c:dLbl>
            <c:dLbl>
              <c:idx val="3"/>
              <c:layout>
                <c:manualLayout>
                  <c:x val="-2.1265182682614601E-2"/>
                  <c:y val="1.805230427277671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5B4-405C-BFA1-A53173D9E63F}"/>
                </c:ext>
              </c:extLst>
            </c:dLbl>
            <c:dLbl>
              <c:idx val="4"/>
              <c:layout>
                <c:manualLayout>
                  <c:x val="-2.6862109364357138E-3"/>
                  <c:y val="-1.259290786849841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5B4-405C-BFA1-A53173D9E63F}"/>
                </c:ext>
              </c:extLst>
            </c:dLbl>
            <c:dLbl>
              <c:idx val="5"/>
              <c:layout>
                <c:manualLayout>
                  <c:x val="-0.12755840122060866"/>
                  <c:y val="-8.91923419482475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5B4-405C-BFA1-A53173D9E63F}"/>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Internal market, industry, entrepreneurship and SMEs</c:v>
                </c:pt>
                <c:pt idx="2">
                  <c:v>Environment</c:v>
                </c:pt>
                <c:pt idx="3">
                  <c:v>Mobility and transport</c:v>
                </c:pt>
                <c:pt idx="4">
                  <c:v>Health and food safety</c:v>
                </c:pt>
                <c:pt idx="5">
                  <c:v>Other</c:v>
                </c:pt>
              </c:strCache>
            </c:strRef>
          </c:cat>
          <c:val>
            <c:numRef>
              <c:f>Blad1!$B$2:$B$7</c:f>
              <c:numCache>
                <c:formatCode>General</c:formatCode>
                <c:ptCount val="6"/>
                <c:pt idx="0">
                  <c:v>0</c:v>
                </c:pt>
                <c:pt idx="1">
                  <c:v>6</c:v>
                </c:pt>
                <c:pt idx="2">
                  <c:v>6</c:v>
                </c:pt>
                <c:pt idx="3">
                  <c:v>5</c:v>
                </c:pt>
                <c:pt idx="4">
                  <c:v>4</c:v>
                </c:pt>
                <c:pt idx="5">
                  <c:v>16</c:v>
                </c:pt>
              </c:numCache>
            </c:numRef>
          </c:val>
          <c:extLst xmlns:c16r2="http://schemas.microsoft.com/office/drawing/2015/06/chart">
            <c:ext xmlns:c16="http://schemas.microsoft.com/office/drawing/2014/chart" uri="{C3380CC4-5D6E-409C-BE32-E72D297353CC}">
              <c16:uniqueId val="{0000000D-45B4-405C-BFA1-A53173D9E63F}"/>
            </c:ext>
          </c:extLst>
        </c:ser>
        <c:dLbls>
          <c:showLegendKey val="0"/>
          <c:showVal val="0"/>
          <c:showCatName val="0"/>
          <c:showSerName val="0"/>
          <c:showPercent val="0"/>
          <c:showBubbleSize val="0"/>
          <c:showLeaderLines val="0"/>
        </c:dLbls>
        <c:firstSliceAng val="272"/>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95954610151343E-2"/>
          <c:y val="5.3963421503949519E-2"/>
          <c:w val="0.91059955285517424"/>
          <c:h val="0.8188560770126309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17</c:v>
                </c:pt>
                <c:pt idx="1">
                  <c:v>25</c:v>
                </c:pt>
                <c:pt idx="2">
                  <c:v>48</c:v>
                </c:pt>
                <c:pt idx="3">
                  <c:v>42</c:v>
                </c:pt>
                <c:pt idx="4">
                  <c:v>43</c:v>
                </c:pt>
              </c:numCache>
            </c:numRef>
          </c:val>
          <c:smooth val="0"/>
          <c:extLst xmlns:c16r2="http://schemas.microsoft.com/office/drawing/2015/06/chart">
            <c:ext xmlns:c16="http://schemas.microsoft.com/office/drawing/2014/chart" uri="{C3380CC4-5D6E-409C-BE32-E72D297353CC}">
              <c16:uniqueId val="{00000003-81D3-4651-9835-670553D47668}"/>
            </c:ext>
          </c:extLst>
        </c:ser>
        <c:dLbls>
          <c:dLblPos val="b"/>
          <c:showLegendKey val="0"/>
          <c:showVal val="1"/>
          <c:showCatName val="0"/>
          <c:showSerName val="0"/>
          <c:showPercent val="0"/>
          <c:showBubbleSize val="0"/>
        </c:dLbls>
        <c:marker val="1"/>
        <c:smooth val="0"/>
        <c:axId val="123877248"/>
        <c:axId val="123880192"/>
      </c:lineChart>
      <c:catAx>
        <c:axId val="12387724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880192"/>
        <c:crosses val="autoZero"/>
        <c:auto val="1"/>
        <c:lblAlgn val="ctr"/>
        <c:lblOffset val="100"/>
        <c:noMultiLvlLbl val="0"/>
      </c:catAx>
      <c:valAx>
        <c:axId val="123880192"/>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23877248"/>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87532808398944E-2"/>
          <c:y val="4.7619047619047616E-2"/>
          <c:w val="0.91059955285517424"/>
          <c:h val="0.81885607701263097"/>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77451761315908E-2"/>
                  <c:y val="7.30079541584019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BD-40B5-A8C5-480B3F491982}"/>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30</c:v>
                </c:pt>
                <c:pt idx="1">
                  <c:v>38</c:v>
                </c:pt>
                <c:pt idx="2">
                  <c:v>44</c:v>
                </c:pt>
                <c:pt idx="3">
                  <c:v>35</c:v>
                </c:pt>
                <c:pt idx="4">
                  <c:v>27</c:v>
                </c:pt>
              </c:numCache>
            </c:numRef>
          </c:val>
          <c:smooth val="0"/>
          <c:extLst xmlns:c16r2="http://schemas.microsoft.com/office/drawing/2015/06/chart">
            <c:ext xmlns:c16="http://schemas.microsoft.com/office/drawing/2014/chart" uri="{C3380CC4-5D6E-409C-BE32-E72D297353CC}">
              <c16:uniqueId val="{00000001-9ABD-40B5-A8C5-480B3F491982}"/>
            </c:ext>
          </c:extLst>
        </c:ser>
        <c:dLbls>
          <c:showLegendKey val="0"/>
          <c:showVal val="0"/>
          <c:showCatName val="0"/>
          <c:showSerName val="0"/>
          <c:showPercent val="0"/>
          <c:showBubbleSize val="0"/>
        </c:dLbls>
        <c:marker val="1"/>
        <c:smooth val="0"/>
        <c:axId val="123827328"/>
        <c:axId val="123828864"/>
      </c:lineChart>
      <c:catAx>
        <c:axId val="123827328"/>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828864"/>
        <c:crosses val="autoZero"/>
        <c:auto val="1"/>
        <c:lblAlgn val="ctr"/>
        <c:lblOffset val="100"/>
        <c:noMultiLvlLbl val="0"/>
      </c:catAx>
      <c:valAx>
        <c:axId val="123828864"/>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23827328"/>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9" b="0" baseline="0">
                <a:solidFill>
                  <a:srgbClr val="002060"/>
                </a:solidFill>
                <a:latin typeface="Arial" panose="020B0604020202020204" pitchFamily="34" charset="0"/>
                <a:ea typeface="Verdana" panose="020B0604030504040204" pitchFamily="34" charset="0"/>
                <a:cs typeface="Arial" panose="020B0604020202020204" pitchFamily="34" charset="0"/>
              </a:rPr>
              <a:t>27 new </a:t>
            </a:r>
            <a:r>
              <a:rPr lang="nl-BE" sz="1099"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Cyprus</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72">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212-41C0-8BBE-65A8DA9942AF}"/>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212-41C0-8BBE-65A8DA9942AF}"/>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212-41C0-8BBE-65A8DA9942AF}"/>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212-41C0-8BBE-65A8DA9942A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212-41C0-8BBE-65A8DA9942AF}"/>
              </c:ext>
            </c:extLst>
          </c:dPt>
          <c:dLbls>
            <c:dLbl>
              <c:idx val="0"/>
              <c:layout>
                <c:manualLayout>
                  <c:x val="2.1342127773061872E-3"/>
                  <c:y val="4.9881374525826402E-2"/>
                </c:manualLayout>
              </c:layout>
              <c:spPr>
                <a:noFill/>
                <a:ln w="25372">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8934335500503577"/>
                      <c:h val="0.3232502548751654"/>
                    </c:manualLayout>
                  </c15:layout>
                </c:ext>
                <c:ext xmlns:c16="http://schemas.microsoft.com/office/drawing/2014/chart" uri="{C3380CC4-5D6E-409C-BE32-E72D297353CC}">
                  <c16:uniqueId val="{00000001-6212-41C0-8BBE-65A8DA9942AF}"/>
                </c:ext>
              </c:extLst>
            </c:dLbl>
            <c:dLbl>
              <c:idx val="1"/>
              <c:layout>
                <c:manualLayout>
                  <c:x val="0.12122515044975027"/>
                  <c:y val="0.107926943016420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12-41C0-8BBE-65A8DA9942AF}"/>
                </c:ext>
              </c:extLst>
            </c:dLbl>
            <c:dLbl>
              <c:idx val="2"/>
              <c:layout>
                <c:manualLayout>
                  <c:x val="1.9510169655063254E-2"/>
                  <c:y val="0.153825133757988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12-41C0-8BBE-65A8DA9942AF}"/>
                </c:ext>
              </c:extLst>
            </c:dLbl>
            <c:dLbl>
              <c:idx val="3"/>
              <c:layout>
                <c:manualLayout>
                  <c:x val="-1.0713128021326949E-2"/>
                  <c:y val="6.977288995900295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12-41C0-8BBE-65A8DA9942AF}"/>
                </c:ext>
              </c:extLst>
            </c:dLbl>
            <c:dLbl>
              <c:idx val="4"/>
              <c:layout>
                <c:manualLayout>
                  <c:x val="-0.12678802386380761"/>
                  <c:y val="-8.53026032929220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212-41C0-8BBE-65A8DA9942AF}"/>
                </c:ext>
              </c:extLst>
            </c:dLbl>
            <c:spPr>
              <a:noFill/>
              <a:ln w="2537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Blad1!$A$4:$A$8</c:f>
              <c:strCache>
                <c:ptCount val="5"/>
                <c:pt idx="0">
                  <c:v>Internal market, industry, entrepreneurship and SMEs</c:v>
                </c:pt>
                <c:pt idx="1">
                  <c:v>Health and food safety</c:v>
                </c:pt>
                <c:pt idx="2">
                  <c:v>Environment</c:v>
                </c:pt>
                <c:pt idx="3">
                  <c:v>Migration and home affairs</c:v>
                </c:pt>
                <c:pt idx="4">
                  <c:v>Other</c:v>
                </c:pt>
              </c:strCache>
            </c:strRef>
          </c:cat>
          <c:val>
            <c:numRef>
              <c:f>Blad1!$B$4:$B$8</c:f>
              <c:numCache>
                <c:formatCode>General</c:formatCode>
                <c:ptCount val="5"/>
                <c:pt idx="0">
                  <c:v>5</c:v>
                </c:pt>
                <c:pt idx="1">
                  <c:v>4</c:v>
                </c:pt>
                <c:pt idx="2">
                  <c:v>4</c:v>
                </c:pt>
                <c:pt idx="3">
                  <c:v>3</c:v>
                </c:pt>
                <c:pt idx="4">
                  <c:v>11</c:v>
                </c:pt>
              </c:numCache>
            </c:numRef>
          </c:val>
          <c:extLst xmlns:c16r2="http://schemas.microsoft.com/office/drawing/2015/06/chart">
            <c:ext xmlns:c16="http://schemas.microsoft.com/office/drawing/2014/chart" uri="{C3380CC4-5D6E-409C-BE32-E72D297353CC}">
              <c16:uniqueId val="{0000000A-6212-41C0-8BBE-65A8DA9942AF}"/>
            </c:ext>
          </c:extLst>
        </c:ser>
        <c:dLbls>
          <c:showLegendKey val="0"/>
          <c:showVal val="0"/>
          <c:showCatName val="0"/>
          <c:showSerName val="0"/>
          <c:showPercent val="0"/>
          <c:showBubbleSize val="0"/>
          <c:showLeaderLines val="0"/>
        </c:dLbls>
        <c:firstSliceAng val="270"/>
      </c:pieChart>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132730921072663E-2"/>
                  <c:y val="5.51706036745406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1E-4FBD-B725-D892BCD77AB7}"/>
                </c:ext>
              </c:extLst>
            </c:dLbl>
            <c:dLbl>
              <c:idx val="1"/>
              <c:layout>
                <c:manualLayout>
                  <c:x val="-4.4905869324473977E-2"/>
                  <c:y val="6.05902777777777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1E-4FBD-B725-D892BCD77AB7}"/>
                </c:ext>
              </c:extLst>
            </c:dLbl>
            <c:dLbl>
              <c:idx val="2"/>
              <c:layout>
                <c:manualLayout>
                  <c:x val="-4.1878994776815691E-2"/>
                  <c:y val="6.3610798650168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1E-4FBD-B725-D892BCD77AB7}"/>
                </c:ext>
              </c:extLst>
            </c:dLbl>
            <c:dLbl>
              <c:idx val="3"/>
              <c:layout>
                <c:manualLayout>
                  <c:x val="-5.0439261952721026E-2"/>
                  <c:y val="7.0370667952220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61E-4FBD-B725-D892BCD77AB7}"/>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44</c:v>
                </c:pt>
                <c:pt idx="1">
                  <c:v>35</c:v>
                </c:pt>
                <c:pt idx="2">
                  <c:v>28</c:v>
                </c:pt>
                <c:pt idx="3">
                  <c:v>5</c:v>
                </c:pt>
                <c:pt idx="4">
                  <c:v>8</c:v>
                </c:pt>
              </c:numCache>
            </c:numRef>
          </c:val>
          <c:smooth val="0"/>
          <c:extLst xmlns:c16r2="http://schemas.microsoft.com/office/drawing/2015/06/chart">
            <c:ext xmlns:c16="http://schemas.microsoft.com/office/drawing/2014/chart" uri="{C3380CC4-5D6E-409C-BE32-E72D297353CC}">
              <c16:uniqueId val="{00000004-B61E-4FBD-B725-D892BCD77AB7}"/>
            </c:ext>
          </c:extLst>
        </c:ser>
        <c:dLbls>
          <c:showLegendKey val="0"/>
          <c:showVal val="0"/>
          <c:showCatName val="0"/>
          <c:showSerName val="0"/>
          <c:showPercent val="0"/>
          <c:showBubbleSize val="0"/>
        </c:dLbls>
        <c:marker val="1"/>
        <c:smooth val="0"/>
        <c:axId val="107892736"/>
        <c:axId val="107894272"/>
      </c:lineChart>
      <c:catAx>
        <c:axId val="107892736"/>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7894272"/>
        <c:crosses val="autoZero"/>
        <c:auto val="1"/>
        <c:lblAlgn val="ctr"/>
        <c:lblOffset val="100"/>
        <c:noMultiLvlLbl val="0"/>
      </c:catAx>
      <c:valAx>
        <c:axId val="107894272"/>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07892736"/>
        <c:crosses val="autoZero"/>
        <c:crossBetween val="between"/>
      </c:valAx>
      <c:spPr>
        <a:noFill/>
        <a:ln w="25396">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18</c:v>
                </c:pt>
                <c:pt idx="1">
                  <c:v>17</c:v>
                </c:pt>
                <c:pt idx="2">
                  <c:v>35</c:v>
                </c:pt>
                <c:pt idx="3">
                  <c:v>26</c:v>
                </c:pt>
                <c:pt idx="4">
                  <c:v>20</c:v>
                </c:pt>
              </c:numCache>
            </c:numRef>
          </c:val>
          <c:smooth val="0"/>
          <c:extLst xmlns:c16r2="http://schemas.microsoft.com/office/drawing/2015/06/chart">
            <c:ext xmlns:c16="http://schemas.microsoft.com/office/drawing/2014/chart" uri="{C3380CC4-5D6E-409C-BE32-E72D297353CC}">
              <c16:uniqueId val="{00000003-EC58-4FCE-B295-8EBDFA13F6E3}"/>
            </c:ext>
          </c:extLst>
        </c:ser>
        <c:dLbls>
          <c:showLegendKey val="0"/>
          <c:showVal val="0"/>
          <c:showCatName val="0"/>
          <c:showSerName val="0"/>
          <c:showPercent val="0"/>
          <c:showBubbleSize val="0"/>
        </c:dLbls>
        <c:marker val="1"/>
        <c:smooth val="0"/>
        <c:axId val="123485184"/>
        <c:axId val="123503360"/>
      </c:lineChart>
      <c:catAx>
        <c:axId val="12348518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3503360"/>
        <c:crosses val="autoZero"/>
        <c:auto val="1"/>
        <c:lblAlgn val="ctr"/>
        <c:lblOffset val="100"/>
        <c:noMultiLvlLbl val="0"/>
      </c:catAx>
      <c:valAx>
        <c:axId val="123503360"/>
        <c:scaling>
          <c:orientation val="minMax"/>
          <c:min val="1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2348518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mn-lt"/>
                <a:ea typeface="+mn-ea"/>
                <a:cs typeface="+mn-cs"/>
              </a:defRPr>
            </a:pPr>
            <a:r>
              <a:rPr lang="en-US" sz="1097" b="0" i="0">
                <a:solidFill>
                  <a:srgbClr val="002060"/>
                </a:solidFill>
                <a:latin typeface="Arial" panose="020B0604020202020204" pitchFamily="34" charset="0"/>
                <a:ea typeface="Verdana" panose="020B0604030504040204" pitchFamily="34" charset="0"/>
                <a:cs typeface="Arial" panose="020B0604020202020204" pitchFamily="34" charset="0"/>
              </a:rPr>
              <a:t>20 complaints made against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3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EDA-4AF5-B869-3B4704508C4C}"/>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EDA-4AF5-B869-3B4704508C4C}"/>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EDA-4AF5-B869-3B4704508C4C}"/>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EDA-4AF5-B869-3B4704508C4C}"/>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EDA-4AF5-B869-3B4704508C4C}"/>
              </c:ext>
            </c:extLst>
          </c:dPt>
          <c:dLbls>
            <c:dLbl>
              <c:idx val="0"/>
              <c:layout>
                <c:manualLayout>
                  <c:x val="-1.0997429445030711E-2"/>
                  <c:y val="9.3205880129181379E-2"/>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DA-4AF5-B869-3B4704508C4C}"/>
                </c:ext>
              </c:extLst>
            </c:dLbl>
            <c:dLbl>
              <c:idx val="1"/>
              <c:layout>
                <c:manualLayout>
                  <c:x val="-8.8588697684518616E-2"/>
                  <c:y val="0.12142623187076657"/>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DA-4AF5-B869-3B4704508C4C}"/>
                </c:ext>
              </c:extLst>
            </c:dLbl>
            <c:dLbl>
              <c:idx val="2"/>
              <c:layout>
                <c:manualLayout>
                  <c:x val="-5.4816569703718416E-3"/>
                  <c:y val="-6.0649136827946475E-2"/>
                </c:manualLayout>
              </c:layout>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DA-4AF5-B869-3B4704508C4C}"/>
                </c:ext>
              </c:extLst>
            </c:dLbl>
            <c:dLbl>
              <c:idx val="3"/>
              <c:layout>
                <c:manualLayout>
                  <c:x val="3.1874172178614824E-2"/>
                  <c:y val="0"/>
                </c:manualLayout>
              </c:layout>
              <c:spPr>
                <a:noFill/>
                <a:ln w="25337">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944200593407069"/>
                      <c:h val="0.27024425607364805"/>
                    </c:manualLayout>
                  </c15:layout>
                </c:ext>
                <c:ext xmlns:c16="http://schemas.microsoft.com/office/drawing/2014/chart" uri="{C3380CC4-5D6E-409C-BE32-E72D297353CC}">
                  <c16:uniqueId val="{00000007-2EDA-4AF5-B869-3B4704508C4C}"/>
                </c:ext>
              </c:extLst>
            </c:dLbl>
            <c:dLbl>
              <c:idx val="4"/>
              <c:layout>
                <c:manualLayout>
                  <c:x val="-5.2020578854907594E-2"/>
                  <c:y val="-0.1519872827876548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EDA-4AF5-B869-3B4704508C4C}"/>
                </c:ext>
              </c:extLst>
            </c:dLbl>
            <c:spPr>
              <a:noFill/>
              <a:ln w="2533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Justice and consumers</c:v>
                </c:pt>
                <c:pt idx="2">
                  <c:v>Taxation and customs</c:v>
                </c:pt>
                <c:pt idx="3">
                  <c:v>Financial stability, financial services and Capital Markets Union</c:v>
                </c:pt>
                <c:pt idx="4">
                  <c:v>Other</c:v>
                </c:pt>
              </c:strCache>
            </c:strRef>
          </c:cat>
          <c:val>
            <c:numRef>
              <c:f>Blad1!$B$2:$B$6</c:f>
              <c:numCache>
                <c:formatCode>General</c:formatCode>
                <c:ptCount val="5"/>
                <c:pt idx="1">
                  <c:v>6</c:v>
                </c:pt>
                <c:pt idx="2">
                  <c:v>4</c:v>
                </c:pt>
                <c:pt idx="3">
                  <c:v>3</c:v>
                </c:pt>
                <c:pt idx="4">
                  <c:v>7</c:v>
                </c:pt>
              </c:numCache>
            </c:numRef>
          </c:val>
          <c:extLst xmlns:c16r2="http://schemas.microsoft.com/office/drawing/2015/06/chart">
            <c:ext xmlns:c16="http://schemas.microsoft.com/office/drawing/2014/chart" uri="{C3380CC4-5D6E-409C-BE32-E72D297353CC}">
              <c16:uniqueId val="{0000000A-2EDA-4AF5-B869-3B4704508C4C}"/>
            </c:ext>
          </c:extLst>
        </c:ser>
        <c:dLbls>
          <c:showLegendKey val="0"/>
          <c:showVal val="0"/>
          <c:showCatName val="0"/>
          <c:showSerName val="0"/>
          <c:showPercent val="0"/>
          <c:showBubbleSize val="0"/>
          <c:showLeaderLines val="0"/>
        </c:dLbls>
        <c:firstSliceAng val="294"/>
      </c:pieChart>
      <c:spPr>
        <a:noFill/>
        <a:ln w="25337">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25</c:v>
                </c:pt>
                <c:pt idx="1">
                  <c:v>17</c:v>
                </c:pt>
                <c:pt idx="2">
                  <c:v>20</c:v>
                </c:pt>
                <c:pt idx="3">
                  <c:v>9</c:v>
                </c:pt>
                <c:pt idx="4">
                  <c:v>2</c:v>
                </c:pt>
              </c:numCache>
            </c:numRef>
          </c:val>
          <c:smooth val="0"/>
          <c:extLst xmlns:c16r2="http://schemas.microsoft.com/office/drawing/2015/06/chart">
            <c:ext xmlns:c16="http://schemas.microsoft.com/office/drawing/2014/chart" uri="{C3380CC4-5D6E-409C-BE32-E72D297353CC}">
              <c16:uniqueId val="{00000000-6D89-4F6B-87B3-32EE79EFE779}"/>
            </c:ext>
          </c:extLst>
        </c:ser>
        <c:dLbls>
          <c:showLegendKey val="0"/>
          <c:showVal val="0"/>
          <c:showCatName val="0"/>
          <c:showSerName val="0"/>
          <c:showPercent val="0"/>
          <c:showBubbleSize val="0"/>
        </c:dLbls>
        <c:marker val="1"/>
        <c:smooth val="0"/>
        <c:axId val="120441856"/>
        <c:axId val="124326656"/>
      </c:lineChart>
      <c:catAx>
        <c:axId val="12044185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4326656"/>
        <c:crosses val="autoZero"/>
        <c:auto val="1"/>
        <c:lblAlgn val="ctr"/>
        <c:lblOffset val="100"/>
        <c:noMultiLvlLbl val="0"/>
      </c:catAx>
      <c:valAx>
        <c:axId val="124326656"/>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20441856"/>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9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23</c:v>
                </c:pt>
                <c:pt idx="1">
                  <c:v>21</c:v>
                </c:pt>
                <c:pt idx="2">
                  <c:v>26</c:v>
                </c:pt>
                <c:pt idx="3">
                  <c:v>26</c:v>
                </c:pt>
                <c:pt idx="4">
                  <c:v>17</c:v>
                </c:pt>
              </c:numCache>
            </c:numRef>
          </c:val>
          <c:smooth val="0"/>
          <c:extLst xmlns:c16r2="http://schemas.microsoft.com/office/drawing/2015/06/chart">
            <c:ext xmlns:c16="http://schemas.microsoft.com/office/drawing/2014/chart" uri="{C3380CC4-5D6E-409C-BE32-E72D297353CC}">
              <c16:uniqueId val="{00000000-84B5-465C-9905-6972E8B97CF2}"/>
            </c:ext>
          </c:extLst>
        </c:ser>
        <c:dLbls>
          <c:showLegendKey val="0"/>
          <c:showVal val="0"/>
          <c:showCatName val="0"/>
          <c:showSerName val="0"/>
          <c:showPercent val="0"/>
          <c:showBubbleSize val="0"/>
        </c:dLbls>
        <c:marker val="1"/>
        <c:smooth val="0"/>
        <c:axId val="124384000"/>
        <c:axId val="124385536"/>
      </c:lineChart>
      <c:catAx>
        <c:axId val="124384000"/>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4385536"/>
        <c:crosses val="autoZero"/>
        <c:auto val="1"/>
        <c:lblAlgn val="ctr"/>
        <c:lblOffset val="100"/>
        <c:noMultiLvlLbl val="0"/>
      </c:catAx>
      <c:valAx>
        <c:axId val="124385536"/>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124384000"/>
        <c:crosses val="autoZero"/>
        <c:crossBetween val="between"/>
      </c:valAx>
      <c:spPr>
        <a:noFill/>
        <a:ln w="25395">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Latvia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7273301909925604E-2"/>
                  <c:y val="-5.80748834967057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B3-4BA9-BCE3-B7AD93E5B29B}"/>
                </c:ext>
              </c:extLst>
            </c:dLbl>
            <c:dLbl>
              <c:idx val="1"/>
              <c:layout>
                <c:manualLayout>
                  <c:x val="-6.1284776902887139E-2"/>
                  <c:y val="-6.36686991869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5A-4C75-BAD3-61D5A24068D8}"/>
                </c:ext>
              </c:extLst>
            </c:dLbl>
            <c:dLbl>
              <c:idx val="2"/>
              <c:layout>
                <c:manualLayout>
                  <c:x val="-5.5729221347331583E-2"/>
                  <c:y val="-6.86304426144519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5A-4C75-BAD3-61D5A24068D8}"/>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5A-4C75-BAD3-61D5A24068D8}"/>
                </c:ext>
              </c:extLst>
            </c:dLbl>
            <c:dLbl>
              <c:idx val="4"/>
              <c:layout>
                <c:manualLayout>
                  <c:x val="-5.8506999125109364E-2"/>
                  <c:y val="-7.38313008130081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5A-4C75-BAD3-61D5A24068D8}"/>
                </c:ext>
              </c:extLst>
            </c:dLbl>
            <c:dLbl>
              <c:idx val="5"/>
              <c:layout>
                <c:manualLayout>
                  <c:x val="-5.5729221347331583E-2"/>
                  <c:y val="-6.8576238190392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5A-4C75-BAD3-61D5A24068D8}"/>
                </c:ext>
              </c:extLst>
            </c:dLbl>
            <c:spPr>
              <a:noFill/>
              <a:ln w="25418">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0.89</c:v>
                </c:pt>
                <c:pt idx="1">
                  <c:v>0.79</c:v>
                </c:pt>
                <c:pt idx="2">
                  <c:v>0.73</c:v>
                </c:pt>
                <c:pt idx="3">
                  <c:v>0.78</c:v>
                </c:pt>
                <c:pt idx="4">
                  <c:v>0.73</c:v>
                </c:pt>
              </c:numCache>
            </c:numRef>
          </c:val>
          <c:smooth val="0"/>
          <c:extLst xmlns:c16r2="http://schemas.microsoft.com/office/drawing/2015/06/chart">
            <c:ext xmlns:c16="http://schemas.microsoft.com/office/drawing/2014/chart" uri="{C3380CC4-5D6E-409C-BE32-E72D297353CC}">
              <c16:uniqueId val="{00000005-D45A-4C75-BAD3-61D5A24068D8}"/>
            </c:ext>
          </c:extLst>
        </c:ser>
        <c:ser>
          <c:idx val="1"/>
          <c:order val="1"/>
          <c:tx>
            <c:strRef>
              <c:f>Blad1!$C$2</c:f>
              <c:strCache>
                <c:ptCount val="1"/>
                <c:pt idx="0">
                  <c:v>General rate for all Member States</c:v>
                </c:pt>
              </c:strCache>
            </c:strRef>
          </c:tx>
          <c:spPr>
            <a:ln w="25418">
              <a:solidFill>
                <a:srgbClr val="92D050"/>
              </a:solidFill>
            </a:ln>
          </c:spPr>
          <c:marker>
            <c:symbol val="square"/>
            <c:size val="5"/>
            <c:spPr>
              <a:solidFill>
                <a:srgbClr val="92D050"/>
              </a:solidFill>
              <a:ln>
                <a:solidFill>
                  <a:srgbClr val="92D050"/>
                </a:solidFill>
              </a:ln>
            </c:spPr>
          </c:marker>
          <c:dLbls>
            <c:dLbl>
              <c:idx val="1"/>
              <c:layout>
                <c:manualLayout>
                  <c:x val="-5.2951443569553808E-2"/>
                  <c:y val="7.89126016260162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5A-4C75-BAD3-61D5A24068D8}"/>
                </c:ext>
              </c:extLst>
            </c:dLbl>
            <c:dLbl>
              <c:idx val="2"/>
              <c:layout>
                <c:manualLayout>
                  <c:x val="-5.0173665791776026E-2"/>
                  <c:y val="6.86607975192054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5A-4C75-BAD3-61D5A24068D8}"/>
                </c:ext>
              </c:extLst>
            </c:dLbl>
            <c:dLbl>
              <c:idx val="3"/>
              <c:layout>
                <c:manualLayout>
                  <c:x val="-5.0173665791776026E-2"/>
                  <c:y val="7.38313008130081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45A-4C75-BAD3-61D5A24068D8}"/>
                </c:ext>
              </c:extLst>
            </c:dLbl>
            <c:dLbl>
              <c:idx val="4"/>
              <c:layout>
                <c:manualLayout>
                  <c:x val="-5.0173665791776026E-2"/>
                  <c:y val="6.3668699186991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5A-4C75-BAD3-61D5A24068D8}"/>
                </c:ext>
              </c:extLst>
            </c:dLbl>
            <c:dLbl>
              <c:idx val="5"/>
              <c:layout>
                <c:manualLayout>
                  <c:x val="-5.2951443569553808E-2"/>
                  <c:y val="6.85762381903927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45A-4C75-BAD3-61D5A24068D8}"/>
                </c:ext>
              </c:extLst>
            </c:dLbl>
            <c:spPr>
              <a:noFill/>
              <a:ln w="25418">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B-D45A-4C75-BAD3-61D5A24068D8}"/>
            </c:ext>
          </c:extLst>
        </c:ser>
        <c:dLbls>
          <c:showLegendKey val="0"/>
          <c:showVal val="0"/>
          <c:showCatName val="0"/>
          <c:showSerName val="0"/>
          <c:showPercent val="0"/>
          <c:showBubbleSize val="0"/>
        </c:dLbls>
        <c:marker val="1"/>
        <c:smooth val="0"/>
        <c:axId val="124440960"/>
        <c:axId val="124442496"/>
      </c:lineChart>
      <c:catAx>
        <c:axId val="124440960"/>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4442496"/>
        <c:crosses val="autoZero"/>
        <c:auto val="1"/>
        <c:lblAlgn val="ctr"/>
        <c:lblOffset val="100"/>
        <c:noMultiLvlLbl val="0"/>
      </c:catAx>
      <c:valAx>
        <c:axId val="124442496"/>
        <c:scaling>
          <c:orientation val="minMax"/>
          <c:min val="0.5"/>
        </c:scaling>
        <c:delete val="1"/>
        <c:axPos val="l"/>
        <c:majorGridlines>
          <c:spPr>
            <a:ln w="9532" cap="flat" cmpd="sng" algn="ctr">
              <a:solidFill>
                <a:schemeClr val="tx1">
                  <a:lumMod val="15000"/>
                  <a:lumOff val="85000"/>
                </a:schemeClr>
              </a:solidFill>
              <a:round/>
            </a:ln>
            <a:effectLst/>
          </c:spPr>
        </c:majorGridlines>
        <c:numFmt formatCode="0%" sourceLinked="1"/>
        <c:majorTickMark val="out"/>
        <c:minorTickMark val="none"/>
        <c:tickLblPos val="nextTo"/>
        <c:crossAx val="124440960"/>
        <c:crosses val="autoZero"/>
        <c:crossBetween val="between"/>
      </c:valAx>
      <c:spPr>
        <a:noFill/>
        <a:ln w="25418">
          <a:noFill/>
        </a:ln>
      </c:spPr>
    </c:plotArea>
    <c:legend>
      <c:legendPos val="b"/>
      <c:layout>
        <c:manualLayout>
          <c:xMode val="edge"/>
          <c:yMode val="edge"/>
          <c:x val="8.2656838108002451E-2"/>
          <c:y val="0.86742481300509378"/>
          <c:w val="0.83468632378399521"/>
          <c:h val="8.5521147801188913E-2"/>
        </c:manualLayout>
      </c:layout>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26</c:v>
                </c:pt>
                <c:pt idx="1">
                  <c:v>28</c:v>
                </c:pt>
                <c:pt idx="2">
                  <c:v>38</c:v>
                </c:pt>
                <c:pt idx="3">
                  <c:v>35</c:v>
                </c:pt>
                <c:pt idx="4">
                  <c:v>37</c:v>
                </c:pt>
              </c:numCache>
            </c:numRef>
          </c:val>
          <c:smooth val="0"/>
          <c:extLst xmlns:c16r2="http://schemas.microsoft.com/office/drawing/2015/06/chart">
            <c:ext xmlns:c16="http://schemas.microsoft.com/office/drawing/2014/chart" uri="{C3380CC4-5D6E-409C-BE32-E72D297353CC}">
              <c16:uniqueId val="{00000000-807C-499F-85BC-482E9562FC13}"/>
            </c:ext>
          </c:extLst>
        </c:ser>
        <c:dLbls>
          <c:showLegendKey val="0"/>
          <c:showVal val="0"/>
          <c:showCatName val="0"/>
          <c:showSerName val="0"/>
          <c:showPercent val="0"/>
          <c:showBubbleSize val="0"/>
        </c:dLbls>
        <c:marker val="1"/>
        <c:smooth val="0"/>
        <c:axId val="124512512"/>
        <c:axId val="124125184"/>
      </c:lineChart>
      <c:catAx>
        <c:axId val="124512512"/>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4125184"/>
        <c:crosses val="autoZero"/>
        <c:auto val="1"/>
        <c:lblAlgn val="ctr"/>
        <c:lblOffset val="100"/>
        <c:noMultiLvlLbl val="0"/>
      </c:catAx>
      <c:valAx>
        <c:axId val="124125184"/>
        <c:scaling>
          <c:orientation val="minMax"/>
          <c:min val="15"/>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124512512"/>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799515840258E-2"/>
        </c:manualLayout>
      </c:layout>
      <c:overlay val="0"/>
      <c:spPr>
        <a:noFill/>
        <a:ln w="25335">
          <a:noFill/>
        </a:ln>
      </c:spPr>
    </c:title>
    <c:autoTitleDeleted val="0"/>
    <c:plotArea>
      <c:layout/>
      <c:pieChart>
        <c:varyColors val="1"/>
        <c:ser>
          <c:idx val="0"/>
          <c:order val="0"/>
          <c:tx>
            <c:strRef>
              <c:f>Blad1!$B$1</c:f>
              <c:strCache>
                <c:ptCount val="1"/>
                <c:pt idx="0">
                  <c:v>[Number of infringement cases] infringement cases against Latvia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DE5-4B47-83E7-A7536287150D}"/>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DE5-4B47-83E7-A7536287150D}"/>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DE5-4B47-83E7-A7536287150D}"/>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DE5-4B47-83E7-A7536287150D}"/>
              </c:ext>
            </c:extLst>
          </c:dPt>
          <c:dPt>
            <c:idx val="4"/>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DE5-4B47-83E7-A7536287150D}"/>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DE5-4B47-83E7-A7536287150D}"/>
              </c:ext>
            </c:extLst>
          </c:dPt>
          <c:dPt>
            <c:idx val="6"/>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DE5-4B47-83E7-A7536287150D}"/>
              </c:ext>
            </c:extLst>
          </c:dPt>
          <c:dPt>
            <c:idx val="7"/>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FDE5-4B47-83E7-A7536287150D}"/>
              </c:ext>
            </c:extLst>
          </c:dPt>
          <c:dPt>
            <c:idx val="8"/>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0242-4A2D-AAFD-179E76C4AC6C}"/>
              </c:ext>
            </c:extLst>
          </c:dPt>
          <c:dPt>
            <c:idx val="9"/>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0242-4A2D-AAFD-179E76C4AC6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E5-4B47-83E7-A7536287150D}"/>
                </c:ext>
              </c:extLst>
            </c:dLbl>
            <c:dLbl>
              <c:idx val="1"/>
              <c:layout>
                <c:manualLayout>
                  <c:x val="-2.5995367972095593E-2"/>
                  <c:y val="0.1405097177270018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26988361652162"/>
                      <c:h val="0.25038363686134324"/>
                    </c:manualLayout>
                  </c15:layout>
                </c:ext>
                <c:ext xmlns:c16="http://schemas.microsoft.com/office/drawing/2014/chart" uri="{C3380CC4-5D6E-409C-BE32-E72D297353CC}">
                  <c16:uniqueId val="{00000003-FDE5-4B47-83E7-A7536287150D}"/>
                </c:ext>
              </c:extLst>
            </c:dLbl>
            <c:dLbl>
              <c:idx val="2"/>
              <c:layout>
                <c:manualLayout>
                  <c:x val="-1.3623903508771931E-2"/>
                  <c:y val="3.231083844580774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E5-4B47-83E7-A7536287150D}"/>
                </c:ext>
              </c:extLst>
            </c:dLbl>
            <c:dLbl>
              <c:idx val="3"/>
              <c:layout>
                <c:manualLayout>
                  <c:x val="-7.4431321084864393E-3"/>
                  <c:y val="4.198987036271482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E5-4B47-83E7-A7536287150D}"/>
                </c:ext>
              </c:extLst>
            </c:dLbl>
            <c:dLbl>
              <c:idx val="4"/>
              <c:layout>
                <c:manualLayout>
                  <c:x val="-4.7440513192429897E-3"/>
                  <c:y val="-6.916050754391897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E5-4B47-83E7-A7536287150D}"/>
                </c:ext>
              </c:extLst>
            </c:dLbl>
            <c:dLbl>
              <c:idx val="5"/>
              <c:layout>
                <c:manualLayout>
                  <c:x val="3.7381069553805671E-2"/>
                  <c:y val="-0.10177608167077275"/>
                </c:manualLayout>
              </c:layout>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E5-4B47-83E7-A7536287150D}"/>
                </c:ext>
              </c:extLst>
            </c:dLbl>
            <c:dLbl>
              <c:idx val="6"/>
              <c:layout>
                <c:manualLayout>
                  <c:x val="0.14773902645393011"/>
                  <c:y val="-1.759979389079619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DE5-4B47-83E7-A7536287150D}"/>
                </c:ext>
              </c:extLst>
            </c:dLbl>
            <c:dLbl>
              <c:idx val="7"/>
              <c:layout>
                <c:manualLayout>
                  <c:x val="0"/>
                  <c:y val="-3.187607684008823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DE5-4B47-83E7-A7536287150D}"/>
                </c:ext>
              </c:extLst>
            </c:dLbl>
            <c:dLbl>
              <c:idx val="9"/>
              <c:layout>
                <c:manualLayout>
                  <c:x val="-4.1118421052631603E-2"/>
                  <c:y val="1.53374233128834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42-4A2D-AAFD-179E76C4AC6C}"/>
                </c:ext>
              </c:extLst>
            </c:dLbl>
            <c:spPr>
              <a:noFill/>
              <a:ln w="25335">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Blad1!$A$2:$A$11</c:f>
              <c:strCache>
                <c:ptCount val="10"/>
                <c:pt idx="0">
                  <c:v>Policy Area</c:v>
                </c:pt>
                <c:pt idx="1">
                  <c:v>Internal market, industry, entrepreneurship and SMEs</c:v>
                </c:pt>
                <c:pt idx="2">
                  <c:v>Environment</c:v>
                </c:pt>
                <c:pt idx="3">
                  <c:v>Mobility and transport</c:v>
                </c:pt>
                <c:pt idx="4">
                  <c:v>Taxation and customs</c:v>
                </c:pt>
                <c:pt idx="5">
                  <c:v>Migration and home affairs</c:v>
                </c:pt>
                <c:pt idx="6">
                  <c:v>Communication networks</c:v>
                </c:pt>
                <c:pt idx="7">
                  <c:v>Justice and consumers</c:v>
                </c:pt>
                <c:pt idx="8">
                  <c:v>Financial stability, financial services and Capital Markets Union</c:v>
                </c:pt>
                <c:pt idx="9">
                  <c:v>Energy</c:v>
                </c:pt>
              </c:strCache>
            </c:strRef>
          </c:cat>
          <c:val>
            <c:numRef>
              <c:f>Blad1!$B$2:$B$11</c:f>
              <c:numCache>
                <c:formatCode>General</c:formatCode>
                <c:ptCount val="10"/>
                <c:pt idx="0">
                  <c:v>0</c:v>
                </c:pt>
                <c:pt idx="1">
                  <c:v>4</c:v>
                </c:pt>
                <c:pt idx="2">
                  <c:v>2</c:v>
                </c:pt>
                <c:pt idx="3">
                  <c:v>2</c:v>
                </c:pt>
                <c:pt idx="4">
                  <c:v>2</c:v>
                </c:pt>
                <c:pt idx="5">
                  <c:v>2</c:v>
                </c:pt>
                <c:pt idx="6">
                  <c:v>2</c:v>
                </c:pt>
                <c:pt idx="7">
                  <c:v>2</c:v>
                </c:pt>
                <c:pt idx="8">
                  <c:v>2</c:v>
                </c:pt>
                <c:pt idx="9">
                  <c:v>1</c:v>
                </c:pt>
              </c:numCache>
            </c:numRef>
          </c:val>
          <c:extLst xmlns:c16r2="http://schemas.microsoft.com/office/drawing/2015/06/chart">
            <c:ext xmlns:c16="http://schemas.microsoft.com/office/drawing/2014/chart" uri="{C3380CC4-5D6E-409C-BE32-E72D297353CC}">
              <c16:uniqueId val="{0000000F-FDE5-4B47-83E7-A7536287150D}"/>
            </c:ext>
          </c:extLst>
        </c:ser>
        <c:dLbls>
          <c:showLegendKey val="0"/>
          <c:showVal val="0"/>
          <c:showCatName val="0"/>
          <c:showSerName val="0"/>
          <c:showPercent val="0"/>
          <c:showBubbleSize val="0"/>
          <c:showLeaderLines val="0"/>
        </c:dLbls>
        <c:firstSliceAng val="292"/>
      </c:pieChart>
      <c:spPr>
        <a:noFill/>
        <a:ln w="25335">
          <a:noFill/>
        </a:ln>
      </c:spPr>
    </c:plotArea>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47221454243847E-2"/>
          <c:y val="5.3921568627450983E-2"/>
          <c:w val="0.93917850933361724"/>
          <c:h val="0.8310135865369769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78557779780015E-2"/>
                  <c:y val="8.2815994463714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16-4136-847F-F3615EA1ECB1}"/>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14</c:v>
                </c:pt>
                <c:pt idx="1">
                  <c:v>20</c:v>
                </c:pt>
                <c:pt idx="2">
                  <c:v>32</c:v>
                </c:pt>
                <c:pt idx="3">
                  <c:v>28</c:v>
                </c:pt>
                <c:pt idx="4">
                  <c:v>23</c:v>
                </c:pt>
              </c:numCache>
            </c:numRef>
          </c:val>
          <c:smooth val="0"/>
          <c:extLst xmlns:c16r2="http://schemas.microsoft.com/office/drawing/2015/06/chart">
            <c:ext xmlns:c16="http://schemas.microsoft.com/office/drawing/2014/chart" uri="{C3380CC4-5D6E-409C-BE32-E72D297353CC}">
              <c16:uniqueId val="{00000001-1816-4136-847F-F3615EA1ECB1}"/>
            </c:ext>
          </c:extLst>
        </c:ser>
        <c:dLbls>
          <c:showLegendKey val="0"/>
          <c:showVal val="0"/>
          <c:showCatName val="0"/>
          <c:showSerName val="0"/>
          <c:showPercent val="0"/>
          <c:showBubbleSize val="0"/>
        </c:dLbls>
        <c:marker val="1"/>
        <c:smooth val="0"/>
        <c:axId val="124828672"/>
        <c:axId val="124830464"/>
      </c:lineChart>
      <c:catAx>
        <c:axId val="124828672"/>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4830464"/>
        <c:crosses val="autoZero"/>
        <c:auto val="1"/>
        <c:lblAlgn val="ctr"/>
        <c:lblOffset val="100"/>
        <c:noMultiLvlLbl val="0"/>
      </c:catAx>
      <c:valAx>
        <c:axId val="124830464"/>
        <c:scaling>
          <c:orientation val="minMax"/>
          <c:min val="5"/>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124828672"/>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11155073277532E-2"/>
          <c:y val="5.3849249577011329E-2"/>
          <c:w val="0.93917850933361724"/>
          <c:h val="0.8310135865369769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077451761315908E-2"/>
                  <c:y val="7.74569376577123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3B-4FD2-A60F-0A4A03A3C57A}"/>
                </c:ext>
              </c:extLst>
            </c:dLbl>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11</c:v>
                </c:pt>
                <c:pt idx="1">
                  <c:v>16</c:v>
                </c:pt>
                <c:pt idx="2">
                  <c:v>20</c:v>
                </c:pt>
                <c:pt idx="3">
                  <c:v>19</c:v>
                </c:pt>
                <c:pt idx="4">
                  <c:v>12</c:v>
                </c:pt>
              </c:numCache>
            </c:numRef>
          </c:val>
          <c:smooth val="0"/>
          <c:extLst xmlns:c16r2="http://schemas.microsoft.com/office/drawing/2015/06/chart">
            <c:ext xmlns:c16="http://schemas.microsoft.com/office/drawing/2014/chart" uri="{C3380CC4-5D6E-409C-BE32-E72D297353CC}">
              <c16:uniqueId val="{00000001-AD3B-4FD2-A60F-0A4A03A3C57A}"/>
            </c:ext>
          </c:extLst>
        </c:ser>
        <c:dLbls>
          <c:showLegendKey val="0"/>
          <c:showVal val="0"/>
          <c:showCatName val="0"/>
          <c:showSerName val="0"/>
          <c:showPercent val="0"/>
          <c:showBubbleSize val="0"/>
        </c:dLbls>
        <c:marker val="1"/>
        <c:smooth val="0"/>
        <c:axId val="124277888"/>
        <c:axId val="124279424"/>
      </c:lineChart>
      <c:catAx>
        <c:axId val="124277888"/>
        <c:scaling>
          <c:orientation val="minMax"/>
        </c:scaling>
        <c:delete val="0"/>
        <c:axPos val="b"/>
        <c:numFmt formatCode="General" sourceLinked="1"/>
        <c:majorTickMark val="none"/>
        <c:minorTickMark val="none"/>
        <c:tickLblPos val="nextTo"/>
        <c:spPr>
          <a:noFill/>
          <a:ln w="1267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4279424"/>
        <c:crosses val="autoZero"/>
        <c:auto val="1"/>
        <c:lblAlgn val="ctr"/>
        <c:lblOffset val="100"/>
        <c:noMultiLvlLbl val="0"/>
      </c:catAx>
      <c:valAx>
        <c:axId val="124279424"/>
        <c:scaling>
          <c:orientation val="minMax"/>
          <c:min val="5"/>
        </c:scaling>
        <c:delete val="1"/>
        <c:axPos val="l"/>
        <c:majorGridlines>
          <c:spPr>
            <a:ln w="9509" cap="flat" cmpd="sng" algn="ctr">
              <a:solidFill>
                <a:schemeClr val="tx1">
                  <a:lumMod val="15000"/>
                  <a:lumOff val="85000"/>
                </a:schemeClr>
              </a:solidFill>
              <a:round/>
            </a:ln>
            <a:effectLst/>
          </c:spPr>
        </c:majorGridlines>
        <c:numFmt formatCode="General" sourceLinked="1"/>
        <c:majorTickMark val="out"/>
        <c:minorTickMark val="none"/>
        <c:tickLblPos val="nextTo"/>
        <c:crossAx val="124277888"/>
        <c:crosses val="autoZero"/>
        <c:crossBetween val="between"/>
      </c:valAx>
      <c:spPr>
        <a:noFill/>
        <a:ln w="25358">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12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Latvia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12152694694082"/>
          <c:y val="2.94117897424984E-2"/>
        </c:manualLayout>
      </c:layout>
      <c:overlay val="0"/>
      <c:spPr>
        <a:noFill/>
        <a:ln w="25329">
          <a:noFill/>
        </a:ln>
      </c:spPr>
    </c:title>
    <c:autoTitleDeleted val="0"/>
    <c:plotArea>
      <c:layout>
        <c:manualLayout>
          <c:layoutTarget val="inner"/>
          <c:xMode val="edge"/>
          <c:yMode val="edge"/>
          <c:x val="0.31614720034995625"/>
          <c:y val="0.28307578228059682"/>
          <c:w val="0.32907032468716263"/>
          <c:h val="0.61747769301990219"/>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3EB-41B2-9F63-1EDB09D0F64B}"/>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3EB-41B2-9F63-1EDB09D0F64B}"/>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3EB-41B2-9F63-1EDB09D0F64B}"/>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3EB-41B2-9F63-1EDB09D0F64B}"/>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3EB-41B2-9F63-1EDB09D0F64B}"/>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3EB-41B2-9F63-1EDB09D0F64B}"/>
              </c:ext>
            </c:extLst>
          </c:dPt>
          <c:dPt>
            <c:idx val="6"/>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E3EB-41B2-9F63-1EDB09D0F64B}"/>
              </c:ext>
            </c:extLst>
          </c:dPt>
          <c:dLbls>
            <c:dLbl>
              <c:idx val="0"/>
              <c:layout>
                <c:manualLayout>
                  <c:x val="-2.7790155788269429E-2"/>
                  <c:y val="-1.3011380861471401E-3"/>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471243413303409"/>
                      <c:h val="0.32375191524576596"/>
                    </c:manualLayout>
                  </c15:layout>
                </c:ext>
                <c:ext xmlns:c16="http://schemas.microsoft.com/office/drawing/2014/chart" uri="{C3380CC4-5D6E-409C-BE32-E72D297353CC}">
                  <c16:uniqueId val="{00000001-E3EB-41B2-9F63-1EDB09D0F64B}"/>
                </c:ext>
              </c:extLst>
            </c:dLbl>
            <c:dLbl>
              <c:idx val="1"/>
              <c:layout>
                <c:manualLayout>
                  <c:x val="2.772771384999307E-3"/>
                  <c:y val="-5.2029136316337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EB-41B2-9F63-1EDB09D0F64B}"/>
                </c:ext>
              </c:extLst>
            </c:dLbl>
            <c:dLbl>
              <c:idx val="2"/>
              <c:layout>
                <c:manualLayout>
                  <c:x val="1.1091085539997202E-2"/>
                  <c:y val="9.36524453694068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EB-41B2-9F63-1EDB09D0F64B}"/>
                </c:ext>
              </c:extLst>
            </c:dLbl>
            <c:dLbl>
              <c:idx val="3"/>
              <c:layout>
                <c:manualLayout>
                  <c:x val="-2.495494246499376E-2"/>
                  <c:y val="5.2029136316337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EB-41B2-9F63-1EDB09D0F64B}"/>
                </c:ext>
              </c:extLst>
            </c:dLbl>
            <c:dLbl>
              <c:idx val="4"/>
              <c:layout>
                <c:manualLayout>
                  <c:x val="-2.9176541480769085E-2"/>
                  <c:y val="-7.2840790842872011E-2"/>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328434770553167"/>
                      <c:h val="0.24149344105139822"/>
                    </c:manualLayout>
                  </c15:layout>
                </c:ext>
                <c:ext xmlns:c16="http://schemas.microsoft.com/office/drawing/2014/chart" uri="{C3380CC4-5D6E-409C-BE32-E72D297353CC}">
                  <c16:uniqueId val="{00000009-E3EB-41B2-9F63-1EDB09D0F64B}"/>
                </c:ext>
              </c:extLst>
            </c:dLbl>
            <c:dLbl>
              <c:idx val="5"/>
              <c:layout>
                <c:manualLayout>
                  <c:x val="2.7727713849993067E-2"/>
                  <c:y val="-0.1144640998959418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3EB-41B2-9F63-1EDB09D0F64B}"/>
                </c:ext>
              </c:extLst>
            </c:dLbl>
            <c:dLbl>
              <c:idx val="6"/>
              <c:layout>
                <c:manualLayout>
                  <c:x val="7.9023984472480241E-2"/>
                  <c:y val="-2.6016616549364041E-3"/>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359362087918686"/>
                      <c:h val="0.13025514760706938"/>
                    </c:manualLayout>
                  </c15:layout>
                </c:ext>
                <c:ext xmlns:c16="http://schemas.microsoft.com/office/drawing/2014/chart" uri="{C3380CC4-5D6E-409C-BE32-E72D297353CC}">
                  <c16:uniqueId val="{0000000D-E3EB-41B2-9F63-1EDB09D0F64B}"/>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Blad1!$A$4:$A$10</c:f>
              <c:strCache>
                <c:ptCount val="7"/>
                <c:pt idx="0">
                  <c:v>Internal market, industry, entrepreneurship and SMEs</c:v>
                </c:pt>
                <c:pt idx="1">
                  <c:v>Migration and home affairs</c:v>
                </c:pt>
                <c:pt idx="2">
                  <c:v>Communication networks</c:v>
                </c:pt>
                <c:pt idx="3">
                  <c:v>Justice and consumers</c:v>
                </c:pt>
                <c:pt idx="4">
                  <c:v>Financial stability, financial services and capital markets union</c:v>
                </c:pt>
                <c:pt idx="5">
                  <c:v>Environment</c:v>
                </c:pt>
                <c:pt idx="6">
                  <c:v>Mobility and transport</c:v>
                </c:pt>
              </c:strCache>
            </c:strRef>
          </c:cat>
          <c:val>
            <c:numRef>
              <c:f>Blad1!$B$4:$B$10</c:f>
              <c:numCache>
                <c:formatCode>General</c:formatCode>
                <c:ptCount val="7"/>
                <c:pt idx="0">
                  <c:v>2</c:v>
                </c:pt>
                <c:pt idx="1">
                  <c:v>2</c:v>
                </c:pt>
                <c:pt idx="2">
                  <c:v>2</c:v>
                </c:pt>
                <c:pt idx="3">
                  <c:v>2</c:v>
                </c:pt>
                <c:pt idx="4">
                  <c:v>2</c:v>
                </c:pt>
                <c:pt idx="5">
                  <c:v>1</c:v>
                </c:pt>
                <c:pt idx="6">
                  <c:v>1</c:v>
                </c:pt>
              </c:numCache>
            </c:numRef>
          </c:val>
          <c:extLst xmlns:c16r2="http://schemas.microsoft.com/office/drawing/2015/06/chart">
            <c:ext xmlns:c16="http://schemas.microsoft.com/office/drawing/2014/chart" uri="{C3380CC4-5D6E-409C-BE32-E72D297353CC}">
              <c16:uniqueId val="{0000000E-E3EB-41B2-9F63-1EDB09D0F64B}"/>
            </c:ext>
          </c:extLst>
        </c:ser>
        <c:dLbls>
          <c:dLblPos val="outEnd"/>
          <c:showLegendKey val="0"/>
          <c:showVal val="1"/>
          <c:showCatName val="0"/>
          <c:showSerName val="0"/>
          <c:showPercent val="0"/>
          <c:showBubbleSize val="0"/>
          <c:showLeaderLines val="0"/>
        </c:dLbls>
        <c:firstSliceAng val="183"/>
      </c:pieChart>
      <c:spPr>
        <a:noFill/>
        <a:ln w="25329">
          <a:noFill/>
        </a:ln>
      </c:spPr>
    </c:plotArea>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2132730921072663E-2"/>
                  <c:y val="5.6312015876064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C3-469B-A8C8-4BCB67A9E2D7}"/>
                </c:ext>
              </c:extLst>
            </c:dLbl>
            <c:dLbl>
              <c:idx val="2"/>
              <c:layout>
                <c:manualLayout>
                  <c:x val="-4.1878994776815691E-2"/>
                  <c:y val="6.3610798650168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C3-469B-A8C8-4BCB67A9E2D7}"/>
                </c:ext>
              </c:extLst>
            </c:dLbl>
            <c:dLbl>
              <c:idx val="3"/>
              <c:layout>
                <c:manualLayout>
                  <c:x val="-5.0439261952721026E-2"/>
                  <c:y val="7.0370667952220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C3-469B-A8C8-4BCB67A9E2D7}"/>
                </c:ext>
              </c:extLst>
            </c:dLbl>
            <c:spPr>
              <a:noFill/>
              <a:ln w="2537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57</c:v>
                </c:pt>
                <c:pt idx="1">
                  <c:v>48</c:v>
                </c:pt>
                <c:pt idx="2">
                  <c:v>43</c:v>
                </c:pt>
                <c:pt idx="3">
                  <c:v>30</c:v>
                </c:pt>
                <c:pt idx="4">
                  <c:v>22</c:v>
                </c:pt>
              </c:numCache>
            </c:numRef>
          </c:val>
          <c:smooth val="0"/>
          <c:extLst xmlns:c16r2="http://schemas.microsoft.com/office/drawing/2015/06/chart">
            <c:ext xmlns:c16="http://schemas.microsoft.com/office/drawing/2014/chart" uri="{C3380CC4-5D6E-409C-BE32-E72D297353CC}">
              <c16:uniqueId val="{00000003-12C3-469B-A8C8-4BCB67A9E2D7}"/>
            </c:ext>
          </c:extLst>
        </c:ser>
        <c:dLbls>
          <c:showLegendKey val="0"/>
          <c:showVal val="0"/>
          <c:showCatName val="0"/>
          <c:showSerName val="0"/>
          <c:showPercent val="0"/>
          <c:showBubbleSize val="0"/>
        </c:dLbls>
        <c:marker val="1"/>
        <c:smooth val="0"/>
        <c:axId val="108685952"/>
        <c:axId val="108691840"/>
      </c:lineChart>
      <c:catAx>
        <c:axId val="108685952"/>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691840"/>
        <c:crosses val="autoZero"/>
        <c:auto val="1"/>
        <c:lblAlgn val="ctr"/>
        <c:lblOffset val="100"/>
        <c:noMultiLvlLbl val="0"/>
      </c:catAx>
      <c:valAx>
        <c:axId val="108691840"/>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108685952"/>
        <c:crosses val="autoZero"/>
        <c:crossBetween val="between"/>
      </c:valAx>
      <c:spPr>
        <a:noFill/>
        <a:ln w="25373">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5000676912058203E-2"/>
                  <c:y val="6.8856790252211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C2-4A72-87F7-3967065C8B37}"/>
                </c:ext>
              </c:extLst>
            </c:dLbl>
            <c:dLbl>
              <c:idx val="3"/>
              <c:layout>
                <c:manualLayout>
                  <c:x val="-4.2227505618311359E-2"/>
                  <c:y val="-6.91174324422931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C2-4A72-87F7-3967065C8B37}"/>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33</c:v>
                </c:pt>
                <c:pt idx="1">
                  <c:v>37</c:v>
                </c:pt>
                <c:pt idx="2">
                  <c:v>30</c:v>
                </c:pt>
                <c:pt idx="3">
                  <c:v>40</c:v>
                </c:pt>
                <c:pt idx="4">
                  <c:v>32</c:v>
                </c:pt>
              </c:numCache>
            </c:numRef>
          </c:val>
          <c:smooth val="0"/>
          <c:extLst xmlns:c16r2="http://schemas.microsoft.com/office/drawing/2015/06/chart">
            <c:ext xmlns:c16="http://schemas.microsoft.com/office/drawing/2014/chart" uri="{C3380CC4-5D6E-409C-BE32-E72D297353CC}">
              <c16:uniqueId val="{00000002-D5C2-4A72-87F7-3967065C8B37}"/>
            </c:ext>
          </c:extLst>
        </c:ser>
        <c:dLbls>
          <c:showLegendKey val="0"/>
          <c:showVal val="0"/>
          <c:showCatName val="0"/>
          <c:showSerName val="0"/>
          <c:showPercent val="0"/>
          <c:showBubbleSize val="0"/>
        </c:dLbls>
        <c:marker val="1"/>
        <c:smooth val="0"/>
        <c:axId val="125315712"/>
        <c:axId val="125333888"/>
      </c:lineChart>
      <c:catAx>
        <c:axId val="12531571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333888"/>
        <c:crosses val="autoZero"/>
        <c:auto val="1"/>
        <c:lblAlgn val="ctr"/>
        <c:lblOffset val="100"/>
        <c:noMultiLvlLbl val="0"/>
      </c:catAx>
      <c:valAx>
        <c:axId val="125333888"/>
        <c:scaling>
          <c:orientation val="minMax"/>
          <c:min val="20"/>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2531571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9A4-4293-AD4C-DCF6CFB364F4}"/>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9A4-4293-AD4C-DCF6CFB364F4}"/>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9A4-4293-AD4C-DCF6CFB364F4}"/>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9A4-4293-AD4C-DCF6CFB364F4}"/>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39A4-4293-AD4C-DCF6CFB364F4}"/>
              </c:ext>
            </c:extLst>
          </c:dPt>
          <c:dLbls>
            <c:dLbl>
              <c:idx val="0"/>
              <c:layout>
                <c:manualLayout>
                  <c:x val="-9.5978072032982711E-2"/>
                  <c:y val="0.13578368581851441"/>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A4-4293-AD4C-DCF6CFB364F4}"/>
                </c:ext>
              </c:extLst>
            </c:dLbl>
            <c:dLbl>
              <c:idx val="1"/>
              <c:layout>
                <c:manualLayout>
                  <c:x val="-4.3553851871699349E-2"/>
                  <c:y val="-7.6776629057425896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8835082154247732"/>
                      <c:h val="0.29429975461187813"/>
                    </c:manualLayout>
                  </c15:layout>
                </c:ext>
                <c:ext xmlns:c16="http://schemas.microsoft.com/office/drawing/2014/chart" uri="{C3380CC4-5D6E-409C-BE32-E72D297353CC}">
                  <c16:uniqueId val="{00000003-39A4-4293-AD4C-DCF6CFB364F4}"/>
                </c:ext>
              </c:extLst>
            </c:dLbl>
            <c:dLbl>
              <c:idx val="2"/>
              <c:layout>
                <c:manualLayout>
                  <c:x val="2.3060018842320888E-2"/>
                  <c:y val="-2.5930262347214666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A4-4293-AD4C-DCF6CFB364F4}"/>
                </c:ext>
              </c:extLst>
            </c:dLbl>
            <c:dLbl>
              <c:idx val="3"/>
              <c:layout>
                <c:manualLayout>
                  <c:x val="-5.2096640362325732E-2"/>
                  <c:y val="-0.2258108500083631"/>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9A4-4293-AD4C-DCF6CFB364F4}"/>
                </c:ext>
              </c:extLst>
            </c:dLbl>
            <c:dLbl>
              <c:idx val="4"/>
              <c:layout>
                <c:manualLayout>
                  <c:x val="-3.0253025302530254E-2"/>
                  <c:y val="-0.1419558359621451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A4-4293-AD4C-DCF6CFB364F4}"/>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Communication networks</c:v>
                </c:pt>
                <c:pt idx="3">
                  <c:v>Other</c:v>
                </c:pt>
              </c:strCache>
            </c:strRef>
          </c:cat>
          <c:val>
            <c:numRef>
              <c:f>Blad1!$B$3:$B$6</c:f>
              <c:numCache>
                <c:formatCode>General</c:formatCode>
                <c:ptCount val="4"/>
                <c:pt idx="0">
                  <c:v>11</c:v>
                </c:pt>
                <c:pt idx="1">
                  <c:v>6</c:v>
                </c:pt>
                <c:pt idx="2">
                  <c:v>5</c:v>
                </c:pt>
                <c:pt idx="3">
                  <c:v>10</c:v>
                </c:pt>
              </c:numCache>
            </c:numRef>
          </c:val>
          <c:extLst xmlns:c16r2="http://schemas.microsoft.com/office/drawing/2015/06/chart">
            <c:ext xmlns:c16="http://schemas.microsoft.com/office/drawing/2014/chart" uri="{C3380CC4-5D6E-409C-BE32-E72D297353CC}">
              <c16:uniqueId val="{0000000A-39A4-4293-AD4C-DCF6CFB364F4}"/>
            </c:ext>
          </c:extLst>
        </c:ser>
        <c:dLbls>
          <c:showLegendKey val="0"/>
          <c:showVal val="0"/>
          <c:showCatName val="0"/>
          <c:showSerName val="0"/>
          <c:showPercent val="0"/>
          <c:showBubbleSize val="0"/>
          <c:showLeaderLines val="0"/>
        </c:dLbls>
        <c:firstSliceAng val="287"/>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5105861767279092E-2"/>
                  <c:y val="6.31590208832591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36-4C48-A0F8-9BFDCB08FF97}"/>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27</c:v>
                </c:pt>
                <c:pt idx="1">
                  <c:v>26</c:v>
                </c:pt>
                <c:pt idx="2">
                  <c:v>23</c:v>
                </c:pt>
                <c:pt idx="3">
                  <c:v>6</c:v>
                </c:pt>
                <c:pt idx="4">
                  <c:v>2</c:v>
                </c:pt>
              </c:numCache>
            </c:numRef>
          </c:val>
          <c:smooth val="0"/>
          <c:extLst xmlns:c16r2="http://schemas.microsoft.com/office/drawing/2015/06/chart">
            <c:ext xmlns:c16="http://schemas.microsoft.com/office/drawing/2014/chart" uri="{C3380CC4-5D6E-409C-BE32-E72D297353CC}">
              <c16:uniqueId val="{00000001-3C36-4C48-A0F8-9BFDCB08FF97}"/>
            </c:ext>
          </c:extLst>
        </c:ser>
        <c:dLbls>
          <c:showLegendKey val="0"/>
          <c:showVal val="0"/>
          <c:showCatName val="0"/>
          <c:showSerName val="0"/>
          <c:showPercent val="0"/>
          <c:showBubbleSize val="0"/>
        </c:dLbls>
        <c:marker val="1"/>
        <c:smooth val="0"/>
        <c:axId val="125468032"/>
        <c:axId val="125482112"/>
      </c:lineChart>
      <c:catAx>
        <c:axId val="125468032"/>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482112"/>
        <c:crosses val="autoZero"/>
        <c:auto val="1"/>
        <c:lblAlgn val="ctr"/>
        <c:lblOffset val="100"/>
        <c:noMultiLvlLbl val="0"/>
      </c:catAx>
      <c:valAx>
        <c:axId val="125482112"/>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25468032"/>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7883639545056866E-2"/>
                  <c:y val="7.52367910532922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1D-424B-AE67-21E6D4ED23BC}"/>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29</c:v>
                </c:pt>
                <c:pt idx="1">
                  <c:v>26</c:v>
                </c:pt>
                <c:pt idx="2">
                  <c:v>24</c:v>
                </c:pt>
                <c:pt idx="3">
                  <c:v>19</c:v>
                </c:pt>
                <c:pt idx="4">
                  <c:v>10</c:v>
                </c:pt>
              </c:numCache>
            </c:numRef>
          </c:val>
          <c:smooth val="0"/>
          <c:extLst xmlns:c16r2="http://schemas.microsoft.com/office/drawing/2015/06/chart">
            <c:ext xmlns:c16="http://schemas.microsoft.com/office/drawing/2014/chart" uri="{C3380CC4-5D6E-409C-BE32-E72D297353CC}">
              <c16:uniqueId val="{00000001-E31D-424B-AE67-21E6D4ED23BC}"/>
            </c:ext>
          </c:extLst>
        </c:ser>
        <c:dLbls>
          <c:showLegendKey val="0"/>
          <c:showVal val="0"/>
          <c:showCatName val="0"/>
          <c:showSerName val="0"/>
          <c:showPercent val="0"/>
          <c:showBubbleSize val="0"/>
        </c:dLbls>
        <c:marker val="1"/>
        <c:smooth val="0"/>
        <c:axId val="125584896"/>
        <c:axId val="125586432"/>
      </c:lineChart>
      <c:catAx>
        <c:axId val="125584896"/>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586432"/>
        <c:crosses val="autoZero"/>
        <c:auto val="1"/>
        <c:lblAlgn val="ctr"/>
        <c:lblOffset val="100"/>
        <c:noMultiLvlLbl val="0"/>
      </c:catAx>
      <c:valAx>
        <c:axId val="125586432"/>
        <c:scaling>
          <c:orientation val="minMax"/>
        </c:scaling>
        <c:delete val="1"/>
        <c:axPos val="l"/>
        <c:majorGridlines>
          <c:spPr>
            <a:ln w="9524" cap="flat" cmpd="sng" algn="ctr">
              <a:solidFill>
                <a:schemeClr val="tx1">
                  <a:lumMod val="15000"/>
                  <a:lumOff val="85000"/>
                </a:schemeClr>
              </a:solidFill>
              <a:round/>
            </a:ln>
            <a:effectLst/>
          </c:spPr>
        </c:majorGridlines>
        <c:numFmt formatCode="General" sourceLinked="1"/>
        <c:majorTickMark val="out"/>
        <c:minorTickMark val="none"/>
        <c:tickLblPos val="nextTo"/>
        <c:crossAx val="125584896"/>
        <c:crosses val="autoZero"/>
        <c:crossBetween val="between"/>
      </c:valAx>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Lithuania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508705010489622E-2"/>
                  <c:y val="-4.77464227837819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4A-40EF-8444-68C53E0F400D}"/>
                </c:ext>
              </c:extLst>
            </c:dLbl>
            <c:dLbl>
              <c:idx val="1"/>
              <c:layout>
                <c:manualLayout>
                  <c:x val="-3.9044001852709585E-2"/>
                  <c:y val="-3.72578552868673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98-41A6-9B35-B4E8DA240166}"/>
                </c:ext>
              </c:extLst>
            </c:dLbl>
            <c:dLbl>
              <c:idx val="2"/>
              <c:layout>
                <c:manualLayout>
                  <c:x val="-5.5636493857568969E-2"/>
                  <c:y val="-4.7985901309164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98-41A6-9B35-B4E8DA240166}"/>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98-41A6-9B35-B4E8DA240166}"/>
                </c:ext>
              </c:extLst>
            </c:dLbl>
            <c:dLbl>
              <c:idx val="4"/>
              <c:layout>
                <c:manualLayout>
                  <c:x val="-4.7317026303492431E-2"/>
                  <c:y val="-7.3162134944612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98-41A6-9B35-B4E8DA240166}"/>
                </c:ext>
              </c:extLst>
            </c:dLbl>
            <c:dLbl>
              <c:idx val="5"/>
              <c:layout>
                <c:manualLayout>
                  <c:x val="-5.828493821993181E-2"/>
                  <c:y val="-5.7732535685291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D8-414C-9942-05A4F75647D0}"/>
                </c:ext>
              </c:extLst>
            </c:dLbl>
            <c:spPr>
              <a:noFill/>
              <a:ln w="25384">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0.86</c:v>
                </c:pt>
                <c:pt idx="1">
                  <c:v>0.76</c:v>
                </c:pt>
                <c:pt idx="2">
                  <c:v>0.76</c:v>
                </c:pt>
                <c:pt idx="3">
                  <c:v>0.91</c:v>
                </c:pt>
                <c:pt idx="4">
                  <c:v>0.73</c:v>
                </c:pt>
              </c:numCache>
            </c:numRef>
          </c:val>
          <c:smooth val="0"/>
          <c:extLst xmlns:c16r2="http://schemas.microsoft.com/office/drawing/2015/06/chart">
            <c:ext xmlns:c16="http://schemas.microsoft.com/office/drawing/2014/chart" uri="{C3380CC4-5D6E-409C-BE32-E72D297353CC}">
              <c16:uniqueId val="{00000004-5898-41A6-9B35-B4E8DA240166}"/>
            </c:ext>
          </c:extLst>
        </c:ser>
        <c:ser>
          <c:idx val="1"/>
          <c:order val="1"/>
          <c:tx>
            <c:strRef>
              <c:f>Blad1!$C$2</c:f>
              <c:strCache>
                <c:ptCount val="1"/>
                <c:pt idx="0">
                  <c:v>General rate for all Member States</c:v>
                </c:pt>
              </c:strCache>
            </c:strRef>
          </c:tx>
          <c:spPr>
            <a:ln w="25384">
              <a:solidFill>
                <a:srgbClr val="92D050"/>
              </a:solidFill>
            </a:ln>
          </c:spPr>
          <c:marker>
            <c:symbol val="square"/>
            <c:size val="4"/>
            <c:spPr>
              <a:solidFill>
                <a:srgbClr val="92D050"/>
              </a:solidFill>
              <a:ln>
                <a:solidFill>
                  <a:srgbClr val="92D050"/>
                </a:solidFill>
              </a:ln>
            </c:spPr>
          </c:marker>
          <c:dLbls>
            <c:dLbl>
              <c:idx val="0"/>
              <c:layout>
                <c:manualLayout>
                  <c:x val="-4.1770714600774736E-2"/>
                  <c:y val="7.8197381671701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98-41A6-9B35-B4E8DA240166}"/>
                </c:ext>
              </c:extLst>
            </c:dLbl>
            <c:dLbl>
              <c:idx val="1"/>
              <c:layout>
                <c:manualLayout>
                  <c:x val="-5.5660845162520824E-2"/>
                  <c:y val="5.232533840130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98-41A6-9B35-B4E8DA240166}"/>
                </c:ext>
              </c:extLst>
            </c:dLbl>
            <c:dLbl>
              <c:idx val="2"/>
              <c:layout>
                <c:manualLayout>
                  <c:x val="-5.4124621965506908E-2"/>
                  <c:y val="5.02505727094578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4A-40EF-8444-68C53E0F400D}"/>
                </c:ext>
              </c:extLst>
            </c:dLbl>
            <c:dLbl>
              <c:idx val="3"/>
              <c:layout>
                <c:manualLayout>
                  <c:x val="-5.2863338006210125E-2"/>
                  <c:y val="7.31621349446122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98-41A6-9B35-B4E8DA240166}"/>
                </c:ext>
              </c:extLst>
            </c:dLbl>
            <c:dLbl>
              <c:idx val="4"/>
              <c:layout>
                <c:manualLayout>
                  <c:x val="-4.454387045213358E-2"/>
                  <c:y val="5.8056394763343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98-41A6-9B35-B4E8DA240166}"/>
                </c:ext>
              </c:extLst>
            </c:dLbl>
            <c:spPr>
              <a:noFill/>
              <a:ln w="25384">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9-5898-41A6-9B35-B4E8DA240166}"/>
            </c:ext>
          </c:extLst>
        </c:ser>
        <c:dLbls>
          <c:showLegendKey val="0"/>
          <c:showVal val="0"/>
          <c:showCatName val="0"/>
          <c:showSerName val="0"/>
          <c:showPercent val="0"/>
          <c:showBubbleSize val="0"/>
        </c:dLbls>
        <c:marker val="1"/>
        <c:smooth val="0"/>
        <c:axId val="125564032"/>
        <c:axId val="125565568"/>
      </c:lineChart>
      <c:catAx>
        <c:axId val="12556403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565568"/>
        <c:crosses val="autoZero"/>
        <c:auto val="1"/>
        <c:lblAlgn val="ctr"/>
        <c:lblOffset val="100"/>
        <c:noMultiLvlLbl val="0"/>
      </c:catAx>
      <c:valAx>
        <c:axId val="125565568"/>
        <c:scaling>
          <c:orientation val="minMax"/>
          <c:min val="0.5"/>
        </c:scaling>
        <c:delete val="1"/>
        <c:axPos val="l"/>
        <c:majorGridlines>
          <c:spPr>
            <a:ln w="9519" cap="flat" cmpd="sng" algn="ctr">
              <a:solidFill>
                <a:schemeClr val="tx1">
                  <a:lumMod val="15000"/>
                  <a:lumOff val="85000"/>
                </a:schemeClr>
              </a:solidFill>
              <a:round/>
            </a:ln>
            <a:effectLst/>
          </c:spPr>
        </c:majorGridlines>
        <c:numFmt formatCode="0%" sourceLinked="1"/>
        <c:majorTickMark val="out"/>
        <c:minorTickMark val="none"/>
        <c:tickLblPos val="nextTo"/>
        <c:crossAx val="125564032"/>
        <c:crosses val="autoZero"/>
        <c:crossBetween val="between"/>
      </c:valAx>
      <c:spPr>
        <a:noFill/>
        <a:ln w="25384">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563026775118457E-2"/>
                  <c:y val="7.6912774601804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F3-4FE5-87C3-13DBC6C11554}"/>
                </c:ext>
              </c:extLst>
            </c:dLbl>
            <c:dLbl>
              <c:idx val="2"/>
              <c:layout>
                <c:manualLayout>
                  <c:x val="-3.9145353812112677E-2"/>
                  <c:y val="-7.08724069337880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F3-4FE5-87C3-13DBC6C11554}"/>
                </c:ext>
              </c:extLst>
            </c:dLbl>
            <c:dLbl>
              <c:idx val="3"/>
              <c:layout>
                <c:manualLayout>
                  <c:x val="-3.6288106001019907E-2"/>
                  <c:y val="4.80594657125659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8F-4E55-8A0E-ECA53115E124}"/>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26</c:v>
                </c:pt>
                <c:pt idx="1">
                  <c:v>33</c:v>
                </c:pt>
                <c:pt idx="2">
                  <c:v>50</c:v>
                </c:pt>
                <c:pt idx="3">
                  <c:v>34</c:v>
                </c:pt>
                <c:pt idx="4">
                  <c:v>33</c:v>
                </c:pt>
              </c:numCache>
            </c:numRef>
          </c:val>
          <c:smooth val="0"/>
          <c:extLst xmlns:c16r2="http://schemas.microsoft.com/office/drawing/2015/06/chart">
            <c:ext xmlns:c16="http://schemas.microsoft.com/office/drawing/2014/chart" uri="{C3380CC4-5D6E-409C-BE32-E72D297353CC}">
              <c16:uniqueId val="{00000002-1AF3-4FE5-87C3-13DBC6C11554}"/>
            </c:ext>
          </c:extLst>
        </c:ser>
        <c:dLbls>
          <c:showLegendKey val="0"/>
          <c:showVal val="0"/>
          <c:showCatName val="0"/>
          <c:showSerName val="0"/>
          <c:showPercent val="0"/>
          <c:showBubbleSize val="0"/>
        </c:dLbls>
        <c:marker val="1"/>
        <c:smooth val="0"/>
        <c:axId val="125018496"/>
        <c:axId val="125020032"/>
      </c:lineChart>
      <c:catAx>
        <c:axId val="125018496"/>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020032"/>
        <c:crosses val="autoZero"/>
        <c:auto val="1"/>
        <c:lblAlgn val="ctr"/>
        <c:lblOffset val="100"/>
        <c:noMultiLvlLbl val="0"/>
      </c:catAx>
      <c:valAx>
        <c:axId val="125020032"/>
        <c:scaling>
          <c:orientation val="minMax"/>
          <c:min val="2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25018496"/>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18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95B-4138-B4E3-1F8E7C3E08EF}"/>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95B-4138-B4E3-1F8E7C3E08EF}"/>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95B-4138-B4E3-1F8E7C3E08EF}"/>
              </c:ext>
            </c:extLst>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95B-4138-B4E3-1F8E7C3E08E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95B-4138-B4E3-1F8E7C3E08EF}"/>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E95B-4138-B4E3-1F8E7C3E08EF}"/>
              </c:ext>
            </c:extLst>
          </c:dPt>
          <c:dLbls>
            <c:dLbl>
              <c:idx val="0"/>
              <c:layout>
                <c:manualLayout>
                  <c:x val="-3.73283562191708E-2"/>
                  <c:y val="0.1235839340885685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5B-4138-B4E3-1F8E7C3E08EF}"/>
                </c:ext>
              </c:extLst>
            </c:dLbl>
            <c:dLbl>
              <c:idx val="1"/>
              <c:layout>
                <c:manualLayout>
                  <c:x val="-2.3996800426609882E-2"/>
                  <c:y val="-5.59613919227838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5B-4138-B4E3-1F8E7C3E08EF}"/>
                </c:ext>
              </c:extLst>
            </c:dLbl>
            <c:dLbl>
              <c:idx val="2"/>
              <c:layout>
                <c:manualLayout>
                  <c:x val="2.6663111585121885E-2"/>
                  <c:y val="-6.694129763130793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5B-4138-B4E3-1F8E7C3E08EF}"/>
                </c:ext>
              </c:extLst>
            </c:dLbl>
            <c:dLbl>
              <c:idx val="3"/>
              <c:layout>
                <c:manualLayout>
                  <c:x val="5.065991201173177E-2"/>
                  <c:y val="-9.4403303540416014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95B-4138-B4E3-1F8E7C3E08EF}"/>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5"/>
                <c:pt idx="0">
                  <c:v>Mobility and transport</c:v>
                </c:pt>
                <c:pt idx="1">
                  <c:v>Communication networks</c:v>
                </c:pt>
                <c:pt idx="2">
                  <c:v>Migration and home affairs</c:v>
                </c:pt>
                <c:pt idx="3">
                  <c:v>Justice and consumers</c:v>
                </c:pt>
                <c:pt idx="4">
                  <c:v>Other</c:v>
                </c:pt>
              </c:strCache>
            </c:strRef>
          </c:cat>
          <c:val>
            <c:numRef>
              <c:f>Blad1!$B$2:$B$7</c:f>
              <c:numCache>
                <c:formatCode>0</c:formatCode>
                <c:ptCount val="5"/>
                <c:pt idx="0">
                  <c:v>7</c:v>
                </c:pt>
                <c:pt idx="1">
                  <c:v>3</c:v>
                </c:pt>
                <c:pt idx="2">
                  <c:v>2</c:v>
                </c:pt>
                <c:pt idx="3">
                  <c:v>2</c:v>
                </c:pt>
                <c:pt idx="4" formatCode="General">
                  <c:v>4</c:v>
                </c:pt>
              </c:numCache>
            </c:numRef>
          </c:val>
          <c:extLst xmlns:c16r2="http://schemas.microsoft.com/office/drawing/2015/06/chart">
            <c:ext xmlns:c16="http://schemas.microsoft.com/office/drawing/2014/chart" uri="{C3380CC4-5D6E-409C-BE32-E72D297353CC}">
              <c16:uniqueId val="{0000000E-E95B-4138-B4E3-1F8E7C3E08EF}"/>
            </c:ext>
          </c:extLst>
        </c:ser>
        <c:dLbls>
          <c:dLblPos val="outEnd"/>
          <c:showLegendKey val="0"/>
          <c:showVal val="0"/>
          <c:showCatName val="1"/>
          <c:showSerName val="0"/>
          <c:showPercent val="0"/>
          <c:showBubbleSize val="0"/>
          <c:showLeaderLines val="0"/>
        </c:dLbls>
        <c:firstSliceAng val="25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271887187146531E-2"/>
                  <c:y val="7.22789072587791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B9-4E96-8607-6A065CF78C0F}"/>
                </c:ext>
              </c:extLst>
            </c:dLbl>
            <c:dLbl>
              <c:idx val="2"/>
              <c:layout>
                <c:manualLayout>
                  <c:x val="-4.2103806228373702E-2"/>
                  <c:y val="-6.14540422318967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C8-40BC-BE96-EDA6A3CE5198}"/>
                </c:ext>
              </c:extLst>
            </c:dLbl>
            <c:dLbl>
              <c:idx val="3"/>
              <c:layout>
                <c:manualLayout>
                  <c:x val="-4.4875459771680788E-2"/>
                  <c:y val="-6.14361415257368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4E-4E3A-B730-E6C83666800D}"/>
                </c:ext>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10</c:v>
                </c:pt>
                <c:pt idx="1">
                  <c:v>16</c:v>
                </c:pt>
                <c:pt idx="2">
                  <c:v>35</c:v>
                </c:pt>
                <c:pt idx="3">
                  <c:v>23</c:v>
                </c:pt>
                <c:pt idx="4">
                  <c:v>22</c:v>
                </c:pt>
              </c:numCache>
            </c:numRef>
          </c:val>
          <c:smooth val="0"/>
          <c:extLst xmlns:c16r2="http://schemas.microsoft.com/office/drawing/2015/06/chart">
            <c:ext xmlns:c16="http://schemas.microsoft.com/office/drawing/2014/chart" uri="{C3380CC4-5D6E-409C-BE32-E72D297353CC}">
              <c16:uniqueId val="{00000001-2EB9-4E96-8607-6A065CF78C0F}"/>
            </c:ext>
          </c:extLst>
        </c:ser>
        <c:dLbls>
          <c:showLegendKey val="0"/>
          <c:showVal val="0"/>
          <c:showCatName val="0"/>
          <c:showSerName val="0"/>
          <c:showPercent val="0"/>
          <c:showBubbleSize val="0"/>
        </c:dLbls>
        <c:marker val="1"/>
        <c:smooth val="0"/>
        <c:axId val="125182336"/>
        <c:axId val="125183872"/>
      </c:lineChart>
      <c:catAx>
        <c:axId val="125182336"/>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183872"/>
        <c:crosses val="autoZero"/>
        <c:auto val="1"/>
        <c:lblAlgn val="ctr"/>
        <c:lblOffset val="100"/>
        <c:noMultiLvlLbl val="0"/>
      </c:catAx>
      <c:valAx>
        <c:axId val="125183872"/>
        <c:scaling>
          <c:orientation val="minMax"/>
          <c:min val="5"/>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125182336"/>
        <c:crosses val="autoZero"/>
        <c:crossBetween val="between"/>
      </c:valAx>
      <c:spPr>
        <a:noFill/>
        <a:ln w="25355">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2"/>
              <c:layout>
                <c:manualLayout>
                  <c:x val="-4.2117756041740458E-2"/>
                  <c:y val="-5.7631075656024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37-4934-9B67-493C02C624CD}"/>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13</c:v>
                </c:pt>
                <c:pt idx="1">
                  <c:v>16</c:v>
                </c:pt>
                <c:pt idx="2">
                  <c:v>29</c:v>
                </c:pt>
                <c:pt idx="3">
                  <c:v>11</c:v>
                </c:pt>
                <c:pt idx="4">
                  <c:v>12</c:v>
                </c:pt>
              </c:numCache>
            </c:numRef>
          </c:val>
          <c:smooth val="0"/>
          <c:extLst xmlns:c16r2="http://schemas.microsoft.com/office/drawing/2015/06/chart">
            <c:ext xmlns:c16="http://schemas.microsoft.com/office/drawing/2014/chart" uri="{C3380CC4-5D6E-409C-BE32-E72D297353CC}">
              <c16:uniqueId val="{00000001-DB63-4F2A-8CEA-AAA7454D7DA0}"/>
            </c:ext>
          </c:extLst>
        </c:ser>
        <c:dLbls>
          <c:dLblPos val="b"/>
          <c:showLegendKey val="0"/>
          <c:showVal val="1"/>
          <c:showCatName val="0"/>
          <c:showSerName val="0"/>
          <c:showPercent val="0"/>
          <c:showBubbleSize val="0"/>
        </c:dLbls>
        <c:marker val="1"/>
        <c:smooth val="0"/>
        <c:axId val="125228160"/>
        <c:axId val="125640704"/>
      </c:lineChart>
      <c:catAx>
        <c:axId val="12522816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640704"/>
        <c:crosses val="autoZero"/>
        <c:auto val="1"/>
        <c:lblAlgn val="ctr"/>
        <c:lblOffset val="100"/>
        <c:noMultiLvlLbl val="0"/>
      </c:catAx>
      <c:valAx>
        <c:axId val="125640704"/>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25228160"/>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12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DE8-4C9E-9CE9-3FE29F175DA7}"/>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DE8-4C9E-9CE9-3FE29F175DA7}"/>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DE8-4C9E-9CE9-3FE29F175DA7}"/>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DE8-4C9E-9CE9-3FE29F175DA7}"/>
              </c:ext>
            </c:extLst>
          </c:dPt>
          <c:dPt>
            <c:idx val="4"/>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E729-4C39-92F8-C707A7CBE9F4}"/>
              </c:ext>
            </c:extLst>
          </c:dPt>
          <c:dPt>
            <c:idx val="5"/>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9A35-41BB-8060-E282BB9C9AD2}"/>
              </c:ext>
            </c:extLst>
          </c:dPt>
          <c:dLbls>
            <c:dLbl>
              <c:idx val="0"/>
              <c:layout>
                <c:manualLayout>
                  <c:x val="1.6617399569239893E-2"/>
                  <c:y val="-5.696077942788799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E8-4C9E-9CE9-3FE29F175DA7}"/>
                </c:ext>
              </c:extLst>
            </c:dLbl>
            <c:dLbl>
              <c:idx val="1"/>
              <c:layout>
                <c:manualLayout>
                  <c:x val="-2.4922175425746301E-2"/>
                  <c:y val="6.481859862453896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E8-4C9E-9CE9-3FE29F175DA7}"/>
                </c:ext>
              </c:extLst>
            </c:dLbl>
            <c:dLbl>
              <c:idx val="2"/>
              <c:layout>
                <c:manualLayout>
                  <c:x val="2.5076734594222234E-2"/>
                  <c:y val="-0.1371312169839530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E8-4C9E-9CE9-3FE29F175DA7}"/>
                </c:ext>
              </c:extLst>
            </c:dLbl>
            <c:dLbl>
              <c:idx val="3"/>
              <c:layout>
                <c:manualLayout>
                  <c:x val="0.20487264673311184"/>
                  <c:y val="-3.536662347586298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E8-4C9E-9CE9-3FE29F175DA7}"/>
                </c:ext>
              </c:extLst>
            </c:dLbl>
            <c:dLbl>
              <c:idx val="4"/>
              <c:layout>
                <c:manualLayout>
                  <c:x val="-7.6764023683086186E-3"/>
                  <c:y val="-9.6693679048253113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010385329740757"/>
                      <c:h val="0.27360252832320009"/>
                    </c:manualLayout>
                  </c15:layout>
                </c:ext>
                <c:ext xmlns:c16="http://schemas.microsoft.com/office/drawing/2014/chart" uri="{C3380CC4-5D6E-409C-BE32-E72D297353CC}">
                  <c16:uniqueId val="{00000008-E729-4C39-92F8-C707A7CBE9F4}"/>
                </c:ext>
              </c:extLst>
            </c:dLbl>
            <c:dLbl>
              <c:idx val="5"/>
              <c:layout>
                <c:manualLayout>
                  <c:x val="-1.1074197120708755E-2"/>
                  <c:y val="-0.1740506329113924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4857561409474979"/>
                      <c:h val="0.32515822784810128"/>
                    </c:manualLayout>
                  </c15:layout>
                </c:ext>
                <c:ext xmlns:c16="http://schemas.microsoft.com/office/drawing/2014/chart" uri="{C3380CC4-5D6E-409C-BE32-E72D297353CC}">
                  <c16:uniqueId val="{00000008-9A35-41BB-8060-E282BB9C9AD2}"/>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Blad1!$A$4:$A$10</c:f>
              <c:strCache>
                <c:ptCount val="6"/>
                <c:pt idx="0">
                  <c:v>Mobility and transport</c:v>
                </c:pt>
                <c:pt idx="1">
                  <c:v>Communication networks</c:v>
                </c:pt>
                <c:pt idx="2">
                  <c:v>Migration and home affairs</c:v>
                </c:pt>
                <c:pt idx="3">
                  <c:v>Justice and consumers</c:v>
                </c:pt>
                <c:pt idx="4">
                  <c:v>Internal market, industry, entrepreneurship and SMEs</c:v>
                </c:pt>
                <c:pt idx="5">
                  <c:v>Financial stability, financial services and Capital Markets Union</c:v>
                </c:pt>
              </c:strCache>
            </c:strRef>
          </c:cat>
          <c:val>
            <c:numRef>
              <c:f>Blad1!$B$4:$B$10</c:f>
              <c:numCache>
                <c:formatCode>General</c:formatCode>
                <c:ptCount val="7"/>
                <c:pt idx="0">
                  <c:v>3</c:v>
                </c:pt>
                <c:pt idx="1">
                  <c:v>3</c:v>
                </c:pt>
                <c:pt idx="2">
                  <c:v>2</c:v>
                </c:pt>
                <c:pt idx="3">
                  <c:v>2</c:v>
                </c:pt>
                <c:pt idx="4">
                  <c:v>1</c:v>
                </c:pt>
                <c:pt idx="5">
                  <c:v>1</c:v>
                </c:pt>
              </c:numCache>
            </c:numRef>
          </c:val>
          <c:extLst xmlns:c16r2="http://schemas.microsoft.com/office/drawing/2015/06/chart">
            <c:ext xmlns:c16="http://schemas.microsoft.com/office/drawing/2014/chart" uri="{C3380CC4-5D6E-409C-BE32-E72D297353CC}">
              <c16:uniqueId val="{00000008-EDE8-4C9E-9CE9-3FE29F175DA7}"/>
            </c:ext>
          </c:extLst>
        </c:ser>
        <c:dLbls>
          <c:dLblPos val="inEnd"/>
          <c:showLegendKey val="0"/>
          <c:showVal val="0"/>
          <c:showCatName val="0"/>
          <c:showSerName val="0"/>
          <c:showPercent val="1"/>
          <c:showBubbleSize val="0"/>
          <c:showLeaderLines val="0"/>
        </c:dLbls>
        <c:firstSliceAng val="27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8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Bulgaria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28 EU Pilot files opened against [Member State]</c:v>
                </c:pt>
              </c:strCache>
            </c:strRef>
          </c:tx>
          <c:spPr>
            <a:scene3d>
              <a:camera prst="orthographicFront"/>
              <a:lightRig rig="threePt" dir="t"/>
            </a:scene3d>
            <a:sp3d>
              <a:bevelT w="63500" h="25400"/>
            </a:sp3d>
          </c:spPr>
          <c:dPt>
            <c:idx val="0"/>
            <c:bubble3D val="0"/>
            <c:spPr>
              <a:solidFill>
                <a:srgbClr val="0B5A8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E15-4F78-BF91-9670A23C61CA}"/>
              </c:ext>
            </c:extLst>
          </c:dPt>
          <c:dPt>
            <c:idx val="1"/>
            <c:bubble3D val="0"/>
            <c:spPr>
              <a:solidFill>
                <a:srgbClr val="E75113">
                  <a:alpha val="99000"/>
                </a:srgbClr>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E15-4F78-BF91-9670A23C61CA}"/>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E15-4F78-BF91-9670A23C61CA}"/>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E15-4F78-BF91-9670A23C61CA}"/>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E15-4F78-BF91-9670A23C61CA}"/>
              </c:ext>
            </c:extLst>
          </c:dPt>
          <c:dLbls>
            <c:dLbl>
              <c:idx val="0"/>
              <c:layout>
                <c:manualLayout>
                  <c:x val="-7.380966480789794E-2"/>
                  <c:y val="-1.1429836045908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15-4F78-BF91-9670A23C61CA}"/>
                </c:ext>
              </c:extLst>
            </c:dLbl>
            <c:dLbl>
              <c:idx val="1"/>
              <c:layout>
                <c:manualLayout>
                  <c:x val="2.95390260683434E-2"/>
                  <c:y val="-0.1158003594704326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15-4F78-BF91-9670A23C61CA}"/>
                </c:ext>
              </c:extLst>
            </c:dLbl>
            <c:dLbl>
              <c:idx val="2"/>
              <c:layout>
                <c:manualLayout>
                  <c:x val="-4.3928889443995214E-2"/>
                  <c:y val="-8.4585171534409271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15-4F78-BF91-9670A23C61CA}"/>
                </c:ext>
              </c:extLst>
            </c:dLbl>
            <c:dLbl>
              <c:idx val="3"/>
              <c:layout>
                <c:manualLayout>
                  <c:x val="1.9171338711882847E-2"/>
                  <c:y val="-0.1199696373650693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15-4F78-BF91-9670A23C61CA}"/>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Agriculture and rural development</c:v>
                </c:pt>
                <c:pt idx="1">
                  <c:v>Energy</c:v>
                </c:pt>
                <c:pt idx="2">
                  <c:v>Environment</c:v>
                </c:pt>
                <c:pt idx="3">
                  <c:v>Migration and home affairs</c:v>
                </c:pt>
              </c:strCache>
            </c:strRef>
          </c:cat>
          <c:val>
            <c:numRef>
              <c:f>Blad1!$B$2:$B$5</c:f>
              <c:numCache>
                <c:formatCode>General</c:formatCode>
                <c:ptCount val="4"/>
                <c:pt idx="0">
                  <c:v>1</c:v>
                </c:pt>
                <c:pt idx="1">
                  <c:v>3</c:v>
                </c:pt>
                <c:pt idx="2">
                  <c:v>2</c:v>
                </c:pt>
                <c:pt idx="3">
                  <c:v>2</c:v>
                </c:pt>
              </c:numCache>
            </c:numRef>
          </c:val>
          <c:extLst xmlns:c16r2="http://schemas.microsoft.com/office/drawing/2015/06/chart">
            <c:ext xmlns:c16="http://schemas.microsoft.com/office/drawing/2014/chart" uri="{C3380CC4-5D6E-409C-BE32-E72D297353CC}">
              <c16:uniqueId val="{0000000A-9E15-4F78-BF91-9670A23C61CA}"/>
            </c:ext>
          </c:extLst>
        </c:ser>
        <c:dLbls>
          <c:showLegendKey val="0"/>
          <c:showVal val="0"/>
          <c:showCatName val="0"/>
          <c:showSerName val="0"/>
          <c:showPercent val="0"/>
          <c:showBubbleSize val="0"/>
          <c:showLeaderLines val="0"/>
        </c:dLbls>
        <c:firstSliceAng val="182"/>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1938592867960908E-2"/>
                  <c:y val="-6.04709027861032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64-4EFA-92B9-80597C143F88}"/>
                </c:ext>
              </c:extLst>
            </c:dLbl>
            <c:dLbl>
              <c:idx val="1"/>
              <c:layout>
                <c:manualLayout>
                  <c:x val="-4.1955938902928334E-2"/>
                  <c:y val="7.7396530547154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9E-4EF1-AE56-8A64B0986229}"/>
                </c:ext>
              </c:extLst>
            </c:dLbl>
            <c:dLbl>
              <c:idx val="2"/>
              <c:layout>
                <c:manualLayout>
                  <c:x val="-4.7586169497407863E-2"/>
                  <c:y val="7.1166621413702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9E-4EF1-AE56-8A64B0986229}"/>
                </c:ext>
              </c:extLst>
            </c:dLbl>
            <c:dLbl>
              <c:idx val="3"/>
              <c:layout>
                <c:manualLayout>
                  <c:x val="-3.6560021075432485E-2"/>
                  <c:y val="6.53798912883663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9E-4EF1-AE56-8A64B0986229}"/>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58</c:v>
                </c:pt>
                <c:pt idx="1">
                  <c:v>45</c:v>
                </c:pt>
                <c:pt idx="2">
                  <c:v>20</c:v>
                </c:pt>
                <c:pt idx="3">
                  <c:v>31</c:v>
                </c:pt>
                <c:pt idx="4">
                  <c:v>20</c:v>
                </c:pt>
              </c:numCache>
            </c:numRef>
          </c:val>
          <c:smooth val="0"/>
          <c:extLst xmlns:c16r2="http://schemas.microsoft.com/office/drawing/2015/06/chart">
            <c:ext xmlns:c16="http://schemas.microsoft.com/office/drawing/2014/chart" uri="{C3380CC4-5D6E-409C-BE32-E72D297353CC}">
              <c16:uniqueId val="{00000003-989E-4EF1-AE56-8A64B0986229}"/>
            </c:ext>
          </c:extLst>
        </c:ser>
        <c:dLbls>
          <c:showLegendKey val="0"/>
          <c:showVal val="0"/>
          <c:showCatName val="0"/>
          <c:showSerName val="0"/>
          <c:showPercent val="0"/>
          <c:showBubbleSize val="0"/>
        </c:dLbls>
        <c:marker val="1"/>
        <c:smooth val="0"/>
        <c:axId val="126212736"/>
        <c:axId val="126304640"/>
      </c:lineChart>
      <c:catAx>
        <c:axId val="12621273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6304640"/>
        <c:crosses val="autoZero"/>
        <c:auto val="1"/>
        <c:lblAlgn val="ctr"/>
        <c:lblOffset val="100"/>
        <c:noMultiLvlLbl val="0"/>
      </c:catAx>
      <c:valAx>
        <c:axId val="126304640"/>
        <c:scaling>
          <c:orientation val="minMax"/>
          <c:max val="65"/>
          <c:min val="10"/>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126212736"/>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20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1">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7D1-4777-905C-F10D28B4CB0A}"/>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7D1-4777-905C-F10D28B4CB0A}"/>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7D1-4777-905C-F10D28B4CB0A}"/>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7D1-4777-905C-F10D28B4CB0A}"/>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97D1-4777-905C-F10D28B4CB0A}"/>
              </c:ext>
            </c:extLst>
          </c:dPt>
          <c:dLbls>
            <c:dLbl>
              <c:idx val="0"/>
              <c:layout>
                <c:manualLayout>
                  <c:x val="-1.7851848647553653E-2"/>
                  <c:y val="0.10868436372598596"/>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D1-4777-905C-F10D28B4CB0A}"/>
                </c:ext>
              </c:extLst>
            </c:dLbl>
            <c:dLbl>
              <c:idx val="1"/>
              <c:layout>
                <c:manualLayout>
                  <c:x val="-0.1140813314187261"/>
                  <c:y val="0.12487602568297419"/>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D1-4777-905C-F10D28B4CB0A}"/>
                </c:ext>
              </c:extLst>
            </c:dLbl>
            <c:dLbl>
              <c:idx val="2"/>
              <c:layout>
                <c:manualLayout>
                  <c:x val="3.5740202848488237E-2"/>
                  <c:y val="0.10255767408458724"/>
                </c:manualLayout>
              </c:layout>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D1-4777-905C-F10D28B4CB0A}"/>
                </c:ext>
              </c:extLst>
            </c:dLbl>
            <c:dLbl>
              <c:idx val="3"/>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D1-4777-905C-F10D28B4CB0A}"/>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Taxation and customs</c:v>
                </c:pt>
                <c:pt idx="1">
                  <c:v>Migration and home affairs</c:v>
                </c:pt>
                <c:pt idx="2">
                  <c:v>Justice and consumers</c:v>
                </c:pt>
                <c:pt idx="3">
                  <c:v>Education, youth, sport and culture</c:v>
                </c:pt>
                <c:pt idx="4">
                  <c:v>Other</c:v>
                </c:pt>
              </c:strCache>
            </c:strRef>
          </c:cat>
          <c:val>
            <c:numRef>
              <c:f>Blad1!$B$3:$B$7</c:f>
              <c:numCache>
                <c:formatCode>General</c:formatCode>
                <c:ptCount val="5"/>
                <c:pt idx="0">
                  <c:v>3</c:v>
                </c:pt>
                <c:pt idx="1">
                  <c:v>3</c:v>
                </c:pt>
                <c:pt idx="2">
                  <c:v>3</c:v>
                </c:pt>
                <c:pt idx="3">
                  <c:v>3</c:v>
                </c:pt>
                <c:pt idx="4">
                  <c:v>8</c:v>
                </c:pt>
              </c:numCache>
            </c:numRef>
          </c:val>
          <c:extLst xmlns:c16r2="http://schemas.microsoft.com/office/drawing/2015/06/chart">
            <c:ext xmlns:c16="http://schemas.microsoft.com/office/drawing/2014/chart" uri="{C3380CC4-5D6E-409C-BE32-E72D297353CC}">
              <c16:uniqueId val="{00000009-97D1-4777-905C-F10D28B4CB0A}"/>
            </c:ext>
          </c:extLst>
        </c:ser>
        <c:dLbls>
          <c:showLegendKey val="0"/>
          <c:showVal val="0"/>
          <c:showCatName val="0"/>
          <c:showSerName val="0"/>
          <c:showPercent val="0"/>
          <c:showBubbleSize val="0"/>
          <c:showLeaderLines val="0"/>
        </c:dLbls>
        <c:firstSliceAng val="263"/>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33</c:v>
                </c:pt>
                <c:pt idx="1">
                  <c:v>24</c:v>
                </c:pt>
                <c:pt idx="2">
                  <c:v>24</c:v>
                </c:pt>
                <c:pt idx="3">
                  <c:v>5</c:v>
                </c:pt>
                <c:pt idx="4">
                  <c:v>2</c:v>
                </c:pt>
              </c:numCache>
            </c:numRef>
          </c:val>
          <c:smooth val="0"/>
          <c:extLst xmlns:c16r2="http://schemas.microsoft.com/office/drawing/2015/06/chart">
            <c:ext xmlns:c16="http://schemas.microsoft.com/office/drawing/2014/chart" uri="{C3380CC4-5D6E-409C-BE32-E72D297353CC}">
              <c16:uniqueId val="{00000002-C8AB-495C-8E26-03D599B25B2F}"/>
            </c:ext>
          </c:extLst>
        </c:ser>
        <c:dLbls>
          <c:showLegendKey val="0"/>
          <c:showVal val="0"/>
          <c:showCatName val="0"/>
          <c:showSerName val="0"/>
          <c:showPercent val="0"/>
          <c:showBubbleSize val="0"/>
        </c:dLbls>
        <c:marker val="1"/>
        <c:smooth val="0"/>
        <c:axId val="125798656"/>
        <c:axId val="125800448"/>
      </c:lineChart>
      <c:catAx>
        <c:axId val="125798656"/>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800448"/>
        <c:crosses val="autoZero"/>
        <c:auto val="1"/>
        <c:lblAlgn val="ctr"/>
        <c:lblOffset val="100"/>
        <c:noMultiLvlLbl val="0"/>
      </c:catAx>
      <c:valAx>
        <c:axId val="125800448"/>
        <c:scaling>
          <c:orientation val="minMax"/>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25798656"/>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6661120354963946E-2"/>
                  <c:y val="5.75907590759075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FF-44D9-A062-0D986D8A48A6}"/>
                </c:ext>
              </c:extLst>
            </c:dLbl>
            <c:dLbl>
              <c:idx val="2"/>
              <c:layout>
                <c:manualLayout>
                  <c:x val="-5.0496766107231604E-2"/>
                  <c:y val="6.44460902783192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FF-44D9-A062-0D986D8A48A6}"/>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31</c:v>
                </c:pt>
                <c:pt idx="1">
                  <c:v>32</c:v>
                </c:pt>
                <c:pt idx="2">
                  <c:v>21</c:v>
                </c:pt>
                <c:pt idx="3">
                  <c:v>15</c:v>
                </c:pt>
                <c:pt idx="4">
                  <c:v>8</c:v>
                </c:pt>
              </c:numCache>
            </c:numRef>
          </c:val>
          <c:smooth val="0"/>
          <c:extLst xmlns:c16r2="http://schemas.microsoft.com/office/drawing/2015/06/chart">
            <c:ext xmlns:c16="http://schemas.microsoft.com/office/drawing/2014/chart" uri="{C3380CC4-5D6E-409C-BE32-E72D297353CC}">
              <c16:uniqueId val="{00000002-28FF-44D9-A062-0D986D8A48A6}"/>
            </c:ext>
          </c:extLst>
        </c:ser>
        <c:dLbls>
          <c:showLegendKey val="0"/>
          <c:showVal val="0"/>
          <c:showCatName val="0"/>
          <c:showSerName val="0"/>
          <c:showPercent val="0"/>
          <c:showBubbleSize val="0"/>
        </c:dLbls>
        <c:marker val="1"/>
        <c:smooth val="0"/>
        <c:axId val="125866752"/>
        <c:axId val="125868288"/>
      </c:lineChart>
      <c:catAx>
        <c:axId val="125866752"/>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868288"/>
        <c:crosses val="autoZero"/>
        <c:auto val="1"/>
        <c:lblAlgn val="ctr"/>
        <c:lblOffset val="100"/>
        <c:noMultiLvlLbl val="0"/>
      </c:catAx>
      <c:valAx>
        <c:axId val="125868288"/>
        <c:scaling>
          <c:orientation val="minMax"/>
          <c:min val="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2586675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Luxembourg</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3101923235205357E-2"/>
                  <c:y val="4.70191849978819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DF-4E92-8822-0DD78EF721A4}"/>
                </c:ext>
              </c:extLst>
            </c:dLbl>
            <c:dLbl>
              <c:idx val="1"/>
              <c:layout>
                <c:manualLayout>
                  <c:x val="-4.7740788498998599E-2"/>
                  <c:y val="-5.88415632738087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DF-4E92-8822-0DD78EF721A4}"/>
                </c:ext>
              </c:extLst>
            </c:dLbl>
            <c:dLbl>
              <c:idx val="2"/>
              <c:layout>
                <c:manualLayout>
                  <c:x val="-4.7198228565910869E-2"/>
                  <c:y val="-6.85754396979447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DF-4E92-8822-0DD78EF721A4}"/>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DF-4E92-8822-0DD78EF721A4}"/>
                </c:ext>
              </c:extLst>
            </c:dLbl>
            <c:dLbl>
              <c:idx val="4"/>
              <c:layout>
                <c:manualLayout>
                  <c:x val="-4.2121140058834924E-2"/>
                  <c:y val="-5.85000000000000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DF-4E92-8822-0DD78EF721A4}"/>
                </c:ext>
              </c:extLst>
            </c:dLbl>
            <c:spPr>
              <a:noFill/>
              <a:ln w="25372">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0.62</c:v>
                </c:pt>
                <c:pt idx="1">
                  <c:v>0.83</c:v>
                </c:pt>
                <c:pt idx="2">
                  <c:v>0.77</c:v>
                </c:pt>
                <c:pt idx="3">
                  <c:v>1</c:v>
                </c:pt>
                <c:pt idx="4">
                  <c:v>0.89</c:v>
                </c:pt>
              </c:numCache>
            </c:numRef>
          </c:val>
          <c:smooth val="0"/>
          <c:extLst xmlns:c16r2="http://schemas.microsoft.com/office/drawing/2015/06/chart">
            <c:ext xmlns:c16="http://schemas.microsoft.com/office/drawing/2014/chart" uri="{C3380CC4-5D6E-409C-BE32-E72D297353CC}">
              <c16:uniqueId val="{00000005-BBDF-4E92-8822-0DD78EF721A4}"/>
            </c:ext>
          </c:extLst>
        </c:ser>
        <c:ser>
          <c:idx val="1"/>
          <c:order val="1"/>
          <c:tx>
            <c:strRef>
              <c:f>Blad1!$C$2</c:f>
              <c:strCache>
                <c:ptCount val="1"/>
                <c:pt idx="0">
                  <c:v>General rate for all Member States</c:v>
                </c:pt>
              </c:strCache>
            </c:strRef>
          </c:tx>
          <c:spPr>
            <a:ln w="25372">
              <a:solidFill>
                <a:srgbClr val="92D050"/>
              </a:solidFill>
            </a:ln>
          </c:spPr>
          <c:marker>
            <c:symbol val="square"/>
            <c:size val="4"/>
            <c:spPr>
              <a:solidFill>
                <a:srgbClr val="92D050"/>
              </a:solidFill>
              <a:ln>
                <a:solidFill>
                  <a:srgbClr val="92D050"/>
                </a:solidFill>
              </a:ln>
            </c:spPr>
          </c:marker>
          <c:dLbls>
            <c:dLbl>
              <c:idx val="0"/>
              <c:layout>
                <c:manualLayout>
                  <c:x val="-6.0068338029652647E-2"/>
                  <c:y val="5.55650020491624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DF-4E92-8822-0DD78EF721A4}"/>
                </c:ext>
              </c:extLst>
            </c:dLbl>
            <c:dLbl>
              <c:idx val="1"/>
              <c:layout>
                <c:manualLayout>
                  <c:x val="-5.0501467804329334E-2"/>
                  <c:y val="4.7655919050052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DF-4E92-8822-0DD78EF721A4}"/>
                </c:ext>
              </c:extLst>
            </c:dLbl>
            <c:dLbl>
              <c:idx val="2"/>
              <c:layout>
                <c:manualLayout>
                  <c:x val="-4.4464487925631367E-2"/>
                  <c:y val="5.70669945326601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BDF-4E92-8822-0DD78EF721A4}"/>
                </c:ext>
              </c:extLst>
            </c:dLbl>
            <c:dLbl>
              <c:idx val="3"/>
              <c:layout>
                <c:manualLayout>
                  <c:x val="-4.0561222530110567E-2"/>
                  <c:y val="7.2176294103004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BDF-4E92-8822-0DD78EF721A4}"/>
                </c:ext>
              </c:extLst>
            </c:dLbl>
            <c:dLbl>
              <c:idx val="4"/>
              <c:layout>
                <c:manualLayout>
                  <c:x val="-5.3306822385456851E-2"/>
                  <c:y val="5.85000000000000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BDF-4E92-8822-0DD78EF721A4}"/>
                </c:ext>
              </c:extLst>
            </c:dLbl>
            <c:spPr>
              <a:noFill/>
              <a:ln w="25372">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B-BBDF-4E92-8822-0DD78EF721A4}"/>
            </c:ext>
          </c:extLst>
        </c:ser>
        <c:dLbls>
          <c:showLegendKey val="0"/>
          <c:showVal val="0"/>
          <c:showCatName val="0"/>
          <c:showSerName val="0"/>
          <c:showPercent val="0"/>
          <c:showBubbleSize val="0"/>
        </c:dLbls>
        <c:marker val="1"/>
        <c:smooth val="0"/>
        <c:axId val="125935616"/>
        <c:axId val="125937152"/>
      </c:lineChart>
      <c:catAx>
        <c:axId val="12593561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25937152"/>
        <c:crosses val="autoZero"/>
        <c:auto val="1"/>
        <c:lblAlgn val="ctr"/>
        <c:lblOffset val="100"/>
        <c:noMultiLvlLbl val="0"/>
      </c:catAx>
      <c:valAx>
        <c:axId val="125937152"/>
        <c:scaling>
          <c:orientation val="minMax"/>
          <c:min val="0.5"/>
        </c:scaling>
        <c:delete val="1"/>
        <c:axPos val="l"/>
        <c:majorGridlines>
          <c:spPr>
            <a:ln w="9515" cap="flat" cmpd="sng" algn="ctr">
              <a:solidFill>
                <a:schemeClr val="tx1">
                  <a:lumMod val="15000"/>
                  <a:lumOff val="85000"/>
                </a:schemeClr>
              </a:solidFill>
              <a:round/>
            </a:ln>
            <a:effectLst/>
          </c:spPr>
        </c:majorGridlines>
        <c:numFmt formatCode="0%" sourceLinked="1"/>
        <c:majorTickMark val="out"/>
        <c:minorTickMark val="none"/>
        <c:tickLblPos val="nextTo"/>
        <c:crossAx val="125935616"/>
        <c:crosses val="autoZero"/>
        <c:crossBetween val="between"/>
      </c:valAx>
      <c:spPr>
        <a:noFill/>
        <a:ln w="25372">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944444444444445E-2"/>
                  <c:y val="6.63262389231049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1C-4028-B200-8FD31022BAE6}"/>
                </c:ext>
              </c:extLst>
            </c:dLbl>
            <c:spPr>
              <a:noFill/>
              <a:ln w="2541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36</c:v>
                </c:pt>
                <c:pt idx="1">
                  <c:v>37</c:v>
                </c:pt>
                <c:pt idx="2">
                  <c:v>50</c:v>
                </c:pt>
                <c:pt idx="3">
                  <c:v>44</c:v>
                </c:pt>
                <c:pt idx="4">
                  <c:v>45</c:v>
                </c:pt>
              </c:numCache>
            </c:numRef>
          </c:val>
          <c:smooth val="0"/>
          <c:extLst xmlns:c16r2="http://schemas.microsoft.com/office/drawing/2015/06/chart">
            <c:ext xmlns:c16="http://schemas.microsoft.com/office/drawing/2014/chart" uri="{C3380CC4-5D6E-409C-BE32-E72D297353CC}">
              <c16:uniqueId val="{00000001-161C-4028-B200-8FD31022BAE6}"/>
            </c:ext>
          </c:extLst>
        </c:ser>
        <c:dLbls>
          <c:showLegendKey val="0"/>
          <c:showVal val="0"/>
          <c:showCatName val="0"/>
          <c:showSerName val="0"/>
          <c:showPercent val="0"/>
          <c:showBubbleSize val="0"/>
        </c:dLbls>
        <c:marker val="1"/>
        <c:smooth val="0"/>
        <c:axId val="130652800"/>
        <c:axId val="130662784"/>
      </c:lineChart>
      <c:catAx>
        <c:axId val="130652800"/>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30662784"/>
        <c:crosses val="autoZero"/>
        <c:auto val="1"/>
        <c:lblAlgn val="ctr"/>
        <c:lblOffset val="100"/>
        <c:noMultiLvlLbl val="0"/>
      </c:catAx>
      <c:valAx>
        <c:axId val="130662784"/>
        <c:scaling>
          <c:orientation val="minMax"/>
          <c:min val="25"/>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30652800"/>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32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9F8-4C78-9EA5-7AFEBB75962D}"/>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9F8-4C78-9EA5-7AFEBB75962D}"/>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9F8-4C78-9EA5-7AFEBB75962D}"/>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9F8-4C78-9EA5-7AFEBB75962D}"/>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9F8-4C78-9EA5-7AFEBB75962D}"/>
              </c:ext>
            </c:extLst>
          </c:dPt>
          <c:dPt>
            <c:idx val="5"/>
            <c:bubble3D val="0"/>
            <c:spPr>
              <a:solidFill>
                <a:srgbClr val="808AA4">
                  <a:alpha val="98824"/>
                </a:srgbClr>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9F8-4C78-9EA5-7AFEBB75962D}"/>
              </c:ext>
            </c:extLst>
          </c:dPt>
          <c:dPt>
            <c:idx val="6"/>
            <c:bubble3D val="0"/>
            <c:extLst xmlns:c16r2="http://schemas.microsoft.com/office/drawing/2015/06/chart">
              <c:ext xmlns:c16="http://schemas.microsoft.com/office/drawing/2014/chart" uri="{C3380CC4-5D6E-409C-BE32-E72D297353CC}">
                <c16:uniqueId val="{0000000C-09F8-4C78-9EA5-7AFEBB75962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F8-4C78-9EA5-7AFEBB75962D}"/>
                </c:ext>
              </c:extLst>
            </c:dLbl>
            <c:dLbl>
              <c:idx val="1"/>
              <c:layout>
                <c:manualLayout>
                  <c:x val="2.8159865317503464E-2"/>
                  <c:y val="-2.50889238845144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F8-4C78-9EA5-7AFEBB75962D}"/>
                </c:ext>
              </c:extLst>
            </c:dLbl>
            <c:dLbl>
              <c:idx val="2"/>
              <c:layout>
                <c:manualLayout>
                  <c:x val="-2.839930086690166E-2"/>
                  <c:y val="5.52512335958005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F8-4C78-9EA5-7AFEBB75962D}"/>
                </c:ext>
              </c:extLst>
            </c:dLbl>
            <c:dLbl>
              <c:idx val="3"/>
              <c:layout>
                <c:manualLayout>
                  <c:x val="-2.7343112211308137E-2"/>
                  <c:y val="0.133286581364829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733418042644335"/>
                      <c:h val="0.2850262467191601"/>
                    </c:manualLayout>
                  </c15:layout>
                </c:ext>
                <c:ext xmlns:c16="http://schemas.microsoft.com/office/drawing/2014/chart" uri="{C3380CC4-5D6E-409C-BE32-E72D297353CC}">
                  <c16:uniqueId val="{00000007-09F8-4C78-9EA5-7AFEBB75962D}"/>
                </c:ext>
              </c:extLst>
            </c:dLbl>
            <c:dLbl>
              <c:idx val="4"/>
              <c:layout>
                <c:manualLayout>
                  <c:x val="0.15214209218830912"/>
                  <c:y val="-0.1354166666666666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F8-4C78-9EA5-7AFEBB75962D}"/>
                </c:ext>
              </c:extLst>
            </c:dLbl>
            <c:dLbl>
              <c:idx val="5"/>
              <c:layout>
                <c:manualLayout>
                  <c:x val="-6.676488723732818E-2"/>
                  <c:y val="-8.016694634482164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9F8-4C78-9EA5-7AFEBB75962D}"/>
                </c:ext>
              </c:extLst>
            </c:dLbl>
            <c:spPr>
              <a:noFill/>
              <a:ln w="25345">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Mobility and transport</c:v>
                </c:pt>
                <c:pt idx="2">
                  <c:v>Health and food safety</c:v>
                </c:pt>
                <c:pt idx="3">
                  <c:v>Internal market, industry, entrepreneurship and SMEs</c:v>
                </c:pt>
                <c:pt idx="4">
                  <c:v>Other</c:v>
                </c:pt>
              </c:strCache>
            </c:strRef>
          </c:cat>
          <c:val>
            <c:numRef>
              <c:f>Blad1!$B$2:$B$6</c:f>
              <c:numCache>
                <c:formatCode>General</c:formatCode>
                <c:ptCount val="5"/>
                <c:pt idx="0">
                  <c:v>0</c:v>
                </c:pt>
                <c:pt idx="1">
                  <c:v>8</c:v>
                </c:pt>
                <c:pt idx="2">
                  <c:v>5</c:v>
                </c:pt>
                <c:pt idx="3">
                  <c:v>4</c:v>
                </c:pt>
                <c:pt idx="4">
                  <c:v>15</c:v>
                </c:pt>
              </c:numCache>
            </c:numRef>
          </c:val>
          <c:extLst xmlns:c16r2="http://schemas.microsoft.com/office/drawing/2015/06/chart">
            <c:ext xmlns:c16="http://schemas.microsoft.com/office/drawing/2014/chart" uri="{C3380CC4-5D6E-409C-BE32-E72D297353CC}">
              <c16:uniqueId val="{0000000D-09F8-4C78-9EA5-7AFEBB75962D}"/>
            </c:ext>
          </c:extLst>
        </c:ser>
        <c:dLbls>
          <c:showLegendKey val="0"/>
          <c:showVal val="0"/>
          <c:showCatName val="0"/>
          <c:showSerName val="0"/>
          <c:showPercent val="0"/>
          <c:showBubbleSize val="0"/>
          <c:showLeaderLines val="0"/>
        </c:dLbls>
        <c:firstSliceAng val="258"/>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269921958590448E-2"/>
                  <c:y val="5.9719515258612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3D-4487-B7DB-B433CB301FEE}"/>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16</c:v>
                </c:pt>
                <c:pt idx="1">
                  <c:v>25</c:v>
                </c:pt>
                <c:pt idx="2">
                  <c:v>36</c:v>
                </c:pt>
                <c:pt idx="3">
                  <c:v>35</c:v>
                </c:pt>
                <c:pt idx="4">
                  <c:v>34</c:v>
                </c:pt>
              </c:numCache>
            </c:numRef>
          </c:val>
          <c:smooth val="0"/>
          <c:extLst xmlns:c16r2="http://schemas.microsoft.com/office/drawing/2015/06/chart">
            <c:ext xmlns:c16="http://schemas.microsoft.com/office/drawing/2014/chart" uri="{C3380CC4-5D6E-409C-BE32-E72D297353CC}">
              <c16:uniqueId val="{00000001-E03D-4487-B7DB-B433CB301FEE}"/>
            </c:ext>
          </c:extLst>
        </c:ser>
        <c:dLbls>
          <c:showLegendKey val="0"/>
          <c:showVal val="0"/>
          <c:showCatName val="0"/>
          <c:showSerName val="0"/>
          <c:showPercent val="0"/>
          <c:showBubbleSize val="0"/>
        </c:dLbls>
        <c:marker val="1"/>
        <c:smooth val="0"/>
        <c:axId val="130812928"/>
        <c:axId val="130818816"/>
      </c:lineChart>
      <c:catAx>
        <c:axId val="130812928"/>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30818816"/>
        <c:crosses val="autoZero"/>
        <c:auto val="1"/>
        <c:lblAlgn val="ctr"/>
        <c:lblOffset val="100"/>
        <c:noMultiLvlLbl val="0"/>
      </c:catAx>
      <c:valAx>
        <c:axId val="130818816"/>
        <c:scaling>
          <c:orientation val="minMax"/>
          <c:min val="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30812928"/>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44627257412E-2"/>
                  <c:y val="8.07478163590207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69-46FF-8CB6-9BED116AD5B8}"/>
                </c:ext>
              </c:extLst>
            </c:dLbl>
            <c:dLbl>
              <c:idx val="2"/>
              <c:layout>
                <c:manualLayout>
                  <c:x val="-3.6691085761281876E-2"/>
                  <c:y val="-6.35116042660969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69-46FF-8CB6-9BED116AD5B8}"/>
                </c:ext>
              </c:extLst>
            </c:dLbl>
            <c:dLbl>
              <c:idx val="3"/>
              <c:layout>
                <c:manualLayout>
                  <c:x val="-4.4980587909040491E-2"/>
                  <c:y val="-9.09240924092409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69-46FF-8CB6-9BED116AD5B8}"/>
                </c:ext>
              </c:extLst>
            </c:dLbl>
            <c:dLbl>
              <c:idx val="4"/>
              <c:layout>
                <c:manualLayout>
                  <c:x val="-3.3887964503605102E-2"/>
                  <c:y val="-7.44224422442244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69-46FF-8CB6-9BED116AD5B8}"/>
                </c:ext>
              </c:extLst>
            </c:dLbl>
            <c:spPr>
              <a:noFill/>
              <a:ln w="2538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17</c:v>
                </c:pt>
                <c:pt idx="1">
                  <c:v>22</c:v>
                </c:pt>
                <c:pt idx="2">
                  <c:v>37</c:v>
                </c:pt>
                <c:pt idx="3">
                  <c:v>22</c:v>
                </c:pt>
                <c:pt idx="4">
                  <c:v>26</c:v>
                </c:pt>
              </c:numCache>
            </c:numRef>
          </c:val>
          <c:smooth val="0"/>
          <c:extLst xmlns:c16r2="http://schemas.microsoft.com/office/drawing/2015/06/chart">
            <c:ext xmlns:c16="http://schemas.microsoft.com/office/drawing/2014/chart" uri="{C3380CC4-5D6E-409C-BE32-E72D297353CC}">
              <c16:uniqueId val="{00000004-1369-46FF-8CB6-9BED116AD5B8}"/>
            </c:ext>
          </c:extLst>
        </c:ser>
        <c:dLbls>
          <c:showLegendKey val="0"/>
          <c:showVal val="0"/>
          <c:showCatName val="0"/>
          <c:showSerName val="0"/>
          <c:showPercent val="0"/>
          <c:showBubbleSize val="0"/>
        </c:dLbls>
        <c:marker val="1"/>
        <c:smooth val="0"/>
        <c:axId val="130849024"/>
        <c:axId val="130871296"/>
      </c:lineChart>
      <c:catAx>
        <c:axId val="130849024"/>
        <c:scaling>
          <c:orientation val="minMax"/>
        </c:scaling>
        <c:delete val="0"/>
        <c:axPos val="b"/>
        <c:numFmt formatCode="General" sourceLinked="1"/>
        <c:majorTickMark val="none"/>
        <c:minorTickMark val="none"/>
        <c:tickLblPos val="nextTo"/>
        <c:spPr>
          <a:noFill/>
          <a:ln w="1269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30871296"/>
        <c:crosses val="autoZero"/>
        <c:auto val="1"/>
        <c:lblAlgn val="ctr"/>
        <c:lblOffset val="100"/>
        <c:noMultiLvlLbl val="0"/>
      </c:catAx>
      <c:valAx>
        <c:axId val="130871296"/>
        <c:scaling>
          <c:orientation val="minMax"/>
          <c:min val="5"/>
        </c:scaling>
        <c:delete val="1"/>
        <c:axPos val="l"/>
        <c:majorGridlines>
          <c:spPr>
            <a:ln w="9520" cap="flat" cmpd="sng" algn="ctr">
              <a:solidFill>
                <a:schemeClr val="tx1">
                  <a:lumMod val="15000"/>
                  <a:lumOff val="85000"/>
                </a:schemeClr>
              </a:solidFill>
              <a:round/>
            </a:ln>
            <a:effectLst/>
          </c:spPr>
        </c:majorGridlines>
        <c:numFmt formatCode="General" sourceLinked="1"/>
        <c:majorTickMark val="out"/>
        <c:minorTickMark val="none"/>
        <c:tickLblPos val="nextTo"/>
        <c:crossAx val="130849024"/>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39">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2F4-4ACB-A71D-D5A3625D5DEB}"/>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2F4-4ACB-A71D-D5A3625D5DEB}"/>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2F4-4ACB-A71D-D5A3625D5DEB}"/>
              </c:ext>
            </c:extLst>
          </c:dPt>
          <c:dPt>
            <c:idx val="3"/>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2F4-4ACB-A71D-D5A3625D5DEB}"/>
              </c:ext>
            </c:extLst>
          </c:dPt>
          <c:dPt>
            <c:idx val="4"/>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2F4-4ACB-A71D-D5A3625D5DEB}"/>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12F4-4ACB-A71D-D5A3625D5DEB}"/>
              </c:ext>
            </c:extLst>
          </c:dPt>
          <c:dPt>
            <c:idx val="6"/>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D2BF-46F8-80AB-98E9034A8418}"/>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D2BF-46F8-80AB-98E9034A8418}"/>
              </c:ext>
            </c:extLst>
          </c:dPt>
          <c:dLbls>
            <c:dLbl>
              <c:idx val="0"/>
              <c:layout>
                <c:manualLayout>
                  <c:x val="-2.2049763443614343E-2"/>
                  <c:y val="0.1034043727419158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F4-4ACB-A71D-D5A3625D5DEB}"/>
                </c:ext>
              </c:extLst>
            </c:dLbl>
            <c:dLbl>
              <c:idx val="1"/>
              <c:layout>
                <c:manualLayout>
                  <c:x val="-0.22960991027967925"/>
                  <c:y val="7.90126784274215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F4-4ACB-A71D-D5A3625D5DEB}"/>
                </c:ext>
              </c:extLst>
            </c:dLbl>
            <c:dLbl>
              <c:idx val="2"/>
              <c:layout>
                <c:manualLayout>
                  <c:x val="-1.1528331655516796E-2"/>
                  <c:y val="5.71352786280688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F4-4ACB-A71D-D5A3625D5DEB}"/>
                </c:ext>
              </c:extLst>
            </c:dLbl>
            <c:dLbl>
              <c:idx val="3"/>
              <c:layout>
                <c:manualLayout>
                  <c:x val="7.6422356284253966E-3"/>
                  <c:y val="-4.775234391544577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F4-4ACB-A71D-D5A3625D5DEB}"/>
                </c:ext>
              </c:extLst>
            </c:dLbl>
            <c:dLbl>
              <c:idx val="4"/>
              <c:layout>
                <c:manualLayout>
                  <c:x val="2.2798849917123814E-2"/>
                  <c:y val="-0.1088522247677475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417810958538862"/>
                      <c:h val="0.29733789388795839"/>
                    </c:manualLayout>
                  </c15:layout>
                </c:ext>
                <c:ext xmlns:c16="http://schemas.microsoft.com/office/drawing/2014/chart" uri="{C3380CC4-5D6E-409C-BE32-E72D297353CC}">
                  <c16:uniqueId val="{00000009-12F4-4ACB-A71D-D5A3625D5DEB}"/>
                </c:ext>
              </c:extLst>
            </c:dLbl>
            <c:dLbl>
              <c:idx val="5"/>
              <c:layout>
                <c:manualLayout>
                  <c:x val="9.598720170643904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F4-4ACB-A71D-D5A3625D5DEB}"/>
                </c:ext>
              </c:extLst>
            </c:dLbl>
            <c:dLbl>
              <c:idx val="6"/>
              <c:layout>
                <c:manualLayout>
                  <c:x val="-6.2658312225036664E-2"/>
                  <c:y val="-9.9609462361036621E-17"/>
                </c:manualLayout>
              </c:layout>
              <c:spPr>
                <a:noFill/>
                <a:ln w="25339">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9082799458759828"/>
                      <c:h val="0.27747894593860362"/>
                    </c:manualLayout>
                  </c15:layout>
                </c:ext>
                <c:ext xmlns:c16="http://schemas.microsoft.com/office/drawing/2014/chart" uri="{C3380CC4-5D6E-409C-BE32-E72D297353CC}">
                  <c16:uniqueId val="{0000000B-D2BF-46F8-80AB-98E9034A8418}"/>
                </c:ext>
              </c:extLst>
            </c:dLbl>
            <c:dLbl>
              <c:idx val="7"/>
              <c:layout>
                <c:manualLayout>
                  <c:x val="-5.5992534328756192E-2"/>
                  <c:y val="-9.77995110024449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BF-46F8-80AB-98E9034A8418}"/>
                </c:ext>
              </c:extLst>
            </c:dLbl>
            <c:spPr>
              <a:noFill/>
              <a:ln w="25339">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Blad1!$A$4:$A$11</c:f>
              <c:strCache>
                <c:ptCount val="8"/>
                <c:pt idx="0">
                  <c:v>Health and food safety</c:v>
                </c:pt>
                <c:pt idx="1">
                  <c:v>Communication networks</c:v>
                </c:pt>
                <c:pt idx="2">
                  <c:v>Mobility and transport</c:v>
                </c:pt>
                <c:pt idx="3">
                  <c:v>Migration and home affairs</c:v>
                </c:pt>
                <c:pt idx="4">
                  <c:v>Internal market, industry, entrepreneurship and SMEs</c:v>
                </c:pt>
                <c:pt idx="5">
                  <c:v>Justice and consumers</c:v>
                </c:pt>
                <c:pt idx="6">
                  <c:v>Financial stability, financial services and Capital Markets Union</c:v>
                </c:pt>
                <c:pt idx="7">
                  <c:v>Other</c:v>
                </c:pt>
              </c:strCache>
            </c:strRef>
          </c:cat>
          <c:val>
            <c:numRef>
              <c:f>Blad1!$B$4:$B$11</c:f>
              <c:numCache>
                <c:formatCode>General</c:formatCode>
                <c:ptCount val="8"/>
                <c:pt idx="0">
                  <c:v>5</c:v>
                </c:pt>
                <c:pt idx="1">
                  <c:v>3</c:v>
                </c:pt>
                <c:pt idx="2">
                  <c:v>3</c:v>
                </c:pt>
                <c:pt idx="3">
                  <c:v>3</c:v>
                </c:pt>
                <c:pt idx="4">
                  <c:v>3</c:v>
                </c:pt>
                <c:pt idx="5">
                  <c:v>3</c:v>
                </c:pt>
                <c:pt idx="6">
                  <c:v>2</c:v>
                </c:pt>
                <c:pt idx="7">
                  <c:v>4</c:v>
                </c:pt>
              </c:numCache>
            </c:numRef>
          </c:val>
          <c:extLst xmlns:c16r2="http://schemas.microsoft.com/office/drawing/2015/06/chart">
            <c:ext xmlns:c16="http://schemas.microsoft.com/office/drawing/2014/chart" uri="{C3380CC4-5D6E-409C-BE32-E72D297353CC}">
              <c16:uniqueId val="{0000000B-12F4-4ACB-A71D-D5A3625D5DEB}"/>
            </c:ext>
          </c:extLst>
        </c:ser>
        <c:dLbls>
          <c:showLegendKey val="0"/>
          <c:showVal val="0"/>
          <c:showCatName val="0"/>
          <c:showSerName val="0"/>
          <c:showPercent val="0"/>
          <c:showBubbleSize val="0"/>
          <c:showLeaderLines val="0"/>
        </c:dLbls>
        <c:firstSliceAng val="273"/>
      </c:pieChart>
      <c:spPr>
        <a:noFill/>
        <a:ln w="25339">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48358043508383E-2"/>
          <c:y val="7.7241379310344832E-2"/>
          <c:w val="0.93899057127010543"/>
          <c:h val="0.691994750656168"/>
        </c:manualLayout>
      </c:layout>
      <c:lineChart>
        <c:grouping val="standard"/>
        <c:varyColors val="0"/>
        <c:ser>
          <c:idx val="0"/>
          <c:order val="0"/>
          <c:tx>
            <c:strRef>
              <c:f>Blad1!$B$2</c:f>
              <c:strCache>
                <c:ptCount val="1"/>
                <c:pt idx="0">
                  <c:v>Bulgaria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636493857568969E-2"/>
                  <c:y val="-5.2593818984547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58-4DEA-929E-12A87A82F211}"/>
                </c:ext>
              </c:extLst>
            </c:dLbl>
            <c:dLbl>
              <c:idx val="1"/>
              <c:layout>
                <c:manualLayout>
                  <c:x val="-6.9502273114363203E-2"/>
                  <c:y val="-6.36313465783664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58-4DEA-929E-12A87A82F211}"/>
                </c:ext>
              </c:extLst>
            </c:dLbl>
            <c:dLbl>
              <c:idx val="2"/>
              <c:layout>
                <c:manualLayout>
                  <c:x val="-5.5636493857568969E-2"/>
                  <c:y val="-6.9150110375275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58-4DEA-929E-12A87A82F211}"/>
                </c:ext>
              </c:extLst>
            </c:dLbl>
            <c:dLbl>
              <c:idx val="3"/>
              <c:layout>
                <c:manualLayout>
                  <c:x val="-4.8189830837757575E-2"/>
                  <c:y val="-5.99051173726269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58-4DEA-929E-12A87A82F211}"/>
                </c:ext>
              </c:extLst>
            </c:dLbl>
            <c:dLbl>
              <c:idx val="4"/>
              <c:layout>
                <c:manualLayout>
                  <c:x val="-5.5636493857568865E-2"/>
                  <c:y val="-8.01876379690949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58-4DEA-929E-12A87A82F211}"/>
                </c:ext>
              </c:extLst>
            </c:dLbl>
            <c:spPr>
              <a:noFill/>
              <a:ln w="25370">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0.84</c:v>
                </c:pt>
                <c:pt idx="1">
                  <c:v>0.84</c:v>
                </c:pt>
                <c:pt idx="2">
                  <c:v>0.76</c:v>
                </c:pt>
                <c:pt idx="3">
                  <c:v>0.78</c:v>
                </c:pt>
                <c:pt idx="4">
                  <c:v>0.63</c:v>
                </c:pt>
              </c:numCache>
            </c:numRef>
          </c:val>
          <c:smooth val="0"/>
          <c:extLst xmlns:c16r2="http://schemas.microsoft.com/office/drawing/2015/06/chart">
            <c:ext xmlns:c16="http://schemas.microsoft.com/office/drawing/2014/chart" uri="{C3380CC4-5D6E-409C-BE32-E72D297353CC}">
              <c16:uniqueId val="{00000005-5558-4DEA-929E-12A87A82F211}"/>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0"/>
              <c:layout>
                <c:manualLayout>
                  <c:x val="-4.7326142689875207E-2"/>
                  <c:y val="5.27028077082469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558-4DEA-929E-12A87A82F211}"/>
                </c:ext>
              </c:extLst>
            </c:dLbl>
            <c:dLbl>
              <c:idx val="1"/>
              <c:layout>
                <c:manualLayout>
                  <c:x val="-6.3955961411645501E-2"/>
                  <c:y val="6.36313465783664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558-4DEA-929E-12A87A82F211}"/>
                </c:ext>
              </c:extLst>
            </c:dLbl>
            <c:dLbl>
              <c:idx val="2"/>
              <c:layout>
                <c:manualLayout>
                  <c:x val="-5.2863338006210125E-2"/>
                  <c:y val="6.9150110375275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558-4DEA-929E-12A87A82F211}"/>
                </c:ext>
              </c:extLst>
            </c:dLbl>
            <c:dLbl>
              <c:idx val="3"/>
              <c:layout>
                <c:manualLayout>
                  <c:x val="-5.0090182154851275E-2"/>
                  <c:y val="6.36313465783664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558-4DEA-929E-12A87A82F211}"/>
                </c:ext>
              </c:extLst>
            </c:dLbl>
            <c:dLbl>
              <c:idx val="4"/>
              <c:layout>
                <c:manualLayout>
                  <c:x val="-4.1800601810653849E-2"/>
                  <c:y val="-7.35503081324494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558-4DEA-929E-12A87A82F211}"/>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B-5558-4DEA-929E-12A87A82F211}"/>
            </c:ext>
          </c:extLst>
        </c:ser>
        <c:dLbls>
          <c:showLegendKey val="0"/>
          <c:showVal val="0"/>
          <c:showCatName val="0"/>
          <c:showSerName val="0"/>
          <c:showPercent val="0"/>
          <c:showBubbleSize val="0"/>
        </c:dLbls>
        <c:marker val="1"/>
        <c:smooth val="0"/>
        <c:axId val="108845312"/>
        <c:axId val="108740608"/>
      </c:lineChart>
      <c:catAx>
        <c:axId val="10884531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740608"/>
        <c:crosses val="autoZero"/>
        <c:auto val="1"/>
        <c:lblAlgn val="ctr"/>
        <c:lblOffset val="100"/>
        <c:noMultiLvlLbl val="0"/>
      </c:catAx>
      <c:valAx>
        <c:axId val="108740608"/>
        <c:scaling>
          <c:orientation val="minMax"/>
          <c:min val="0.5"/>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108845312"/>
        <c:crosses val="autoZero"/>
        <c:crossBetween val="between"/>
      </c:valAx>
      <c:spPr>
        <a:noFill/>
        <a:ln w="25370">
          <a:noFill/>
        </a:ln>
      </c:spPr>
    </c:plotArea>
    <c:legend>
      <c:legendPos val="b"/>
      <c:layout>
        <c:manualLayout>
          <c:xMode val="edge"/>
          <c:yMode val="edge"/>
          <c:x val="6.6878646538609435E-2"/>
          <c:y val="0.8516933659154674"/>
          <c:w val="0.86624270692278127"/>
          <c:h val="9.2883971400126719E-2"/>
        </c:manualLayout>
      </c:layout>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50</c:v>
                </c:pt>
                <c:pt idx="1">
                  <c:v>39</c:v>
                </c:pt>
                <c:pt idx="2">
                  <c:v>55</c:v>
                </c:pt>
                <c:pt idx="3">
                  <c:v>53</c:v>
                </c:pt>
                <c:pt idx="4">
                  <c:v>60</c:v>
                </c:pt>
              </c:numCache>
            </c:numRef>
          </c:val>
          <c:smooth val="0"/>
          <c:extLst xmlns:c16r2="http://schemas.microsoft.com/office/drawing/2015/06/chart">
            <c:ext xmlns:c16="http://schemas.microsoft.com/office/drawing/2014/chart" uri="{C3380CC4-5D6E-409C-BE32-E72D297353CC}">
              <c16:uniqueId val="{00000004-C6F0-4E5E-9615-E1F7A24E364F}"/>
            </c:ext>
          </c:extLst>
        </c:ser>
        <c:dLbls>
          <c:dLblPos val="t"/>
          <c:showLegendKey val="0"/>
          <c:showVal val="1"/>
          <c:showCatName val="0"/>
          <c:showSerName val="0"/>
          <c:showPercent val="0"/>
          <c:showBubbleSize val="0"/>
        </c:dLbls>
        <c:marker val="1"/>
        <c:smooth val="0"/>
        <c:axId val="108751872"/>
        <c:axId val="108763008"/>
      </c:lineChart>
      <c:catAx>
        <c:axId val="10875187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763008"/>
        <c:crosses val="autoZero"/>
        <c:auto val="1"/>
        <c:lblAlgn val="ctr"/>
        <c:lblOffset val="100"/>
        <c:noMultiLvlLbl val="0"/>
      </c:catAx>
      <c:valAx>
        <c:axId val="108763008"/>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8751872"/>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27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0236220473"/>
          <c:y val="3.2786749932120551E-2"/>
        </c:manualLayout>
      </c:layout>
      <c:overlay val="0"/>
      <c:spPr>
        <a:noFill/>
        <a:ln w="25326">
          <a:noFill/>
        </a:ln>
      </c:spPr>
    </c:title>
    <c:autoTitleDeleted val="0"/>
    <c:plotArea>
      <c:layout/>
      <c:pieChart>
        <c:varyColors val="1"/>
        <c:ser>
          <c:idx val="0"/>
          <c:order val="0"/>
          <c:tx>
            <c:strRef>
              <c:f>Blad1!$B$1</c:f>
              <c:strCache>
                <c:ptCount val="1"/>
                <c:pt idx="0">
                  <c:v>[Number of infringement cases] infringement cases against Bulgaria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783-419F-80CB-556BB4BA55DA}"/>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783-419F-80CB-556BB4BA55DA}"/>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783-419F-80CB-556BB4BA55DA}"/>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783-419F-80CB-556BB4BA55DA}"/>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783-419F-80CB-556BB4BA55DA}"/>
              </c:ext>
            </c:extLst>
          </c:dPt>
          <c:dPt>
            <c:idx val="5"/>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0783-419F-80CB-556BB4BA55DA}"/>
              </c:ext>
            </c:extLst>
          </c:dPt>
          <c:dPt>
            <c:idx val="6"/>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0783-419F-80CB-556BB4BA55DA}"/>
              </c:ext>
            </c:extLst>
          </c:dPt>
          <c:dPt>
            <c:idx val="7"/>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666E-4FFE-8218-3A31A0E4CBBC}"/>
              </c:ext>
            </c:extLst>
          </c:dPt>
          <c:dPt>
            <c:idx val="8"/>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666E-4FFE-8218-3A31A0E4CBBC}"/>
              </c:ext>
            </c:extLst>
          </c:dPt>
          <c:dPt>
            <c:idx val="9"/>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0-666E-4FFE-8218-3A31A0E4CBBC}"/>
              </c:ext>
            </c:extLst>
          </c:dPt>
          <c:dPt>
            <c:idx val="10"/>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1-666E-4FFE-8218-3A31A0E4CBB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83-419F-80CB-556BB4BA55DA}"/>
                </c:ext>
              </c:extLst>
            </c:dLbl>
            <c:dLbl>
              <c:idx val="1"/>
              <c:layout>
                <c:manualLayout>
                  <c:x val="-5.5686852093128911E-3"/>
                  <c:y val="-3.77443002697096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83-419F-80CB-556BB4BA55DA}"/>
                </c:ext>
              </c:extLst>
            </c:dLbl>
            <c:dLbl>
              <c:idx val="2"/>
              <c:layout>
                <c:manualLayout>
                  <c:x val="-1.3787118336826602E-2"/>
                  <c:y val="-5.5863937676412542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83-419F-80CB-556BB4BA55DA}"/>
                </c:ext>
              </c:extLst>
            </c:dLbl>
            <c:dLbl>
              <c:idx val="3"/>
              <c:layout>
                <c:manualLayout>
                  <c:x val="-3.958964481957742E-2"/>
                  <c:y val="0.127354736004245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83-419F-80CB-556BB4BA55DA}"/>
                </c:ext>
              </c:extLst>
            </c:dLbl>
            <c:dLbl>
              <c:idx val="4"/>
              <c:layout>
                <c:manualLayout>
                  <c:x val="-5.0122245510678072E-2"/>
                  <c:y val="5.85597800540254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83-419F-80CB-556BB4BA55DA}"/>
                </c:ext>
              </c:extLst>
            </c:dLbl>
            <c:dLbl>
              <c:idx val="5"/>
              <c:layout>
                <c:manualLayout>
                  <c:x val="-8.0588002039313433E-2"/>
                  <c:y val="2.124459170648243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783-419F-80CB-556BB4BA55DA}"/>
                </c:ext>
              </c:extLst>
            </c:dLbl>
            <c:dLbl>
              <c:idx val="6"/>
              <c:layout>
                <c:manualLayout>
                  <c:x val="-1.7410978303971102E-2"/>
                  <c:y val="-2.64394782968393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783-419F-80CB-556BB4BA55DA}"/>
                </c:ext>
              </c:extLst>
            </c:dLbl>
            <c:dLbl>
              <c:idx val="7"/>
              <c:layout>
                <c:manualLayout>
                  <c:x val="-1.4388489208633094E-2"/>
                  <c:y val="-5.30644733351021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66E-4FFE-8218-3A31A0E4CBBC}"/>
                </c:ext>
              </c:extLst>
            </c:dLbl>
            <c:dLbl>
              <c:idx val="8"/>
              <c:layout>
                <c:manualLayout>
                  <c:x val="2.1027134198153288E-2"/>
                  <c:y val="-7.95967100026533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66E-4FFE-8218-3A31A0E4CBBC}"/>
                </c:ext>
              </c:extLst>
            </c:dLbl>
            <c:dLbl>
              <c:idx val="9"/>
              <c:layout>
                <c:manualLayout>
                  <c:x val="3.3045714609414724E-2"/>
                  <c:y val="-9.7283743950908936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66E-4FFE-8218-3A31A0E4CBBC}"/>
                </c:ext>
              </c:extLst>
            </c:dLbl>
            <c:dLbl>
              <c:idx val="10"/>
              <c:layout>
                <c:manualLayout>
                  <c:x val="-5.7553956834532375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66E-4FFE-8218-3A31A0E4CBBC}"/>
                </c:ext>
              </c:extLst>
            </c:dLbl>
            <c:spPr>
              <a:noFill/>
              <a:ln w="25326">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Blad1!$A$2:$A$12</c:f>
              <c:strCache>
                <c:ptCount val="11"/>
                <c:pt idx="0">
                  <c:v>Policy Area</c:v>
                </c:pt>
                <c:pt idx="1">
                  <c:v>Taxation and customs</c:v>
                </c:pt>
                <c:pt idx="2">
                  <c:v>Migration and home affairs</c:v>
                </c:pt>
                <c:pt idx="3">
                  <c:v>Internal market, industry, entrepreneurship and SMEs</c:v>
                </c:pt>
                <c:pt idx="4">
                  <c:v>Justice and consumers</c:v>
                </c:pt>
                <c:pt idx="5">
                  <c:v>Health and food safety</c:v>
                </c:pt>
                <c:pt idx="6">
                  <c:v>Mobility and transport</c:v>
                </c:pt>
                <c:pt idx="7">
                  <c:v>Communication networks</c:v>
                </c:pt>
                <c:pt idx="8">
                  <c:v>Environment</c:v>
                </c:pt>
                <c:pt idx="9">
                  <c:v>Financial stability, financial services and capital markets union</c:v>
                </c:pt>
                <c:pt idx="10">
                  <c:v>Other</c:v>
                </c:pt>
              </c:strCache>
            </c:strRef>
          </c:cat>
          <c:val>
            <c:numRef>
              <c:f>Blad1!$B$2:$B$12</c:f>
              <c:numCache>
                <c:formatCode>General</c:formatCode>
                <c:ptCount val="11"/>
                <c:pt idx="0">
                  <c:v>0</c:v>
                </c:pt>
                <c:pt idx="1">
                  <c:v>4</c:v>
                </c:pt>
                <c:pt idx="2">
                  <c:v>4</c:v>
                </c:pt>
                <c:pt idx="3">
                  <c:v>3</c:v>
                </c:pt>
                <c:pt idx="4">
                  <c:v>3</c:v>
                </c:pt>
                <c:pt idx="5">
                  <c:v>3</c:v>
                </c:pt>
                <c:pt idx="6">
                  <c:v>2</c:v>
                </c:pt>
                <c:pt idx="7">
                  <c:v>2</c:v>
                </c:pt>
                <c:pt idx="8">
                  <c:v>2</c:v>
                </c:pt>
                <c:pt idx="9">
                  <c:v>2</c:v>
                </c:pt>
                <c:pt idx="10">
                  <c:v>2</c:v>
                </c:pt>
              </c:numCache>
            </c:numRef>
          </c:val>
          <c:extLst xmlns:c16r2="http://schemas.microsoft.com/office/drawing/2015/06/chart">
            <c:ext xmlns:c16="http://schemas.microsoft.com/office/drawing/2014/chart" uri="{C3380CC4-5D6E-409C-BE32-E72D297353CC}">
              <c16:uniqueId val="{0000000E-0783-419F-80CB-556BB4BA55DA}"/>
            </c:ext>
          </c:extLst>
        </c:ser>
        <c:dLbls>
          <c:showLegendKey val="0"/>
          <c:showVal val="0"/>
          <c:showCatName val="0"/>
          <c:showSerName val="0"/>
          <c:showPercent val="0"/>
          <c:showBubbleSize val="0"/>
          <c:showLeaderLines val="0"/>
        </c:dLbls>
        <c:firstSliceAng val="184"/>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126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817-47DB-A45F-326DE6CDD1E8}"/>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817-47DB-A45F-326DE6CDD1E8}"/>
              </c:ext>
            </c:extLst>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817-47DB-A45F-326DE6CDD1E8}"/>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817-47DB-A45F-326DE6CDD1E8}"/>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E817-47DB-A45F-326DE6CDD1E8}"/>
              </c:ext>
            </c:extLst>
          </c:dPt>
          <c:dLbls>
            <c:dLbl>
              <c:idx val="0"/>
              <c:layout>
                <c:manualLayout>
                  <c:x val="-0.21160310631274182"/>
                  <c:y val="0.10967544719560657"/>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17-47DB-A45F-326DE6CDD1E8}"/>
                </c:ext>
              </c:extLst>
            </c:dLbl>
            <c:dLbl>
              <c:idx val="1"/>
              <c:layout>
                <c:manualLayout>
                  <c:x val="-6.5889348902737316E-2"/>
                  <c:y val="0.11285767878961896"/>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817-47DB-A45F-326DE6CDD1E8}"/>
                </c:ext>
              </c:extLst>
            </c:dLbl>
            <c:dLbl>
              <c:idx val="2"/>
              <c:layout>
                <c:manualLayout>
                  <c:x val="-2.7306455655721412E-2"/>
                  <c:y val="6.5641249195727027E-4"/>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817-47DB-A45F-326DE6CDD1E8}"/>
                </c:ext>
              </c:extLst>
            </c:dLbl>
            <c:dLbl>
              <c:idx val="3"/>
              <c:layout>
                <c:manualLayout>
                  <c:x val="3.2948929159802305E-2"/>
                  <c:y val="-6.3897763578274758E-2"/>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817-47DB-A45F-326DE6CDD1E8}"/>
                </c:ext>
              </c:extLst>
            </c:dLbl>
            <c:dLbl>
              <c:idx val="4"/>
              <c:layout>
                <c:manualLayout>
                  <c:x val="-4.9396267837541211E-2"/>
                  <c:y val="-0.170348682459409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817-47DB-A45F-326DE6CDD1E8}"/>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Justice and consumers</c:v>
                </c:pt>
                <c:pt idx="2">
                  <c:v>Taxation and customs</c:v>
                </c:pt>
                <c:pt idx="3">
                  <c:v>Internal market, industry, entrepreneurship and SMEs</c:v>
                </c:pt>
                <c:pt idx="4">
                  <c:v>Other</c:v>
                </c:pt>
              </c:strCache>
            </c:strRef>
          </c:cat>
          <c:val>
            <c:numRef>
              <c:f>Blad1!$B$2:$B$6</c:f>
              <c:numCache>
                <c:formatCode>General</c:formatCode>
                <c:ptCount val="5"/>
                <c:pt idx="1">
                  <c:v>28</c:v>
                </c:pt>
                <c:pt idx="2">
                  <c:v>27</c:v>
                </c:pt>
                <c:pt idx="3">
                  <c:v>15</c:v>
                </c:pt>
                <c:pt idx="4">
                  <c:v>56</c:v>
                </c:pt>
              </c:numCache>
            </c:numRef>
          </c:val>
          <c:extLst xmlns:c16r2="http://schemas.microsoft.com/office/drawing/2015/06/chart">
            <c:ext xmlns:c16="http://schemas.microsoft.com/office/drawing/2014/chart" uri="{C3380CC4-5D6E-409C-BE32-E72D297353CC}">
              <c16:uniqueId val="{00000009-E817-47DB-A45F-326DE6CDD1E8}"/>
            </c:ext>
          </c:extLst>
        </c:ser>
        <c:dLbls>
          <c:showLegendKey val="0"/>
          <c:showVal val="0"/>
          <c:showCatName val="0"/>
          <c:showSerName val="0"/>
          <c:showPercent val="0"/>
          <c:showBubbleSize val="0"/>
          <c:showLeaderLines val="0"/>
        </c:dLbls>
        <c:firstSliceAng val="302"/>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16</c:v>
                </c:pt>
                <c:pt idx="1">
                  <c:v>18</c:v>
                </c:pt>
                <c:pt idx="2">
                  <c:v>31</c:v>
                </c:pt>
                <c:pt idx="3">
                  <c:v>34</c:v>
                </c:pt>
                <c:pt idx="4">
                  <c:v>35</c:v>
                </c:pt>
              </c:numCache>
            </c:numRef>
          </c:val>
          <c:smooth val="0"/>
          <c:extLst xmlns:c16r2="http://schemas.microsoft.com/office/drawing/2015/06/chart">
            <c:ext xmlns:c16="http://schemas.microsoft.com/office/drawing/2014/chart" uri="{C3380CC4-5D6E-409C-BE32-E72D297353CC}">
              <c16:uniqueId val="{00000000-3595-4A6F-BB09-9C5288DCE867}"/>
            </c:ext>
          </c:extLst>
        </c:ser>
        <c:dLbls>
          <c:showLegendKey val="0"/>
          <c:showVal val="0"/>
          <c:showCatName val="0"/>
          <c:showSerName val="0"/>
          <c:showPercent val="0"/>
          <c:showBubbleSize val="0"/>
        </c:dLbls>
        <c:marker val="1"/>
        <c:smooth val="0"/>
        <c:axId val="108472192"/>
        <c:axId val="108473728"/>
      </c:lineChart>
      <c:catAx>
        <c:axId val="108472192"/>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473728"/>
        <c:crosses val="autoZero"/>
        <c:auto val="1"/>
        <c:lblAlgn val="ctr"/>
        <c:lblOffset val="100"/>
        <c:noMultiLvlLbl val="0"/>
      </c:catAx>
      <c:valAx>
        <c:axId val="108473728"/>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8472192"/>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1528239202657809E-2"/>
                  <c:y val="6.7900748517546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FF-42D6-8584-B3B6C3B2F4CF}"/>
                </c:ext>
              </c:extLst>
            </c:dLbl>
            <c:dLbl>
              <c:idx val="1"/>
              <c:layout>
                <c:manualLayout>
                  <c:x val="-4.4305895951747755E-2"/>
                  <c:y val="-6.11814897676535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FF-42D6-8584-B3B6C3B2F4CF}"/>
                </c:ext>
              </c:extLst>
            </c:dLbl>
            <c:dLbl>
              <c:idx val="2"/>
              <c:layout>
                <c:manualLayout>
                  <c:x val="-3.875968992248062E-2"/>
                  <c:y val="-9.25925925925925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FF-42D6-8584-B3B6C3B2F4CF}"/>
                </c:ext>
              </c:extLst>
            </c:dLbl>
            <c:dLbl>
              <c:idx val="3"/>
              <c:layout>
                <c:manualLayout>
                  <c:x val="-3.3222591362126248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FF-42D6-8584-B3B6C3B2F4CF}"/>
                </c:ext>
              </c:extLst>
            </c:dLbl>
            <c:dLbl>
              <c:idx val="4"/>
              <c:layout>
                <c:manualLayout>
                  <c:x val="-4.4296788482835095E-2"/>
                  <c:y val="-7.4074074074074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FF-42D6-8584-B3B6C3B2F4CF}"/>
                </c:ext>
              </c:extLst>
            </c:dLbl>
            <c:spPr>
              <a:noFill/>
              <a:ln w="25405">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41</c:v>
                </c:pt>
                <c:pt idx="1">
                  <c:v>20</c:v>
                </c:pt>
                <c:pt idx="2">
                  <c:v>27</c:v>
                </c:pt>
                <c:pt idx="3">
                  <c:v>26</c:v>
                </c:pt>
                <c:pt idx="4">
                  <c:v>18</c:v>
                </c:pt>
              </c:numCache>
            </c:numRef>
          </c:val>
          <c:smooth val="0"/>
          <c:extLst xmlns:c16r2="http://schemas.microsoft.com/office/drawing/2015/06/chart">
            <c:ext xmlns:c16="http://schemas.microsoft.com/office/drawing/2014/chart" uri="{C3380CC4-5D6E-409C-BE32-E72D297353CC}">
              <c16:uniqueId val="{00000005-A4FF-42D6-8584-B3B6C3B2F4CF}"/>
            </c:ext>
          </c:extLst>
        </c:ser>
        <c:dLbls>
          <c:showLegendKey val="0"/>
          <c:showVal val="0"/>
          <c:showCatName val="0"/>
          <c:showSerName val="0"/>
          <c:showPercent val="0"/>
          <c:showBubbleSize val="0"/>
        </c:dLbls>
        <c:marker val="1"/>
        <c:smooth val="0"/>
        <c:axId val="108414464"/>
        <c:axId val="108416000"/>
      </c:lineChart>
      <c:catAx>
        <c:axId val="108414464"/>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8416000"/>
        <c:crosses val="autoZero"/>
        <c:auto val="1"/>
        <c:lblAlgn val="ctr"/>
        <c:lblOffset val="100"/>
        <c:noMultiLvlLbl val="0"/>
      </c:catAx>
      <c:valAx>
        <c:axId val="108416000"/>
        <c:scaling>
          <c:orientation val="minMax"/>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8414464"/>
        <c:crosses val="autoZero"/>
        <c:crossBetween val="between"/>
      </c:valAx>
      <c:spPr>
        <a:noFill/>
        <a:ln w="25405">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18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Bulgaria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29036476446"/>
          <c:y val="2.9411845258473127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558-4CC9-9E2B-2E5219468A49}"/>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558-4CC9-9E2B-2E5219468A49}"/>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558-4CC9-9E2B-2E5219468A49}"/>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558-4CC9-9E2B-2E5219468A49}"/>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558-4CC9-9E2B-2E5219468A49}"/>
              </c:ext>
            </c:extLst>
          </c:dPt>
          <c:dPt>
            <c:idx val="5"/>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8558-4CC9-9E2B-2E5219468A49}"/>
              </c:ext>
            </c:extLst>
          </c:dPt>
          <c:dPt>
            <c:idx val="6"/>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558-4CC9-9E2B-2E5219468A49}"/>
              </c:ext>
            </c:extLst>
          </c:dPt>
          <c:dPt>
            <c:idx val="7"/>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8558-4CC9-9E2B-2E5219468A49}"/>
              </c:ext>
            </c:extLst>
          </c:dPt>
          <c:dPt>
            <c:idx val="8"/>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8558-4CC9-9E2B-2E5219468A49}"/>
              </c:ext>
            </c:extLst>
          </c:dPt>
          <c:dLbls>
            <c:dLbl>
              <c:idx val="0"/>
              <c:layout>
                <c:manualLayout>
                  <c:x val="-2.7833750398504706E-2"/>
                  <c:y val="-0.1369604401859406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58-4CC9-9E2B-2E5219468A49}"/>
                </c:ext>
              </c:extLst>
            </c:dLbl>
            <c:dLbl>
              <c:idx val="1"/>
              <c:layout>
                <c:manualLayout>
                  <c:x val="9.214738340735694E-5"/>
                  <c:y val="-1.307592575024507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58-4CC9-9E2B-2E5219468A49}"/>
                </c:ext>
              </c:extLst>
            </c:dLbl>
            <c:dLbl>
              <c:idx val="2"/>
              <c:layout>
                <c:manualLayout>
                  <c:x val="-7.2047244094488233E-2"/>
                  <c:y val="9.03432628150396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58-4CC9-9E2B-2E5219468A49}"/>
                </c:ext>
              </c:extLst>
            </c:dLbl>
            <c:dLbl>
              <c:idx val="3"/>
              <c:layout>
                <c:manualLayout>
                  <c:x val="-3.8832916268161988E-2"/>
                  <c:y val="8.00070360180881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58-4CC9-9E2B-2E5219468A49}"/>
                </c:ext>
              </c:extLst>
            </c:dLbl>
            <c:dLbl>
              <c:idx val="4"/>
              <c:layout>
                <c:manualLayout>
                  <c:x val="-2.5264104882074617E-4"/>
                  <c:y val="-1.94522183221073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558-4CC9-9E2B-2E5219468A49}"/>
                </c:ext>
              </c:extLst>
            </c:dLbl>
            <c:dLbl>
              <c:idx val="5"/>
              <c:layout>
                <c:manualLayout>
                  <c:x val="4.1035064044615058E-2"/>
                  <c:y val="-0.1047129462732821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558-4CC9-9E2B-2E5219468A49}"/>
                </c:ext>
              </c:extLst>
            </c:dLbl>
            <c:dLbl>
              <c:idx val="6"/>
              <c:layout>
                <c:manualLayout>
                  <c:x val="4.4388835754931633E-2"/>
                  <c:y val="-3.466820036049710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558-4CC9-9E2B-2E5219468A49}"/>
                </c:ext>
              </c:extLst>
            </c:dLbl>
            <c:dLbl>
              <c:idx val="7"/>
              <c:layout>
                <c:manualLayout>
                  <c:x val="1.3838047698280643E-2"/>
                  <c:y val="-1.1818929260348481E-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558-4CC9-9E2B-2E5219468A49}"/>
                </c:ext>
              </c:extLst>
            </c:dLbl>
            <c:dLbl>
              <c:idx val="8"/>
              <c:layout>
                <c:manualLayout>
                  <c:x val="-0.13311148086522459"/>
                  <c:y val="-2.56909527875279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558-4CC9-9E2B-2E5219468A49}"/>
                </c:ext>
              </c:extLst>
            </c:dLbl>
            <c:spPr>
              <a:noFill/>
              <a:ln w="2534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Blad1!$A$3:$A$11</c:f>
              <c:strCache>
                <c:ptCount val="9"/>
                <c:pt idx="0">
                  <c:v>Migration and home affairs</c:v>
                </c:pt>
                <c:pt idx="1">
                  <c:v>Justice and consumers</c:v>
                </c:pt>
                <c:pt idx="2">
                  <c:v>Health and food safety</c:v>
                </c:pt>
                <c:pt idx="3">
                  <c:v>Financial stability, financial services and capital markets union</c:v>
                </c:pt>
                <c:pt idx="4">
                  <c:v>Communication networks</c:v>
                </c:pt>
                <c:pt idx="5">
                  <c:v>Internal market, industry, entrepreneurship and SMEs</c:v>
                </c:pt>
                <c:pt idx="6">
                  <c:v>Mobility and transport</c:v>
                </c:pt>
                <c:pt idx="7">
                  <c:v>Environment</c:v>
                </c:pt>
                <c:pt idx="8">
                  <c:v>Taxation and customs</c:v>
                </c:pt>
              </c:strCache>
            </c:strRef>
          </c:cat>
          <c:val>
            <c:numRef>
              <c:f>Blad1!$B$3:$B$11</c:f>
              <c:numCache>
                <c:formatCode>General</c:formatCode>
                <c:ptCount val="9"/>
                <c:pt idx="0">
                  <c:v>3</c:v>
                </c:pt>
                <c:pt idx="1">
                  <c:v>3</c:v>
                </c:pt>
                <c:pt idx="2">
                  <c:v>3</c:v>
                </c:pt>
                <c:pt idx="3">
                  <c:v>2</c:v>
                </c:pt>
                <c:pt idx="4">
                  <c:v>2</c:v>
                </c:pt>
                <c:pt idx="5">
                  <c:v>2</c:v>
                </c:pt>
                <c:pt idx="6">
                  <c:v>1</c:v>
                </c:pt>
                <c:pt idx="7">
                  <c:v>1</c:v>
                </c:pt>
                <c:pt idx="8">
                  <c:v>1</c:v>
                </c:pt>
              </c:numCache>
            </c:numRef>
          </c:val>
          <c:extLst xmlns:c16r2="http://schemas.microsoft.com/office/drawing/2015/06/chart">
            <c:ext xmlns:c16="http://schemas.microsoft.com/office/drawing/2014/chart" uri="{C3380CC4-5D6E-409C-BE32-E72D297353CC}">
              <c16:uniqueId val="{0000000E-8558-4CC9-9E2B-2E5219468A49}"/>
            </c:ext>
          </c:extLst>
        </c:ser>
        <c:dLbls>
          <c:showLegendKey val="0"/>
          <c:showVal val="0"/>
          <c:showCatName val="0"/>
          <c:showSerName val="0"/>
          <c:showPercent val="0"/>
          <c:showBubbleSize val="0"/>
          <c:showLeaderLines val="0"/>
        </c:dLbls>
        <c:firstSliceAng val="200"/>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57</c:v>
                </c:pt>
                <c:pt idx="1">
                  <c:v>63</c:v>
                </c:pt>
                <c:pt idx="2">
                  <c:v>67</c:v>
                </c:pt>
                <c:pt idx="3">
                  <c:v>70</c:v>
                </c:pt>
                <c:pt idx="4">
                  <c:v>68</c:v>
                </c:pt>
              </c:numCache>
            </c:numRef>
          </c:val>
          <c:smooth val="0"/>
          <c:extLst xmlns:c16r2="http://schemas.microsoft.com/office/drawing/2015/06/chart">
            <c:ext xmlns:c16="http://schemas.microsoft.com/office/drawing/2014/chart" uri="{C3380CC4-5D6E-409C-BE32-E72D297353CC}">
              <c16:uniqueId val="{00000000-CC1D-498F-8D0C-171C560AE7AA}"/>
            </c:ext>
          </c:extLst>
        </c:ser>
        <c:dLbls>
          <c:showLegendKey val="0"/>
          <c:showVal val="0"/>
          <c:showCatName val="0"/>
          <c:showSerName val="0"/>
          <c:showPercent val="0"/>
          <c:showBubbleSize val="0"/>
        </c:dLbls>
        <c:marker val="1"/>
        <c:smooth val="0"/>
        <c:axId val="109601536"/>
        <c:axId val="109603072"/>
      </c:lineChart>
      <c:catAx>
        <c:axId val="10960153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603072"/>
        <c:crosses val="autoZero"/>
        <c:auto val="1"/>
        <c:lblAlgn val="ctr"/>
        <c:lblOffset val="100"/>
        <c:noMultiLvlLbl val="0"/>
      </c:catAx>
      <c:valAx>
        <c:axId val="109603072"/>
        <c:scaling>
          <c:orientation val="minMax"/>
          <c:min val="4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0960153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68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olidFill>
              <a:srgbClr val="FFD617"/>
            </a:solidFill>
            <a:scene3d>
              <a:camera prst="orthographicFront"/>
              <a:lightRig rig="threePt" dir="t"/>
            </a:scene3d>
            <a:sp3d>
              <a:bevelT w="63500" h="25400"/>
            </a:sp3d>
          </c:spPr>
          <c:dPt>
            <c:idx val="0"/>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B48-46D4-9CD4-5A1277DD3F96}"/>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B48-46D4-9CD4-5A1277DD3F96}"/>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B48-46D4-9CD4-5A1277DD3F96}"/>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B48-46D4-9CD4-5A1277DD3F96}"/>
              </c:ext>
            </c:extLst>
          </c:dPt>
          <c:dLbls>
            <c:dLbl>
              <c:idx val="0"/>
              <c:layout>
                <c:manualLayout>
                  <c:x val="-4.9532845956170725E-2"/>
                  <c:y val="0.152392521237079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48-46D4-9CD4-5A1277DD3F96}"/>
                </c:ext>
              </c:extLst>
            </c:dLbl>
            <c:dLbl>
              <c:idx val="1"/>
              <c:layout>
                <c:manualLayout>
                  <c:x val="-2.2000658695868851E-2"/>
                  <c:y val="-7.35733131913044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48-46D4-9CD4-5A1277DD3F96}"/>
                </c:ext>
              </c:extLst>
            </c:dLbl>
            <c:dLbl>
              <c:idx val="2"/>
              <c:layout>
                <c:manualLayout>
                  <c:x val="8.2677165354329701E-3"/>
                  <c:y val="-5.2616221921012478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48-46D4-9CD4-5A1277DD3F96}"/>
                </c:ext>
              </c:extLst>
            </c:dLbl>
            <c:dLbl>
              <c:idx val="3"/>
              <c:layout>
                <c:manualLayout>
                  <c:x val="-8.2485623529309798E-2"/>
                  <c:y val="-0.115689881734559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48-46D4-9CD4-5A1277DD3F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Employment</c:v>
                </c:pt>
                <c:pt idx="1">
                  <c:v>Justice and consumers</c:v>
                </c:pt>
                <c:pt idx="2">
                  <c:v>Health and food safety</c:v>
                </c:pt>
                <c:pt idx="3">
                  <c:v>Other</c:v>
                </c:pt>
              </c:strCache>
            </c:strRef>
          </c:cat>
          <c:val>
            <c:numRef>
              <c:f>Blad1!$B$2:$B$5</c:f>
              <c:numCache>
                <c:formatCode>General</c:formatCode>
                <c:ptCount val="4"/>
                <c:pt idx="0">
                  <c:v>25</c:v>
                </c:pt>
                <c:pt idx="1">
                  <c:v>13</c:v>
                </c:pt>
                <c:pt idx="2">
                  <c:v>6</c:v>
                </c:pt>
                <c:pt idx="3">
                  <c:v>24</c:v>
                </c:pt>
              </c:numCache>
            </c:numRef>
          </c:val>
          <c:extLst xmlns:c16r2="http://schemas.microsoft.com/office/drawing/2015/06/chart">
            <c:ext xmlns:c16="http://schemas.microsoft.com/office/drawing/2014/chart" uri="{C3380CC4-5D6E-409C-BE32-E72D297353CC}">
              <c16:uniqueId val="{00000008-2B48-46D4-9CD4-5A1277DD3F96}"/>
            </c:ext>
          </c:extLst>
        </c:ser>
        <c:dLbls>
          <c:showLegendKey val="0"/>
          <c:showVal val="0"/>
          <c:showCatName val="0"/>
          <c:showSerName val="0"/>
          <c:showPercent val="0"/>
          <c:showBubbleSize val="0"/>
          <c:showLeaderLines val="0"/>
        </c:dLbls>
        <c:firstSliceAng val="26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336128042134268E-2"/>
                  <c:y val="6.52419731780102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F3-44BC-B24F-940BD9343B59}"/>
                </c:ext>
              </c:extLst>
            </c:dLbl>
            <c:spPr>
              <a:noFill/>
              <a:ln w="25412">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31</c:v>
                </c:pt>
                <c:pt idx="1">
                  <c:v>21</c:v>
                </c:pt>
                <c:pt idx="2">
                  <c:v>19</c:v>
                </c:pt>
                <c:pt idx="3">
                  <c:v>6</c:v>
                </c:pt>
                <c:pt idx="4">
                  <c:v>2</c:v>
                </c:pt>
              </c:numCache>
            </c:numRef>
          </c:val>
          <c:smooth val="0"/>
          <c:extLst xmlns:c16r2="http://schemas.microsoft.com/office/drawing/2015/06/chart">
            <c:ext xmlns:c16="http://schemas.microsoft.com/office/drawing/2014/chart" uri="{C3380CC4-5D6E-409C-BE32-E72D297353CC}">
              <c16:uniqueId val="{00000001-B3F3-44BC-B24F-940BD9343B59}"/>
            </c:ext>
          </c:extLst>
        </c:ser>
        <c:dLbls>
          <c:showLegendKey val="0"/>
          <c:showVal val="0"/>
          <c:showCatName val="0"/>
          <c:showSerName val="0"/>
          <c:showPercent val="0"/>
          <c:showBubbleSize val="0"/>
        </c:dLbls>
        <c:marker val="1"/>
        <c:smooth val="0"/>
        <c:axId val="109739392"/>
        <c:axId val="109749376"/>
      </c:lineChart>
      <c:catAx>
        <c:axId val="109739392"/>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749376"/>
        <c:crosses val="autoZero"/>
        <c:auto val="1"/>
        <c:lblAlgn val="ctr"/>
        <c:lblOffset val="100"/>
        <c:noMultiLvlLbl val="0"/>
      </c:catAx>
      <c:valAx>
        <c:axId val="109749376"/>
        <c:scaling>
          <c:orientation val="minMax"/>
          <c:min val="0"/>
        </c:scaling>
        <c:delete val="1"/>
        <c:axPos val="l"/>
        <c:majorGridlines>
          <c:spPr>
            <a:ln w="9530" cap="flat" cmpd="sng" algn="ctr">
              <a:solidFill>
                <a:schemeClr val="tx1">
                  <a:lumMod val="15000"/>
                  <a:lumOff val="85000"/>
                </a:schemeClr>
              </a:solidFill>
              <a:round/>
            </a:ln>
            <a:effectLst/>
          </c:spPr>
        </c:majorGridlines>
        <c:numFmt formatCode="General" sourceLinked="1"/>
        <c:majorTickMark val="out"/>
        <c:minorTickMark val="none"/>
        <c:tickLblPos val="nextTo"/>
        <c:crossAx val="109739392"/>
        <c:crosses val="autoZero"/>
        <c:crossBetween val="between"/>
      </c:valAx>
      <c:spPr>
        <a:noFill/>
        <a:ln w="25412">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87083300633931E-2"/>
                  <c:y val="8.01620850025325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C1-4767-AC77-8CE9FD5971C2}"/>
                </c:ext>
              </c:extLst>
            </c:dLbl>
            <c:spPr>
              <a:noFill/>
              <a:ln w="25401">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41</c:v>
                </c:pt>
                <c:pt idx="1">
                  <c:v>45</c:v>
                </c:pt>
                <c:pt idx="2">
                  <c:v>39</c:v>
                </c:pt>
                <c:pt idx="3">
                  <c:v>24</c:v>
                </c:pt>
                <c:pt idx="4">
                  <c:v>17</c:v>
                </c:pt>
              </c:numCache>
            </c:numRef>
          </c:val>
          <c:smooth val="0"/>
          <c:extLst xmlns:c16r2="http://schemas.microsoft.com/office/drawing/2015/06/chart">
            <c:ext xmlns:c16="http://schemas.microsoft.com/office/drawing/2014/chart" uri="{C3380CC4-5D6E-409C-BE32-E72D297353CC}">
              <c16:uniqueId val="{00000001-41C1-4767-AC77-8CE9FD5971C2}"/>
            </c:ext>
          </c:extLst>
        </c:ser>
        <c:dLbls>
          <c:showLegendKey val="0"/>
          <c:showVal val="0"/>
          <c:showCatName val="0"/>
          <c:showSerName val="0"/>
          <c:showPercent val="0"/>
          <c:showBubbleSize val="0"/>
        </c:dLbls>
        <c:marker val="1"/>
        <c:smooth val="0"/>
        <c:axId val="109204992"/>
        <c:axId val="109206528"/>
      </c:lineChart>
      <c:catAx>
        <c:axId val="109204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206528"/>
        <c:crosses val="autoZero"/>
        <c:auto val="1"/>
        <c:lblAlgn val="ctr"/>
        <c:lblOffset val="100"/>
        <c:noMultiLvlLbl val="0"/>
      </c:catAx>
      <c:valAx>
        <c:axId val="10920652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09204992"/>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Czechia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37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0.64</c:v>
                </c:pt>
                <c:pt idx="1">
                  <c:v>0.7</c:v>
                </c:pt>
                <c:pt idx="2">
                  <c:v>0.44</c:v>
                </c:pt>
                <c:pt idx="3">
                  <c:v>0.6</c:v>
                </c:pt>
                <c:pt idx="4">
                  <c:v>0.78</c:v>
                </c:pt>
              </c:numCache>
            </c:numRef>
          </c:val>
          <c:smooth val="0"/>
          <c:extLst xmlns:c16r2="http://schemas.microsoft.com/office/drawing/2015/06/chart">
            <c:ext xmlns:c16="http://schemas.microsoft.com/office/drawing/2014/chart" uri="{C3380CC4-5D6E-409C-BE32-E72D297353CC}">
              <c16:uniqueId val="{00000000-5994-47F3-BB4D-9BD38EBBE07D}"/>
            </c:ext>
          </c:extLst>
        </c:ser>
        <c:ser>
          <c:idx val="1"/>
          <c:order val="1"/>
          <c:tx>
            <c:strRef>
              <c:f>Blad1!$C$2</c:f>
              <c:strCache>
                <c:ptCount val="1"/>
                <c:pt idx="0">
                  <c:v>General rate for all Member States</c:v>
                </c:pt>
              </c:strCache>
            </c:strRef>
          </c:tx>
          <c:spPr>
            <a:ln w="25373">
              <a:solidFill>
                <a:srgbClr val="92D050"/>
              </a:solidFill>
            </a:ln>
          </c:spPr>
          <c:marker>
            <c:symbol val="square"/>
            <c:size val="4"/>
            <c:spPr>
              <a:solidFill>
                <a:srgbClr val="92D050"/>
              </a:solidFill>
              <a:ln>
                <a:solidFill>
                  <a:srgbClr val="92D050"/>
                </a:solidFill>
              </a:ln>
            </c:spPr>
          </c:marker>
          <c:dLbls>
            <c:spPr>
              <a:noFill/>
              <a:ln w="25373">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1-5994-47F3-BB4D-9BD38EBBE07D}"/>
            </c:ext>
          </c:extLst>
        </c:ser>
        <c:dLbls>
          <c:showLegendKey val="0"/>
          <c:showVal val="0"/>
          <c:showCatName val="0"/>
          <c:showSerName val="0"/>
          <c:showPercent val="0"/>
          <c:showBubbleSize val="0"/>
        </c:dLbls>
        <c:marker val="1"/>
        <c:smooth val="0"/>
        <c:axId val="109286144"/>
        <c:axId val="109287680"/>
      </c:lineChart>
      <c:catAx>
        <c:axId val="109286144"/>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287680"/>
        <c:crosses val="autoZero"/>
        <c:auto val="1"/>
        <c:lblAlgn val="ctr"/>
        <c:lblOffset val="100"/>
        <c:noMultiLvlLbl val="0"/>
      </c:catAx>
      <c:valAx>
        <c:axId val="109287680"/>
        <c:scaling>
          <c:orientation val="minMax"/>
          <c:min val="0.30000000000000004"/>
        </c:scaling>
        <c:delete val="1"/>
        <c:axPos val="l"/>
        <c:majorGridlines>
          <c:spPr>
            <a:ln w="9515" cap="flat" cmpd="sng" algn="ctr">
              <a:solidFill>
                <a:schemeClr val="tx1">
                  <a:lumMod val="15000"/>
                  <a:lumOff val="85000"/>
                </a:schemeClr>
              </a:solidFill>
              <a:round/>
            </a:ln>
            <a:effectLst/>
          </c:spPr>
        </c:majorGridlines>
        <c:numFmt formatCode="0%" sourceLinked="1"/>
        <c:majorTickMark val="out"/>
        <c:minorTickMark val="none"/>
        <c:tickLblPos val="nextTo"/>
        <c:crossAx val="109286144"/>
        <c:crosses val="autoZero"/>
        <c:crossBetween val="between"/>
      </c:valAx>
      <c:spPr>
        <a:noFill/>
        <a:ln w="25373">
          <a:noFill/>
        </a:ln>
      </c:spPr>
    </c:plotArea>
    <c:legend>
      <c:legendPos val="b"/>
      <c:overlay val="0"/>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546988614775898E-2"/>
                  <c:y val="7.6912774601804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7A-47D0-A0E1-7FBBC716413E}"/>
                </c:ext>
              </c:extLst>
            </c:dLbl>
            <c:dLbl>
              <c:idx val="4"/>
              <c:layout>
                <c:manualLayout>
                  <c:x val="-3.6661042369703682E-2"/>
                  <c:y val="7.0708482258830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7A-47D0-A0E1-7FBBC716413E}"/>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38</c:v>
                </c:pt>
                <c:pt idx="1">
                  <c:v>46</c:v>
                </c:pt>
                <c:pt idx="2">
                  <c:v>60</c:v>
                </c:pt>
                <c:pt idx="3">
                  <c:v>73</c:v>
                </c:pt>
                <c:pt idx="4">
                  <c:v>67</c:v>
                </c:pt>
              </c:numCache>
            </c:numRef>
          </c:val>
          <c:smooth val="0"/>
          <c:extLst xmlns:c16r2="http://schemas.microsoft.com/office/drawing/2015/06/chart">
            <c:ext xmlns:c16="http://schemas.microsoft.com/office/drawing/2014/chart" uri="{C3380CC4-5D6E-409C-BE32-E72D297353CC}">
              <c16:uniqueId val="{00000002-A57A-47D0-A0E1-7FBBC716413E}"/>
            </c:ext>
          </c:extLst>
        </c:ser>
        <c:dLbls>
          <c:showLegendKey val="0"/>
          <c:showVal val="0"/>
          <c:showCatName val="0"/>
          <c:showSerName val="0"/>
          <c:showPercent val="0"/>
          <c:showBubbleSize val="0"/>
        </c:dLbls>
        <c:marker val="1"/>
        <c:smooth val="0"/>
        <c:axId val="109346816"/>
        <c:axId val="109348352"/>
      </c:lineChart>
      <c:catAx>
        <c:axId val="109346816"/>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348352"/>
        <c:crosses val="autoZero"/>
        <c:auto val="1"/>
        <c:lblAlgn val="ctr"/>
        <c:lblOffset val="100"/>
        <c:noMultiLvlLbl val="0"/>
      </c:catAx>
      <c:valAx>
        <c:axId val="109348352"/>
        <c:scaling>
          <c:orientation val="minMax"/>
          <c:min val="2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09346816"/>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28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2715-476B-8B37-7446B5D3F302}"/>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2715-476B-8B37-7446B5D3F302}"/>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2715-476B-8B37-7446B5D3F302}"/>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2715-476B-8B37-7446B5D3F302}"/>
              </c:ext>
            </c:extLst>
          </c:dPt>
          <c:dPt>
            <c:idx val="4"/>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2715-476B-8B37-7446B5D3F302}"/>
              </c:ext>
            </c:extLst>
          </c:dPt>
          <c:dPt>
            <c:idx val="5"/>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2715-476B-8B37-7446B5D3F302}"/>
              </c:ext>
            </c:extLst>
          </c:dPt>
          <c:dPt>
            <c:idx val="6"/>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D444-4A09-8C8E-58A2B20A35F3}"/>
              </c:ext>
            </c:extLst>
          </c:dPt>
          <c:dPt>
            <c:idx val="7"/>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D444-4A09-8C8E-58A2B20A35F3}"/>
              </c:ext>
            </c:extLst>
          </c:dPt>
          <c:dPt>
            <c:idx val="8"/>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0-D444-4A09-8C8E-58A2B20A35F3}"/>
              </c:ext>
            </c:extLst>
          </c:dPt>
          <c:dPt>
            <c:idx val="9"/>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D444-4A09-8C8E-58A2B20A35F3}"/>
              </c:ext>
            </c:extLst>
          </c:dPt>
          <c:dPt>
            <c:idx val="10"/>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D444-4A09-8C8E-58A2B20A35F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15-476B-8B37-7446B5D3F302}"/>
                </c:ext>
              </c:extLst>
            </c:dLbl>
            <c:dLbl>
              <c:idx val="1"/>
              <c:layout>
                <c:manualLayout>
                  <c:x val="1.6603329428112143E-2"/>
                  <c:y val="-3.75347335861745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15-476B-8B37-7446B5D3F302}"/>
                </c:ext>
              </c:extLst>
            </c:dLbl>
            <c:dLbl>
              <c:idx val="2"/>
              <c:layout>
                <c:manualLayout>
                  <c:x val="3.0385309102798137E-2"/>
                  <c:y val="3.84673798415784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15-476B-8B37-7446B5D3F302}"/>
                </c:ext>
              </c:extLst>
            </c:dLbl>
            <c:dLbl>
              <c:idx val="3"/>
              <c:layout>
                <c:manualLayout>
                  <c:x val="-7.3723019916628066E-2"/>
                  <c:y val="2.136957819147911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15-476B-8B37-7446B5D3F302}"/>
                </c:ext>
              </c:extLst>
            </c:dLbl>
            <c:dLbl>
              <c:idx val="4"/>
              <c:layout>
                <c:manualLayout>
                  <c:x val="-1.9347519276353534E-2"/>
                  <c:y val="-7.04618524151473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15-476B-8B37-7446B5D3F302}"/>
                </c:ext>
              </c:extLst>
            </c:dLbl>
            <c:dLbl>
              <c:idx val="5"/>
              <c:layout>
                <c:manualLayout>
                  <c:x val="1.0951475356237809E-2"/>
                  <c:y val="-9.220277783125520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15-476B-8B37-7446B5D3F302}"/>
                </c:ext>
              </c:extLst>
            </c:dLbl>
            <c:dLbl>
              <c:idx val="6"/>
              <c:layout>
                <c:manualLayout>
                  <c:x val="5.2595155709342457E-2"/>
                  <c:y val="-0.1195327356696550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444-4A09-8C8E-58A2B20A35F3}"/>
                </c:ext>
              </c:extLst>
            </c:dLbl>
            <c:dLbl>
              <c:idx val="7"/>
              <c:layout>
                <c:manualLayout>
                  <c:x val="5.2595155709342457E-2"/>
                  <c:y val="-9.9609462361036621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444-4A09-8C8E-58A2B20A35F3}"/>
                </c:ext>
              </c:extLst>
            </c:dLbl>
            <c:dLbl>
              <c:idx val="9"/>
              <c:layout>
                <c:manualLayout>
                  <c:x val="-4.1522491349480967E-2"/>
                  <c:y val="-6.519967400162998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444-4A09-8C8E-58A2B20A35F3}"/>
                </c:ext>
              </c:extLst>
            </c:dLbl>
            <c:dLbl>
              <c:idx val="10"/>
              <c:layout>
                <c:manualLayout>
                  <c:x val="-1.9377162629757784E-2"/>
                  <c:y val="-5.976636783482749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444-4A09-8C8E-58A2B20A35F3}"/>
                </c:ext>
              </c:extLst>
            </c:dLbl>
            <c:spPr>
              <a:noFill/>
              <a:ln w="25384">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Blad1!$A$2:$A$12</c:f>
              <c:strCache>
                <c:ptCount val="11"/>
                <c:pt idx="0">
                  <c:v>Policy Area</c:v>
                </c:pt>
                <c:pt idx="1">
                  <c:v>Internal market, industry, entrepreneurship and SMEs</c:v>
                </c:pt>
                <c:pt idx="2">
                  <c:v>Mobility and transport</c:v>
                </c:pt>
                <c:pt idx="3">
                  <c:v>Environment</c:v>
                </c:pt>
                <c:pt idx="4">
                  <c:v>Migration and home affairs</c:v>
                </c:pt>
                <c:pt idx="5">
                  <c:v>Health and food safety</c:v>
                </c:pt>
                <c:pt idx="6">
                  <c:v>Taxation and customs</c:v>
                </c:pt>
                <c:pt idx="7">
                  <c:v>Justice and consumers</c:v>
                </c:pt>
                <c:pt idx="8">
                  <c:v>Energy</c:v>
                </c:pt>
                <c:pt idx="9">
                  <c:v>Communication networks</c:v>
                </c:pt>
                <c:pt idx="10">
                  <c:v>Employment</c:v>
                </c:pt>
              </c:strCache>
            </c:strRef>
          </c:cat>
          <c:val>
            <c:numRef>
              <c:f>Blad1!$B$2:$B$12</c:f>
              <c:numCache>
                <c:formatCode>General</c:formatCode>
                <c:ptCount val="11"/>
                <c:pt idx="0">
                  <c:v>0</c:v>
                </c:pt>
                <c:pt idx="1">
                  <c:v>4</c:v>
                </c:pt>
                <c:pt idx="2">
                  <c:v>4</c:v>
                </c:pt>
                <c:pt idx="3">
                  <c:v>4</c:v>
                </c:pt>
                <c:pt idx="4">
                  <c:v>3</c:v>
                </c:pt>
                <c:pt idx="5">
                  <c:v>3</c:v>
                </c:pt>
                <c:pt idx="6">
                  <c:v>2</c:v>
                </c:pt>
                <c:pt idx="7">
                  <c:v>2</c:v>
                </c:pt>
                <c:pt idx="8">
                  <c:v>2</c:v>
                </c:pt>
                <c:pt idx="9">
                  <c:v>2</c:v>
                </c:pt>
                <c:pt idx="10">
                  <c:v>2</c:v>
                </c:pt>
              </c:numCache>
            </c:numRef>
          </c:val>
          <c:extLst xmlns:c16r2="http://schemas.microsoft.com/office/drawing/2015/06/chart">
            <c:ext xmlns:c16="http://schemas.microsoft.com/office/drawing/2014/chart" uri="{C3380CC4-5D6E-409C-BE32-E72D297353CC}">
              <c16:uniqueId val="{0000000C-2715-476B-8B37-7446B5D3F302}"/>
            </c:ext>
          </c:extLst>
        </c:ser>
        <c:dLbls>
          <c:showLegendKey val="0"/>
          <c:showVal val="0"/>
          <c:showCatName val="0"/>
          <c:showSerName val="0"/>
          <c:showPercent val="0"/>
          <c:showBubbleSize val="0"/>
          <c:showLeaderLines val="0"/>
        </c:dLbls>
        <c:firstSliceAng val="253"/>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spPr>
              <a:noFill/>
              <a:ln w="2540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57</c:v>
                </c:pt>
                <c:pt idx="1">
                  <c:v>30</c:v>
                </c:pt>
                <c:pt idx="2">
                  <c:v>34</c:v>
                </c:pt>
                <c:pt idx="3">
                  <c:v>7</c:v>
                </c:pt>
                <c:pt idx="4">
                  <c:v>3</c:v>
                </c:pt>
              </c:numCache>
            </c:numRef>
          </c:val>
          <c:smooth val="0"/>
          <c:extLst xmlns:c16r2="http://schemas.microsoft.com/office/drawing/2015/06/chart">
            <c:ext xmlns:c16="http://schemas.microsoft.com/office/drawing/2014/chart" uri="{C3380CC4-5D6E-409C-BE32-E72D297353CC}">
              <c16:uniqueId val="{00000003-D7DA-4D6A-98E1-397C24D61A80}"/>
            </c:ext>
          </c:extLst>
        </c:ser>
        <c:dLbls>
          <c:showLegendKey val="0"/>
          <c:showVal val="0"/>
          <c:showCatName val="0"/>
          <c:showSerName val="0"/>
          <c:showPercent val="0"/>
          <c:showBubbleSize val="0"/>
        </c:dLbls>
        <c:marker val="1"/>
        <c:smooth val="0"/>
        <c:axId val="106029056"/>
        <c:axId val="106030592"/>
      </c:lineChart>
      <c:catAx>
        <c:axId val="106029056"/>
        <c:scaling>
          <c:orientation val="minMax"/>
        </c:scaling>
        <c:delete val="0"/>
        <c:axPos val="b"/>
        <c:numFmt formatCode="General" sourceLinked="1"/>
        <c:majorTickMark val="none"/>
        <c:minorTickMark val="none"/>
        <c:tickLblPos val="nextTo"/>
        <c:spPr>
          <a:noFill/>
          <a:ln w="1270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30592"/>
        <c:crosses val="autoZero"/>
        <c:auto val="1"/>
        <c:lblAlgn val="ctr"/>
        <c:lblOffset val="100"/>
        <c:noMultiLvlLbl val="0"/>
      </c:catAx>
      <c:valAx>
        <c:axId val="106030592"/>
        <c:scaling>
          <c:orientation val="minMax"/>
          <c:min val="0"/>
        </c:scaling>
        <c:delete val="1"/>
        <c:axPos val="l"/>
        <c:majorGridlines>
          <c:spPr>
            <a:ln w="9528" cap="flat" cmpd="sng" algn="ctr">
              <a:solidFill>
                <a:schemeClr val="tx1">
                  <a:lumMod val="15000"/>
                  <a:lumOff val="85000"/>
                </a:schemeClr>
              </a:solidFill>
              <a:round/>
            </a:ln>
            <a:effectLst/>
          </c:spPr>
        </c:majorGridlines>
        <c:numFmt formatCode="General" sourceLinked="1"/>
        <c:majorTickMark val="out"/>
        <c:minorTickMark val="none"/>
        <c:tickLblPos val="nextTo"/>
        <c:crossAx val="106029056"/>
        <c:crosses val="autoZero"/>
        <c:crossBetween val="between"/>
      </c:valAx>
      <c:spPr>
        <a:noFill/>
        <a:ln w="25405">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0369978628293351E-2"/>
                  <c:y val="7.54483080554528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14-4DF6-A66A-296EE2658021}"/>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10</c:v>
                </c:pt>
                <c:pt idx="1">
                  <c:v>17</c:v>
                </c:pt>
                <c:pt idx="2">
                  <c:v>29</c:v>
                </c:pt>
                <c:pt idx="3">
                  <c:v>40</c:v>
                </c:pt>
                <c:pt idx="4">
                  <c:v>33</c:v>
                </c:pt>
              </c:numCache>
            </c:numRef>
          </c:val>
          <c:smooth val="0"/>
          <c:extLst xmlns:c16r2="http://schemas.microsoft.com/office/drawing/2015/06/chart">
            <c:ext xmlns:c16="http://schemas.microsoft.com/office/drawing/2014/chart" uri="{C3380CC4-5D6E-409C-BE32-E72D297353CC}">
              <c16:uniqueId val="{00000001-9214-4DF6-A66A-296EE2658021}"/>
            </c:ext>
          </c:extLst>
        </c:ser>
        <c:dLbls>
          <c:showLegendKey val="0"/>
          <c:showVal val="0"/>
          <c:showCatName val="0"/>
          <c:showSerName val="0"/>
          <c:showPercent val="0"/>
          <c:showBubbleSize val="0"/>
        </c:dLbls>
        <c:marker val="1"/>
        <c:smooth val="0"/>
        <c:axId val="109925504"/>
        <c:axId val="109927040"/>
      </c:lineChart>
      <c:catAx>
        <c:axId val="109925504"/>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927040"/>
        <c:crosses val="autoZero"/>
        <c:auto val="1"/>
        <c:lblAlgn val="ctr"/>
        <c:lblOffset val="100"/>
        <c:noMultiLvlLbl val="0"/>
      </c:catAx>
      <c:valAx>
        <c:axId val="109927040"/>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109925504"/>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842062652616185E-2"/>
                  <c:y val="7.5448308055452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9C-40DE-A3E7-B7D97F343F73}"/>
                </c:ext>
              </c:extLst>
            </c:dLbl>
            <c:dLbl>
              <c:idx val="2"/>
              <c:layout>
                <c:manualLayout>
                  <c:x val="-4.1938592867960894E-2"/>
                  <c:y val="-5.28284006096575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D7-4C01-98A8-78DADB07DA58}"/>
                </c:ext>
              </c:extLst>
            </c:dLbl>
            <c:dLbl>
              <c:idx val="3"/>
              <c:layout>
                <c:manualLayout>
                  <c:x val="-4.7463305005089974E-2"/>
                  <c:y val="6.92965791921600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46-47F5-8E67-BF4FE4FA0D81}"/>
                </c:ext>
              </c:extLst>
            </c:dLbl>
            <c:spPr>
              <a:noFill/>
              <a:ln w="25417">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18</c:v>
                </c:pt>
                <c:pt idx="1">
                  <c:v>17</c:v>
                </c:pt>
                <c:pt idx="2">
                  <c:v>33</c:v>
                </c:pt>
                <c:pt idx="3">
                  <c:v>25</c:v>
                </c:pt>
                <c:pt idx="4">
                  <c:v>21</c:v>
                </c:pt>
              </c:numCache>
            </c:numRef>
          </c:val>
          <c:smooth val="0"/>
          <c:extLst xmlns:c16r2="http://schemas.microsoft.com/office/drawing/2015/06/chart">
            <c:ext xmlns:c16="http://schemas.microsoft.com/office/drawing/2014/chart" uri="{C3380CC4-5D6E-409C-BE32-E72D297353CC}">
              <c16:uniqueId val="{00000001-AD9C-40DE-A3E7-B7D97F343F73}"/>
            </c:ext>
          </c:extLst>
        </c:ser>
        <c:dLbls>
          <c:showLegendKey val="0"/>
          <c:showVal val="0"/>
          <c:showCatName val="0"/>
          <c:showSerName val="0"/>
          <c:showPercent val="0"/>
          <c:showBubbleSize val="0"/>
        </c:dLbls>
        <c:marker val="1"/>
        <c:smooth val="0"/>
        <c:axId val="109961216"/>
        <c:axId val="109962752"/>
      </c:lineChart>
      <c:catAx>
        <c:axId val="10996121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9962752"/>
        <c:crosses val="autoZero"/>
        <c:auto val="1"/>
        <c:lblAlgn val="ctr"/>
        <c:lblOffset val="100"/>
        <c:noMultiLvlLbl val="0"/>
      </c:catAx>
      <c:valAx>
        <c:axId val="109962752"/>
        <c:scaling>
          <c:orientation val="minMax"/>
        </c:scaling>
        <c:delete val="1"/>
        <c:axPos val="l"/>
        <c:majorGridlines>
          <c:spPr>
            <a:ln w="9531" cap="flat" cmpd="sng" algn="ctr">
              <a:solidFill>
                <a:schemeClr val="tx1">
                  <a:lumMod val="15000"/>
                  <a:lumOff val="85000"/>
                </a:schemeClr>
              </a:solidFill>
              <a:round/>
            </a:ln>
            <a:effectLst/>
          </c:spPr>
        </c:majorGridlines>
        <c:numFmt formatCode="General" sourceLinked="1"/>
        <c:majorTickMark val="out"/>
        <c:minorTickMark val="none"/>
        <c:tickLblPos val="nextTo"/>
        <c:crossAx val="109961216"/>
        <c:crosses val="autoZero"/>
        <c:crossBetween val="between"/>
      </c:valAx>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Czechia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8043952133102"/>
          <c:y val="2.4509852935049786E-2"/>
        </c:manualLayout>
      </c:layout>
      <c:overlay val="0"/>
      <c:spPr>
        <a:noFill/>
        <a:ln w="2539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9D5-498C-BB9C-34737F1F5065}"/>
              </c:ext>
            </c:extLst>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9D5-498C-BB9C-34737F1F5065}"/>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9D5-498C-BB9C-34737F1F5065}"/>
              </c:ext>
            </c:extLst>
          </c:dPt>
          <c:dPt>
            <c:idx val="3"/>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9D5-498C-BB9C-34737F1F5065}"/>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9D5-498C-BB9C-34737F1F5065}"/>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59D5-498C-BB9C-34737F1F5065}"/>
              </c:ext>
            </c:extLst>
          </c:dPt>
          <c:dPt>
            <c:idx val="6"/>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A619-49BD-8A50-1D91A0296793}"/>
              </c:ext>
            </c:extLst>
          </c:dPt>
          <c:dPt>
            <c:idx val="7"/>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619-49BD-8A50-1D91A0296793}"/>
              </c:ext>
            </c:extLst>
          </c:dPt>
          <c:dPt>
            <c:idx val="8"/>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A619-49BD-8A50-1D91A0296793}"/>
              </c:ext>
            </c:extLst>
          </c:dPt>
          <c:dLbls>
            <c:dLbl>
              <c:idx val="0"/>
              <c:layout>
                <c:manualLayout>
                  <c:x val="2.700532839584607E-3"/>
                  <c:y val="4.2460386159084169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D5-498C-BB9C-34737F1F5065}"/>
                </c:ext>
              </c:extLst>
            </c:dLbl>
            <c:dLbl>
              <c:idx val="1"/>
              <c:layout>
                <c:manualLayout>
                  <c:x val="1.1114568125792736E-2"/>
                  <c:y val="6.18316190385224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D5-498C-BB9C-34737F1F5065}"/>
                </c:ext>
              </c:extLst>
            </c:dLbl>
            <c:dLbl>
              <c:idx val="2"/>
              <c:layout>
                <c:manualLayout>
                  <c:x val="-4.4074036200020449E-2"/>
                  <c:y val="0.104412990832552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D5-498C-BB9C-34737F1F5065}"/>
                </c:ext>
              </c:extLst>
            </c:dLbl>
            <c:dLbl>
              <c:idx val="3"/>
              <c:layout>
                <c:manualLayout>
                  <c:x val="-1.0180303864338041E-3"/>
                  <c:y val="-5.054334091483447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D5-498C-BB9C-34737F1F5065}"/>
                </c:ext>
              </c:extLst>
            </c:dLbl>
            <c:dLbl>
              <c:idx val="4"/>
              <c:layout>
                <c:manualLayout>
                  <c:x val="3.8728887128954143E-2"/>
                  <c:y val="-0.1169441575678704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D5-498C-BB9C-34737F1F5065}"/>
                </c:ext>
              </c:extLst>
            </c:dLbl>
            <c:dLbl>
              <c:idx val="5"/>
              <c:layout>
                <c:manualLayout>
                  <c:x val="6.0790273556231005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9D5-498C-BB9C-34737F1F5065}"/>
                </c:ext>
              </c:extLst>
            </c:dLbl>
            <c:dLbl>
              <c:idx val="6"/>
              <c:layout>
                <c:manualLayout>
                  <c:x val="1.9342359767891684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19-49BD-8A50-1D91A0296793}"/>
                </c:ext>
              </c:extLst>
            </c:dLbl>
            <c:spPr>
              <a:noFill/>
              <a:ln w="25396">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Blad1!$A$4:$A$12</c:f>
              <c:strCache>
                <c:ptCount val="9"/>
                <c:pt idx="0">
                  <c:v>Migration and home affairs</c:v>
                </c:pt>
                <c:pt idx="1">
                  <c:v>Health and food safety</c:v>
                </c:pt>
                <c:pt idx="2">
                  <c:v>Internal market, industry, entrepreneurship and SMEs</c:v>
                </c:pt>
                <c:pt idx="3">
                  <c:v>Mobility and transport</c:v>
                </c:pt>
                <c:pt idx="4">
                  <c:v>Justice and consumers</c:v>
                </c:pt>
                <c:pt idx="5">
                  <c:v>Communication networks</c:v>
                </c:pt>
                <c:pt idx="6">
                  <c:v>Environment</c:v>
                </c:pt>
                <c:pt idx="7">
                  <c:v>Employment</c:v>
                </c:pt>
                <c:pt idx="8">
                  <c:v>Taxation and customs</c:v>
                </c:pt>
              </c:strCache>
            </c:strRef>
          </c:cat>
          <c:val>
            <c:numRef>
              <c:f>Blad1!$B$4:$B$12</c:f>
              <c:numCache>
                <c:formatCode>General</c:formatCode>
                <c:ptCount val="9"/>
                <c:pt idx="0">
                  <c:v>3</c:v>
                </c:pt>
                <c:pt idx="1">
                  <c:v>3</c:v>
                </c:pt>
                <c:pt idx="2">
                  <c:v>3</c:v>
                </c:pt>
                <c:pt idx="3">
                  <c:v>3</c:v>
                </c:pt>
                <c:pt idx="4">
                  <c:v>2</c:v>
                </c:pt>
                <c:pt idx="5">
                  <c:v>2</c:v>
                </c:pt>
                <c:pt idx="6">
                  <c:v>2</c:v>
                </c:pt>
                <c:pt idx="7">
                  <c:v>2</c:v>
                </c:pt>
                <c:pt idx="8">
                  <c:v>1</c:v>
                </c:pt>
              </c:numCache>
            </c:numRef>
          </c:val>
          <c:extLst xmlns:c16r2="http://schemas.microsoft.com/office/drawing/2015/06/chart">
            <c:ext xmlns:c16="http://schemas.microsoft.com/office/drawing/2014/chart" uri="{C3380CC4-5D6E-409C-BE32-E72D297353CC}">
              <c16:uniqueId val="{0000000B-59D5-498C-BB9C-34737F1F5065}"/>
            </c:ext>
          </c:extLst>
        </c:ser>
        <c:dLbls>
          <c:showLegendKey val="0"/>
          <c:showVal val="0"/>
          <c:showCatName val="0"/>
          <c:showSerName val="0"/>
          <c:showPercent val="0"/>
          <c:showBubbleSize val="0"/>
          <c:showLeaderLines val="0"/>
        </c:dLbls>
        <c:firstSliceAng val="265"/>
      </c:pieChart>
      <c:spPr>
        <a:noFill/>
        <a:ln w="25396">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7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Blad1!$A$3:$A$8</c:f>
              <c:numCache>
                <c:formatCode>General</c:formatCode>
                <c:ptCount val="6"/>
                <c:pt idx="0">
                  <c:v>2013</c:v>
                </c:pt>
                <c:pt idx="1">
                  <c:v>2014</c:v>
                </c:pt>
                <c:pt idx="2">
                  <c:v>2015</c:v>
                </c:pt>
                <c:pt idx="3">
                  <c:v>2016</c:v>
                </c:pt>
                <c:pt idx="4">
                  <c:v>2017</c:v>
                </c:pt>
                <c:pt idx="5">
                  <c:v>2018</c:v>
                </c:pt>
              </c:numCache>
            </c:numRef>
          </c:cat>
          <c:val>
            <c:numRef>
              <c:f>Blad1!$B$3:$B$8</c:f>
              <c:numCache>
                <c:formatCode>General</c:formatCode>
                <c:ptCount val="6"/>
                <c:pt idx="0">
                  <c:v>57</c:v>
                </c:pt>
                <c:pt idx="1">
                  <c:v>60</c:v>
                </c:pt>
                <c:pt idx="2">
                  <c:v>61</c:v>
                </c:pt>
                <c:pt idx="3">
                  <c:v>68</c:v>
                </c:pt>
                <c:pt idx="4">
                  <c:v>53</c:v>
                </c:pt>
                <c:pt idx="5">
                  <c:v>56</c:v>
                </c:pt>
              </c:numCache>
            </c:numRef>
          </c:val>
          <c:smooth val="0"/>
          <c:extLst xmlns:c16r2="http://schemas.microsoft.com/office/drawing/2015/06/chart">
            <c:ext xmlns:c16="http://schemas.microsoft.com/office/drawing/2014/chart" uri="{C3380CC4-5D6E-409C-BE32-E72D297353CC}">
              <c16:uniqueId val="{00000000-2A30-473F-A08C-401F14148F23}"/>
            </c:ext>
          </c:extLst>
        </c:ser>
        <c:dLbls>
          <c:showLegendKey val="0"/>
          <c:showVal val="0"/>
          <c:showCatName val="0"/>
          <c:showSerName val="0"/>
          <c:showPercent val="0"/>
          <c:showBubbleSize val="0"/>
        </c:dLbls>
        <c:marker val="1"/>
        <c:smooth val="0"/>
        <c:axId val="110625920"/>
        <c:axId val="110627456"/>
      </c:lineChart>
      <c:catAx>
        <c:axId val="110625920"/>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627456"/>
        <c:crosses val="autoZero"/>
        <c:auto val="1"/>
        <c:lblAlgn val="ctr"/>
        <c:lblOffset val="100"/>
        <c:noMultiLvlLbl val="0"/>
      </c:catAx>
      <c:valAx>
        <c:axId val="110627456"/>
        <c:scaling>
          <c:orientation val="minMax"/>
        </c:scaling>
        <c:delete val="1"/>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crossAx val="110625920"/>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56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8BF-4AA2-B9FA-28274159941E}"/>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8BF-4AA2-B9FA-28274159941E}"/>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8BF-4AA2-B9FA-28274159941E}"/>
              </c:ext>
            </c:extLst>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8BF-4AA2-B9FA-28274159941E}"/>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8BF-4AA2-B9FA-28274159941E}"/>
              </c:ext>
            </c:extLst>
          </c:dPt>
          <c:dLbls>
            <c:dLbl>
              <c:idx val="0"/>
              <c:layout>
                <c:manualLayout>
                  <c:x val="8.4305674661954381E-3"/>
                  <c:y val="4.6926840455622662E-2"/>
                </c:manualLayout>
              </c:layou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BF-4AA2-B9FA-28274159941E}"/>
                </c:ext>
              </c:extLst>
            </c:dLbl>
            <c:dLbl>
              <c:idx val="1"/>
              <c:layout>
                <c:manualLayout>
                  <c:x val="-3.5712646067756385E-2"/>
                  <c:y val="5.531050123588918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BF-4AA2-B9FA-28274159941E}"/>
                </c:ext>
              </c:extLst>
            </c:dLbl>
            <c:dLbl>
              <c:idx val="2"/>
              <c:layout>
                <c:manualLayout>
                  <c:x val="7.3371707249465104E-3"/>
                  <c:y val="5.17124073083097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BF-4AA2-B9FA-28274159941E}"/>
                </c:ext>
              </c:extLst>
            </c:dLbl>
            <c:dLbl>
              <c:idx val="3"/>
              <c:layout>
                <c:manualLayout>
                  <c:x val="8.1830427137200897E-3"/>
                  <c:y val="-1.6563463547737952E-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BF-4AA2-B9FA-28274159941E}"/>
                </c:ext>
              </c:extLst>
            </c:dLbl>
            <c:dLbl>
              <c:idx val="4"/>
              <c:layout>
                <c:manualLayout>
                  <c:x val="4.9496504768587093E-2"/>
                  <c:y val="-4.853434582813070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1152365236523652"/>
                      <c:h val="0.17090861215163639"/>
                    </c:manualLayout>
                  </c15:layout>
                </c:ext>
                <c:ext xmlns:c16="http://schemas.microsoft.com/office/drawing/2014/chart" uri="{C3380CC4-5D6E-409C-BE32-E72D297353CC}">
                  <c16:uniqueId val="{00000009-68BF-4AA2-B9FA-282741599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Taxation and customs</c:v>
                </c:pt>
                <c:pt idx="1">
                  <c:v>Justice and consumers</c:v>
                </c:pt>
                <c:pt idx="2">
                  <c:v>Employment</c:v>
                </c:pt>
                <c:pt idx="3">
                  <c:v>Environment</c:v>
                </c:pt>
                <c:pt idx="4">
                  <c:v>Other</c:v>
                </c:pt>
              </c:strCache>
            </c:strRef>
          </c:cat>
          <c:val>
            <c:numRef>
              <c:f>Blad1!$B$3:$B$7</c:f>
              <c:numCache>
                <c:formatCode>General</c:formatCode>
                <c:ptCount val="5"/>
                <c:pt idx="0">
                  <c:v>12</c:v>
                </c:pt>
                <c:pt idx="1">
                  <c:v>11</c:v>
                </c:pt>
                <c:pt idx="2">
                  <c:v>11</c:v>
                </c:pt>
                <c:pt idx="3">
                  <c:v>7</c:v>
                </c:pt>
                <c:pt idx="4">
                  <c:v>15</c:v>
                </c:pt>
              </c:numCache>
            </c:numRef>
          </c:val>
          <c:extLst xmlns:c16r2="http://schemas.microsoft.com/office/drawing/2015/06/chart">
            <c:ext xmlns:c16="http://schemas.microsoft.com/office/drawing/2014/chart" uri="{C3380CC4-5D6E-409C-BE32-E72D297353CC}">
              <c16:uniqueId val="{0000000A-68BF-4AA2-B9FA-28274159941E}"/>
            </c:ext>
          </c:extLst>
        </c:ser>
        <c:dLbls>
          <c:showLegendKey val="0"/>
          <c:showVal val="0"/>
          <c:showCatName val="0"/>
          <c:showSerName val="0"/>
          <c:showPercent val="0"/>
          <c:showBubbleSize val="0"/>
          <c:showLeaderLines val="0"/>
        </c:dLbls>
        <c:firstSliceAng val="20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6.375518010838381E-2"/>
          <c:w val="0.93888888888888888"/>
          <c:h val="0.7893997445721583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886739503582815E-2"/>
                  <c:y val="8.47583513233587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F0-4C1C-8149-38A515F4A3D2}"/>
                </c:ext>
              </c:extLst>
            </c:dLbl>
            <c:dLbl>
              <c:idx val="2"/>
              <c:layout>
                <c:manualLayout>
                  <c:x val="-5.6166666666666663E-2"/>
                  <c:y val="7.96296296296296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F0-4C1C-8149-38A515F4A3D2}"/>
                </c:ext>
              </c:extLst>
            </c:dLbl>
            <c:dLbl>
              <c:idx val="3"/>
              <c:layout>
                <c:manualLayout>
                  <c:x val="-3.9743890145219736E-2"/>
                  <c:y val="4.73219611415449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00-4E9F-847B-9D5B2BE411F0}"/>
                </c:ext>
              </c:extLst>
            </c:dLbl>
            <c:dLbl>
              <c:idx val="4"/>
              <c:layout>
                <c:manualLayout>
                  <c:x val="-9.882570907010326E-4"/>
                  <c:y val="1.5613262288331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E5-46B6-9383-E5F080C9CD98}"/>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42</c:v>
                </c:pt>
                <c:pt idx="1">
                  <c:v>18</c:v>
                </c:pt>
                <c:pt idx="2">
                  <c:v>25</c:v>
                </c:pt>
                <c:pt idx="3">
                  <c:v>2</c:v>
                </c:pt>
                <c:pt idx="4">
                  <c:v>3</c:v>
                </c:pt>
              </c:numCache>
            </c:numRef>
          </c:val>
          <c:smooth val="0"/>
          <c:extLst xmlns:c16r2="http://schemas.microsoft.com/office/drawing/2015/06/chart">
            <c:ext xmlns:c16="http://schemas.microsoft.com/office/drawing/2014/chart" uri="{C3380CC4-5D6E-409C-BE32-E72D297353CC}">
              <c16:uniqueId val="{00000002-BDF0-4C1C-8149-38A515F4A3D2}"/>
            </c:ext>
          </c:extLst>
        </c:ser>
        <c:dLbls>
          <c:showLegendKey val="0"/>
          <c:showVal val="0"/>
          <c:showCatName val="0"/>
          <c:showSerName val="0"/>
          <c:showPercent val="0"/>
          <c:showBubbleSize val="0"/>
        </c:dLbls>
        <c:marker val="1"/>
        <c:smooth val="0"/>
        <c:axId val="110312064"/>
        <c:axId val="110326144"/>
      </c:lineChart>
      <c:catAx>
        <c:axId val="110312064"/>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326144"/>
        <c:crosses val="autoZero"/>
        <c:auto val="1"/>
        <c:lblAlgn val="ctr"/>
        <c:lblOffset val="100"/>
        <c:noMultiLvlLbl val="0"/>
      </c:catAx>
      <c:valAx>
        <c:axId val="110326144"/>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10312064"/>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6.375518010838381E-2"/>
          <c:w val="0.93888888888888888"/>
          <c:h val="0.78939974457215834"/>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3350407323652017E-2"/>
                  <c:y val="7.84192071078278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F4-4203-9A92-05AC7025894D}"/>
                </c:ext>
              </c:extLst>
            </c:dLbl>
            <c:dLbl>
              <c:idx val="2"/>
              <c:layout>
                <c:manualLayout>
                  <c:x val="-5.6166666666666663E-2"/>
                  <c:y val="7.96296296296296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F4-4203-9A92-05AC7025894D}"/>
                </c:ext>
              </c:extLst>
            </c:dLbl>
            <c:dLbl>
              <c:idx val="3"/>
              <c:layout>
                <c:manualLayout>
                  <c:x val="-3.9349589951775059E-2"/>
                  <c:y val="-9.21392116001347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F4-4203-9A92-05AC7025894D}"/>
                </c:ext>
              </c:extLst>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28</c:v>
                </c:pt>
                <c:pt idx="1">
                  <c:v>24</c:v>
                </c:pt>
                <c:pt idx="2">
                  <c:v>32</c:v>
                </c:pt>
                <c:pt idx="3">
                  <c:v>16</c:v>
                </c:pt>
                <c:pt idx="4">
                  <c:v>9</c:v>
                </c:pt>
              </c:numCache>
            </c:numRef>
          </c:val>
          <c:smooth val="0"/>
          <c:extLst xmlns:c16r2="http://schemas.microsoft.com/office/drawing/2015/06/chart">
            <c:ext xmlns:c16="http://schemas.microsoft.com/office/drawing/2014/chart" uri="{C3380CC4-5D6E-409C-BE32-E72D297353CC}">
              <c16:uniqueId val="{00000002-D8F4-4203-9A92-05AC7025894D}"/>
            </c:ext>
          </c:extLst>
        </c:ser>
        <c:dLbls>
          <c:showLegendKey val="0"/>
          <c:showVal val="0"/>
          <c:showCatName val="0"/>
          <c:showSerName val="0"/>
          <c:showPercent val="0"/>
          <c:showBubbleSize val="0"/>
        </c:dLbls>
        <c:marker val="1"/>
        <c:smooth val="0"/>
        <c:axId val="110990848"/>
        <c:axId val="110992384"/>
      </c:lineChart>
      <c:catAx>
        <c:axId val="110990848"/>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992384"/>
        <c:crosses val="autoZero"/>
        <c:auto val="1"/>
        <c:lblAlgn val="ctr"/>
        <c:lblOffset val="100"/>
        <c:noMultiLvlLbl val="0"/>
      </c:catAx>
      <c:valAx>
        <c:axId val="110992384"/>
        <c:scaling>
          <c:orientation val="minMax"/>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10990848"/>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Denmark</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6.36528757100386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F7-4D28-95AD-F6A74C882F06}"/>
                </c:ext>
              </c:extLst>
            </c:dLbl>
            <c:dLbl>
              <c:idx val="1"/>
              <c:layout>
                <c:manualLayout>
                  <c:x val="-5.8506999125109364E-2"/>
                  <c:y val="-6.36528757100386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F7-4D28-95AD-F6A74C882F06}"/>
                </c:ext>
              </c:extLst>
            </c:dLbl>
            <c:dLbl>
              <c:idx val="2"/>
              <c:layout>
                <c:manualLayout>
                  <c:x val="-5.2951529847696376E-2"/>
                  <c:y val="6.247585908561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F7-4D28-95AD-F6A74C882F06}"/>
                </c:ext>
              </c:extLst>
            </c:dLbl>
            <c:dLbl>
              <c:idx val="3"/>
              <c:layout>
                <c:manualLayout>
                  <c:x val="-3.9885349971392085E-2"/>
                  <c:y val="-5.99049255738859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F7-4D28-95AD-F6A74C882F06}"/>
                </c:ext>
              </c:extLst>
            </c:dLbl>
            <c:dLbl>
              <c:idx val="4"/>
              <c:layout>
                <c:manualLayout>
                  <c:x val="-4.189550932999047E-2"/>
                  <c:y val="-5.67226533733643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F7-4D28-95AD-F6A74C882F06}"/>
                </c:ext>
              </c:extLst>
            </c:dLbl>
            <c:spPr>
              <a:noFill/>
              <a:ln w="25396">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c:v>
                </c:pt>
                <c:pt idx="1">
                  <c:v>0.82</c:v>
                </c:pt>
                <c:pt idx="2">
                  <c:v>0.65</c:v>
                </c:pt>
                <c:pt idx="3">
                  <c:v>0.83</c:v>
                </c:pt>
                <c:pt idx="4">
                  <c:v>0.8</c:v>
                </c:pt>
              </c:numCache>
            </c:numRef>
          </c:val>
          <c:smooth val="0"/>
          <c:extLst xmlns:c16r2="http://schemas.microsoft.com/office/drawing/2015/06/chart">
            <c:ext xmlns:c16="http://schemas.microsoft.com/office/drawing/2014/chart" uri="{C3380CC4-5D6E-409C-BE32-E72D297353CC}">
              <c16:uniqueId val="{00000005-0AF7-4D28-95AD-F6A74C882F06}"/>
            </c:ext>
          </c:extLst>
        </c:ser>
        <c:ser>
          <c:idx val="1"/>
          <c:order val="1"/>
          <c:tx>
            <c:strRef>
              <c:f>Blad1!$C$2</c:f>
              <c:strCache>
                <c:ptCount val="1"/>
                <c:pt idx="0">
                  <c:v>General rate for all Member States</c:v>
                </c:pt>
              </c:strCache>
            </c:strRef>
          </c:tx>
          <c:spPr>
            <a:ln w="25396">
              <a:solidFill>
                <a:srgbClr val="92D050"/>
              </a:solidFill>
            </a:ln>
          </c:spPr>
          <c:marker>
            <c:symbol val="square"/>
            <c:size val="4"/>
            <c:spPr>
              <a:solidFill>
                <a:srgbClr val="92D050"/>
              </a:solidFill>
              <a:ln>
                <a:solidFill>
                  <a:srgbClr val="92D050"/>
                </a:solidFill>
              </a:ln>
            </c:spPr>
          </c:marker>
          <c:dLbls>
            <c:dLbl>
              <c:idx val="0"/>
              <c:layout>
                <c:manualLayout>
                  <c:x val="-4.7395888013998251E-2"/>
                  <c:y val="8.1787122157584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F7-4D28-95AD-F6A74C882F06}"/>
                </c:ext>
              </c:extLst>
            </c:dLbl>
            <c:dLbl>
              <c:idx val="1"/>
              <c:layout>
                <c:manualLayout>
                  <c:x val="-5.8506999125109364E-2"/>
                  <c:y val="7.57426906597135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F7-4D28-95AD-F6A74C882F06}"/>
                </c:ext>
              </c:extLst>
            </c:dLbl>
            <c:dLbl>
              <c:idx val="2"/>
              <c:layout>
                <c:manualLayout>
                  <c:x val="-4.1859466528621637E-2"/>
                  <c:y val="-6.23945423213572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AF7-4D28-95AD-F6A74C882F06}"/>
                </c:ext>
              </c:extLst>
            </c:dLbl>
            <c:dLbl>
              <c:idx val="3"/>
              <c:layout>
                <c:manualLayout>
                  <c:x val="-4.738620821186279E-2"/>
                  <c:y val="4.576242739996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F7-4D28-95AD-F6A74C882F06}"/>
                </c:ext>
              </c:extLst>
            </c:dLbl>
            <c:dLbl>
              <c:idx val="4"/>
              <c:layout>
                <c:manualLayout>
                  <c:x val="-3.906255468066492E-2"/>
                  <c:y val="5.15096618357487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AF7-4D28-95AD-F6A74C882F06}"/>
                </c:ext>
              </c:extLst>
            </c:dLbl>
            <c:spPr>
              <a:noFill/>
              <a:ln w="25396">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B-0AF7-4D28-95AD-F6A74C882F06}"/>
            </c:ext>
          </c:extLst>
        </c:ser>
        <c:dLbls>
          <c:showLegendKey val="0"/>
          <c:showVal val="0"/>
          <c:showCatName val="0"/>
          <c:showSerName val="0"/>
          <c:showPercent val="0"/>
          <c:showBubbleSize val="0"/>
        </c:dLbls>
        <c:marker val="1"/>
        <c:smooth val="0"/>
        <c:axId val="111121536"/>
        <c:axId val="111123072"/>
      </c:lineChart>
      <c:catAx>
        <c:axId val="111121536"/>
        <c:scaling>
          <c:orientation val="minMax"/>
        </c:scaling>
        <c:delete val="0"/>
        <c:axPos val="b"/>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123072"/>
        <c:crosses val="autoZero"/>
        <c:auto val="1"/>
        <c:lblAlgn val="ctr"/>
        <c:lblOffset val="100"/>
        <c:noMultiLvlLbl val="0"/>
      </c:catAx>
      <c:valAx>
        <c:axId val="111123072"/>
        <c:scaling>
          <c:orientation val="minMax"/>
          <c:min val="0.5"/>
        </c:scaling>
        <c:delete val="1"/>
        <c:axPos val="l"/>
        <c:majorGridlines>
          <c:spPr>
            <a:ln w="9524" cap="flat" cmpd="sng" algn="ctr">
              <a:solidFill>
                <a:schemeClr val="tx1">
                  <a:lumMod val="15000"/>
                  <a:lumOff val="85000"/>
                </a:schemeClr>
              </a:solidFill>
              <a:round/>
            </a:ln>
            <a:effectLst/>
          </c:spPr>
        </c:majorGridlines>
        <c:numFmt formatCode="0%" sourceLinked="1"/>
        <c:majorTickMark val="out"/>
        <c:minorTickMark val="none"/>
        <c:tickLblPos val="nextTo"/>
        <c:crossAx val="111121536"/>
        <c:crosses val="autoZero"/>
        <c:crossBetween val="between"/>
      </c:valAx>
      <c:spPr>
        <a:noFill/>
        <a:ln w="25396">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3.95E-2"/>
                  <c:y val="7.1810699588477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31-4345-90C5-20720A9F2D34}"/>
                </c:ext>
              </c:extLst>
            </c:dLbl>
            <c:dLbl>
              <c:idx val="1"/>
              <c:layout>
                <c:manualLayout>
                  <c:x val="-4.7617251995749718E-2"/>
                  <c:y val="6.1628683085376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31-4345-90C5-20720A9F2D34}"/>
                </c:ext>
              </c:extLst>
            </c:dLbl>
            <c:dLbl>
              <c:idx val="3"/>
              <c:layout>
                <c:manualLayout>
                  <c:x val="-4.2131487889273456E-2"/>
                  <c:y val="-5.8538083538083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31-4345-90C5-20720A9F2D34}"/>
                </c:ext>
              </c:extLst>
            </c:dLbl>
            <c:dLbl>
              <c:idx val="4"/>
              <c:layout>
                <c:manualLayout>
                  <c:x val="-4.2277777777777775E-2"/>
                  <c:y val="-6.53635116598079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31-4345-90C5-20720A9F2D34}"/>
                </c:ext>
              </c:extLst>
            </c:dLbl>
            <c:spPr>
              <a:noFill/>
              <a:ln w="25410">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26</c:v>
                </c:pt>
                <c:pt idx="1">
                  <c:v>23</c:v>
                </c:pt>
                <c:pt idx="2">
                  <c:v>34</c:v>
                </c:pt>
                <c:pt idx="3">
                  <c:v>28</c:v>
                </c:pt>
                <c:pt idx="4">
                  <c:v>32</c:v>
                </c:pt>
              </c:numCache>
            </c:numRef>
          </c:val>
          <c:smooth val="0"/>
          <c:extLst xmlns:c16r2="http://schemas.microsoft.com/office/drawing/2015/06/chart">
            <c:ext xmlns:c16="http://schemas.microsoft.com/office/drawing/2014/chart" uri="{C3380CC4-5D6E-409C-BE32-E72D297353CC}">
              <c16:uniqueId val="{00000003-4C31-4345-90C5-20720A9F2D34}"/>
            </c:ext>
          </c:extLst>
        </c:ser>
        <c:dLbls>
          <c:showLegendKey val="0"/>
          <c:showVal val="0"/>
          <c:showCatName val="0"/>
          <c:showSerName val="0"/>
          <c:showPercent val="0"/>
          <c:showBubbleSize val="0"/>
        </c:dLbls>
        <c:marker val="1"/>
        <c:smooth val="0"/>
        <c:axId val="111158016"/>
        <c:axId val="111159552"/>
      </c:lineChart>
      <c:catAx>
        <c:axId val="111158016"/>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159552"/>
        <c:crosses val="autoZero"/>
        <c:auto val="1"/>
        <c:lblAlgn val="ctr"/>
        <c:lblOffset val="100"/>
        <c:noMultiLvlLbl val="0"/>
      </c:catAx>
      <c:valAx>
        <c:axId val="111159552"/>
        <c:scaling>
          <c:orientation val="minMax"/>
          <c:min val="15"/>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1158016"/>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97209266039"/>
          <c:y val="2.73226103147363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Denmark</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53A6-4BC4-BDA0-DD1CE83202C6}"/>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53A6-4BC4-BDA0-DD1CE83202C6}"/>
              </c:ext>
            </c:extLst>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53A6-4BC4-BDA0-DD1CE83202C6}"/>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53A6-4BC4-BDA0-DD1CE83202C6}"/>
              </c:ext>
            </c:extLst>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53A6-4BC4-BDA0-DD1CE83202C6}"/>
              </c:ext>
            </c:extLst>
          </c:dPt>
          <c:dPt>
            <c:idx val="5"/>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53A6-4BC4-BDA0-DD1CE83202C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A6-4BC4-BDA0-DD1CE83202C6}"/>
                </c:ext>
              </c:extLst>
            </c:dLbl>
            <c:dLbl>
              <c:idx val="1"/>
              <c:layout>
                <c:manualLayout>
                  <c:x val="-3.3307795003133286E-2"/>
                  <c:y val="0.19240192775414075"/>
                </c:manualLayout>
              </c:layout>
              <c:spPr>
                <a:noFill/>
                <a:ln w="25384">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A6-4BC4-BDA0-DD1CE83202C6}"/>
                </c:ext>
              </c:extLst>
            </c:dLbl>
            <c:dLbl>
              <c:idx val="2"/>
              <c:layout>
                <c:manualLayout>
                  <c:x val="-8.2180134459936688E-3"/>
                  <c:y val="-5.2029204818453065E-2"/>
                </c:manualLayout>
              </c:layout>
              <c:spPr>
                <a:noFill/>
                <a:ln w="25384">
                  <a:noFill/>
                </a:ln>
              </c:spPr>
              <c:txPr>
                <a:bodyPr rot="0" spcFirstLastPara="1" vertOverflow="ellipsis" vert="horz" wrap="square" lIns="38100" tIns="19050" rIns="38100" bIns="19050" anchor="ctr" anchorCtr="1">
                  <a:spAutoFit/>
                </a:bodyPr>
                <a:lstStyle/>
                <a:p>
                  <a:pPr>
                    <a:defRPr sz="84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A6-4BC4-BDA0-DD1CE83202C6}"/>
                </c:ext>
              </c:extLst>
            </c:dLbl>
            <c:dLbl>
              <c:idx val="3"/>
              <c:layout>
                <c:manualLayout>
                  <c:x val="3.4186787698049372E-2"/>
                  <c:y val="-0.1126121042687253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3A6-4BC4-BDA0-DD1CE83202C6}"/>
                </c:ext>
              </c:extLst>
            </c:dLbl>
            <c:dLbl>
              <c:idx val="4"/>
              <c:layout>
                <c:manualLayout>
                  <c:x val="3.042999209873842E-2"/>
                  <c:y val="-3.81110062953622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3A6-4BC4-BDA0-DD1CE83202C6}"/>
                </c:ext>
              </c:extLst>
            </c:dLbl>
            <c:dLbl>
              <c:idx val="5"/>
              <c:layout>
                <c:manualLayout>
                  <c:x val="0"/>
                  <c:y val="-3.2786885245901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3A6-4BC4-BDA0-DD1CE83202C6}"/>
                </c:ext>
              </c:extLst>
            </c:dLbl>
            <c:dLbl>
              <c:idx val="6"/>
              <c:layout>
                <c:manualLayout>
                  <c:x val="2.7731558513588463E-2"/>
                  <c:y val="3.27868852459016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3A6-4BC4-BDA0-DD1CE83202C6}"/>
                </c:ext>
              </c:extLst>
            </c:dLbl>
            <c:dLbl>
              <c:idx val="7"/>
              <c:layout>
                <c:manualLayout>
                  <c:x val="8.3194675540765387E-3"/>
                  <c:y val="1.639344262295082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3A6-4BC4-BDA0-DD1CE83202C6}"/>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0">
                  <c:v>Policy Area</c:v>
                </c:pt>
                <c:pt idx="1">
                  <c:v>Internal market, industry, entrepreneurship and SMEs</c:v>
                </c:pt>
                <c:pt idx="2">
                  <c:v>Mobility and transport</c:v>
                </c:pt>
                <c:pt idx="3">
                  <c:v>Taxation and customs</c:v>
                </c:pt>
                <c:pt idx="4">
                  <c:v>Energy</c:v>
                </c:pt>
                <c:pt idx="5">
                  <c:v>Other</c:v>
                </c:pt>
              </c:strCache>
            </c:strRef>
          </c:cat>
          <c:val>
            <c:numRef>
              <c:f>Blad1!$B$2:$B$7</c:f>
              <c:numCache>
                <c:formatCode>General</c:formatCode>
                <c:ptCount val="6"/>
                <c:pt idx="0">
                  <c:v>0</c:v>
                </c:pt>
                <c:pt idx="1">
                  <c:v>6</c:v>
                </c:pt>
                <c:pt idx="2">
                  <c:v>3</c:v>
                </c:pt>
                <c:pt idx="3">
                  <c:v>2</c:v>
                </c:pt>
                <c:pt idx="4">
                  <c:v>2</c:v>
                </c:pt>
                <c:pt idx="5">
                  <c:v>4</c:v>
                </c:pt>
              </c:numCache>
            </c:numRef>
          </c:val>
          <c:extLst xmlns:c16r2="http://schemas.microsoft.com/office/drawing/2015/06/chart">
            <c:ext xmlns:c16="http://schemas.microsoft.com/office/drawing/2014/chart" uri="{C3380CC4-5D6E-409C-BE32-E72D297353CC}">
              <c16:uniqueId val="{0000000D-53A6-4BC4-BDA0-DD1CE83202C6}"/>
            </c:ext>
          </c:extLst>
        </c:ser>
        <c:dLbls>
          <c:showLegendKey val="0"/>
          <c:showVal val="0"/>
          <c:showCatName val="0"/>
          <c:showSerName val="0"/>
          <c:showPercent val="0"/>
          <c:showBubbleSize val="0"/>
          <c:showLeaderLines val="0"/>
        </c:dLbls>
        <c:firstSliceAng val="261"/>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3.9292622271345778E-2"/>
                  <c:y val="-8.5020479812755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7D9-48F5-9215-832DB31C805B}"/>
                </c:ext>
              </c:extLst>
            </c:dLbl>
            <c:spPr>
              <a:noFill/>
              <a:ln w="25396">
                <a:noFill/>
              </a:ln>
            </c:spPr>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51</c:v>
                </c:pt>
                <c:pt idx="1">
                  <c:v>48</c:v>
                </c:pt>
                <c:pt idx="2">
                  <c:v>52</c:v>
                </c:pt>
                <c:pt idx="3">
                  <c:v>36</c:v>
                </c:pt>
                <c:pt idx="4">
                  <c:v>19</c:v>
                </c:pt>
              </c:numCache>
            </c:numRef>
          </c:val>
          <c:smooth val="0"/>
          <c:extLst xmlns:c16r2="http://schemas.microsoft.com/office/drawing/2015/06/chart">
            <c:ext xmlns:c16="http://schemas.microsoft.com/office/drawing/2014/chart" uri="{C3380CC4-5D6E-409C-BE32-E72D297353CC}">
              <c16:uniqueId val="{00000000-8FA1-4C29-B222-DC7120A46057}"/>
            </c:ext>
          </c:extLst>
        </c:ser>
        <c:dLbls>
          <c:showLegendKey val="0"/>
          <c:showVal val="0"/>
          <c:showCatName val="0"/>
          <c:showSerName val="0"/>
          <c:showPercent val="0"/>
          <c:showBubbleSize val="0"/>
        </c:dLbls>
        <c:marker val="1"/>
        <c:smooth val="0"/>
        <c:axId val="106060032"/>
        <c:axId val="106074112"/>
      </c:lineChart>
      <c:catAx>
        <c:axId val="106060032"/>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74112"/>
        <c:crosses val="autoZero"/>
        <c:auto val="1"/>
        <c:lblAlgn val="ctr"/>
        <c:lblOffset val="100"/>
        <c:noMultiLvlLbl val="0"/>
      </c:catAx>
      <c:valAx>
        <c:axId val="1060741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06060032"/>
        <c:crosses val="autoZero"/>
        <c:crossBetween val="between"/>
      </c:valAx>
      <c:spPr>
        <a:noFill/>
        <a:ln w="25396">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99651567944251E-2"/>
          <c:y val="0.10624807584936574"/>
          <c:w val="0.93863319386331934"/>
          <c:h val="0.7812825635601520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70534650505373E-2"/>
                  <c:y val="0.1076792650918635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AD-4CB6-9FA0-B62A0D2F8E4E}"/>
                </c:ext>
              </c:extLst>
            </c:dLbl>
            <c:dLbl>
              <c:idx val="3"/>
              <c:layout>
                <c:manualLayout>
                  <c:x val="-4.5192417419394483E-2"/>
                  <c:y val="-7.659336407650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8D-47CA-9557-C573AA53EC8C}"/>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7</c:v>
                </c:pt>
                <c:pt idx="1">
                  <c:v>8</c:v>
                </c:pt>
                <c:pt idx="2">
                  <c:v>18</c:v>
                </c:pt>
                <c:pt idx="3">
                  <c:v>14</c:v>
                </c:pt>
                <c:pt idx="4">
                  <c:v>13</c:v>
                </c:pt>
              </c:numCache>
            </c:numRef>
          </c:val>
          <c:smooth val="0"/>
          <c:extLst xmlns:c16r2="http://schemas.microsoft.com/office/drawing/2015/06/chart">
            <c:ext xmlns:c16="http://schemas.microsoft.com/office/drawing/2014/chart" uri="{C3380CC4-5D6E-409C-BE32-E72D297353CC}">
              <c16:uniqueId val="{00000001-35AD-4CB6-9FA0-B62A0D2F8E4E}"/>
            </c:ext>
          </c:extLst>
        </c:ser>
        <c:dLbls>
          <c:showLegendKey val="0"/>
          <c:showVal val="0"/>
          <c:showCatName val="0"/>
          <c:showSerName val="0"/>
          <c:showPercent val="0"/>
          <c:showBubbleSize val="0"/>
        </c:dLbls>
        <c:marker val="1"/>
        <c:smooth val="0"/>
        <c:axId val="110705280"/>
        <c:axId val="110719360"/>
      </c:lineChart>
      <c:catAx>
        <c:axId val="110705280"/>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719360"/>
        <c:crosses val="autoZero"/>
        <c:auto val="1"/>
        <c:lblAlgn val="ctr"/>
        <c:lblOffset val="100"/>
        <c:noMultiLvlLbl val="0"/>
      </c:catAx>
      <c:valAx>
        <c:axId val="110719360"/>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110705280"/>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270534650505373E-2"/>
                  <c:y val="9.43459317585301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22-45EA-B3FC-5EAC7FA1E1ED}"/>
                </c:ext>
              </c:extLst>
            </c:dLbl>
            <c:dLbl>
              <c:idx val="3"/>
              <c:layout>
                <c:manualLayout>
                  <c:x val="-4.2405349414935171E-2"/>
                  <c:y val="-7.659336407650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3F-43F2-A0E4-ABEDB466AA54}"/>
                </c:ext>
              </c:extLst>
            </c:dLbl>
            <c:dLbl>
              <c:idx val="4"/>
              <c:layout>
                <c:manualLayout>
                  <c:x val="-3.9703210175651121E-2"/>
                  <c:y val="8.24957388294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22-45EA-B3FC-5EAC7FA1E1ED}"/>
                </c:ext>
              </c:extLst>
            </c:dLbl>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20</c:v>
                </c:pt>
                <c:pt idx="1">
                  <c:v>15</c:v>
                </c:pt>
                <c:pt idx="2">
                  <c:v>28</c:v>
                </c:pt>
                <c:pt idx="3">
                  <c:v>15</c:v>
                </c:pt>
                <c:pt idx="4">
                  <c:v>9</c:v>
                </c:pt>
              </c:numCache>
            </c:numRef>
          </c:val>
          <c:smooth val="0"/>
          <c:extLst xmlns:c16r2="http://schemas.microsoft.com/office/drawing/2015/06/chart">
            <c:ext xmlns:c16="http://schemas.microsoft.com/office/drawing/2014/chart" uri="{C3380CC4-5D6E-409C-BE32-E72D297353CC}">
              <c16:uniqueId val="{00000002-5522-45EA-B3FC-5EAC7FA1E1ED}"/>
            </c:ext>
          </c:extLst>
        </c:ser>
        <c:dLbls>
          <c:showLegendKey val="0"/>
          <c:showVal val="0"/>
          <c:showCatName val="0"/>
          <c:showSerName val="0"/>
          <c:showPercent val="0"/>
          <c:showBubbleSize val="0"/>
        </c:dLbls>
        <c:marker val="1"/>
        <c:smooth val="0"/>
        <c:axId val="110732800"/>
        <c:axId val="110734336"/>
      </c:lineChart>
      <c:catAx>
        <c:axId val="110732800"/>
        <c:scaling>
          <c:orientation val="minMax"/>
        </c:scaling>
        <c:delete val="0"/>
        <c:axPos val="b"/>
        <c:numFmt formatCode="General" sourceLinked="1"/>
        <c:majorTickMark val="none"/>
        <c:minorTickMark val="none"/>
        <c:tickLblPos val="nextTo"/>
        <c:spPr>
          <a:noFill/>
          <a:ln w="1268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0734336"/>
        <c:crosses val="autoZero"/>
        <c:auto val="1"/>
        <c:lblAlgn val="ctr"/>
        <c:lblOffset val="100"/>
        <c:noMultiLvlLbl val="0"/>
      </c:catAx>
      <c:valAx>
        <c:axId val="110734336"/>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110732800"/>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9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Denmark</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723821053631294"/>
          <c:y val="1.4388489208633094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46D-4ADF-8660-F27DD11A6A1F}"/>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46D-4ADF-8660-F27DD11A6A1F}"/>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46D-4ADF-8660-F27DD11A6A1F}"/>
              </c:ext>
            </c:extLst>
          </c:dPt>
          <c:dPt>
            <c:idx val="3"/>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46D-4ADF-8660-F27DD11A6A1F}"/>
              </c:ext>
            </c:extLst>
          </c:dPt>
          <c:dPt>
            <c:idx val="4"/>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46D-4ADF-8660-F27DD11A6A1F}"/>
              </c:ext>
            </c:extLst>
          </c:dPt>
          <c:dPt>
            <c:idx val="5"/>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4CC3-4804-8423-8DB39E711BA5}"/>
              </c:ext>
            </c:extLst>
          </c:dPt>
          <c:dLbls>
            <c:dLbl>
              <c:idx val="0"/>
              <c:layout>
                <c:manualLayout>
                  <c:x val="-3.3063224645789369E-2"/>
                  <c:y val="-0.24962178288864981"/>
                </c:manualLayout>
              </c:layout>
              <c:spPr>
                <a:noFill/>
                <a:ln w="25340">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6D-4ADF-8660-F27DD11A6A1F}"/>
                </c:ext>
              </c:extLst>
            </c:dLbl>
            <c:dLbl>
              <c:idx val="1"/>
              <c:layout>
                <c:manualLayout>
                  <c:x val="1.1104185247327933E-2"/>
                  <c:y val="7.624275382843331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6D-4ADF-8660-F27DD11A6A1F}"/>
                </c:ext>
              </c:extLst>
            </c:dLbl>
            <c:dLbl>
              <c:idx val="2"/>
              <c:layout>
                <c:manualLayout>
                  <c:x val="-5.2192290603907426E-2"/>
                  <c:y val="4.81512113144130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6D-4ADF-8660-F27DD11A6A1F}"/>
                </c:ext>
              </c:extLst>
            </c:dLbl>
            <c:dLbl>
              <c:idx val="3"/>
              <c:layout>
                <c:manualLayout>
                  <c:x val="-5.5953216578553955E-3"/>
                  <c:y val="1.612568213146018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6D-4ADF-8660-F27DD11A6A1F}"/>
                </c:ext>
              </c:extLst>
            </c:dLbl>
            <c:dLbl>
              <c:idx val="4"/>
              <c:layout>
                <c:manualLayout>
                  <c:x val="1.1098727035940139E-2"/>
                  <c:y val="-2.822636379085707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6D-4ADF-8660-F27DD11A6A1F}"/>
                </c:ext>
              </c:extLst>
            </c:dLbl>
            <c:dLbl>
              <c:idx val="5"/>
              <c:layout>
                <c:manualLayout>
                  <c:x val="1.9409399694995149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CC3-4804-8423-8DB39E711BA5}"/>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Blad1!$A$4:$A$9</c:f>
              <c:strCache>
                <c:ptCount val="6"/>
                <c:pt idx="0">
                  <c:v>Internal market, industry, entrepreneurship and SMEs</c:v>
                </c:pt>
                <c:pt idx="1">
                  <c:v>Taxation and customs</c:v>
                </c:pt>
                <c:pt idx="2">
                  <c:v>Health and food safety</c:v>
                </c:pt>
                <c:pt idx="3">
                  <c:v>Mobility and transport</c:v>
                </c:pt>
                <c:pt idx="4">
                  <c:v>Justice and consumers</c:v>
                </c:pt>
                <c:pt idx="5">
                  <c:v>Communication networks</c:v>
                </c:pt>
              </c:strCache>
            </c:strRef>
          </c:cat>
          <c:val>
            <c:numRef>
              <c:f>Blad1!$B$4:$B$9</c:f>
              <c:numCache>
                <c:formatCode>General</c:formatCode>
                <c:ptCount val="6"/>
                <c:pt idx="0">
                  <c:v>3</c:v>
                </c:pt>
                <c:pt idx="1">
                  <c:v>2</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A-B46D-4ADF-8660-F27DD11A6A1F}"/>
            </c:ext>
          </c:extLst>
        </c:ser>
        <c:dLbls>
          <c:showLegendKey val="0"/>
          <c:showVal val="0"/>
          <c:showCatName val="0"/>
          <c:showSerName val="0"/>
          <c:showPercent val="0"/>
          <c:showBubbleSize val="0"/>
          <c:showLeaderLines val="0"/>
        </c:dLbls>
        <c:firstSliceAng val="173"/>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46716905294696E-2"/>
          <c:y val="2.7777777777777776E-2"/>
          <c:w val="0.95004227769297989"/>
          <c:h val="0.8439918998368468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569484162738364E-2"/>
                  <c:y val="6.4879112807144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A6-4D7C-A1C9-9F350FF18F71}"/>
                </c:ext>
              </c:extLst>
            </c:dLbl>
            <c:dLbl>
              <c:idx val="2"/>
              <c:layout>
                <c:manualLayout>
                  <c:x val="-5.2866899100299028E-2"/>
                  <c:y val="5.93471464531097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A6-4D7C-A1C9-9F350FF18F71}"/>
                </c:ext>
              </c:extLst>
            </c:dLbl>
            <c:dLbl>
              <c:idx val="3"/>
              <c:layout>
                <c:manualLayout>
                  <c:x val="-4.7187727155996048E-2"/>
                  <c:y val="-7.13023926616681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15-4DFD-A84B-FFA7A0DDBC82}"/>
                </c:ext>
              </c:extLst>
            </c:dLbl>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276</c:v>
                </c:pt>
                <c:pt idx="1">
                  <c:v>274</c:v>
                </c:pt>
                <c:pt idx="2">
                  <c:v>308</c:v>
                </c:pt>
                <c:pt idx="3">
                  <c:v>297</c:v>
                </c:pt>
                <c:pt idx="4">
                  <c:v>250</c:v>
                </c:pt>
              </c:numCache>
            </c:numRef>
          </c:val>
          <c:smooth val="0"/>
          <c:extLst xmlns:c16r2="http://schemas.microsoft.com/office/drawing/2015/06/chart">
            <c:ext xmlns:c16="http://schemas.microsoft.com/office/drawing/2014/chart" uri="{C3380CC4-5D6E-409C-BE32-E72D297353CC}">
              <c16:uniqueId val="{00000002-D2A6-4D7C-A1C9-9F350FF18F71}"/>
            </c:ext>
          </c:extLst>
        </c:ser>
        <c:dLbls>
          <c:showLegendKey val="0"/>
          <c:showVal val="0"/>
          <c:showCatName val="0"/>
          <c:showSerName val="0"/>
          <c:showPercent val="0"/>
          <c:showBubbleSize val="0"/>
        </c:dLbls>
        <c:marker val="1"/>
        <c:smooth val="0"/>
        <c:axId val="111744128"/>
        <c:axId val="111745664"/>
      </c:lineChart>
      <c:catAx>
        <c:axId val="111744128"/>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745664"/>
        <c:crosses val="autoZero"/>
        <c:auto val="1"/>
        <c:lblAlgn val="ctr"/>
        <c:lblOffset val="100"/>
        <c:noMultiLvlLbl val="0"/>
      </c:catAx>
      <c:valAx>
        <c:axId val="111745664"/>
        <c:scaling>
          <c:orientation val="minMax"/>
          <c:min val="200"/>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11744128"/>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250 complaints made against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DF1-4D78-A289-4CA872949345}"/>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DF1-4D78-A289-4CA872949345}"/>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DF1-4D78-A289-4CA872949345}"/>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DF1-4D78-A289-4CA872949345}"/>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DF1-4D78-A289-4CA872949345}"/>
              </c:ext>
            </c:extLst>
          </c:dPt>
          <c:dLbls>
            <c:dLbl>
              <c:idx val="0"/>
              <c:layout>
                <c:manualLayout>
                  <c:x val="-3.879618887764421E-2"/>
                  <c:y val="0.12773577765969438"/>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F1-4D78-A289-4CA872949345}"/>
                </c:ext>
              </c:extLst>
            </c:dLbl>
            <c:dLbl>
              <c:idx val="1"/>
              <c:layout>
                <c:manualLayout>
                  <c:x val="-6.0538635781231826E-3"/>
                  <c:y val="0.15532387860270985"/>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F1-4D78-A289-4CA872949345}"/>
                </c:ext>
              </c:extLst>
            </c:dLbl>
            <c:dLbl>
              <c:idx val="2"/>
              <c:layout>
                <c:manualLayout>
                  <c:x val="-3.5176298296656192E-4"/>
                  <c:y val="5.0147020590944176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F1-4D78-A289-4CA872949345}"/>
                </c:ext>
              </c:extLst>
            </c:dLbl>
            <c:dLbl>
              <c:idx val="3"/>
              <c:layout>
                <c:manualLayout>
                  <c:x val="-6.755022502333595E-2"/>
                  <c:y val="-4.2529358772564488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F1-4D78-A289-4CA872949345}"/>
                </c:ext>
              </c:extLst>
            </c:dLbl>
            <c:dLbl>
              <c:idx val="4"/>
              <c:layout>
                <c:manualLayout>
                  <c:x val="-4.4396654571783545E-2"/>
                  <c:y val="-0.1531008968970903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F1-4D78-A289-4CA872949345}"/>
                </c:ext>
              </c:extLst>
            </c:dLbl>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Employment</c:v>
                </c:pt>
                <c:pt idx="3">
                  <c:v>Other</c:v>
                </c:pt>
              </c:strCache>
            </c:strRef>
          </c:cat>
          <c:val>
            <c:numRef>
              <c:f>Blad1!$B$3:$B$6</c:f>
              <c:numCache>
                <c:formatCode>General</c:formatCode>
                <c:ptCount val="4"/>
                <c:pt idx="0">
                  <c:v>63</c:v>
                </c:pt>
                <c:pt idx="1">
                  <c:v>35</c:v>
                </c:pt>
                <c:pt idx="2">
                  <c:v>33</c:v>
                </c:pt>
                <c:pt idx="3">
                  <c:v>119</c:v>
                </c:pt>
              </c:numCache>
            </c:numRef>
          </c:val>
          <c:extLst xmlns:c16r2="http://schemas.microsoft.com/office/drawing/2015/06/chart">
            <c:ext xmlns:c16="http://schemas.microsoft.com/office/drawing/2014/chart" uri="{C3380CC4-5D6E-409C-BE32-E72D297353CC}">
              <c16:uniqueId val="{0000000A-CDF1-4D78-A289-4CA872949345}"/>
            </c:ext>
          </c:extLst>
        </c:ser>
        <c:dLbls>
          <c:showLegendKey val="0"/>
          <c:showVal val="0"/>
          <c:showCatName val="0"/>
          <c:showSerName val="0"/>
          <c:showPercent val="0"/>
          <c:showBubbleSize val="0"/>
          <c:showLeaderLines val="0"/>
        </c:dLbls>
        <c:firstSliceAng val="283"/>
      </c:pieChart>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5.7191878753217046E-2"/>
          <c:w val="0.93899057127010543"/>
          <c:h val="0.8111111111111111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834165280088741E-2"/>
                  <c:y val="5.4238258877434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84-4A49-964D-C8B37020CA5A}"/>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74</c:v>
                </c:pt>
                <c:pt idx="1">
                  <c:v>49</c:v>
                </c:pt>
                <c:pt idx="2">
                  <c:v>33</c:v>
                </c:pt>
                <c:pt idx="3">
                  <c:v>5</c:v>
                </c:pt>
                <c:pt idx="4">
                  <c:v>8</c:v>
                </c:pt>
              </c:numCache>
            </c:numRef>
          </c:val>
          <c:smooth val="0"/>
          <c:extLst xmlns:c16r2="http://schemas.microsoft.com/office/drawing/2015/06/chart">
            <c:ext xmlns:c16="http://schemas.microsoft.com/office/drawing/2014/chart" uri="{C3380CC4-5D6E-409C-BE32-E72D297353CC}">
              <c16:uniqueId val="{00000001-C584-4A49-964D-C8B37020CA5A}"/>
            </c:ext>
          </c:extLst>
        </c:ser>
        <c:dLbls>
          <c:showLegendKey val="0"/>
          <c:showVal val="0"/>
          <c:showCatName val="0"/>
          <c:showSerName val="0"/>
          <c:showPercent val="0"/>
          <c:showBubbleSize val="0"/>
        </c:dLbls>
        <c:marker val="1"/>
        <c:smooth val="0"/>
        <c:axId val="111834624"/>
        <c:axId val="111836160"/>
      </c:lineChart>
      <c:catAx>
        <c:axId val="11183462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836160"/>
        <c:crosses val="autoZero"/>
        <c:auto val="1"/>
        <c:lblAlgn val="ctr"/>
        <c:lblOffset val="100"/>
        <c:noMultiLvlLbl val="0"/>
      </c:catAx>
      <c:valAx>
        <c:axId val="111836160"/>
        <c:scaling>
          <c:orientation val="minMax"/>
          <c:min val="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183462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21642619311874E-2"/>
          <c:y val="5.7191878753217046E-2"/>
          <c:w val="0.93899057127010543"/>
          <c:h val="0.8111111111111111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834165280088741E-2"/>
                  <c:y val="5.4238258877434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00-4338-A84B-A5C914E0B9B2}"/>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63</c:v>
                </c:pt>
                <c:pt idx="1">
                  <c:v>68</c:v>
                </c:pt>
                <c:pt idx="2">
                  <c:v>51</c:v>
                </c:pt>
                <c:pt idx="3">
                  <c:v>47</c:v>
                </c:pt>
                <c:pt idx="4">
                  <c:v>35</c:v>
                </c:pt>
              </c:numCache>
            </c:numRef>
          </c:val>
          <c:smooth val="0"/>
          <c:extLst xmlns:c16r2="http://schemas.microsoft.com/office/drawing/2015/06/chart">
            <c:ext xmlns:c16="http://schemas.microsoft.com/office/drawing/2014/chart" uri="{C3380CC4-5D6E-409C-BE32-E72D297353CC}">
              <c16:uniqueId val="{00000001-8700-4338-A84B-A5C914E0B9B2}"/>
            </c:ext>
          </c:extLst>
        </c:ser>
        <c:dLbls>
          <c:showLegendKey val="0"/>
          <c:showVal val="0"/>
          <c:showCatName val="0"/>
          <c:showSerName val="0"/>
          <c:showPercent val="0"/>
          <c:showBubbleSize val="0"/>
        </c:dLbls>
        <c:marker val="1"/>
        <c:smooth val="0"/>
        <c:axId val="111865216"/>
        <c:axId val="111506560"/>
      </c:lineChart>
      <c:catAx>
        <c:axId val="11186521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506560"/>
        <c:crosses val="autoZero"/>
        <c:auto val="1"/>
        <c:lblAlgn val="ctr"/>
        <c:lblOffset val="100"/>
        <c:noMultiLvlLbl val="0"/>
      </c:catAx>
      <c:valAx>
        <c:axId val="111506560"/>
        <c:scaling>
          <c:orientation val="minMax"/>
          <c:min val="3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186521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8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Germany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980A-481F-8915-4D8D74F76304}"/>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80A-481F-8915-4D8D74F76304}"/>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80A-481F-8915-4D8D74F76304}"/>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80A-481F-8915-4D8D74F76304}"/>
              </c:ext>
            </c:extLst>
          </c:dPt>
          <c:dPt>
            <c:idx val="4"/>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80A-481F-8915-4D8D74F76304}"/>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980A-481F-8915-4D8D74F76304}"/>
              </c:ext>
            </c:extLst>
          </c:dPt>
          <c:dLbls>
            <c:dLbl>
              <c:idx val="0"/>
              <c:layout>
                <c:manualLayout>
                  <c:x val="-5.2074052009946123E-2"/>
                  <c:y val="-9.253314489534972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0A-481F-8915-4D8D74F76304}"/>
                </c:ext>
              </c:extLst>
            </c:dLbl>
            <c:dLbl>
              <c:idx val="1"/>
              <c:layout>
                <c:manualLayout>
                  <c:x val="-2.1920543238016302E-2"/>
                  <c:y val="0.1640192812436905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0A-481F-8915-4D8D74F76304}"/>
                </c:ext>
              </c:extLst>
            </c:dLbl>
            <c:dLbl>
              <c:idx val="2"/>
              <c:layout>
                <c:manualLayout>
                  <c:x val="-0.25493744819726483"/>
                  <c:y val="0.1562794434349552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0A-481F-8915-4D8D74F76304}"/>
                </c:ext>
              </c:extLst>
            </c:dLbl>
            <c:dLbl>
              <c:idx val="3"/>
              <c:layout>
                <c:manualLayout>
                  <c:x val="-2.7038869318966709E-3"/>
                  <c:y val="1.672933912107140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80A-481F-8915-4D8D74F76304}"/>
                </c:ext>
              </c:extLst>
            </c:dLbl>
            <c:dLbl>
              <c:idx val="4"/>
              <c:layout>
                <c:manualLayout>
                  <c:x val="2.462054496477414E-2"/>
                  <c:y val="-6.944444444444444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80A-481F-8915-4D8D74F76304}"/>
                </c:ext>
              </c:extLst>
            </c:dLbl>
            <c:spPr>
              <a:noFill/>
              <a:ln>
                <a:noFill/>
              </a:ln>
              <a:effectLs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Energy</c:v>
                </c:pt>
                <c:pt idx="1">
                  <c:v>Environment</c:v>
                </c:pt>
                <c:pt idx="2">
                  <c:v>Health and food safety</c:v>
                </c:pt>
                <c:pt idx="3">
                  <c:v>Migration and home affairs </c:v>
                </c:pt>
                <c:pt idx="4">
                  <c:v>Taxation and customs</c:v>
                </c:pt>
              </c:strCache>
            </c:strRef>
          </c:cat>
          <c:val>
            <c:numRef>
              <c:f>Blad1!$B$2:$B$6</c:f>
              <c:numCache>
                <c:formatCode>General</c:formatCode>
                <c:ptCount val="5"/>
                <c:pt idx="0">
                  <c:v>2</c:v>
                </c:pt>
                <c:pt idx="1">
                  <c:v>2</c:v>
                </c:pt>
                <c:pt idx="2">
                  <c:v>1</c:v>
                </c:pt>
                <c:pt idx="3">
                  <c:v>1</c:v>
                </c:pt>
                <c:pt idx="4">
                  <c:v>2</c:v>
                </c:pt>
              </c:numCache>
            </c:numRef>
          </c:val>
          <c:extLst xmlns:c16r2="http://schemas.microsoft.com/office/drawing/2015/06/chart">
            <c:ext xmlns:c16="http://schemas.microsoft.com/office/drawing/2014/chart" uri="{C3380CC4-5D6E-409C-BE32-E72D297353CC}">
              <c16:uniqueId val="{0000000C-980A-481F-8915-4D8D74F76304}"/>
            </c:ext>
          </c:extLst>
        </c:ser>
        <c:dLbls>
          <c:showLegendKey val="0"/>
          <c:showVal val="0"/>
          <c:showCatName val="0"/>
          <c:showSerName val="0"/>
          <c:showPercent val="0"/>
          <c:showBubbleSize val="0"/>
          <c:showLeaderLines val="0"/>
        </c:dLbls>
        <c:firstSliceAng val="16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Germany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1841227405434294E-2"/>
                  <c:y val="7.07939457878324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48-47C8-BD32-640BAABBBE32}"/>
                </c:ext>
              </c:extLst>
            </c:dLbl>
            <c:dLbl>
              <c:idx val="1"/>
              <c:layout>
                <c:manualLayout>
                  <c:x val="-4.9077229774138927E-2"/>
                  <c:y val="6.56917885264341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48-47C8-BD32-640BAABBBE32}"/>
                </c:ext>
              </c:extLst>
            </c:dLbl>
            <c:dLbl>
              <c:idx val="3"/>
              <c:layout>
                <c:manualLayout>
                  <c:x val="-4.8189887044788549E-2"/>
                  <c:y val="-5.90180885774371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048-47C8-BD32-640BAABBBE32}"/>
                </c:ext>
              </c:extLst>
            </c:dLbl>
            <c:dLbl>
              <c:idx val="4"/>
              <c:layout>
                <c:manualLayout>
                  <c:x val="-5.5674917958675338E-2"/>
                  <c:y val="5.59285679352192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48-47C8-BD32-640BAABBBE32}"/>
                </c:ext>
              </c:extLst>
            </c:dLbl>
            <c:spPr>
              <a:noFill/>
              <a:ln w="25411">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c:v>
                </c:pt>
                <c:pt idx="1">
                  <c:v>0.64</c:v>
                </c:pt>
                <c:pt idx="2">
                  <c:v>0.72</c:v>
                </c:pt>
                <c:pt idx="3">
                  <c:v>0.92</c:v>
                </c:pt>
                <c:pt idx="4">
                  <c:v>0.71</c:v>
                </c:pt>
              </c:numCache>
            </c:numRef>
          </c:val>
          <c:smooth val="0"/>
          <c:extLst xmlns:c16r2="http://schemas.microsoft.com/office/drawing/2015/06/chart">
            <c:ext xmlns:c16="http://schemas.microsoft.com/office/drawing/2014/chart" uri="{C3380CC4-5D6E-409C-BE32-E72D297353CC}">
              <c16:uniqueId val="{00000004-2048-47C8-BD32-640BAABBBE32}"/>
            </c:ext>
          </c:extLst>
        </c:ser>
        <c:ser>
          <c:idx val="1"/>
          <c:order val="1"/>
          <c:tx>
            <c:strRef>
              <c:f>Blad1!$C$2</c:f>
              <c:strCache>
                <c:ptCount val="1"/>
                <c:pt idx="0">
                  <c:v>General rate for all Member States</c:v>
                </c:pt>
              </c:strCache>
            </c:strRef>
          </c:tx>
          <c:spPr>
            <a:ln w="25411">
              <a:solidFill>
                <a:srgbClr val="92D050"/>
              </a:solidFill>
            </a:ln>
          </c:spPr>
          <c:marker>
            <c:symbol val="square"/>
            <c:size val="5"/>
            <c:spPr>
              <a:solidFill>
                <a:srgbClr val="92D050"/>
              </a:solidFill>
              <a:ln>
                <a:solidFill>
                  <a:srgbClr val="92D050"/>
                </a:solidFill>
              </a:ln>
            </c:spPr>
          </c:marker>
          <c:dLbls>
            <c:dLbl>
              <c:idx val="0"/>
              <c:layout>
                <c:manualLayout>
                  <c:x val="-4.6503418795079361E-2"/>
                  <c:y val="-0.11149475880732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48-47C8-BD32-640BAABBBE32}"/>
                </c:ext>
              </c:extLst>
            </c:dLbl>
            <c:dLbl>
              <c:idx val="1"/>
              <c:layout>
                <c:manualLayout>
                  <c:x val="-5.4965113191696807E-2"/>
                  <c:y val="-8.50370266216722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048-47C8-BD32-640BAABBBE32}"/>
                </c:ext>
              </c:extLst>
            </c:dLbl>
            <c:spPr>
              <a:noFill/>
              <a:ln w="25411">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7-2048-47C8-BD32-640BAABBBE32}"/>
            </c:ext>
          </c:extLst>
        </c:ser>
        <c:dLbls>
          <c:showLegendKey val="0"/>
          <c:showVal val="0"/>
          <c:showCatName val="0"/>
          <c:showSerName val="0"/>
          <c:showPercent val="0"/>
          <c:showBubbleSize val="0"/>
        </c:dLbls>
        <c:marker val="1"/>
        <c:smooth val="0"/>
        <c:axId val="112245376"/>
        <c:axId val="112255360"/>
      </c:lineChart>
      <c:catAx>
        <c:axId val="112245376"/>
        <c:scaling>
          <c:orientation val="minMax"/>
        </c:scaling>
        <c:delete val="0"/>
        <c:axPos val="b"/>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255360"/>
        <c:crosses val="autoZero"/>
        <c:auto val="1"/>
        <c:lblAlgn val="ctr"/>
        <c:lblOffset val="100"/>
        <c:noMultiLvlLbl val="0"/>
      </c:catAx>
      <c:valAx>
        <c:axId val="112255360"/>
        <c:scaling>
          <c:orientation val="minMax"/>
          <c:min val="0.5"/>
        </c:scaling>
        <c:delete val="1"/>
        <c:axPos val="l"/>
        <c:majorGridlines>
          <c:spPr>
            <a:ln w="9529" cap="flat" cmpd="sng" algn="ctr">
              <a:solidFill>
                <a:schemeClr val="tx1">
                  <a:lumMod val="15000"/>
                  <a:lumOff val="85000"/>
                </a:schemeClr>
              </a:solidFill>
              <a:round/>
            </a:ln>
            <a:effectLst/>
          </c:spPr>
        </c:majorGridlines>
        <c:numFmt formatCode="0%" sourceLinked="1"/>
        <c:majorTickMark val="out"/>
        <c:minorTickMark val="none"/>
        <c:tickLblPos val="nextTo"/>
        <c:crossAx val="112245376"/>
        <c:crosses val="autoZero"/>
        <c:crossBetween val="between"/>
      </c:valAx>
      <c:spPr>
        <a:noFill/>
        <a:ln w="25411">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68</c:v>
                </c:pt>
                <c:pt idx="1">
                  <c:v>88</c:v>
                </c:pt>
                <c:pt idx="2">
                  <c:v>91</c:v>
                </c:pt>
                <c:pt idx="3">
                  <c:v>74</c:v>
                </c:pt>
                <c:pt idx="4">
                  <c:v>80</c:v>
                </c:pt>
              </c:numCache>
            </c:numRef>
          </c:val>
          <c:smooth val="0"/>
          <c:extLst xmlns:c16r2="http://schemas.microsoft.com/office/drawing/2015/06/chart">
            <c:ext xmlns:c16="http://schemas.microsoft.com/office/drawing/2014/chart" uri="{C3380CC4-5D6E-409C-BE32-E72D297353CC}">
              <c16:uniqueId val="{00000000-F01A-496B-802B-D2A7F53AABA8}"/>
            </c:ext>
          </c:extLst>
        </c:ser>
        <c:dLbls>
          <c:showLegendKey val="0"/>
          <c:showVal val="0"/>
          <c:showCatName val="0"/>
          <c:showSerName val="0"/>
          <c:showPercent val="0"/>
          <c:showBubbleSize val="0"/>
        </c:dLbls>
        <c:marker val="1"/>
        <c:smooth val="0"/>
        <c:axId val="112268032"/>
        <c:axId val="112269568"/>
      </c:lineChart>
      <c:catAx>
        <c:axId val="11226803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269568"/>
        <c:crosses val="autoZero"/>
        <c:auto val="1"/>
        <c:lblAlgn val="ctr"/>
        <c:lblOffset val="100"/>
        <c:noMultiLvlLbl val="0"/>
      </c:catAx>
      <c:valAx>
        <c:axId val="112269568"/>
        <c:scaling>
          <c:orientation val="minMax"/>
          <c:min val="55"/>
        </c:scaling>
        <c:delete val="1"/>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crossAx val="112268032"/>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l-GR"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a:t>
            </a: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Belgium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8775-4C13-BAE9-D6E00CB73411}"/>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8775-4C13-BAE9-D6E00CB73411}"/>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8775-4C13-BAE9-D6E00CB73411}"/>
              </c:ext>
            </c:extLst>
          </c:dPt>
          <c:dPt>
            <c:idx val="3"/>
            <c:bubble3D val="0"/>
            <c:spPr>
              <a:solidFill>
                <a:srgbClr val="A65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8775-4C13-BAE9-D6E00CB73411}"/>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8775-4C13-BAE9-D6E00CB73411}"/>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8775-4C13-BAE9-D6E00CB73411}"/>
              </c:ext>
            </c:extLst>
          </c:dPt>
          <c:dLbls>
            <c:dLbl>
              <c:idx val="0"/>
              <c:layout>
                <c:manualLayout>
                  <c:x val="-9.8681620389556565E-2"/>
                  <c:y val="-0.22133867075340424"/>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775-4C13-BAE9-D6E00CB73411}"/>
                </c:ext>
              </c:extLst>
            </c:dLbl>
            <c:dLbl>
              <c:idx val="1"/>
              <c:layout>
                <c:manualLayout>
                  <c:x val="-2.7634600773587511E-3"/>
                  <c:y val="5.769104583080961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775-4C13-BAE9-D6E00CB73411}"/>
                </c:ext>
              </c:extLst>
            </c:dLbl>
            <c:dLbl>
              <c:idx val="2"/>
              <c:layout>
                <c:manualLayout>
                  <c:x val="2.742738983284984E-3"/>
                  <c:y val="7.00249007335621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775-4C13-BAE9-D6E00CB73411}"/>
                </c:ext>
              </c:extLst>
            </c:dLbl>
            <c:dLbl>
              <c:idx val="3"/>
              <c:layout>
                <c:manualLayout>
                  <c:x val="1.1862394667771791E-2"/>
                  <c:y val="-1.104970051820445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75-4C13-BAE9-D6E00CB73411}"/>
                </c:ext>
              </c:extLst>
            </c:dLbl>
            <c:dLbl>
              <c:idx val="4"/>
              <c:layout>
                <c:manualLayout>
                  <c:x val="3.0153508771929825E-2"/>
                  <c:y val="-8.54700854700854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775-4C13-BAE9-D6E00CB73411}"/>
                </c:ext>
              </c:extLst>
            </c:dLbl>
            <c:dLbl>
              <c:idx val="5"/>
              <c:layout>
                <c:manualLayout>
                  <c:x val="2.7412280701754384E-3"/>
                  <c:y val="-5.08130081300813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775-4C13-BAE9-D6E00CB73411}"/>
                </c:ext>
              </c:extLst>
            </c:dLbl>
            <c:spPr>
              <a:noFill/>
              <a:ln>
                <a:noFill/>
              </a:ln>
              <a:effectLst/>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Blad1!$A$3:$A$5</c:f>
              <c:strCache>
                <c:ptCount val="3"/>
                <c:pt idx="0">
                  <c:v>Energy</c:v>
                </c:pt>
                <c:pt idx="1">
                  <c:v>Environment</c:v>
                </c:pt>
                <c:pt idx="2">
                  <c:v>Migration and home affairs</c:v>
                </c:pt>
              </c:strCache>
            </c:strRef>
          </c:cat>
          <c:val>
            <c:numRef>
              <c:f>Blad1!$B$3:$B$5</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C-8775-4C13-BAE9-D6E00CB73411}"/>
            </c:ext>
          </c:extLst>
        </c:ser>
        <c:dLbls>
          <c:showLegendKey val="0"/>
          <c:showVal val="0"/>
          <c:showCatName val="0"/>
          <c:showSerName val="0"/>
          <c:showPercent val="0"/>
          <c:showBubbleSize val="0"/>
          <c:showLeaderLines val="0"/>
        </c:dLbls>
        <c:firstSliceAng val="15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en-US" sz="1099"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9"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0967896529"/>
          <c:y val="3.2786863180563966E-2"/>
        </c:manualLayout>
      </c:layout>
      <c:overlay val="0"/>
      <c:spPr>
        <a:noFill/>
        <a:ln w="25384">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3D7-405D-BFC6-632494879823}"/>
              </c:ext>
            </c:extLst>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3D7-405D-BFC6-632494879823}"/>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3D7-405D-BFC6-632494879823}"/>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3D7-405D-BFC6-632494879823}"/>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3D7-405D-BFC6-632494879823}"/>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3D7-405D-BFC6-632494879823}"/>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4D7A-49CD-90B1-3BA40A78328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D7-405D-BFC6-632494879823}"/>
                </c:ext>
              </c:extLst>
            </c:dLbl>
            <c:dLbl>
              <c:idx val="1"/>
              <c:layout>
                <c:manualLayout>
                  <c:x val="-2.7694084952183746E-2"/>
                  <c:y val="0.126836040360480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D7-405D-BFC6-632494879823}"/>
                </c:ext>
              </c:extLst>
            </c:dLbl>
            <c:dLbl>
              <c:idx val="2"/>
              <c:layout>
                <c:manualLayout>
                  <c:x val="-3.3155436885268237E-2"/>
                  <c:y val="-1.6167294491611531E-2"/>
                </c:manualLayout>
              </c:layout>
              <c:spPr>
                <a:noFill/>
                <a:ln w="25384">
                  <a:noFill/>
                </a:ln>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D7-405D-BFC6-632494879823}"/>
                </c:ext>
              </c:extLst>
            </c:dLbl>
            <c:dLbl>
              <c:idx val="3"/>
              <c:layout>
                <c:manualLayout>
                  <c:x val="3.6905321090918895E-2"/>
                  <c:y val="-5.432450528036073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D7-405D-BFC6-632494879823}"/>
                </c:ext>
              </c:extLst>
            </c:dLbl>
            <c:dLbl>
              <c:idx val="4"/>
              <c:layout>
                <c:manualLayout>
                  <c:x val="3.5984088494128548E-2"/>
                  <c:y val="-5.7079662108251238E-2"/>
                </c:manualLayout>
              </c:layout>
              <c:spPr>
                <a:noFill/>
                <a:ln w="25384">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2301741002097919"/>
                      <c:h val="0.24486926909197476"/>
                    </c:manualLayout>
                  </c15:layout>
                </c:ext>
                <c:ext xmlns:c16="http://schemas.microsoft.com/office/drawing/2014/chart" uri="{C3380CC4-5D6E-409C-BE32-E72D297353CC}">
                  <c16:uniqueId val="{00000009-F3D7-405D-BFC6-632494879823}"/>
                </c:ext>
              </c:extLst>
            </c:dLbl>
            <c:dLbl>
              <c:idx val="5"/>
              <c:layout>
                <c:manualLayout>
                  <c:x val="0.15788202599242568"/>
                  <c:y val="-1.699298590121222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3D7-405D-BFC6-632494879823}"/>
                </c:ext>
              </c:extLst>
            </c:dLbl>
            <c:spPr>
              <a:noFill/>
              <a:ln w="2538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Blad1!$A$2:$A$8</c:f>
              <c:strCache>
                <c:ptCount val="7"/>
                <c:pt idx="0">
                  <c:v>Policy Area</c:v>
                </c:pt>
                <c:pt idx="1">
                  <c:v>Mobility and transport</c:v>
                </c:pt>
                <c:pt idx="2">
                  <c:v>Internal market, industry, entrepreneurship and SMEs</c:v>
                </c:pt>
                <c:pt idx="3">
                  <c:v>Energy</c:v>
                </c:pt>
                <c:pt idx="4">
                  <c:v>Communication networks</c:v>
                </c:pt>
                <c:pt idx="5">
                  <c:v>Environment</c:v>
                </c:pt>
                <c:pt idx="6">
                  <c:v>Other</c:v>
                </c:pt>
              </c:strCache>
            </c:strRef>
          </c:cat>
          <c:val>
            <c:numRef>
              <c:f>Blad1!$B$2:$B$8</c:f>
              <c:numCache>
                <c:formatCode>General</c:formatCode>
                <c:ptCount val="7"/>
                <c:pt idx="0">
                  <c:v>0</c:v>
                </c:pt>
                <c:pt idx="1">
                  <c:v>7</c:v>
                </c:pt>
                <c:pt idx="2">
                  <c:v>3</c:v>
                </c:pt>
                <c:pt idx="3">
                  <c:v>2</c:v>
                </c:pt>
                <c:pt idx="4">
                  <c:v>2</c:v>
                </c:pt>
                <c:pt idx="5">
                  <c:v>2</c:v>
                </c:pt>
                <c:pt idx="6">
                  <c:v>4</c:v>
                </c:pt>
              </c:numCache>
            </c:numRef>
          </c:val>
          <c:extLst xmlns:c16r2="http://schemas.microsoft.com/office/drawing/2015/06/chart">
            <c:ext xmlns:c16="http://schemas.microsoft.com/office/drawing/2014/chart" uri="{C3380CC4-5D6E-409C-BE32-E72D297353CC}">
              <c16:uniqueId val="{0000000C-F3D7-405D-BFC6-632494879823}"/>
            </c:ext>
          </c:extLst>
        </c:ser>
        <c:dLbls>
          <c:showLegendKey val="0"/>
          <c:showVal val="0"/>
          <c:showCatName val="0"/>
          <c:showSerName val="0"/>
          <c:showPercent val="0"/>
          <c:showBubbleSize val="0"/>
          <c:showLeaderLines val="0"/>
        </c:dLbls>
        <c:firstSliceAng val="273"/>
      </c:pie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1987064428928E-2"/>
                  <c:y val="5.6098392505207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8D-4247-BE3B-8A01FB34B20F}"/>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10</c:v>
                </c:pt>
                <c:pt idx="1">
                  <c:v>24</c:v>
                </c:pt>
                <c:pt idx="2">
                  <c:v>26</c:v>
                </c:pt>
                <c:pt idx="3">
                  <c:v>25</c:v>
                </c:pt>
                <c:pt idx="4">
                  <c:v>31</c:v>
                </c:pt>
              </c:numCache>
            </c:numRef>
          </c:val>
          <c:smooth val="0"/>
          <c:extLst xmlns:c16r2="http://schemas.microsoft.com/office/drawing/2015/06/chart">
            <c:ext xmlns:c16="http://schemas.microsoft.com/office/drawing/2014/chart" uri="{C3380CC4-5D6E-409C-BE32-E72D297353CC}">
              <c16:uniqueId val="{00000001-E88D-4247-BE3B-8A01FB34B20F}"/>
            </c:ext>
          </c:extLst>
        </c:ser>
        <c:dLbls>
          <c:showLegendKey val="0"/>
          <c:showVal val="0"/>
          <c:showCatName val="0"/>
          <c:showSerName val="0"/>
          <c:showPercent val="0"/>
          <c:showBubbleSize val="0"/>
        </c:dLbls>
        <c:marker val="1"/>
        <c:smooth val="0"/>
        <c:axId val="112380544"/>
        <c:axId val="112386432"/>
      </c:lineChart>
      <c:catAx>
        <c:axId val="11238054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386432"/>
        <c:crosses val="autoZero"/>
        <c:auto val="1"/>
        <c:lblAlgn val="ctr"/>
        <c:lblOffset val="100"/>
        <c:noMultiLvlLbl val="0"/>
      </c:catAx>
      <c:valAx>
        <c:axId val="112386432"/>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238054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27</c:v>
                </c:pt>
                <c:pt idx="1">
                  <c:v>22</c:v>
                </c:pt>
                <c:pt idx="2">
                  <c:v>21</c:v>
                </c:pt>
                <c:pt idx="3">
                  <c:v>19</c:v>
                </c:pt>
                <c:pt idx="4">
                  <c:v>13</c:v>
                </c:pt>
              </c:numCache>
            </c:numRef>
          </c:val>
          <c:smooth val="0"/>
          <c:extLst xmlns:c16r2="http://schemas.microsoft.com/office/drawing/2015/06/chart">
            <c:ext xmlns:c16="http://schemas.microsoft.com/office/drawing/2014/chart" uri="{C3380CC4-5D6E-409C-BE32-E72D297353CC}">
              <c16:uniqueId val="{00000003-4EC9-4501-8A15-FA98C66ACCD2}"/>
            </c:ext>
          </c:extLst>
        </c:ser>
        <c:dLbls>
          <c:dLblPos val="b"/>
          <c:showLegendKey val="0"/>
          <c:showVal val="1"/>
          <c:showCatName val="0"/>
          <c:showSerName val="0"/>
          <c:showPercent val="0"/>
          <c:showBubbleSize val="0"/>
        </c:dLbls>
        <c:marker val="1"/>
        <c:smooth val="0"/>
        <c:axId val="112450560"/>
        <c:axId val="112465792"/>
      </c:lineChart>
      <c:catAx>
        <c:axId val="11245056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465792"/>
        <c:crosses val="autoZero"/>
        <c:auto val="1"/>
        <c:lblAlgn val="ctr"/>
        <c:lblOffset val="100"/>
        <c:noMultiLvlLbl val="0"/>
      </c:catAx>
      <c:valAx>
        <c:axId val="112465792"/>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2450560"/>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8" b="0" baseline="0">
                <a:solidFill>
                  <a:srgbClr val="002060"/>
                </a:solidFill>
                <a:latin typeface="Arial" panose="020B0604020202020204" pitchFamily="34" charset="0"/>
                <a:ea typeface="Verdana" panose="020B0604030504040204" pitchFamily="34" charset="0"/>
                <a:cs typeface="Arial" panose="020B0604020202020204" pitchFamily="34" charset="0"/>
              </a:rPr>
              <a:t>13 new </a:t>
            </a:r>
            <a:r>
              <a:rPr lang="nl-BE" sz="1098"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Germany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49">
          <a:noFill/>
        </a:ln>
      </c:spPr>
    </c:title>
    <c:autoTitleDeleted val="0"/>
    <c:plotArea>
      <c:layout>
        <c:manualLayout>
          <c:layoutTarget val="inner"/>
          <c:xMode val="edge"/>
          <c:yMode val="edge"/>
          <c:x val="0.35992899227845482"/>
          <c:y val="0.2573527043782104"/>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A85D-427E-BE0B-7929313D11DA}"/>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A85D-427E-BE0B-7929313D11DA}"/>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A85D-427E-BE0B-7929313D11DA}"/>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A85D-427E-BE0B-7929313D11DA}"/>
              </c:ext>
            </c:extLst>
          </c:dPt>
          <c:dPt>
            <c:idx val="4"/>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A85D-427E-BE0B-7929313D11DA}"/>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A85D-427E-BE0B-7929313D11DA}"/>
              </c:ext>
            </c:extLst>
          </c:dPt>
          <c:dPt>
            <c:idx val="6"/>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A85D-427E-BE0B-7929313D11DA}"/>
              </c:ext>
            </c:extLst>
          </c:dPt>
          <c:dLbls>
            <c:dLbl>
              <c:idx val="0"/>
              <c:layout>
                <c:manualLayout>
                  <c:x val="-2.2018198855999219E-2"/>
                  <c:y val="3.778867264233480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5D-427E-BE0B-7929313D11DA}"/>
                </c:ext>
              </c:extLst>
            </c:dLbl>
            <c:dLbl>
              <c:idx val="1"/>
              <c:layout>
                <c:manualLayout>
                  <c:x val="-3.2551019975491757E-2"/>
                  <c:y val="7.86163522012578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5D-427E-BE0B-7929313D11DA}"/>
                </c:ext>
              </c:extLst>
            </c:dLbl>
            <c:dLbl>
              <c:idx val="2"/>
              <c:layout>
                <c:manualLayout>
                  <c:x val="7.0967906071513903E-3"/>
                  <c:y val="-6.81341719077569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5D-427E-BE0B-7929313D11DA}"/>
                </c:ext>
              </c:extLst>
            </c:dLbl>
            <c:dLbl>
              <c:idx val="3"/>
              <c:layout>
                <c:manualLayout>
                  <c:x val="6.9341796734212646E-2"/>
                  <c:y val="-0.1153039832285115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5D-427E-BE0B-7929313D11DA}"/>
                </c:ext>
              </c:extLst>
            </c:dLbl>
            <c:dLbl>
              <c:idx val="4"/>
              <c:layout>
                <c:manualLayout>
                  <c:x val="0.11007000538502952"/>
                  <c:y val="-9.6085542702037682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5D-427E-BE0B-7929313D11DA}"/>
                </c:ext>
              </c:extLst>
            </c:dLbl>
            <c:dLbl>
              <c:idx val="5"/>
              <c:layout>
                <c:manualLayout>
                  <c:x val="7.5390414647280565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85D-427E-BE0B-7929313D11DA}"/>
                </c:ext>
              </c:extLst>
            </c:dLbl>
            <c:dLbl>
              <c:idx val="6"/>
              <c:layout>
                <c:manualLayout>
                  <c:x val="-3.4698459542314881E-2"/>
                  <c:y val="-9.43396226415095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5D-427E-BE0B-7929313D11DA}"/>
                </c:ext>
              </c:extLst>
            </c:dLbl>
            <c:spPr>
              <a:noFill/>
              <a:ln w="25349">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Blad1!$A$4:$A$10</c:f>
              <c:strCache>
                <c:ptCount val="7"/>
                <c:pt idx="0">
                  <c:v>Mobility and transport</c:v>
                </c:pt>
                <c:pt idx="1">
                  <c:v>Internal market, industry, entrepreneurship and SMEs</c:v>
                </c:pt>
                <c:pt idx="2">
                  <c:v>Communication networks</c:v>
                </c:pt>
                <c:pt idx="3">
                  <c:v>Health and food safety</c:v>
                </c:pt>
                <c:pt idx="4">
                  <c:v>Migration and home affairs</c:v>
                </c:pt>
                <c:pt idx="5">
                  <c:v>Environment</c:v>
                </c:pt>
                <c:pt idx="6">
                  <c:v>Financial stability, financial services and capital markets union</c:v>
                </c:pt>
              </c:strCache>
            </c:strRef>
          </c:cat>
          <c:val>
            <c:numRef>
              <c:f>Blad1!$B$4:$B$10</c:f>
              <c:numCache>
                <c:formatCode>General</c:formatCode>
                <c:ptCount val="7"/>
                <c:pt idx="0">
                  <c:v>5</c:v>
                </c:pt>
                <c:pt idx="1">
                  <c:v>2</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C-A85D-427E-BE0B-7929313D11DA}"/>
            </c:ext>
          </c:extLst>
        </c:ser>
        <c:dLbls>
          <c:showLegendKey val="0"/>
          <c:showVal val="0"/>
          <c:showCatName val="0"/>
          <c:showSerName val="0"/>
          <c:showPercent val="0"/>
          <c:showBubbleSize val="0"/>
          <c:showLeaderLines val="0"/>
        </c:dLbls>
        <c:firstSliceAng val="241"/>
      </c:pieChart>
      <c:spPr>
        <a:noFill/>
        <a:ln w="25349">
          <a:noFill/>
        </a:ln>
      </c:spPr>
    </c:plotArea>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6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14</c:v>
                </c:pt>
                <c:pt idx="1">
                  <c:v>12</c:v>
                </c:pt>
                <c:pt idx="2">
                  <c:v>22</c:v>
                </c:pt>
                <c:pt idx="3">
                  <c:v>31</c:v>
                </c:pt>
                <c:pt idx="4">
                  <c:v>14</c:v>
                </c:pt>
              </c:numCache>
            </c:numRef>
          </c:val>
          <c:smooth val="0"/>
          <c:extLst xmlns:c16r2="http://schemas.microsoft.com/office/drawing/2015/06/chart">
            <c:ext xmlns:c16="http://schemas.microsoft.com/office/drawing/2014/chart" uri="{C3380CC4-5D6E-409C-BE32-E72D297353CC}">
              <c16:uniqueId val="{00000000-4201-402B-B5E7-AA7E577EAB94}"/>
            </c:ext>
          </c:extLst>
        </c:ser>
        <c:dLbls>
          <c:showLegendKey val="0"/>
          <c:showVal val="0"/>
          <c:showCatName val="0"/>
          <c:showSerName val="0"/>
          <c:showPercent val="0"/>
          <c:showBubbleSize val="0"/>
        </c:dLbls>
        <c:marker val="1"/>
        <c:smooth val="0"/>
        <c:axId val="113127424"/>
        <c:axId val="113128960"/>
      </c:lineChart>
      <c:catAx>
        <c:axId val="113127424"/>
        <c:scaling>
          <c:orientation val="minMax"/>
        </c:scaling>
        <c:delete val="0"/>
        <c:axPos val="b"/>
        <c:numFmt formatCode="General" sourceLinked="1"/>
        <c:majorTickMark val="none"/>
        <c:minorTickMark val="none"/>
        <c:tickLblPos val="nextTo"/>
        <c:spPr>
          <a:noFill/>
          <a:ln w="1268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128960"/>
        <c:crosses val="autoZero"/>
        <c:auto val="1"/>
        <c:lblAlgn val="ctr"/>
        <c:lblOffset val="100"/>
        <c:noMultiLvlLbl val="0"/>
      </c:catAx>
      <c:valAx>
        <c:axId val="113128960"/>
        <c:scaling>
          <c:orientation val="minMax"/>
          <c:min val="8"/>
        </c:scaling>
        <c:delete val="1"/>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crossAx val="113127424"/>
        <c:crosses val="autoZero"/>
        <c:crossBetween val="between"/>
      </c:valAx>
      <c:spPr>
        <a:noFill/>
        <a:ln w="25368">
          <a:noFill/>
        </a:ln>
      </c:spPr>
    </c:plotArea>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14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98">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854-479C-9DC9-6F182D604A51}"/>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854-479C-9DC9-6F182D604A51}"/>
              </c:ext>
            </c:extLst>
          </c:dPt>
          <c:dPt>
            <c:idx val="2"/>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854-479C-9DC9-6F182D604A51}"/>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854-479C-9DC9-6F182D604A51}"/>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6854-479C-9DC9-6F182D604A51}"/>
              </c:ext>
            </c:extLst>
          </c:dPt>
          <c:dLbls>
            <c:dLbl>
              <c:idx val="0"/>
              <c:layout>
                <c:manualLayout>
                  <c:x val="-8.9592166363822352E-4"/>
                  <c:y val="3.2874599873828829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54-479C-9DC9-6F182D604A51}"/>
                </c:ext>
              </c:extLst>
            </c:dLbl>
            <c:dLbl>
              <c:idx val="1"/>
              <c:layout>
                <c:manualLayout>
                  <c:x val="-2.1502119927317024E-3"/>
                  <c:y val="2.4400102806140331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54-479C-9DC9-6F182D604A51}"/>
                </c:ext>
              </c:extLst>
            </c:dLbl>
            <c:dLbl>
              <c:idx val="2"/>
              <c:layout>
                <c:manualLayout>
                  <c:x val="-3.9813202436234027E-2"/>
                  <c:y val="-0.28444963667375406"/>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54-479C-9DC9-6F182D604A51}"/>
                </c:ext>
              </c:extLst>
            </c:dLbl>
            <c:dLbl>
              <c:idx val="3"/>
              <c:layout>
                <c:manualLayout>
                  <c:x val="4.5061074096507166E-3"/>
                  <c:y val="7.4548327090181686E-3"/>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854-479C-9DC9-6F182D604A51}"/>
                </c:ext>
              </c:extLst>
            </c:dLbl>
            <c:dLbl>
              <c:idx val="4"/>
              <c:layout>
                <c:manualLayout>
                  <c:x val="-0.10111204035367323"/>
                  <c:y val="-1.741336988746852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854-479C-9DC9-6F182D604A51}"/>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Blad1!$A$2:$A$4</c:f>
              <c:strCache>
                <c:ptCount val="3"/>
                <c:pt idx="0">
                  <c:v>Agriculture and rural development</c:v>
                </c:pt>
                <c:pt idx="1">
                  <c:v>Justice and consumers</c:v>
                </c:pt>
                <c:pt idx="2">
                  <c:v>Other</c:v>
                </c:pt>
              </c:strCache>
            </c:strRef>
          </c:cat>
          <c:val>
            <c:numRef>
              <c:f>Blad1!$B$2:$B$4</c:f>
              <c:numCache>
                <c:formatCode>General</c:formatCode>
                <c:ptCount val="3"/>
                <c:pt idx="0">
                  <c:v>2</c:v>
                </c:pt>
                <c:pt idx="1">
                  <c:v>2</c:v>
                </c:pt>
                <c:pt idx="2">
                  <c:v>10</c:v>
                </c:pt>
              </c:numCache>
            </c:numRef>
          </c:val>
          <c:extLst xmlns:c16r2="http://schemas.microsoft.com/office/drawing/2015/06/chart">
            <c:ext xmlns:c16="http://schemas.microsoft.com/office/drawing/2014/chart" uri="{C3380CC4-5D6E-409C-BE32-E72D297353CC}">
              <c16:uniqueId val="{0000000A-6854-479C-9DC9-6F182D604A51}"/>
            </c:ext>
          </c:extLst>
        </c:ser>
        <c:dLbls>
          <c:showLegendKey val="0"/>
          <c:showVal val="0"/>
          <c:showCatName val="0"/>
          <c:showSerName val="0"/>
          <c:showPercent val="0"/>
          <c:showBubbleSize val="0"/>
          <c:showLeaderLines val="0"/>
        </c:dLbls>
        <c:firstSliceAng val="228"/>
      </c:pieChart>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1859185918591862E-2"/>
                  <c:y val="-7.3274853801169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2A-49D7-B6BA-EBBF682C1ABB}"/>
                </c:ext>
              </c:extLst>
            </c:dLbl>
            <c:dLbl>
              <c:idx val="1"/>
              <c:layout>
                <c:manualLayout>
                  <c:x val="-3.3608360836083609E-2"/>
                  <c:y val="-8.4970760233918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2A-49D7-B6BA-EBBF682C1ABB}"/>
                </c:ext>
              </c:extLst>
            </c:dLbl>
            <c:dLbl>
              <c:idx val="3"/>
              <c:layout>
                <c:manualLayout>
                  <c:x val="-4.1859185918591862E-2"/>
                  <c:y val="-6.74269005847953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2A-49D7-B6BA-EBBF682C1ABB}"/>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23</c:v>
                </c:pt>
                <c:pt idx="1">
                  <c:v>15</c:v>
                </c:pt>
                <c:pt idx="2">
                  <c:v>22</c:v>
                </c:pt>
                <c:pt idx="3">
                  <c:v>4</c:v>
                </c:pt>
                <c:pt idx="4">
                  <c:v>3</c:v>
                </c:pt>
              </c:numCache>
            </c:numRef>
          </c:val>
          <c:smooth val="0"/>
          <c:extLst xmlns:c16r2="http://schemas.microsoft.com/office/drawing/2015/06/chart">
            <c:ext xmlns:c16="http://schemas.microsoft.com/office/drawing/2014/chart" uri="{C3380CC4-5D6E-409C-BE32-E72D297353CC}">
              <c16:uniqueId val="{00000002-871A-4A3E-B86C-4B18248DC02E}"/>
            </c:ext>
          </c:extLst>
        </c:ser>
        <c:dLbls>
          <c:dLblPos val="b"/>
          <c:showLegendKey val="0"/>
          <c:showVal val="1"/>
          <c:showCatName val="0"/>
          <c:showSerName val="0"/>
          <c:showPercent val="0"/>
          <c:showBubbleSize val="0"/>
        </c:dLbls>
        <c:marker val="1"/>
        <c:smooth val="0"/>
        <c:axId val="112609920"/>
        <c:axId val="112616960"/>
      </c:lineChart>
      <c:catAx>
        <c:axId val="112609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616960"/>
        <c:crosses val="autoZero"/>
        <c:auto val="1"/>
        <c:lblAlgn val="ctr"/>
        <c:lblOffset val="100"/>
        <c:noMultiLvlLbl val="0"/>
      </c:catAx>
      <c:valAx>
        <c:axId val="112616960"/>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2609920"/>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3"/>
              <c:layout>
                <c:manualLayout>
                  <c:x val="-4.1928374655647381E-2"/>
                  <c:y val="-6.74269005847953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67-43B3-8440-99F52AC92202}"/>
                </c:ext>
              </c:extLst>
            </c:dLbl>
            <c:dLbl>
              <c:idx val="4"/>
              <c:layout>
                <c:manualLayout>
                  <c:x val="-3.101160862354882E-2"/>
                  <c:y val="-8.5571260306242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44-44A4-BDE8-75F1E3DF7449}"/>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23</c:v>
                </c:pt>
                <c:pt idx="1">
                  <c:v>21</c:v>
                </c:pt>
                <c:pt idx="2">
                  <c:v>25</c:v>
                </c:pt>
                <c:pt idx="3">
                  <c:v>11</c:v>
                </c:pt>
                <c:pt idx="4">
                  <c:v>9</c:v>
                </c:pt>
              </c:numCache>
            </c:numRef>
          </c:val>
          <c:smooth val="0"/>
          <c:extLst xmlns:c16r2="http://schemas.microsoft.com/office/drawing/2015/06/chart">
            <c:ext xmlns:c16="http://schemas.microsoft.com/office/drawing/2014/chart" uri="{C3380CC4-5D6E-409C-BE32-E72D297353CC}">
              <c16:uniqueId val="{00000001-0A44-44A4-BDE8-75F1E3DF7449}"/>
            </c:ext>
          </c:extLst>
        </c:ser>
        <c:dLbls>
          <c:showLegendKey val="0"/>
          <c:showVal val="0"/>
          <c:showCatName val="0"/>
          <c:showSerName val="0"/>
          <c:showPercent val="0"/>
          <c:showBubbleSize val="0"/>
        </c:dLbls>
        <c:marker val="1"/>
        <c:smooth val="0"/>
        <c:axId val="112662784"/>
        <c:axId val="112668672"/>
      </c:lineChart>
      <c:catAx>
        <c:axId val="112662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668672"/>
        <c:crosses val="autoZero"/>
        <c:auto val="1"/>
        <c:lblAlgn val="ctr"/>
        <c:lblOffset val="100"/>
        <c:noMultiLvlLbl val="0"/>
      </c:catAx>
      <c:valAx>
        <c:axId val="112668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1266278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Estonia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4818773707249491E-2"/>
                  <c:y val="-5.57636044470450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A3-41EA-BD68-9F79BF8D7844}"/>
                </c:ext>
              </c:extLst>
            </c:dLbl>
            <c:dLbl>
              <c:idx val="1"/>
              <c:layout>
                <c:manualLayout>
                  <c:x val="-4.9678147047268466E-2"/>
                  <c:y val="-6.16149795201872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B13-4695-8115-6B28591B7E7D}"/>
                </c:ext>
              </c:extLst>
            </c:dLbl>
            <c:dLbl>
              <c:idx val="2"/>
              <c:layout>
                <c:manualLayout>
                  <c:x val="-4.4805947479915266E-2"/>
                  <c:y val="-5.6049262127781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13-4695-8115-6B28591B7E7D}"/>
                </c:ext>
              </c:extLst>
            </c:dLbl>
            <c:dLbl>
              <c:idx val="3"/>
              <c:layout>
                <c:manualLayout>
                  <c:x val="-5.1000296548091795E-2"/>
                  <c:y val="8.6379196749031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B13-4695-8115-6B28591B7E7D}"/>
                </c:ext>
              </c:extLst>
            </c:dLbl>
            <c:dLbl>
              <c:idx val="4"/>
              <c:layout>
                <c:manualLayout>
                  <c:x val="-4.2317660379054232E-2"/>
                  <c:y val="0.1084051378123165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13-4695-8115-6B28591B7E7D}"/>
                </c:ext>
              </c:extLst>
            </c:dLbl>
            <c:spPr>
              <a:noFill/>
              <a:ln w="25401">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0.84</c:v>
                </c:pt>
                <c:pt idx="1">
                  <c:v>0.88</c:v>
                </c:pt>
                <c:pt idx="2">
                  <c:v>0.74</c:v>
                </c:pt>
                <c:pt idx="3">
                  <c:v>0.73</c:v>
                </c:pt>
                <c:pt idx="4">
                  <c:v>0.4</c:v>
                </c:pt>
              </c:numCache>
            </c:numRef>
          </c:val>
          <c:smooth val="0"/>
          <c:extLst xmlns:c16r2="http://schemas.microsoft.com/office/drawing/2015/06/chart">
            <c:ext xmlns:c16="http://schemas.microsoft.com/office/drawing/2014/chart" uri="{C3380CC4-5D6E-409C-BE32-E72D297353CC}">
              <c16:uniqueId val="{00000003-1B13-4695-8115-6B28591B7E7D}"/>
            </c:ext>
          </c:extLst>
        </c:ser>
        <c:ser>
          <c:idx val="1"/>
          <c:order val="1"/>
          <c:tx>
            <c:strRef>
              <c:f>Blad1!$C$2</c:f>
              <c:strCache>
                <c:ptCount val="1"/>
                <c:pt idx="0">
                  <c:v>General rate for all Member States</c:v>
                </c:pt>
              </c:strCache>
            </c:strRef>
          </c:tx>
          <c:spPr>
            <a:ln w="25401">
              <a:solidFill>
                <a:srgbClr val="92D050"/>
              </a:solidFill>
            </a:ln>
          </c:spPr>
          <c:marker>
            <c:symbol val="square"/>
            <c:size val="5"/>
            <c:spPr>
              <a:solidFill>
                <a:srgbClr val="92D050"/>
              </a:solidFill>
              <a:ln>
                <a:solidFill>
                  <a:srgbClr val="92D050"/>
                </a:solidFill>
              </a:ln>
            </c:spPr>
          </c:marker>
          <c:dLbls>
            <c:dLbl>
              <c:idx val="0"/>
              <c:layout>
                <c:manualLayout>
                  <c:x val="-5.9197638237884681E-2"/>
                  <c:y val="5.57636044470450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A3-41EA-BD68-9F79BF8D7844}"/>
                </c:ext>
              </c:extLst>
            </c:dLbl>
            <c:dLbl>
              <c:idx val="1"/>
              <c:layout>
                <c:manualLayout>
                  <c:x val="-4.7201980153619837E-2"/>
                  <c:y val="6.74663545933294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9D-4CA2-80B8-E7B1E501AEA2}"/>
                </c:ext>
              </c:extLst>
            </c:dLbl>
            <c:dLbl>
              <c:idx val="2"/>
              <c:layout>
                <c:manualLayout>
                  <c:x val="-4.2317667200960953E-2"/>
                  <c:y val="7.2966339733849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13-4695-8115-6B28591B7E7D}"/>
                </c:ext>
              </c:extLst>
            </c:dLbl>
            <c:dLbl>
              <c:idx val="3"/>
              <c:layout>
                <c:manualLayout>
                  <c:x val="-5.5633749828488975E-2"/>
                  <c:y val="-9.05207723815096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13-4695-8115-6B28591B7E7D}"/>
                </c:ext>
              </c:extLst>
            </c:dLbl>
            <c:dLbl>
              <c:idx val="4"/>
              <c:layout>
                <c:manualLayout>
                  <c:x val="-4.2318832651298828E-2"/>
                  <c:y val="-0.1024763233762502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13-4695-8115-6B28591B7E7D}"/>
                </c:ext>
              </c:extLst>
            </c:dLbl>
            <c:spPr>
              <a:noFill/>
              <a:ln w="25401">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6-1B13-4695-8115-6B28591B7E7D}"/>
            </c:ext>
          </c:extLst>
        </c:ser>
        <c:dLbls>
          <c:showLegendKey val="0"/>
          <c:showVal val="0"/>
          <c:showCatName val="0"/>
          <c:showSerName val="0"/>
          <c:showPercent val="0"/>
          <c:showBubbleSize val="0"/>
        </c:dLbls>
        <c:marker val="1"/>
        <c:smooth val="0"/>
        <c:axId val="112760320"/>
        <c:axId val="112761856"/>
      </c:lineChart>
      <c:catAx>
        <c:axId val="112760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2761856"/>
        <c:crosses val="autoZero"/>
        <c:auto val="1"/>
        <c:lblAlgn val="ctr"/>
        <c:lblOffset val="100"/>
        <c:noMultiLvlLbl val="0"/>
      </c:catAx>
      <c:valAx>
        <c:axId val="1127618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12760320"/>
        <c:crosses val="autoZero"/>
        <c:crossBetween val="between"/>
      </c:valAx>
      <c:spPr>
        <a:noFill/>
        <a:ln w="25401">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418">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16</c:v>
                </c:pt>
                <c:pt idx="1">
                  <c:v>26</c:v>
                </c:pt>
                <c:pt idx="2">
                  <c:v>30</c:v>
                </c:pt>
                <c:pt idx="3">
                  <c:v>33</c:v>
                </c:pt>
                <c:pt idx="4">
                  <c:v>27</c:v>
                </c:pt>
              </c:numCache>
            </c:numRef>
          </c:val>
          <c:smooth val="0"/>
          <c:extLst xmlns:c16r2="http://schemas.microsoft.com/office/drawing/2015/06/chart">
            <c:ext xmlns:c16="http://schemas.microsoft.com/office/drawing/2014/chart" uri="{C3380CC4-5D6E-409C-BE32-E72D297353CC}">
              <c16:uniqueId val="{00000000-8C11-4D04-AAAB-56C2C414F8D3}"/>
            </c:ext>
          </c:extLst>
        </c:ser>
        <c:dLbls>
          <c:showLegendKey val="0"/>
          <c:showVal val="0"/>
          <c:showCatName val="0"/>
          <c:showSerName val="0"/>
          <c:showPercent val="0"/>
          <c:showBubbleSize val="0"/>
        </c:dLbls>
        <c:marker val="1"/>
        <c:smooth val="0"/>
        <c:axId val="112823680"/>
        <c:axId val="113509504"/>
      </c:lineChart>
      <c:catAx>
        <c:axId val="112823680"/>
        <c:scaling>
          <c:orientation val="minMax"/>
        </c:scaling>
        <c:delete val="0"/>
        <c:axPos val="b"/>
        <c:numFmt formatCode="General" sourceLinked="1"/>
        <c:majorTickMark val="none"/>
        <c:minorTickMark val="none"/>
        <c:tickLblPos val="nextTo"/>
        <c:spPr>
          <a:noFill/>
          <a:ln w="12709"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509504"/>
        <c:crosses val="autoZero"/>
        <c:auto val="1"/>
        <c:lblAlgn val="ctr"/>
        <c:lblOffset val="100"/>
        <c:noMultiLvlLbl val="0"/>
      </c:catAx>
      <c:valAx>
        <c:axId val="113509504"/>
        <c:scaling>
          <c:orientation val="minMax"/>
          <c:min val="10"/>
        </c:scaling>
        <c:delete val="1"/>
        <c:axPos val="l"/>
        <c:majorGridlines>
          <c:spPr>
            <a:ln w="9532" cap="flat" cmpd="sng" algn="ctr">
              <a:solidFill>
                <a:schemeClr val="tx1">
                  <a:lumMod val="15000"/>
                  <a:lumOff val="85000"/>
                </a:schemeClr>
              </a:solidFill>
              <a:round/>
            </a:ln>
            <a:effectLst/>
          </c:spPr>
        </c:majorGridlines>
        <c:numFmt formatCode="General" sourceLinked="1"/>
        <c:majorTickMark val="out"/>
        <c:minorTickMark val="none"/>
        <c:tickLblPos val="nextTo"/>
        <c:crossAx val="112823680"/>
        <c:crosses val="autoZero"/>
        <c:crossBetween val="between"/>
      </c:valAx>
      <c:spPr>
        <a:noFill/>
        <a:ln w="25418">
          <a:noFill/>
        </a:ln>
      </c:spPr>
    </c:plotArea>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Belgium</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7.2275428965722047E-2"/>
                  <c:y val="5.77814569536423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6B6-4160-93EE-DD66C45F09A7}"/>
                </c:ext>
              </c:extLst>
            </c:dLbl>
            <c:dLbl>
              <c:idx val="3"/>
              <c:layout>
                <c:manualLayout>
                  <c:x val="-4.5426695937669404E-2"/>
                  <c:y val="-5.920853608995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6B6-4160-93EE-DD66C45F09A7}"/>
                </c:ext>
              </c:extLst>
            </c:dLbl>
            <c:dLbl>
              <c:idx val="4"/>
              <c:layout>
                <c:manualLayout>
                  <c:x val="-5.540900714296583E-2"/>
                  <c:y val="-5.782085965928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45D-4C30-B62F-4FB2A1ED7E6C}"/>
                </c:ext>
              </c:extLst>
            </c:dLbl>
            <c:spPr>
              <a:noFill/>
              <a:ln w="25370">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c:v>
                </c:pt>
                <c:pt idx="1">
                  <c:v>0.7</c:v>
                </c:pt>
                <c:pt idx="2">
                  <c:v>0.59</c:v>
                </c:pt>
                <c:pt idx="3">
                  <c:v>0.78</c:v>
                </c:pt>
                <c:pt idx="4">
                  <c:v>0.86</c:v>
                </c:pt>
              </c:numCache>
            </c:numRef>
          </c:val>
          <c:smooth val="0"/>
          <c:extLst xmlns:c16r2="http://schemas.microsoft.com/office/drawing/2015/06/chart">
            <c:ext xmlns:c16="http://schemas.microsoft.com/office/drawing/2014/chart" uri="{C3380CC4-5D6E-409C-BE32-E72D297353CC}">
              <c16:uniqueId val="{00000002-D6B6-4160-93EE-DD66C45F09A7}"/>
            </c:ext>
          </c:extLst>
        </c:ser>
        <c:ser>
          <c:idx val="1"/>
          <c:order val="1"/>
          <c:tx>
            <c:strRef>
              <c:f>Blad1!$C$2</c:f>
              <c:strCache>
                <c:ptCount val="1"/>
                <c:pt idx="0">
                  <c:v>General rate for all Member States</c:v>
                </c:pt>
              </c:strCache>
            </c:strRef>
          </c:tx>
          <c:spPr>
            <a:ln w="25370">
              <a:solidFill>
                <a:srgbClr val="92D050"/>
              </a:solidFill>
            </a:ln>
          </c:spPr>
          <c:marker>
            <c:symbol val="square"/>
            <c:size val="4"/>
            <c:spPr>
              <a:solidFill>
                <a:srgbClr val="92D050"/>
              </a:solidFill>
              <a:ln>
                <a:solidFill>
                  <a:srgbClr val="92D050"/>
                </a:solidFill>
              </a:ln>
            </c:spPr>
          </c:marker>
          <c:dLbls>
            <c:dLbl>
              <c:idx val="0"/>
              <c:layout>
                <c:manualLayout>
                  <c:x val="-6.3955961411645501E-2"/>
                  <c:y val="-6.33002207505518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6B6-4160-93EE-DD66C45F09A7}"/>
                </c:ext>
              </c:extLst>
            </c:dLbl>
            <c:dLbl>
              <c:idx val="3"/>
              <c:layout>
                <c:manualLayout>
                  <c:x val="-3.7448244501352326E-2"/>
                  <c:y val="5.50770547205199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CB2-43E6-B645-84723EDE783A}"/>
                </c:ext>
              </c:extLst>
            </c:dLbl>
            <c:dLbl>
              <c:idx val="4"/>
              <c:layout>
                <c:manualLayout>
                  <c:x val="-4.2974633006464133E-2"/>
                  <c:y val="6.6054003128862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45D-4C30-B62F-4FB2A1ED7E6C}"/>
                </c:ext>
              </c:extLst>
            </c:dLbl>
            <c:spPr>
              <a:noFill/>
              <a:ln w="25370">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4-D6B6-4160-93EE-DD66C45F09A7}"/>
            </c:ext>
          </c:extLst>
        </c:ser>
        <c:dLbls>
          <c:showLegendKey val="0"/>
          <c:showVal val="0"/>
          <c:showCatName val="0"/>
          <c:showSerName val="0"/>
          <c:showPercent val="0"/>
          <c:showBubbleSize val="0"/>
        </c:dLbls>
        <c:marker val="1"/>
        <c:smooth val="0"/>
        <c:axId val="106147200"/>
        <c:axId val="106300544"/>
      </c:lineChart>
      <c:catAx>
        <c:axId val="10614720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300544"/>
        <c:crosses val="autoZero"/>
        <c:auto val="1"/>
        <c:lblAlgn val="ctr"/>
        <c:lblOffset val="100"/>
        <c:noMultiLvlLbl val="0"/>
      </c:catAx>
      <c:valAx>
        <c:axId val="106300544"/>
        <c:scaling>
          <c:orientation val="minMax"/>
          <c:min val="0.5"/>
        </c:scaling>
        <c:delete val="1"/>
        <c:axPos val="l"/>
        <c:majorGridlines>
          <c:spPr>
            <a:ln w="9514" cap="flat" cmpd="sng" algn="ctr">
              <a:solidFill>
                <a:schemeClr val="tx1">
                  <a:lumMod val="15000"/>
                  <a:lumOff val="85000"/>
                </a:schemeClr>
              </a:solidFill>
              <a:round/>
            </a:ln>
            <a:effectLst/>
          </c:spPr>
        </c:majorGridlines>
        <c:numFmt formatCode="0%" sourceLinked="1"/>
        <c:majorTickMark val="out"/>
        <c:minorTickMark val="none"/>
        <c:tickLblPos val="nextTo"/>
        <c:crossAx val="106147200"/>
        <c:crosses val="autoZero"/>
        <c:crossBetween val="between"/>
      </c:valAx>
      <c:spPr>
        <a:noFill/>
        <a:ln w="25370">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11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F0BF-45F6-9058-704F8FBA1E19}"/>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F0BF-45F6-9058-704F8FBA1E19}"/>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F0BF-45F6-9058-704F8FBA1E19}"/>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F0BF-45F6-9058-704F8FBA1E19}"/>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F0BF-45F6-9058-704F8FBA1E19}"/>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F0BF-45F6-9058-704F8FBA1E19}"/>
              </c:ext>
            </c:extLst>
          </c:dPt>
          <c:dPt>
            <c:idx val="6"/>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F0BF-45F6-9058-704F8FBA1E19}"/>
              </c:ext>
            </c:extLst>
          </c:dPt>
          <c:dPt>
            <c:idx val="7"/>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F0BF-45F6-9058-704F8FBA1E1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BF-45F6-9058-704F8FBA1E19}"/>
                </c:ext>
              </c:extLst>
            </c:dLbl>
            <c:dLbl>
              <c:idx val="1"/>
              <c:layout>
                <c:manualLayout>
                  <c:x val="2.5955438204954918E-2"/>
                  <c:y val="-3.361907743183478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BF-45F6-9058-704F8FBA1E19}"/>
                </c:ext>
              </c:extLst>
            </c:dLbl>
            <c:dLbl>
              <c:idx val="2"/>
              <c:layout>
                <c:manualLayout>
                  <c:x val="1.5465970945248611E-2"/>
                  <c:y val="3.840729771163925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BF-45F6-9058-704F8FBA1E19}"/>
                </c:ext>
              </c:extLst>
            </c:dLbl>
            <c:dLbl>
              <c:idx val="3"/>
              <c:layout>
                <c:manualLayout>
                  <c:x val="-9.127781183040742E-3"/>
                  <c:y val="-2.97916315506433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BF-45F6-9058-704F8FBA1E19}"/>
                </c:ext>
              </c:extLst>
            </c:dLbl>
            <c:dLbl>
              <c:idx val="4"/>
              <c:layout>
                <c:manualLayout>
                  <c:x val="1.8830789863841773E-2"/>
                  <c:y val="-3.058144108133281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BF-45F6-9058-704F8FBA1E19}"/>
                </c:ext>
              </c:extLst>
            </c:dLbl>
            <c:dLbl>
              <c:idx val="5"/>
              <c:layout>
                <c:manualLayout>
                  <c:x val="8.3157900480735122E-3"/>
                  <c:y val="6.01092896174863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BF-45F6-9058-704F8FBA1E19}"/>
                </c:ext>
              </c:extLst>
            </c:dLbl>
            <c:dLbl>
              <c:idx val="7"/>
              <c:layout>
                <c:manualLayout>
                  <c:x val="-1.0645375914837017E-2"/>
                  <c:y val="-5.60652395514781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0BF-45F6-9058-704F8FBA1E1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Internal market, industry, entrepreneurship and SMEs</c:v>
                </c:pt>
                <c:pt idx="2">
                  <c:v>Energy</c:v>
                </c:pt>
                <c:pt idx="3">
                  <c:v>Migration and home affairs</c:v>
                </c:pt>
                <c:pt idx="4">
                  <c:v>Communication networks</c:v>
                </c:pt>
                <c:pt idx="5">
                  <c:v>Environment</c:v>
                </c:pt>
                <c:pt idx="6">
                  <c:v>Taxation and customs</c:v>
                </c:pt>
                <c:pt idx="7">
                  <c:v>Justice and consumers</c:v>
                </c:pt>
              </c:strCache>
            </c:strRef>
          </c:cat>
          <c:val>
            <c:numRef>
              <c:f>Blad1!$B$2:$B$9</c:f>
              <c:numCache>
                <c:formatCode>General</c:formatCode>
                <c:ptCount val="8"/>
                <c:pt idx="0">
                  <c:v>0</c:v>
                </c:pt>
                <c:pt idx="1">
                  <c:v>3</c:v>
                </c:pt>
                <c:pt idx="2">
                  <c:v>2</c:v>
                </c:pt>
                <c:pt idx="3">
                  <c:v>2</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10-F0BF-45F6-9058-704F8FBA1E19}"/>
            </c:ext>
          </c:extLst>
        </c:ser>
        <c:dLbls>
          <c:showLegendKey val="0"/>
          <c:showVal val="0"/>
          <c:showCatName val="1"/>
          <c:showSerName val="0"/>
          <c:showPercent val="0"/>
          <c:showBubbleSize val="0"/>
          <c:showLeaderLines val="0"/>
        </c:dLbls>
        <c:firstSliceAng val="25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7</c:v>
                </c:pt>
                <c:pt idx="1">
                  <c:v>18</c:v>
                </c:pt>
                <c:pt idx="2">
                  <c:v>23</c:v>
                </c:pt>
                <c:pt idx="3">
                  <c:v>27</c:v>
                </c:pt>
                <c:pt idx="4">
                  <c:v>16</c:v>
                </c:pt>
              </c:numCache>
            </c:numRef>
          </c:val>
          <c:smooth val="0"/>
          <c:extLst xmlns:c16r2="http://schemas.microsoft.com/office/drawing/2015/06/chart">
            <c:ext xmlns:c16="http://schemas.microsoft.com/office/drawing/2014/chart" uri="{C3380CC4-5D6E-409C-BE32-E72D297353CC}">
              <c16:uniqueId val="{00000000-D51F-435A-AD08-81F5F410D66E}"/>
            </c:ext>
          </c:extLst>
        </c:ser>
        <c:dLbls>
          <c:showLegendKey val="0"/>
          <c:showVal val="0"/>
          <c:showCatName val="0"/>
          <c:showSerName val="0"/>
          <c:showPercent val="0"/>
          <c:showBubbleSize val="0"/>
        </c:dLbls>
        <c:marker val="1"/>
        <c:smooth val="0"/>
        <c:axId val="115745920"/>
        <c:axId val="115747456"/>
      </c:lineChart>
      <c:catAx>
        <c:axId val="115745920"/>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5747456"/>
        <c:crosses val="autoZero"/>
        <c:auto val="1"/>
        <c:lblAlgn val="ctr"/>
        <c:lblOffset val="100"/>
        <c:noMultiLvlLbl val="0"/>
      </c:catAx>
      <c:valAx>
        <c:axId val="115747456"/>
        <c:scaling>
          <c:orientation val="minMax"/>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115745920"/>
        <c:crosses val="autoZero"/>
        <c:crossBetween val="between"/>
      </c:valAx>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10</c:v>
                </c:pt>
                <c:pt idx="1">
                  <c:v>15</c:v>
                </c:pt>
                <c:pt idx="2">
                  <c:v>18</c:v>
                </c:pt>
                <c:pt idx="3">
                  <c:v>16</c:v>
                </c:pt>
                <c:pt idx="4">
                  <c:v>6</c:v>
                </c:pt>
              </c:numCache>
            </c:numRef>
          </c:val>
          <c:smooth val="0"/>
          <c:extLst xmlns:c16r2="http://schemas.microsoft.com/office/drawing/2015/06/chart">
            <c:ext xmlns:c16="http://schemas.microsoft.com/office/drawing/2014/chart" uri="{C3380CC4-5D6E-409C-BE32-E72D297353CC}">
              <c16:uniqueId val="{00000000-37CF-4580-90DE-BC1D09584DEB}"/>
            </c:ext>
          </c:extLst>
        </c:ser>
        <c:dLbls>
          <c:showLegendKey val="0"/>
          <c:showVal val="0"/>
          <c:showCatName val="0"/>
          <c:showSerName val="0"/>
          <c:showPercent val="0"/>
          <c:showBubbleSize val="0"/>
        </c:dLbls>
        <c:marker val="1"/>
        <c:smooth val="0"/>
        <c:axId val="115784320"/>
        <c:axId val="115790208"/>
      </c:lineChart>
      <c:catAx>
        <c:axId val="115784320"/>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5790208"/>
        <c:crosses val="autoZero"/>
        <c:auto val="1"/>
        <c:lblAlgn val="ctr"/>
        <c:lblOffset val="100"/>
        <c:noMultiLvlLbl val="0"/>
      </c:catAx>
      <c:valAx>
        <c:axId val="115790208"/>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5784320"/>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6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Estonia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4087131688044294"/>
          <c:y val="3.4313861930049441E-2"/>
        </c:manualLayout>
      </c:layout>
      <c:overlay val="0"/>
      <c:spPr>
        <a:noFill/>
        <a:ln w="25340">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DD2E-4269-A8EB-E2B929757D14}"/>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DD2E-4269-A8EB-E2B929757D14}"/>
              </c:ext>
            </c:extLst>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DD2E-4269-A8EB-E2B929757D14}"/>
              </c:ext>
            </c:extLst>
          </c:dPt>
          <c:dPt>
            <c:idx val="3"/>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DD2E-4269-A8EB-E2B929757D14}"/>
              </c:ext>
            </c:extLst>
          </c:dPt>
          <c:dLbls>
            <c:dLbl>
              <c:idx val="0"/>
              <c:layout>
                <c:manualLayout>
                  <c:x val="2.2168449873998308E-2"/>
                  <c:y val="-0.10699149785763964"/>
                </c:manualLayout>
              </c:layout>
              <c:spPr>
                <a:noFill/>
                <a:ln w="25340">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2E-4269-A8EB-E2B929757D14}"/>
                </c:ext>
              </c:extLst>
            </c:dLbl>
            <c:dLbl>
              <c:idx val="1"/>
              <c:layout>
                <c:manualLayout>
                  <c:x val="-1.6558322651529126E-2"/>
                  <c:y val="7.34037732462929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2E-4269-A8EB-E2B929757D14}"/>
                </c:ext>
              </c:extLst>
            </c:dLbl>
            <c:dLbl>
              <c:idx val="2"/>
              <c:layout>
                <c:manualLayout>
                  <c:x val="2.2306441345994542E-2"/>
                  <c:y val="-7.466092379478206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2E-4269-A8EB-E2B929757D14}"/>
                </c:ext>
              </c:extLst>
            </c:dLbl>
            <c:dLbl>
              <c:idx val="3"/>
              <c:layout>
                <c:manualLayout>
                  <c:x val="-0.1356070316791797"/>
                  <c:y val="-2.173880807271972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2E-4269-A8EB-E2B929757D14}"/>
                </c:ext>
              </c:extLst>
            </c:dLbl>
            <c:dLbl>
              <c:idx val="4"/>
              <c:layout>
                <c:manualLayout>
                  <c:x val="-5.5370985603543747E-3"/>
                  <c:y val="-1.47058823529410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D2E-4269-A8EB-E2B929757D14}"/>
                </c:ext>
              </c:extLst>
            </c:dLbl>
            <c:dLbl>
              <c:idx val="5"/>
              <c:layout>
                <c:manualLayout>
                  <c:x val="-2.7685492801771874E-3"/>
                  <c:y val="5.39215686274509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D2E-4269-A8EB-E2B929757D14}"/>
                </c:ext>
              </c:extLst>
            </c:dLbl>
            <c:spPr>
              <a:noFill/>
              <a:ln w="2534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Blad1!$A$4:$A$7</c:f>
              <c:strCache>
                <c:ptCount val="4"/>
                <c:pt idx="0">
                  <c:v>Internal market, industry, entrepreneurship and SMEs</c:v>
                </c:pt>
                <c:pt idx="1">
                  <c:v>Migration and home affairs</c:v>
                </c:pt>
                <c:pt idx="2">
                  <c:v>Communication networks</c:v>
                </c:pt>
                <c:pt idx="3">
                  <c:v>Justice and consumers</c:v>
                </c:pt>
              </c:strCache>
            </c:strRef>
          </c:cat>
          <c:val>
            <c:numRef>
              <c:f>Blad1!$B$4:$B$7</c:f>
              <c:numCache>
                <c:formatCode>General</c:formatCode>
                <c:ptCount val="4"/>
                <c:pt idx="0">
                  <c:v>2</c:v>
                </c:pt>
                <c:pt idx="1">
                  <c:v>2</c:v>
                </c:pt>
                <c:pt idx="2">
                  <c:v>1</c:v>
                </c:pt>
                <c:pt idx="3">
                  <c:v>1</c:v>
                </c:pt>
              </c:numCache>
            </c:numRef>
          </c:val>
          <c:extLst xmlns:c16r2="http://schemas.microsoft.com/office/drawing/2015/06/chart">
            <c:ext xmlns:c16="http://schemas.microsoft.com/office/drawing/2014/chart" uri="{C3380CC4-5D6E-409C-BE32-E72D297353CC}">
              <c16:uniqueId val="{0000000A-DD2E-4269-A8EB-E2B929757D14}"/>
            </c:ext>
          </c:extLst>
        </c:ser>
        <c:dLbls>
          <c:showLegendKey val="0"/>
          <c:showVal val="0"/>
          <c:showCatName val="0"/>
          <c:showSerName val="0"/>
          <c:showPercent val="0"/>
          <c:showBubbleSize val="0"/>
          <c:showLeaderLines val="0"/>
        </c:dLbls>
        <c:firstSliceAng val="218"/>
      </c:pieChart>
      <c:spPr>
        <a:noFill/>
        <a:ln w="25340">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5.2795902242323514E-2"/>
                  <c:y val="-5.74268772413260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91-44E0-9B68-9D72402A7637}"/>
                </c:ext>
              </c:extLst>
            </c:dLbl>
            <c:dLbl>
              <c:idx val="1"/>
              <c:layout>
                <c:manualLayout>
                  <c:x val="-4.7265673105740674E-2"/>
                  <c:y val="8.43526202724249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90-4A21-AD08-EEA22D02D892}"/>
                </c:ext>
              </c:extLst>
            </c:dLbl>
            <c:dLbl>
              <c:idx val="2"/>
              <c:layout>
                <c:manualLayout>
                  <c:x val="-4.182807944854644E-2"/>
                  <c:y val="-6.0733577558733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25-43B2-98FE-C162AAB321BD}"/>
                </c:ext>
              </c:extLst>
            </c:dLbl>
            <c:dLbl>
              <c:idx val="3"/>
              <c:layout>
                <c:manualLayout>
                  <c:x val="-4.4586069183212562E-2"/>
                  <c:y val="-6.4839689156502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25-43B2-98FE-C162AAB321BD}"/>
                </c:ext>
              </c:extLst>
            </c:dLbl>
            <c:dLbl>
              <c:idx val="4"/>
              <c:layout>
                <c:manualLayout>
                  <c:x val="-3.6272878535773607E-2"/>
                  <c:y val="6.5355981445715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25-43B2-98FE-C162AAB321BD}"/>
                </c:ext>
              </c:extLst>
            </c:dLbl>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170</c:v>
                </c:pt>
                <c:pt idx="1">
                  <c:v>71</c:v>
                </c:pt>
                <c:pt idx="2">
                  <c:v>162</c:v>
                </c:pt>
                <c:pt idx="3">
                  <c:v>130</c:v>
                </c:pt>
                <c:pt idx="4">
                  <c:v>99</c:v>
                </c:pt>
              </c:numCache>
            </c:numRef>
          </c:val>
          <c:smooth val="0"/>
          <c:extLst xmlns:c16r2="http://schemas.microsoft.com/office/drawing/2015/06/chart">
            <c:ext xmlns:c16="http://schemas.microsoft.com/office/drawing/2014/chart" uri="{C3380CC4-5D6E-409C-BE32-E72D297353CC}">
              <c16:uniqueId val="{00000003-DD25-43B2-98FE-C162AAB321BD}"/>
            </c:ext>
          </c:extLst>
        </c:ser>
        <c:dLbls>
          <c:showLegendKey val="0"/>
          <c:showVal val="0"/>
          <c:showCatName val="0"/>
          <c:showSerName val="0"/>
          <c:showPercent val="0"/>
          <c:showBubbleSize val="0"/>
        </c:dLbls>
        <c:marker val="1"/>
        <c:smooth val="0"/>
        <c:axId val="116045696"/>
        <c:axId val="116047232"/>
      </c:lineChart>
      <c:catAx>
        <c:axId val="11604569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047232"/>
        <c:crosses val="autoZero"/>
        <c:auto val="1"/>
        <c:lblAlgn val="ctr"/>
        <c:lblOffset val="100"/>
        <c:noMultiLvlLbl val="0"/>
      </c:catAx>
      <c:valAx>
        <c:axId val="116047232"/>
        <c:scaling>
          <c:orientation val="minMax"/>
          <c:min val="4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604569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99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747-4E3D-971E-A2F375752967}"/>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747-4E3D-971E-A2F375752967}"/>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747-4E3D-971E-A2F375752967}"/>
              </c:ext>
            </c:extLst>
          </c:dPt>
          <c:dPt>
            <c:idx val="3"/>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747-4E3D-971E-A2F375752967}"/>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747-4E3D-971E-A2F37575296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47-4E3D-971E-A2F375752967}"/>
                </c:ext>
              </c:extLst>
            </c:dLbl>
            <c:dLbl>
              <c:idx val="1"/>
              <c:layout>
                <c:manualLayout>
                  <c:x val="-5.7646481758386152E-2"/>
                  <c:y val="-0.19004416914025701"/>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47-4E3D-971E-A2F375752967}"/>
                </c:ext>
              </c:extLst>
            </c:dLbl>
            <c:dLbl>
              <c:idx val="2"/>
              <c:layout>
                <c:manualLayout>
                  <c:x val="-3.0118488275385331E-2"/>
                  <c:y val="7.7837092397348637E-3"/>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47-4E3D-971E-A2F375752967}"/>
                </c:ext>
              </c:extLst>
            </c:dLbl>
            <c:dLbl>
              <c:idx val="3"/>
              <c:layout>
                <c:manualLayout>
                  <c:x val="1.913813668461585E-2"/>
                  <c:y val="8.50220401343737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47-4E3D-971E-A2F375752967}"/>
                </c:ext>
              </c:extLst>
            </c:dLbl>
            <c:dLbl>
              <c:idx val="4"/>
              <c:layout>
                <c:manualLayout>
                  <c:x val="2.1913958286078439E-2"/>
                  <c:y val="-5.061568575114551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47-4E3D-971E-A2F375752967}"/>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Justice and consumers</c:v>
                </c:pt>
                <c:pt idx="2">
                  <c:v>Environment</c:v>
                </c:pt>
                <c:pt idx="3">
                  <c:v>Employment</c:v>
                </c:pt>
                <c:pt idx="4">
                  <c:v>Other</c:v>
                </c:pt>
              </c:strCache>
            </c:strRef>
          </c:cat>
          <c:val>
            <c:numRef>
              <c:f>Blad1!$B$2:$B$6</c:f>
              <c:numCache>
                <c:formatCode>General</c:formatCode>
                <c:ptCount val="5"/>
                <c:pt idx="0">
                  <c:v>0</c:v>
                </c:pt>
                <c:pt idx="1">
                  <c:v>40</c:v>
                </c:pt>
                <c:pt idx="2">
                  <c:v>15</c:v>
                </c:pt>
                <c:pt idx="3">
                  <c:v>13</c:v>
                </c:pt>
                <c:pt idx="4">
                  <c:v>31</c:v>
                </c:pt>
              </c:numCache>
            </c:numRef>
          </c:val>
          <c:extLst xmlns:c16r2="http://schemas.microsoft.com/office/drawing/2015/06/chart">
            <c:ext xmlns:c16="http://schemas.microsoft.com/office/drawing/2014/chart" uri="{C3380CC4-5D6E-409C-BE32-E72D297353CC}">
              <c16:uniqueId val="{0000000A-E747-4E3D-971E-A2F375752967}"/>
            </c:ext>
          </c:extLst>
        </c:ser>
        <c:dLbls>
          <c:showLegendKey val="0"/>
          <c:showVal val="0"/>
          <c:showCatName val="0"/>
          <c:showSerName val="0"/>
          <c:showPercent val="0"/>
          <c:showBubbleSize val="0"/>
          <c:showLeaderLines val="0"/>
        </c:dLbls>
        <c:firstSliceAng val="153"/>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12358629589906E-2"/>
                  <c:y val="-5.8920801846077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96-4139-A49B-F59FFFE5F1BD}"/>
                </c:ext>
              </c:extLst>
            </c:dLbl>
            <c:dLbl>
              <c:idx val="1"/>
              <c:layout>
                <c:manualLayout>
                  <c:x val="-5.0514671825191398E-2"/>
                  <c:y val="6.38509895841349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AB-49CE-89C3-43EBE1D732C5}"/>
                </c:ext>
              </c:extLst>
            </c:dLbl>
            <c:dLbl>
              <c:idx val="2"/>
              <c:layout>
                <c:manualLayout>
                  <c:x val="-4.5000676912058203E-2"/>
                  <c:y val="5.536860679577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AB-49CE-89C3-43EBE1D732C5}"/>
                </c:ext>
              </c:extLst>
            </c:dLbl>
            <c:dLbl>
              <c:idx val="4"/>
              <c:layout>
                <c:manualLayout>
                  <c:x val="-8.9295618413754857E-3"/>
                  <c:y val="1.9538288288288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AB-49CE-89C3-43EBE1D732C5}"/>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32</c:v>
                </c:pt>
                <c:pt idx="1">
                  <c:v>31</c:v>
                </c:pt>
                <c:pt idx="2">
                  <c:v>25</c:v>
                </c:pt>
                <c:pt idx="3">
                  <c:v>6</c:v>
                </c:pt>
                <c:pt idx="4">
                  <c:v>3</c:v>
                </c:pt>
              </c:numCache>
            </c:numRef>
          </c:val>
          <c:smooth val="0"/>
          <c:extLst xmlns:c16r2="http://schemas.microsoft.com/office/drawing/2015/06/chart">
            <c:ext xmlns:c16="http://schemas.microsoft.com/office/drawing/2014/chart" uri="{C3380CC4-5D6E-409C-BE32-E72D297353CC}">
              <c16:uniqueId val="{00000003-ADAB-49CE-89C3-43EBE1D732C5}"/>
            </c:ext>
          </c:extLst>
        </c:ser>
        <c:dLbls>
          <c:showLegendKey val="0"/>
          <c:showVal val="0"/>
          <c:showCatName val="0"/>
          <c:showSerName val="0"/>
          <c:showPercent val="0"/>
          <c:showBubbleSize val="0"/>
        </c:dLbls>
        <c:marker val="1"/>
        <c:smooth val="0"/>
        <c:axId val="116325376"/>
        <c:axId val="116200192"/>
      </c:lineChart>
      <c:catAx>
        <c:axId val="11632537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200192"/>
        <c:crosses val="autoZero"/>
        <c:auto val="1"/>
        <c:lblAlgn val="ctr"/>
        <c:lblOffset val="100"/>
        <c:noMultiLvlLbl val="0"/>
      </c:catAx>
      <c:valAx>
        <c:axId val="116200192"/>
        <c:scaling>
          <c:orientation val="minMax"/>
          <c:min val="0"/>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632537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0511838269351329E-2"/>
                  <c:y val="5.8086532816461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0B-42B9-BA9A-F9201F02037E}"/>
                </c:ext>
              </c:extLst>
            </c:dLbl>
            <c:dLbl>
              <c:idx val="2"/>
              <c:layout>
                <c:manualLayout>
                  <c:x val="-4.5000676912058203E-2"/>
                  <c:y val="7.22604986876640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0B-42B9-BA9A-F9201F02037E}"/>
                </c:ext>
              </c:extLst>
            </c:dLbl>
            <c:dLbl>
              <c:idx val="4"/>
              <c:layout>
                <c:manualLayout>
                  <c:x val="-8.9295618413754857E-3"/>
                  <c:y val="1.9538288288288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0B-42B9-BA9A-F9201F02037E}"/>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36</c:v>
                </c:pt>
                <c:pt idx="1">
                  <c:v>38</c:v>
                </c:pt>
                <c:pt idx="2">
                  <c:v>39</c:v>
                </c:pt>
                <c:pt idx="3">
                  <c:v>26</c:v>
                </c:pt>
                <c:pt idx="4">
                  <c:v>14</c:v>
                </c:pt>
              </c:numCache>
            </c:numRef>
          </c:val>
          <c:smooth val="0"/>
          <c:extLst xmlns:c16r2="http://schemas.microsoft.com/office/drawing/2015/06/chart">
            <c:ext xmlns:c16="http://schemas.microsoft.com/office/drawing/2014/chart" uri="{C3380CC4-5D6E-409C-BE32-E72D297353CC}">
              <c16:uniqueId val="{00000003-9F0B-42B9-BA9A-F9201F02037E}"/>
            </c:ext>
          </c:extLst>
        </c:ser>
        <c:dLbls>
          <c:showLegendKey val="0"/>
          <c:showVal val="0"/>
          <c:showCatName val="0"/>
          <c:showSerName val="0"/>
          <c:showPercent val="0"/>
          <c:showBubbleSize val="0"/>
        </c:dLbls>
        <c:marker val="1"/>
        <c:smooth val="0"/>
        <c:axId val="113260416"/>
        <c:axId val="113261952"/>
      </c:lineChart>
      <c:catAx>
        <c:axId val="11326041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261952"/>
        <c:crosses val="autoZero"/>
        <c:auto val="1"/>
        <c:lblAlgn val="ctr"/>
        <c:lblOffset val="100"/>
        <c:noMultiLvlLbl val="0"/>
      </c:catAx>
      <c:valAx>
        <c:axId val="113261952"/>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3260416"/>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Ireland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4543777957987807E-2"/>
                  <c:y val="9.09649375223445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ED-4480-9E68-1D8F86C5C00B}"/>
                </c:ext>
              </c:extLst>
            </c:dLbl>
            <c:dLbl>
              <c:idx val="1"/>
              <c:layout>
                <c:manualLayout>
                  <c:x val="-6.1162084843200827E-2"/>
                  <c:y val="-7.53324511640703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ED-4480-9E68-1D8F86C5C00B}"/>
                </c:ext>
              </c:extLst>
            </c:dLbl>
            <c:dLbl>
              <c:idx val="2"/>
              <c:layout>
                <c:manualLayout>
                  <c:x val="-5.2740538920524209E-2"/>
                  <c:y val="6.35886820303867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ED-4480-9E68-1D8F86C5C00B}"/>
                </c:ext>
              </c:extLst>
            </c:dLbl>
            <c:dLbl>
              <c:idx val="3"/>
              <c:layout>
                <c:manualLayout>
                  <c:x val="-6.192699749740585E-2"/>
                  <c:y val="6.23978688710423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ED-4480-9E68-1D8F86C5C00B}"/>
                </c:ext>
              </c:extLst>
            </c:dLbl>
            <c:dLbl>
              <c:idx val="4"/>
              <c:layout>
                <c:manualLayout>
                  <c:x val="-5.0090182154851275E-2"/>
                  <c:y val="6.92773403324584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ED-4480-9E68-1D8F86C5C00B}"/>
                </c:ext>
              </c:extLst>
            </c:dLbl>
            <c:spPr>
              <a:noFill/>
              <a:ln w="25372">
                <a:noFill/>
              </a:ln>
            </c:spPr>
            <c:txPr>
              <a:bodyPr/>
              <a:lstStyle/>
              <a:p>
                <a:pPr>
                  <a:defRPr sz="899">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0.74</c:v>
                </c:pt>
                <c:pt idx="1">
                  <c:v>0.79</c:v>
                </c:pt>
                <c:pt idx="2">
                  <c:v>0.71</c:v>
                </c:pt>
                <c:pt idx="3">
                  <c:v>0.63</c:v>
                </c:pt>
                <c:pt idx="4">
                  <c:v>0.6</c:v>
                </c:pt>
              </c:numCache>
            </c:numRef>
          </c:val>
          <c:smooth val="0"/>
          <c:extLst xmlns:c16r2="http://schemas.microsoft.com/office/drawing/2015/06/chart">
            <c:ext xmlns:c16="http://schemas.microsoft.com/office/drawing/2014/chart" uri="{C3380CC4-5D6E-409C-BE32-E72D297353CC}">
              <c16:uniqueId val="{00000004-42ED-4480-9E68-1D8F86C5C00B}"/>
            </c:ext>
          </c:extLst>
        </c:ser>
        <c:ser>
          <c:idx val="1"/>
          <c:order val="1"/>
          <c:tx>
            <c:strRef>
              <c:f>Blad1!$C$2</c:f>
              <c:strCache>
                <c:ptCount val="1"/>
                <c:pt idx="0">
                  <c:v>General rate for all Member States</c:v>
                </c:pt>
              </c:strCache>
            </c:strRef>
          </c:tx>
          <c:spPr>
            <a:ln w="25372">
              <a:solidFill>
                <a:srgbClr val="92D050"/>
              </a:solidFill>
            </a:ln>
          </c:spPr>
          <c:marker>
            <c:symbol val="square"/>
            <c:size val="4"/>
            <c:spPr>
              <a:solidFill>
                <a:srgbClr val="92D050"/>
              </a:solidFill>
              <a:ln>
                <a:solidFill>
                  <a:srgbClr val="92D050"/>
                </a:solidFill>
              </a:ln>
            </c:spPr>
          </c:marker>
          <c:dLbls>
            <c:dLbl>
              <c:idx val="0"/>
              <c:layout>
                <c:manualLayout>
                  <c:x val="-4.1731847472554304E-2"/>
                  <c:y val="-6.29991018564539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ED-4480-9E68-1D8F86C5C00B}"/>
                </c:ext>
              </c:extLst>
            </c:dLbl>
            <c:dLbl>
              <c:idx val="1"/>
              <c:layout>
                <c:manualLayout>
                  <c:x val="-4.7312535760019619E-2"/>
                  <c:y val="4.76375769168621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ED-4480-9E68-1D8F86C5C00B}"/>
                </c:ext>
              </c:extLst>
            </c:dLbl>
            <c:dLbl>
              <c:idx val="2"/>
              <c:layout>
                <c:manualLayout>
                  <c:x val="-4.5820123695610712E-2"/>
                  <c:y val="-6.63614011642887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ED-4480-9E68-1D8F86C5C00B}"/>
                </c:ext>
              </c:extLst>
            </c:dLbl>
            <c:dLbl>
              <c:idx val="3"/>
              <c:layout>
                <c:manualLayout>
                  <c:x val="-4.4543933738386506E-2"/>
                  <c:y val="-8.56673697817723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ED-4480-9E68-1D8F86C5C00B}"/>
                </c:ext>
              </c:extLst>
            </c:dLbl>
            <c:dLbl>
              <c:idx val="4"/>
              <c:layout>
                <c:manualLayout>
                  <c:x val="-4.454387045213358E-2"/>
                  <c:y val="-6.37222222222222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ED-4480-9E68-1D8F86C5C00B}"/>
                </c:ext>
              </c:extLst>
            </c:dLbl>
            <c:spPr>
              <a:noFill/>
              <a:ln w="25372">
                <a:noFill/>
              </a:ln>
            </c:spPr>
            <c:txPr>
              <a:bodyPr/>
              <a:lstStyle/>
              <a:p>
                <a:pPr>
                  <a:defRPr sz="899">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9-42ED-4480-9E68-1D8F86C5C00B}"/>
            </c:ext>
          </c:extLst>
        </c:ser>
        <c:dLbls>
          <c:showLegendKey val="0"/>
          <c:showVal val="0"/>
          <c:showCatName val="0"/>
          <c:showSerName val="0"/>
          <c:showPercent val="0"/>
          <c:showBubbleSize val="0"/>
        </c:dLbls>
        <c:marker val="1"/>
        <c:smooth val="0"/>
        <c:axId val="113472640"/>
        <c:axId val="113474176"/>
      </c:lineChart>
      <c:catAx>
        <c:axId val="113472640"/>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474176"/>
        <c:crosses val="autoZero"/>
        <c:auto val="1"/>
        <c:lblAlgn val="ctr"/>
        <c:lblOffset val="100"/>
        <c:noMultiLvlLbl val="0"/>
      </c:catAx>
      <c:valAx>
        <c:axId val="113474176"/>
        <c:scaling>
          <c:orientation val="minMax"/>
          <c:min val="0.5"/>
        </c:scaling>
        <c:delete val="1"/>
        <c:axPos val="l"/>
        <c:majorGridlines>
          <c:spPr>
            <a:ln w="9515" cap="flat" cmpd="sng" algn="ctr">
              <a:solidFill>
                <a:schemeClr val="tx1">
                  <a:lumMod val="15000"/>
                  <a:lumOff val="85000"/>
                </a:schemeClr>
              </a:solidFill>
              <a:round/>
            </a:ln>
            <a:effectLst/>
          </c:spPr>
        </c:majorGridlines>
        <c:numFmt formatCode="0%" sourceLinked="1"/>
        <c:majorTickMark val="out"/>
        <c:minorTickMark val="none"/>
        <c:tickLblPos val="nextTo"/>
        <c:crossAx val="113472640"/>
        <c:crosses val="autoZero"/>
        <c:crossBetween val="between"/>
      </c:valAx>
      <c:spPr>
        <a:noFill/>
        <a:ln w="25372">
          <a:noFill/>
        </a:ln>
      </c:spPr>
    </c:plotArea>
    <c:legend>
      <c:legendPos val="b"/>
      <c:overlay val="0"/>
      <c:txPr>
        <a:bodyPr/>
        <a:lstStyle/>
        <a:p>
          <a:pPr>
            <a:defRPr sz="899">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2117756041740458E-2"/>
                  <c:y val="5.41788172299870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D7-41F1-87F2-03CAB6858A45}"/>
                </c:ext>
              </c:extLst>
            </c:dLbl>
            <c:dLbl>
              <c:idx val="2"/>
              <c:layout>
                <c:manualLayout>
                  <c:x val="-4.2117756041740458E-2"/>
                  <c:y val="5.41788172299870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30-41BF-B3A8-166FC7833896}"/>
                </c:ext>
              </c:extLst>
            </c:dLbl>
            <c:dLbl>
              <c:idx val="4"/>
              <c:layout>
                <c:manualLayout>
                  <c:x val="-3.6665620285836364E-2"/>
                  <c:y val="5.39902228716255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3D-4FA1-9CE9-74ED627F4242}"/>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42</c:v>
                </c:pt>
                <c:pt idx="1">
                  <c:v>35</c:v>
                </c:pt>
                <c:pt idx="2">
                  <c:v>53</c:v>
                </c:pt>
                <c:pt idx="3">
                  <c:v>56</c:v>
                </c:pt>
                <c:pt idx="4">
                  <c:v>52</c:v>
                </c:pt>
              </c:numCache>
            </c:numRef>
          </c:val>
          <c:smooth val="0"/>
          <c:extLst xmlns:c16r2="http://schemas.microsoft.com/office/drawing/2015/06/chart">
            <c:ext xmlns:c16="http://schemas.microsoft.com/office/drawing/2014/chart" uri="{C3380CC4-5D6E-409C-BE32-E72D297353CC}">
              <c16:uniqueId val="{00000001-3C3D-4FA1-9CE9-74ED627F4242}"/>
            </c:ext>
          </c:extLst>
        </c:ser>
        <c:dLbls>
          <c:showLegendKey val="0"/>
          <c:showVal val="0"/>
          <c:showCatName val="0"/>
          <c:showSerName val="0"/>
          <c:showPercent val="0"/>
          <c:showBubbleSize val="0"/>
        </c:dLbls>
        <c:marker val="1"/>
        <c:smooth val="0"/>
        <c:axId val="113419008"/>
        <c:axId val="113420544"/>
      </c:lineChart>
      <c:catAx>
        <c:axId val="1134190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3420544"/>
        <c:crosses val="autoZero"/>
        <c:auto val="1"/>
        <c:lblAlgn val="ctr"/>
        <c:lblOffset val="100"/>
        <c:noMultiLvlLbl val="0"/>
      </c:catAx>
      <c:valAx>
        <c:axId val="113420544"/>
        <c:scaling>
          <c:orientation val="minMax"/>
          <c:min val="32"/>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341900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83147459727387E-2"/>
          <c:y val="5.451076587626056E-2"/>
          <c:w val="0.93941897287622189"/>
          <c:h val="0.82022349414009266"/>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80</c:v>
                </c:pt>
                <c:pt idx="1">
                  <c:v>65</c:v>
                </c:pt>
                <c:pt idx="2">
                  <c:v>87</c:v>
                </c:pt>
                <c:pt idx="3">
                  <c:v>81</c:v>
                </c:pt>
                <c:pt idx="4">
                  <c:v>79</c:v>
                </c:pt>
              </c:numCache>
            </c:numRef>
          </c:val>
          <c:smooth val="0"/>
          <c:extLst xmlns:c16r2="http://schemas.microsoft.com/office/drawing/2015/06/chart">
            <c:ext xmlns:c16="http://schemas.microsoft.com/office/drawing/2014/chart" uri="{C3380CC4-5D6E-409C-BE32-E72D297353CC}">
              <c16:uniqueId val="{00000004-CE0E-4116-862A-1C0A0E64E985}"/>
            </c:ext>
          </c:extLst>
        </c:ser>
        <c:dLbls>
          <c:showLegendKey val="0"/>
          <c:showVal val="0"/>
          <c:showCatName val="0"/>
          <c:showSerName val="0"/>
          <c:showPercent val="0"/>
          <c:showBubbleSize val="0"/>
        </c:dLbls>
        <c:marker val="1"/>
        <c:smooth val="0"/>
        <c:axId val="106702720"/>
        <c:axId val="106704256"/>
      </c:lineChart>
      <c:catAx>
        <c:axId val="106702720"/>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704256"/>
        <c:crosses val="autoZero"/>
        <c:auto val="1"/>
        <c:lblAlgn val="ctr"/>
        <c:lblOffset val="100"/>
        <c:noMultiLvlLbl val="0"/>
      </c:catAx>
      <c:valAx>
        <c:axId val="106704256"/>
        <c:scaling>
          <c:orientation val="minMax"/>
          <c:min val="3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6702720"/>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21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596373014348817"/>
          <c:y val="3.2786488645441064E-2"/>
        </c:manualLayout>
      </c:layout>
      <c:overlay val="0"/>
      <c:spPr>
        <a:noFill/>
        <a:ln w="25357">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840-4471-85E0-C75C10232FB0}"/>
              </c:ext>
            </c:extLst>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840-4471-85E0-C75C10232FB0}"/>
              </c:ext>
            </c:extLst>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840-4471-85E0-C75C10232FB0}"/>
              </c:ext>
            </c:extLst>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840-4471-85E0-C75C10232FB0}"/>
              </c:ext>
            </c:extLst>
          </c:dPt>
          <c:dPt>
            <c:idx val="4"/>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1840-4471-85E0-C75C10232FB0}"/>
              </c:ext>
            </c:extLst>
          </c:dPt>
          <c:dPt>
            <c:idx val="5"/>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1840-4471-85E0-C75C10232FB0}"/>
              </c:ext>
            </c:extLst>
          </c:dPt>
          <c:dPt>
            <c:idx val="6"/>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1840-4471-85E0-C75C10232FB0}"/>
              </c:ext>
            </c:extLst>
          </c:dPt>
          <c:dPt>
            <c:idx val="7"/>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6960-496E-A9A2-1E354D4101DF}"/>
              </c:ext>
            </c:extLst>
          </c:dPt>
          <c:dPt>
            <c:idx val="8"/>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6960-496E-A9A2-1E354D4101DF}"/>
              </c:ext>
            </c:extLst>
          </c:dPt>
          <c:dPt>
            <c:idx val="9"/>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1-6960-496E-A9A2-1E354D4101DF}"/>
              </c:ext>
            </c:extLst>
          </c:dPt>
          <c:dPt>
            <c:idx val="10"/>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10-6960-496E-A9A2-1E354D4101D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40-4471-85E0-C75C10232FB0}"/>
                </c:ext>
              </c:extLst>
            </c:dLbl>
            <c:dLbl>
              <c:idx val="1"/>
              <c:layout>
                <c:manualLayout>
                  <c:x val="-0.28421062265343461"/>
                  <c:y val="-1.3889728725478801E-2"/>
                </c:manualLayout>
              </c:layout>
              <c:spPr>
                <a:noFill/>
                <a:ln w="25357">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1593462618075243"/>
                      <c:h val="0.1222001673830838"/>
                    </c:manualLayout>
                  </c15:layout>
                </c:ext>
                <c:ext xmlns:c16="http://schemas.microsoft.com/office/drawing/2014/chart" uri="{C3380CC4-5D6E-409C-BE32-E72D297353CC}">
                  <c16:uniqueId val="{00000003-1840-4471-85E0-C75C10232FB0}"/>
                </c:ext>
              </c:extLst>
            </c:dLbl>
            <c:dLbl>
              <c:idx val="2"/>
              <c:layout>
                <c:manualLayout>
                  <c:x val="-3.3116734194633464E-2"/>
                  <c:y val="-6.121313299944341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40-4471-85E0-C75C10232FB0}"/>
                </c:ext>
              </c:extLst>
            </c:dLbl>
            <c:dLbl>
              <c:idx val="3"/>
              <c:layout>
                <c:manualLayout>
                  <c:x val="6.8963586580255462E-4"/>
                  <c:y val="2.6930273114858974E-2"/>
                </c:manualLayout>
              </c:layout>
              <c:spPr>
                <a:noFill/>
                <a:ln w="25357">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1205102336363568"/>
                      <c:h val="0.2725377816921466"/>
                    </c:manualLayout>
                  </c15:layout>
                </c:ext>
                <c:ext xmlns:c16="http://schemas.microsoft.com/office/drawing/2014/chart" uri="{C3380CC4-5D6E-409C-BE32-E72D297353CC}">
                  <c16:uniqueId val="{00000007-1840-4471-85E0-C75C10232FB0}"/>
                </c:ext>
              </c:extLst>
            </c:dLbl>
            <c:dLbl>
              <c:idx val="4"/>
              <c:layout>
                <c:manualLayout>
                  <c:x val="-2.0957790112301537E-2"/>
                  <c:y val="3.152493438320212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840-4471-85E0-C75C10232FB0}"/>
                </c:ext>
              </c:extLst>
            </c:dLbl>
            <c:dLbl>
              <c:idx val="5"/>
              <c:layout>
                <c:manualLayout>
                  <c:x val="-1.0420015698502663E-2"/>
                  <c:y val="3.041815098655239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840-4471-85E0-C75C10232FB0}"/>
                </c:ext>
              </c:extLst>
            </c:dLbl>
            <c:dLbl>
              <c:idx val="6"/>
              <c:layout>
                <c:manualLayout>
                  <c:x val="-4.9227403254478323E-2"/>
                  <c:y val="5.008347245409012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840-4471-85E0-C75C10232FB0}"/>
                </c:ext>
              </c:extLst>
            </c:dLbl>
            <c:dLbl>
              <c:idx val="7"/>
              <c:layout>
                <c:manualLayout>
                  <c:x val="-5.4697114727198142E-3"/>
                  <c:y val="5.008347245409009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960-496E-A9A2-1E354D4101DF}"/>
                </c:ext>
              </c:extLst>
            </c:dLbl>
            <c:dLbl>
              <c:idx val="8"/>
              <c:layout>
                <c:manualLayout>
                  <c:x val="2.7348557363599071E-3"/>
                  <c:y val="3.89538119087367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960-496E-A9A2-1E354D4101DF}"/>
                </c:ext>
              </c:extLst>
            </c:dLbl>
            <c:dLbl>
              <c:idx val="9"/>
              <c:layout>
                <c:manualLayout>
                  <c:x val="5.4697114727198142E-3"/>
                  <c:y val="6.677796327212019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960-496E-A9A2-1E354D4101DF}"/>
                </c:ext>
              </c:extLst>
            </c:dLbl>
            <c:dLbl>
              <c:idx val="10"/>
              <c:layout>
                <c:manualLayout>
                  <c:x val="-2.3496932977730405E-2"/>
                  <c:y val="7.79076238174735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960-496E-A9A2-1E354D4101DF}"/>
                </c:ext>
              </c:extLst>
            </c:dLbl>
            <c:spPr>
              <a:noFill/>
              <a:ln w="25357">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Blad1!$A$2:$A$12</c:f>
              <c:strCache>
                <c:ptCount val="11"/>
                <c:pt idx="0">
                  <c:v>Policy Area</c:v>
                </c:pt>
                <c:pt idx="1">
                  <c:v>Energy</c:v>
                </c:pt>
                <c:pt idx="2">
                  <c:v>Health and food safety</c:v>
                </c:pt>
                <c:pt idx="3">
                  <c:v>Internal market, industry, entrepreneurship and SMEs</c:v>
                </c:pt>
                <c:pt idx="4">
                  <c:v>Communication networks</c:v>
                </c:pt>
                <c:pt idx="5">
                  <c:v>Environment</c:v>
                </c:pt>
                <c:pt idx="6">
                  <c:v>Justice and consumers</c:v>
                </c:pt>
                <c:pt idx="7">
                  <c:v>Mobility and transport</c:v>
                </c:pt>
                <c:pt idx="8">
                  <c:v>Taxation and customs</c:v>
                </c:pt>
                <c:pt idx="9">
                  <c:v>Employment</c:v>
                </c:pt>
                <c:pt idx="10">
                  <c:v>Martitime affairs and fisheries</c:v>
                </c:pt>
              </c:strCache>
            </c:strRef>
          </c:cat>
          <c:val>
            <c:numRef>
              <c:f>Blad1!$B$2:$B$12</c:f>
              <c:numCache>
                <c:formatCode>General</c:formatCode>
                <c:ptCount val="11"/>
                <c:pt idx="0">
                  <c:v>0</c:v>
                </c:pt>
                <c:pt idx="1">
                  <c:v>4</c:v>
                </c:pt>
                <c:pt idx="2">
                  <c:v>4</c:v>
                </c:pt>
                <c:pt idx="3">
                  <c:v>2</c:v>
                </c:pt>
                <c:pt idx="4">
                  <c:v>2</c:v>
                </c:pt>
                <c:pt idx="5">
                  <c:v>2</c:v>
                </c:pt>
                <c:pt idx="6">
                  <c:v>2</c:v>
                </c:pt>
                <c:pt idx="7">
                  <c:v>2</c:v>
                </c:pt>
                <c:pt idx="8">
                  <c:v>1</c:v>
                </c:pt>
                <c:pt idx="9">
                  <c:v>1</c:v>
                </c:pt>
                <c:pt idx="10">
                  <c:v>1</c:v>
                </c:pt>
              </c:numCache>
            </c:numRef>
          </c:val>
          <c:extLst xmlns:c16r2="http://schemas.microsoft.com/office/drawing/2015/06/chart">
            <c:ext xmlns:c16="http://schemas.microsoft.com/office/drawing/2014/chart" uri="{C3380CC4-5D6E-409C-BE32-E72D297353CC}">
              <c16:uniqueId val="{0000000D-1840-4471-85E0-C75C10232FB0}"/>
            </c:ext>
          </c:extLst>
        </c:ser>
        <c:dLbls>
          <c:showLegendKey val="0"/>
          <c:showVal val="0"/>
          <c:showCatName val="0"/>
          <c:showSerName val="0"/>
          <c:showPercent val="0"/>
          <c:showBubbleSize val="0"/>
          <c:showLeaderLines val="0"/>
        </c:dLbls>
        <c:firstSliceAng val="125"/>
      </c:pieChart>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3908053506622821E-2"/>
                  <c:y val="7.8501591940182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3B-4EE4-ACAE-7B1CA673A788}"/>
                </c:ext>
              </c:extLst>
            </c:dLbl>
            <c:dLbl>
              <c:idx val="2"/>
              <c:layout>
                <c:manualLayout>
                  <c:x val="-4.220743205768164E-2"/>
                  <c:y val="6.56930126002291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3B-4EE4-ACAE-7B1CA673A788}"/>
                </c:ext>
              </c:extLst>
            </c:dLbl>
            <c:dLbl>
              <c:idx val="3"/>
              <c:layout>
                <c:manualLayout>
                  <c:x val="-3.9355475029289162E-2"/>
                  <c:y val="7.67673863927305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32-4DF0-947A-BA442F1B334E}"/>
                </c:ext>
              </c:extLst>
            </c:dLbl>
            <c:dLbl>
              <c:idx val="4"/>
              <c:layout>
                <c:manualLayout>
                  <c:x val="-3.9429365446966187E-2"/>
                  <c:y val="7.08486239562325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3B-4EE4-ACAE-7B1CA673A788}"/>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10</c:v>
                </c:pt>
                <c:pt idx="1">
                  <c:v>14</c:v>
                </c:pt>
                <c:pt idx="2">
                  <c:v>30</c:v>
                </c:pt>
                <c:pt idx="3">
                  <c:v>28</c:v>
                </c:pt>
                <c:pt idx="4">
                  <c:v>23</c:v>
                </c:pt>
              </c:numCache>
            </c:numRef>
          </c:val>
          <c:smooth val="0"/>
          <c:extLst xmlns:c16r2="http://schemas.microsoft.com/office/drawing/2015/06/chart">
            <c:ext xmlns:c16="http://schemas.microsoft.com/office/drawing/2014/chart" uri="{C3380CC4-5D6E-409C-BE32-E72D297353CC}">
              <c16:uniqueId val="{00000003-D13B-4EE4-ACAE-7B1CA673A788}"/>
            </c:ext>
          </c:extLst>
        </c:ser>
        <c:dLbls>
          <c:showLegendKey val="0"/>
          <c:showVal val="0"/>
          <c:showCatName val="0"/>
          <c:showSerName val="0"/>
          <c:showPercent val="0"/>
          <c:showBubbleSize val="0"/>
        </c:dLbls>
        <c:marker val="1"/>
        <c:smooth val="0"/>
        <c:axId val="116798208"/>
        <c:axId val="116799744"/>
      </c:lineChart>
      <c:catAx>
        <c:axId val="11679820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799744"/>
        <c:crosses val="autoZero"/>
        <c:auto val="1"/>
        <c:lblAlgn val="ctr"/>
        <c:lblOffset val="100"/>
        <c:noMultiLvlLbl val="0"/>
      </c:catAx>
      <c:valAx>
        <c:axId val="116799744"/>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679820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5000676912058203E-2"/>
                  <c:y val="7.277376410422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54-4CFF-9665-8FD1BDB0F114}"/>
                </c:ext>
              </c:extLst>
            </c:dLbl>
            <c:dLbl>
              <c:idx val="3"/>
              <c:layout>
                <c:manualLayout>
                  <c:x val="-4.4892135576076249E-2"/>
                  <c:y val="-7.91518165492471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56-4344-8B6D-25B6926BAF0C}"/>
                </c:ext>
              </c:extLst>
            </c:dLbl>
            <c:dLbl>
              <c:idx val="4"/>
              <c:layout>
                <c:manualLayout>
                  <c:x val="-3.9434169566013554E-2"/>
                  <c:y val="8.01620850025325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54-4CFF-9665-8FD1BDB0F114}"/>
                </c:ext>
              </c:extLst>
            </c:dLbl>
            <c:spPr>
              <a:noFill/>
              <a:ln w="2538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9</c:v>
                </c:pt>
                <c:pt idx="1">
                  <c:v>15</c:v>
                </c:pt>
                <c:pt idx="2">
                  <c:v>36</c:v>
                </c:pt>
                <c:pt idx="3">
                  <c:v>21</c:v>
                </c:pt>
                <c:pt idx="4">
                  <c:v>13</c:v>
                </c:pt>
              </c:numCache>
            </c:numRef>
          </c:val>
          <c:smooth val="0"/>
          <c:extLst xmlns:c16r2="http://schemas.microsoft.com/office/drawing/2015/06/chart">
            <c:ext xmlns:c16="http://schemas.microsoft.com/office/drawing/2014/chart" uri="{C3380CC4-5D6E-409C-BE32-E72D297353CC}">
              <c16:uniqueId val="{00000002-BA54-4CFF-9665-8FD1BDB0F114}"/>
            </c:ext>
          </c:extLst>
        </c:ser>
        <c:dLbls>
          <c:showLegendKey val="0"/>
          <c:showVal val="0"/>
          <c:showCatName val="0"/>
          <c:showSerName val="0"/>
          <c:showPercent val="0"/>
          <c:showBubbleSize val="0"/>
        </c:dLbls>
        <c:marker val="1"/>
        <c:smooth val="0"/>
        <c:axId val="116870528"/>
        <c:axId val="116876416"/>
      </c:lineChart>
      <c:catAx>
        <c:axId val="116870528"/>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6876416"/>
        <c:crosses val="autoZero"/>
        <c:auto val="1"/>
        <c:lblAlgn val="ctr"/>
        <c:lblOffset val="100"/>
        <c:noMultiLvlLbl val="0"/>
      </c:catAx>
      <c:valAx>
        <c:axId val="116876416"/>
        <c:scaling>
          <c:orientation val="minMax"/>
          <c:min val="5"/>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6870528"/>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8" b="0" baseline="0">
                <a:solidFill>
                  <a:srgbClr val="002060"/>
                </a:solidFill>
                <a:latin typeface="Arial" panose="020B0604020202020204" pitchFamily="34" charset="0"/>
                <a:ea typeface="Verdana" panose="020B0604030504040204" pitchFamily="34" charset="0"/>
                <a:cs typeface="Arial" panose="020B0604020202020204" pitchFamily="34" charset="0"/>
              </a:rPr>
              <a:t>13 new </a:t>
            </a:r>
            <a:r>
              <a:rPr lang="nl-BE" sz="1098"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Ireland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4292487632594314"/>
          <c:y val="2.941169515972665E-2"/>
        </c:manualLayout>
      </c:layout>
      <c:overlay val="0"/>
      <c:spPr>
        <a:noFill/>
        <a:ln w="25342">
          <a:noFill/>
        </a:ln>
      </c:spPr>
    </c:title>
    <c:autoTitleDeleted val="0"/>
    <c:plotArea>
      <c:layout>
        <c:manualLayout>
          <c:layoutTarget val="inner"/>
          <c:xMode val="edge"/>
          <c:yMode val="edge"/>
          <c:x val="0.32081796227084519"/>
          <c:y val="0.26286419575127479"/>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0B0E-493F-8B6C-F77A5BD63F98}"/>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0B0E-493F-8B6C-F77A5BD63F98}"/>
              </c:ext>
            </c:extLst>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0B0E-493F-8B6C-F77A5BD63F98}"/>
              </c:ext>
            </c:extLst>
          </c:dPt>
          <c:dPt>
            <c:idx val="3"/>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0B0E-493F-8B6C-F77A5BD63F98}"/>
              </c:ext>
            </c:extLst>
          </c:dPt>
          <c:dPt>
            <c:idx val="4"/>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0B0E-493F-8B6C-F77A5BD63F98}"/>
              </c:ext>
            </c:extLst>
          </c:dPt>
          <c:dPt>
            <c:idx val="5"/>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C753-442F-8924-5FA19BB3168E}"/>
              </c:ext>
            </c:extLst>
          </c:dPt>
          <c:dPt>
            <c:idx val="6"/>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C753-442F-8924-5FA19BB3168E}"/>
              </c:ext>
            </c:extLst>
          </c:dPt>
          <c:dPt>
            <c:idx val="7"/>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753-442F-8924-5FA19BB3168E}"/>
              </c:ext>
            </c:extLst>
          </c:dPt>
          <c:dLbls>
            <c:dLbl>
              <c:idx val="0"/>
              <c:layout>
                <c:manualLayout>
                  <c:x val="3.9634158633396633E-3"/>
                  <c:y val="3.075180670909287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900" baseline="0"/>
                      <a:t>Environment
4</a:t>
                    </a:r>
                    <a:endParaRPr lang="en-US" sz="900" baseline="-25000"/>
                  </a:p>
                </c:rich>
              </c:tx>
              <c:spPr>
                <a:noFill/>
                <a:ln w="25342">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0E-493F-8B6C-F77A5BD63F98}"/>
                </c:ext>
              </c:extLst>
            </c:dLbl>
            <c:dLbl>
              <c:idx val="1"/>
              <c:layout>
                <c:manualLayout>
                  <c:x val="-6.5304336957880266E-3"/>
                  <c:y val="0.1299523933382201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0E-493F-8B6C-F77A5BD63F98}"/>
                </c:ext>
              </c:extLst>
            </c:dLbl>
            <c:dLbl>
              <c:idx val="2"/>
              <c:layout>
                <c:manualLayout>
                  <c:x val="-0.1125984251968504"/>
                  <c:y val="8.404861554467853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0E-493F-8B6C-F77A5BD63F98}"/>
                </c:ext>
              </c:extLst>
            </c:dLbl>
            <c:dLbl>
              <c:idx val="3"/>
              <c:layout>
                <c:manualLayout>
                  <c:x val="-3.8591143848954457E-2"/>
                  <c:y val="-4.779346275409267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0E-493F-8B6C-F77A5BD63F98}"/>
                </c:ext>
              </c:extLst>
            </c:dLbl>
            <c:dLbl>
              <c:idx val="4"/>
              <c:layout>
                <c:manualLayout>
                  <c:x val="-1.0879285250634087E-2"/>
                  <c:y val="-5.1655592600474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0E-493F-8B6C-F77A5BD63F98}"/>
                </c:ext>
              </c:extLst>
            </c:dLbl>
            <c:dLbl>
              <c:idx val="5"/>
              <c:layout>
                <c:manualLayout>
                  <c:x val="1.2800819252432157E-2"/>
                  <c:y val="-5.005005005005005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753-442F-8924-5FA19BB3168E}"/>
                </c:ext>
              </c:extLst>
            </c:dLbl>
            <c:dLbl>
              <c:idx val="6"/>
              <c:layout>
                <c:manualLayout>
                  <c:x val="3.3282130056323508E-2"/>
                  <c:y val="-4.00400400400400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753-442F-8924-5FA19BB3168E}"/>
                </c:ext>
              </c:extLst>
            </c:dLbl>
            <c:dLbl>
              <c:idx val="7"/>
              <c:layout>
                <c:manualLayout>
                  <c:x val="6.6564260112647211E-2"/>
                  <c:y val="-1.8351473020569359E-16"/>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753-442F-8924-5FA19BB3168E}"/>
                </c:ext>
              </c:extLst>
            </c:dLbl>
            <c:spPr>
              <a:noFill/>
              <a:ln w="25342">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Blad1!$A$4:$A$11</c:f>
              <c:strCache>
                <c:ptCount val="8"/>
                <c:pt idx="0">
                  <c:v>Health and food safety</c:v>
                </c:pt>
                <c:pt idx="1">
                  <c:v>Communication networks</c:v>
                </c:pt>
                <c:pt idx="2">
                  <c:v>Justice and consumers</c:v>
                </c:pt>
                <c:pt idx="3">
                  <c:v>Internal market, industry, entrepreneurship and SMEs</c:v>
                </c:pt>
                <c:pt idx="4">
                  <c:v>Mobility and transport</c:v>
                </c:pt>
                <c:pt idx="5">
                  <c:v>Taxation and customs</c:v>
                </c:pt>
                <c:pt idx="6">
                  <c:v>Employment</c:v>
                </c:pt>
                <c:pt idx="7">
                  <c:v>Energy</c:v>
                </c:pt>
              </c:strCache>
            </c:strRef>
          </c:cat>
          <c:val>
            <c:numRef>
              <c:f>Blad1!$B$4:$B$11</c:f>
              <c:numCache>
                <c:formatCode>General</c:formatCode>
                <c:ptCount val="8"/>
                <c:pt idx="0">
                  <c:v>4</c:v>
                </c:pt>
                <c:pt idx="1">
                  <c:v>2</c:v>
                </c:pt>
                <c:pt idx="2">
                  <c:v>2</c:v>
                </c:pt>
                <c:pt idx="3">
                  <c:v>1</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A-0B0E-493F-8B6C-F77A5BD63F98}"/>
            </c:ext>
          </c:extLst>
        </c:ser>
        <c:dLbls>
          <c:showLegendKey val="0"/>
          <c:showVal val="0"/>
          <c:showCatName val="0"/>
          <c:showSerName val="0"/>
          <c:showPercent val="0"/>
          <c:showBubbleSize val="0"/>
          <c:showLeaderLines val="0"/>
        </c:dLbls>
        <c:firstSliceAng val="187"/>
      </c:pieChart>
      <c:spPr>
        <a:noFill/>
        <a:ln w="25342">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8166089965398E-2"/>
          <c:y val="7.4753652735304113E-2"/>
          <c:w val="0.93909191583610185"/>
          <c:h val="0.77661481339222838"/>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4695419992916097E-2"/>
                  <c:y val="7.75811280470675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61-4514-A615-2CF2B83CDD98}"/>
                </c:ext>
              </c:extLst>
            </c:dLbl>
            <c:dLbl>
              <c:idx val="1"/>
              <c:layout>
                <c:manualLayout>
                  <c:x val="-4.1729013524472232E-2"/>
                  <c:y val="-7.84691199314371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B65-4308-8B0E-485A4E801762}"/>
                </c:ext>
              </c:extLst>
            </c:dLbl>
            <c:dLbl>
              <c:idx val="2"/>
              <c:layout>
                <c:manualLayout>
                  <c:x val="-4.7407591492923846E-2"/>
                  <c:y val="5.685562170582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61-4514-A615-2CF2B83CDD98}"/>
                </c:ext>
              </c:extLst>
            </c:dLbl>
            <c:spPr>
              <a:noFill/>
              <a:ln w="25362">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184</c:v>
                </c:pt>
                <c:pt idx="1">
                  <c:v>144</c:v>
                </c:pt>
                <c:pt idx="2">
                  <c:v>136</c:v>
                </c:pt>
                <c:pt idx="3">
                  <c:v>166</c:v>
                </c:pt>
                <c:pt idx="4">
                  <c:v>172</c:v>
                </c:pt>
              </c:numCache>
            </c:numRef>
          </c:val>
          <c:smooth val="0"/>
          <c:extLst xmlns:c16r2="http://schemas.microsoft.com/office/drawing/2015/06/chart">
            <c:ext xmlns:c16="http://schemas.microsoft.com/office/drawing/2014/chart" uri="{C3380CC4-5D6E-409C-BE32-E72D297353CC}">
              <c16:uniqueId val="{00000002-1361-4514-A615-2CF2B83CDD98}"/>
            </c:ext>
          </c:extLst>
        </c:ser>
        <c:dLbls>
          <c:showLegendKey val="0"/>
          <c:showVal val="0"/>
          <c:showCatName val="0"/>
          <c:showSerName val="0"/>
          <c:showPercent val="0"/>
          <c:showBubbleSize val="0"/>
        </c:dLbls>
        <c:marker val="1"/>
        <c:smooth val="0"/>
        <c:axId val="117344512"/>
        <c:axId val="117366784"/>
      </c:lineChart>
      <c:catAx>
        <c:axId val="117344512"/>
        <c:scaling>
          <c:orientation val="minMax"/>
        </c:scaling>
        <c:delete val="0"/>
        <c:axPos val="b"/>
        <c:numFmt formatCode="General" sourceLinked="1"/>
        <c:majorTickMark val="none"/>
        <c:minorTickMark val="none"/>
        <c:tickLblPos val="nextTo"/>
        <c:spPr>
          <a:noFill/>
          <a:ln w="1268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366784"/>
        <c:crosses val="autoZero"/>
        <c:auto val="1"/>
        <c:lblAlgn val="ctr"/>
        <c:lblOffset val="100"/>
        <c:noMultiLvlLbl val="0"/>
      </c:catAx>
      <c:valAx>
        <c:axId val="117366784"/>
        <c:scaling>
          <c:orientation val="minMax"/>
          <c:min val="100"/>
        </c:scaling>
        <c:delete val="1"/>
        <c:axPos val="l"/>
        <c:majorGridlines>
          <c:spPr>
            <a:ln w="9511" cap="flat" cmpd="sng" algn="ctr">
              <a:solidFill>
                <a:schemeClr val="tx1">
                  <a:lumMod val="15000"/>
                  <a:lumOff val="85000"/>
                </a:schemeClr>
              </a:solidFill>
              <a:round/>
            </a:ln>
            <a:effectLst/>
          </c:spPr>
        </c:majorGridlines>
        <c:numFmt formatCode="General" sourceLinked="1"/>
        <c:majorTickMark val="out"/>
        <c:minorTickMark val="none"/>
        <c:tickLblPos val="nextTo"/>
        <c:crossAx val="117344512"/>
        <c:crosses val="autoZero"/>
        <c:crossBetween val="between"/>
      </c:valAx>
      <c:spPr>
        <a:noFill/>
        <a:ln w="25362">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mn-lt"/>
                <a:ea typeface="+mn-ea"/>
                <a:cs typeface="+mn-cs"/>
              </a:defRPr>
            </a:pPr>
            <a:r>
              <a:rPr lang="en-US" sz="1098" b="0" i="0">
                <a:solidFill>
                  <a:srgbClr val="002060"/>
                </a:solidFill>
                <a:latin typeface="Arial" panose="020B0604020202020204" pitchFamily="34" charset="0"/>
                <a:ea typeface="Verdana" panose="020B0604030504040204" pitchFamily="34" charset="0"/>
                <a:cs typeface="Arial" panose="020B0604020202020204" pitchFamily="34" charset="0"/>
              </a:rPr>
              <a:t>172 complaints made against Greece</a:t>
            </a:r>
          </a:p>
        </c:rich>
      </c:tx>
      <c:overlay val="0"/>
      <c:spPr>
        <a:noFill/>
        <a:ln w="25347">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6146-4DF8-992B-F817CE9706EF}"/>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6146-4DF8-992B-F817CE9706EF}"/>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6146-4DF8-992B-F817CE9706EF}"/>
              </c:ext>
            </c:extLst>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6146-4DF8-992B-F817CE9706EF}"/>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6146-4DF8-992B-F817CE9706EF}"/>
              </c:ext>
            </c:extLst>
          </c:dPt>
          <c:dLbls>
            <c:dLbl>
              <c:idx val="0"/>
              <c:layout>
                <c:manualLayout>
                  <c:x val="-8.2477257353140154E-2"/>
                  <c:y val="0.14186827040320749"/>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46-4DF8-992B-F817CE9706EF}"/>
                </c:ext>
              </c:extLst>
            </c:dLbl>
            <c:dLbl>
              <c:idx val="1"/>
              <c:layout>
                <c:manualLayout>
                  <c:x val="-4.1830155494058212E-2"/>
                  <c:y val="0.17697006584184657"/>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46-4DF8-992B-F817CE9706EF}"/>
                </c:ext>
              </c:extLst>
            </c:dLbl>
            <c:dLbl>
              <c:idx val="2"/>
              <c:layout>
                <c:manualLayout>
                  <c:x val="-2.1956884849595081E-2"/>
                  <c:y val="3.8773934932052098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46-4DF8-992B-F817CE9706EF}"/>
                </c:ext>
              </c:extLst>
            </c:dLbl>
            <c:dLbl>
              <c:idx val="3"/>
              <c:layout>
                <c:manualLayout>
                  <c:x val="-1.6683939210251967E-2"/>
                  <c:y val="5.3024956216280492E-2"/>
                </c:manualLayout>
              </c:layout>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46-4DF8-992B-F817CE9706EF}"/>
                </c:ext>
              </c:extLst>
            </c:dLbl>
            <c:dLbl>
              <c:idx val="4"/>
              <c:layout>
                <c:manualLayout>
                  <c:x val="-0.1777664800134201"/>
                  <c:y val="-0.2102747138691103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46-4DF8-992B-F817CE9706EF}"/>
                </c:ext>
              </c:extLst>
            </c:dLbl>
            <c:spPr>
              <a:noFill/>
              <a:ln w="2534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1">
                  <c:v>Internal market, industry, entrepreneurship and SMEs</c:v>
                </c:pt>
                <c:pt idx="2">
                  <c:v>Employment</c:v>
                </c:pt>
                <c:pt idx="3">
                  <c:v>Taxation and customs</c:v>
                </c:pt>
                <c:pt idx="4">
                  <c:v>Other</c:v>
                </c:pt>
              </c:strCache>
            </c:strRef>
          </c:cat>
          <c:val>
            <c:numRef>
              <c:f>Blad1!$B$2:$B$6</c:f>
              <c:numCache>
                <c:formatCode>General</c:formatCode>
                <c:ptCount val="5"/>
                <c:pt idx="1">
                  <c:v>38</c:v>
                </c:pt>
                <c:pt idx="2">
                  <c:v>19</c:v>
                </c:pt>
                <c:pt idx="3">
                  <c:v>18</c:v>
                </c:pt>
                <c:pt idx="4">
                  <c:v>97</c:v>
                </c:pt>
              </c:numCache>
            </c:numRef>
          </c:val>
          <c:extLst xmlns:c16r2="http://schemas.microsoft.com/office/drawing/2015/06/chart">
            <c:ext xmlns:c16="http://schemas.microsoft.com/office/drawing/2014/chart" uri="{C3380CC4-5D6E-409C-BE32-E72D297353CC}">
              <c16:uniqueId val="{00000009-6146-4DF8-992B-F817CE9706EF}"/>
            </c:ext>
          </c:extLst>
        </c:ser>
        <c:dLbls>
          <c:showLegendKey val="0"/>
          <c:showVal val="0"/>
          <c:showCatName val="0"/>
          <c:showSerName val="0"/>
          <c:showPercent val="0"/>
          <c:showBubbleSize val="0"/>
          <c:showLeaderLines val="0"/>
        </c:dLbls>
        <c:firstSliceAng val="289"/>
      </c:pieChart>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20743205768164E-2"/>
                  <c:y val="-4.9708624708624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FE-46B1-A614-52042A2670DA}"/>
                </c:ext>
              </c:extLst>
            </c:dLbl>
            <c:dLbl>
              <c:idx val="1"/>
              <c:layout>
                <c:manualLayout>
                  <c:x val="-5.1357099497338209E-2"/>
                  <c:y val="6.6511572417084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FE-46B1-A614-52042A2670DA}"/>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58</c:v>
                </c:pt>
                <c:pt idx="1">
                  <c:v>42</c:v>
                </c:pt>
                <c:pt idx="2">
                  <c:v>37</c:v>
                </c:pt>
                <c:pt idx="3">
                  <c:v>9</c:v>
                </c:pt>
                <c:pt idx="4">
                  <c:v>8</c:v>
                </c:pt>
              </c:numCache>
            </c:numRef>
          </c:val>
          <c:smooth val="0"/>
          <c:extLst xmlns:c16r2="http://schemas.microsoft.com/office/drawing/2015/06/chart">
            <c:ext xmlns:c16="http://schemas.microsoft.com/office/drawing/2014/chart" uri="{C3380CC4-5D6E-409C-BE32-E72D297353CC}">
              <c16:uniqueId val="{00000002-64FE-46B1-A614-52042A2670DA}"/>
            </c:ext>
          </c:extLst>
        </c:ser>
        <c:dLbls>
          <c:showLegendKey val="0"/>
          <c:showVal val="0"/>
          <c:showCatName val="0"/>
          <c:showSerName val="0"/>
          <c:showPercent val="0"/>
          <c:showBubbleSize val="0"/>
        </c:dLbls>
        <c:marker val="1"/>
        <c:smooth val="0"/>
        <c:axId val="117108736"/>
        <c:axId val="117110272"/>
      </c:lineChart>
      <c:catAx>
        <c:axId val="11710873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110272"/>
        <c:crosses val="autoZero"/>
        <c:auto val="1"/>
        <c:lblAlgn val="ctr"/>
        <c:lblOffset val="100"/>
        <c:noMultiLvlLbl val="0"/>
      </c:catAx>
      <c:valAx>
        <c:axId val="117110272"/>
        <c:scaling>
          <c:orientation val="minMax"/>
          <c:min val="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710873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4.220743205768164E-2"/>
                  <c:y val="6.68414918414918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AD-4AC3-A62C-EE2526F58E13}"/>
                </c:ext>
              </c:extLst>
            </c:dLbl>
            <c:dLbl>
              <c:idx val="1"/>
              <c:layout>
                <c:manualLayout>
                  <c:x val="-5.1357099497338209E-2"/>
                  <c:y val="6.65115724170842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AD-4AC3-A62C-EE2526F58E13}"/>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73</c:v>
                </c:pt>
                <c:pt idx="1">
                  <c:v>65</c:v>
                </c:pt>
                <c:pt idx="2">
                  <c:v>65</c:v>
                </c:pt>
                <c:pt idx="3">
                  <c:v>39</c:v>
                </c:pt>
                <c:pt idx="4">
                  <c:v>25</c:v>
                </c:pt>
              </c:numCache>
            </c:numRef>
          </c:val>
          <c:smooth val="0"/>
          <c:extLst xmlns:c16r2="http://schemas.microsoft.com/office/drawing/2015/06/chart">
            <c:ext xmlns:c16="http://schemas.microsoft.com/office/drawing/2014/chart" uri="{C3380CC4-5D6E-409C-BE32-E72D297353CC}">
              <c16:uniqueId val="{00000002-C2AD-4AC3-A62C-EE2526F58E13}"/>
            </c:ext>
          </c:extLst>
        </c:ser>
        <c:dLbls>
          <c:showLegendKey val="0"/>
          <c:showVal val="0"/>
          <c:showCatName val="0"/>
          <c:showSerName val="0"/>
          <c:showPercent val="0"/>
          <c:showBubbleSize val="0"/>
        </c:dLbls>
        <c:marker val="1"/>
        <c:smooth val="0"/>
        <c:axId val="117156096"/>
        <c:axId val="117174272"/>
      </c:lineChart>
      <c:catAx>
        <c:axId val="11715609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174272"/>
        <c:crosses val="autoZero"/>
        <c:auto val="1"/>
        <c:lblAlgn val="ctr"/>
        <c:lblOffset val="100"/>
        <c:noMultiLvlLbl val="0"/>
      </c:catAx>
      <c:valAx>
        <c:axId val="117174272"/>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715609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Arial" panose="020B0604020202020204" pitchFamily="34" charset="0"/>
                <a:cs typeface="Arial" panose="020B0604020202020204" pitchFamily="34" charset="0"/>
              </a:defRPr>
            </a:pPr>
            <a:r>
              <a:rPr lang="en-US" sz="1098"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8 EU Pilot files opened against </a:t>
            </a:r>
            <a:r>
              <a:rPr lang="en-US" sz="1098"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Greece</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9E26-4224-A436-71FFF31F646D}"/>
              </c:ext>
            </c:extLst>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9E26-4224-A436-71FFF31F646D}"/>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9E26-4224-A436-71FFF31F646D}"/>
              </c:ext>
            </c:extLst>
          </c:dPt>
          <c:dPt>
            <c:idx val="3"/>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9E26-4224-A436-71FFF31F646D}"/>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3907-4A34-843B-AF7E9A3D0E4B}"/>
              </c:ext>
            </c:extLst>
          </c:dPt>
          <c:dPt>
            <c:idx val="5"/>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6145-4A20-BA01-BAB5DA8FAF9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26-4224-A436-71FFF31F646D}"/>
                </c:ext>
              </c:extLst>
            </c:dLbl>
            <c:dLbl>
              <c:idx val="1"/>
              <c:layout>
                <c:manualLayout>
                  <c:x val="2.1953896816684963E-2"/>
                  <c:y val="-0.13606030780243378"/>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26-4224-A436-71FFF31F646D}"/>
                </c:ext>
              </c:extLst>
            </c:dLbl>
            <c:dLbl>
              <c:idx val="2"/>
              <c:layout>
                <c:manualLayout>
                  <c:x val="-6.8605927552141512E-3"/>
                  <c:y val="8.6866098996784158E-2"/>
                </c:manualLayout>
              </c:layout>
              <c:spPr>
                <a:noFill/>
                <a:ln>
                  <a:noFill/>
                </a:ln>
                <a:effectLst/>
              </c:spPr>
              <c:txPr>
                <a:bodyPr wrap="square" lIns="38100" tIns="19050" rIns="38100" bIns="19050" anchor="ctr">
                  <a:noAutofit/>
                </a:bodyPr>
                <a:lstStyle/>
                <a:p>
                  <a:pPr>
                    <a:defRPr sz="90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7991240049439483"/>
                      <c:h val="0.16383679312813171"/>
                    </c:manualLayout>
                  </c15:layout>
                </c:ext>
                <c:ext xmlns:c16="http://schemas.microsoft.com/office/drawing/2014/chart" uri="{C3380CC4-5D6E-409C-BE32-E72D297353CC}">
                  <c16:uniqueId val="{00000007-9E26-4224-A436-71FFF31F646D}"/>
                </c:ext>
              </c:extLst>
            </c:dLbl>
            <c:dLbl>
              <c:idx val="3"/>
              <c:layout>
                <c:manualLayout>
                  <c:x val="-8.2327113062568603E-3"/>
                  <c:y val="-7.85545954438335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26-4224-A436-71FFF31F646D}"/>
                </c:ext>
              </c:extLst>
            </c:dLbl>
            <c:dLbl>
              <c:idx val="4"/>
              <c:layout>
                <c:manualLayout>
                  <c:x val="6.5861690450054883E-2"/>
                  <c:y val="-3.142183817753338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907-4A34-843B-AF7E9A3D0E4B}"/>
                </c:ext>
              </c:extLst>
            </c:dLbl>
            <c:dLbl>
              <c:idx val="5"/>
              <c:layout>
                <c:manualLayout>
                  <c:x val="-0.11251372118551042"/>
                  <c:y val="-9.6010063092688079E-17"/>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145-4A20-BA01-BAB5DA8FAF9D}"/>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Blad1!$A$2:$A$7</c:f>
              <c:strCache>
                <c:ptCount val="6"/>
                <c:pt idx="1">
                  <c:v>Taxation and customs </c:v>
                </c:pt>
                <c:pt idx="2">
                  <c:v>Environment</c:v>
                </c:pt>
                <c:pt idx="3">
                  <c:v>Energy</c:v>
                </c:pt>
                <c:pt idx="4">
                  <c:v>Agriculture and rural development </c:v>
                </c:pt>
                <c:pt idx="5">
                  <c:v>Migration and home affairs</c:v>
                </c:pt>
              </c:strCache>
            </c:strRef>
          </c:cat>
          <c:val>
            <c:numRef>
              <c:f>Blad1!$B$2:$B$7</c:f>
              <c:numCache>
                <c:formatCode>General</c:formatCode>
                <c:ptCount val="6"/>
                <c:pt idx="0">
                  <c:v>0</c:v>
                </c:pt>
                <c:pt idx="1">
                  <c:v>3</c:v>
                </c:pt>
                <c:pt idx="2">
                  <c:v>2</c:v>
                </c:pt>
                <c:pt idx="3">
                  <c:v>1</c:v>
                </c:pt>
                <c:pt idx="4">
                  <c:v>1</c:v>
                </c:pt>
                <c:pt idx="5">
                  <c:v>1</c:v>
                </c:pt>
              </c:numCache>
            </c:numRef>
          </c:val>
          <c:extLst xmlns:c16r2="http://schemas.microsoft.com/office/drawing/2015/06/chart">
            <c:ext xmlns:c16="http://schemas.microsoft.com/office/drawing/2014/chart" uri="{C3380CC4-5D6E-409C-BE32-E72D297353CC}">
              <c16:uniqueId val="{0000000A-9E26-4224-A436-71FFF31F646D}"/>
            </c:ext>
          </c:extLst>
        </c:ser>
        <c:dLbls>
          <c:dLblPos val="outEnd"/>
          <c:showLegendKey val="0"/>
          <c:showVal val="1"/>
          <c:showCatName val="0"/>
          <c:showSerName val="0"/>
          <c:showPercent val="0"/>
          <c:showBubbleSize val="0"/>
          <c:showLeaderLines val="0"/>
        </c:dLbls>
        <c:firstSliceAng val="214"/>
      </c:pieChart>
      <c:spPr>
        <a:noFill/>
        <a:ln w="25360">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Greece</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287017251715899E-2"/>
                  <c:y val="8.16931348148411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07-42AD-B328-14E8579ACA52}"/>
                </c:ext>
              </c:extLst>
            </c:dLbl>
            <c:dLbl>
              <c:idx val="2"/>
              <c:layout>
                <c:manualLayout>
                  <c:x val="-5.2533334200635079E-2"/>
                  <c:y val="8.16931348148409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09-49EB-8B8C-9B8F32E5BD31}"/>
                </c:ext>
              </c:extLst>
            </c:dLbl>
            <c:dLbl>
              <c:idx val="3"/>
              <c:layout>
                <c:manualLayout>
                  <c:x val="-4.4272285047392723E-2"/>
                  <c:y val="5.91959469633224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09-49EB-8B8C-9B8F32E5BD31}"/>
                </c:ext>
              </c:extLst>
            </c:dLbl>
            <c:spPr>
              <a:noFill/>
              <a:ln w="25417">
                <a:noFill/>
              </a:ln>
            </c:spPr>
            <c:txPr>
              <a:bodyPr/>
              <a:lstStyle/>
              <a:p>
                <a:pPr>
                  <a:defRPr sz="901">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0.73</c:v>
                </c:pt>
                <c:pt idx="1">
                  <c:v>0.86</c:v>
                </c:pt>
                <c:pt idx="2">
                  <c:v>0.68</c:v>
                </c:pt>
                <c:pt idx="3">
                  <c:v>0.77</c:v>
                </c:pt>
                <c:pt idx="4">
                  <c:v>0.62</c:v>
                </c:pt>
              </c:numCache>
            </c:numRef>
          </c:val>
          <c:smooth val="0"/>
          <c:extLst xmlns:c16r2="http://schemas.microsoft.com/office/drawing/2015/06/chart">
            <c:ext xmlns:c16="http://schemas.microsoft.com/office/drawing/2014/chart" uri="{C3380CC4-5D6E-409C-BE32-E72D297353CC}">
              <c16:uniqueId val="{00000004-1909-49EB-8B8C-9B8F32E5BD31}"/>
            </c:ext>
          </c:extLst>
        </c:ser>
        <c:ser>
          <c:idx val="1"/>
          <c:order val="1"/>
          <c:tx>
            <c:strRef>
              <c:f>Blad1!$C$2</c:f>
              <c:strCache>
                <c:ptCount val="1"/>
                <c:pt idx="0">
                  <c:v>General rate for all Member States</c:v>
                </c:pt>
              </c:strCache>
            </c:strRef>
          </c:tx>
          <c:spPr>
            <a:ln w="25417">
              <a:solidFill>
                <a:srgbClr val="92D050"/>
              </a:solidFill>
            </a:ln>
          </c:spPr>
          <c:marker>
            <c:symbol val="square"/>
            <c:size val="5"/>
            <c:spPr>
              <a:solidFill>
                <a:srgbClr val="92D050"/>
              </a:solidFill>
              <a:ln>
                <a:solidFill>
                  <a:srgbClr val="92D050"/>
                </a:solidFill>
              </a:ln>
            </c:spPr>
          </c:marker>
          <c:dLbls>
            <c:dLbl>
              <c:idx val="0"/>
              <c:layout>
                <c:manualLayout>
                  <c:x val="-4.9728480346400317E-2"/>
                  <c:y val="-4.2616670947627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07-42AD-B328-14E8579ACA52}"/>
                </c:ext>
              </c:extLst>
            </c:dLbl>
            <c:dLbl>
              <c:idx val="1"/>
              <c:layout>
                <c:manualLayout>
                  <c:x val="-5.5431422992819827E-2"/>
                  <c:y val="-5.8593217186434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09-49EB-8B8C-9B8F32E5BD31}"/>
                </c:ext>
              </c:extLst>
            </c:dLbl>
            <c:dLbl>
              <c:idx val="2"/>
              <c:layout>
                <c:manualLayout>
                  <c:x val="-4.5183531163082227E-2"/>
                  <c:y val="-8.1598380710885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09-49EB-8B8C-9B8F32E5BD31}"/>
                </c:ext>
              </c:extLst>
            </c:dLbl>
            <c:dLbl>
              <c:idx val="3"/>
              <c:layout>
                <c:manualLayout>
                  <c:x val="-4.7025968098473543E-2"/>
                  <c:y val="-7.01628831829092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D8-4B05-A585-90EBF410403C}"/>
                </c:ext>
              </c:extLst>
            </c:dLbl>
            <c:dLbl>
              <c:idx val="4"/>
              <c:layout>
                <c:manualLayout>
                  <c:x val="-4.4396129588279078E-2"/>
                  <c:y val="-7.04519774011299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09-49EB-8B8C-9B8F32E5BD31}"/>
                </c:ext>
              </c:extLst>
            </c:dLbl>
            <c:spPr>
              <a:noFill/>
              <a:ln w="25417">
                <a:noFill/>
              </a:ln>
            </c:spPr>
            <c:txPr>
              <a:bodyPr/>
              <a:lstStyle/>
              <a:p>
                <a:pPr>
                  <a:defRPr sz="901">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8-1909-49EB-8B8C-9B8F32E5BD31}"/>
            </c:ext>
          </c:extLst>
        </c:ser>
        <c:dLbls>
          <c:showLegendKey val="0"/>
          <c:showVal val="0"/>
          <c:showCatName val="0"/>
          <c:showSerName val="0"/>
          <c:showPercent val="0"/>
          <c:showBubbleSize val="0"/>
        </c:dLbls>
        <c:marker val="1"/>
        <c:smooth val="0"/>
        <c:axId val="117820416"/>
        <c:axId val="117527296"/>
      </c:lineChart>
      <c:catAx>
        <c:axId val="117820416"/>
        <c:scaling>
          <c:orientation val="minMax"/>
        </c:scaling>
        <c:delete val="0"/>
        <c:axPos val="b"/>
        <c:numFmt formatCode="General" sourceLinked="1"/>
        <c:majorTickMark val="none"/>
        <c:minorTickMark val="none"/>
        <c:tickLblPos val="nextTo"/>
        <c:spPr>
          <a:noFill/>
          <a:ln w="1270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527296"/>
        <c:crosses val="autoZero"/>
        <c:auto val="1"/>
        <c:lblAlgn val="ctr"/>
        <c:lblOffset val="100"/>
        <c:noMultiLvlLbl val="0"/>
      </c:catAx>
      <c:valAx>
        <c:axId val="117527296"/>
        <c:scaling>
          <c:orientation val="minMax"/>
          <c:min val="0.5"/>
        </c:scaling>
        <c:delete val="1"/>
        <c:axPos val="l"/>
        <c:majorGridlines>
          <c:spPr>
            <a:ln w="9531" cap="flat" cmpd="sng" algn="ctr">
              <a:solidFill>
                <a:schemeClr val="tx1">
                  <a:lumMod val="15000"/>
                  <a:lumOff val="85000"/>
                </a:schemeClr>
              </a:solidFill>
              <a:round/>
            </a:ln>
            <a:effectLst/>
          </c:spPr>
        </c:majorGridlines>
        <c:numFmt formatCode="0%" sourceLinked="1"/>
        <c:majorTickMark val="out"/>
        <c:minorTickMark val="none"/>
        <c:tickLblPos val="nextTo"/>
        <c:crossAx val="117820416"/>
        <c:crosses val="autoZero"/>
        <c:crossBetween val="between"/>
      </c:valAx>
      <c:spPr>
        <a:noFill/>
        <a:ln w="25417">
          <a:noFill/>
        </a:ln>
      </c:spPr>
    </c:plotArea>
    <c:legend>
      <c:legendPos val="b"/>
      <c:layout>
        <c:manualLayout>
          <c:xMode val="edge"/>
          <c:yMode val="edge"/>
          <c:x val="8.0150932507643741E-2"/>
          <c:y val="0.86983913677456981"/>
          <c:w val="0.84522626003673429"/>
          <c:h val="9.5087780694079971E-2"/>
        </c:manualLayout>
      </c:layout>
      <c:overlay val="0"/>
      <c:txPr>
        <a:bodyPr/>
        <a:lstStyle/>
        <a:p>
          <a:pPr>
            <a:defRPr sz="901">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8"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31 new </a:t>
            </a:r>
            <a:r>
              <a:rPr lang="en-US" sz="1098"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8"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Belgium</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5768277933"/>
          <c:y val="3.2786849513805512E-2"/>
        </c:manualLayout>
      </c:layout>
      <c:overlay val="0"/>
      <c:spPr>
        <a:noFill/>
        <a:ln w="25345">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1C4-46CD-A220-D17A851FB9FF}"/>
              </c:ext>
            </c:extLst>
          </c:dPt>
          <c:dPt>
            <c:idx val="1"/>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1C4-46CD-A220-D17A851FB9FF}"/>
              </c:ext>
            </c:extLst>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1C4-46CD-A220-D17A851FB9FF}"/>
              </c:ext>
            </c:extLst>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1C4-46CD-A220-D17A851FB9FF}"/>
              </c:ext>
            </c:extLst>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1C4-46CD-A220-D17A851FB9FF}"/>
              </c:ext>
            </c:extLst>
          </c:dPt>
          <c:dPt>
            <c:idx val="5"/>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71C4-46CD-A220-D17A851FB9FF}"/>
              </c:ext>
            </c:extLst>
          </c:dPt>
          <c:dPt>
            <c:idx val="6"/>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0C38-4A45-AEDA-1D5A05AA292F}"/>
              </c:ext>
            </c:extLst>
          </c:dPt>
          <c:dLbls>
            <c:dLbl>
              <c:idx val="1"/>
              <c:layout>
                <c:manualLayout>
                  <c:x val="-2.9643938224299504E-2"/>
                  <c:y val="6.1165337559642104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1C4-46CD-A220-D17A851FB9FF}"/>
                </c:ext>
              </c:extLst>
            </c:dLbl>
            <c:dLbl>
              <c:idx val="4"/>
              <c:layout>
                <c:manualLayout>
                  <c:x val="-1.20752347816988E-2"/>
                  <c:y val="-3.0858457771937606E-3"/>
                </c:manualLayout>
              </c:layout>
              <c:spPr>
                <a:noFill/>
                <a:ln>
                  <a:noFill/>
                </a:ln>
                <a:effectLst/>
              </c:spPr>
              <c:txPr>
                <a:bodyPr/>
                <a:lstStyle/>
                <a:p>
                  <a:pPr>
                    <a:defRPr sz="85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1C4-46CD-A220-D17A851FB9FF}"/>
                </c:ext>
              </c:extLst>
            </c:dLbl>
            <c:dLbl>
              <c:idx val="6"/>
              <c:layout>
                <c:manualLayout>
                  <c:x val="-0.15283852599820372"/>
                  <c:y val="-5.2997664157799121E-2"/>
                </c:manualLayout>
              </c:layou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0C38-4A45-AEDA-1D5A05AA292F}"/>
                </c:ext>
              </c:extLst>
            </c:dLbl>
            <c:spPr>
              <a:noFill/>
              <a:ln>
                <a:noFill/>
              </a:ln>
              <a:effectLst/>
            </c:spPr>
            <c:txPr>
              <a:bodyPr/>
              <a:lstStyle/>
              <a:p>
                <a:pPr>
                  <a:defRPr sz="900">
                    <a:latin typeface="Arial" panose="020B0604020202020204" pitchFamily="34" charset="0"/>
                    <a:cs typeface="Arial" panose="020B0604020202020204" pitchFamily="34" charset="0"/>
                  </a:defRPr>
                </a:pPr>
                <a:endParaRPr lang="en-US"/>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ext>
            </c:extLst>
          </c:dLbls>
          <c:cat>
            <c:strRef>
              <c:f>Blad1!$A$2:$A$8</c:f>
              <c:strCache>
                <c:ptCount val="7"/>
                <c:pt idx="0">
                  <c:v>Mobility and transport</c:v>
                </c:pt>
                <c:pt idx="1">
                  <c:v>Communication networks</c:v>
                </c:pt>
                <c:pt idx="2">
                  <c:v>Environment</c:v>
                </c:pt>
                <c:pt idx="3">
                  <c:v>Budget</c:v>
                </c:pt>
                <c:pt idx="4">
                  <c:v>Internal market, industry, entrepreneurship and SMEs</c:v>
                </c:pt>
                <c:pt idx="5">
                  <c:v>Taxation and customs</c:v>
                </c:pt>
                <c:pt idx="6">
                  <c:v>Other</c:v>
                </c:pt>
              </c:strCache>
            </c:strRef>
          </c:cat>
          <c:val>
            <c:numRef>
              <c:f>Blad1!$B$2:$B$8</c:f>
              <c:numCache>
                <c:formatCode>General</c:formatCode>
                <c:ptCount val="7"/>
                <c:pt idx="0">
                  <c:v>6</c:v>
                </c:pt>
                <c:pt idx="1">
                  <c:v>4</c:v>
                </c:pt>
                <c:pt idx="2">
                  <c:v>4</c:v>
                </c:pt>
                <c:pt idx="3">
                  <c:v>3</c:v>
                </c:pt>
                <c:pt idx="4">
                  <c:v>3</c:v>
                </c:pt>
                <c:pt idx="5">
                  <c:v>3</c:v>
                </c:pt>
                <c:pt idx="6">
                  <c:v>8</c:v>
                </c:pt>
              </c:numCache>
            </c:numRef>
          </c:val>
          <c:extLst xmlns:c16r2="http://schemas.microsoft.com/office/drawing/2015/06/chart">
            <c:ext xmlns:c16="http://schemas.microsoft.com/office/drawing/2014/chart" uri="{C3380CC4-5D6E-409C-BE32-E72D297353CC}">
              <c16:uniqueId val="{0000000B-71C4-46CD-A220-D17A851FB9FF}"/>
            </c:ext>
          </c:extLst>
        </c:ser>
        <c:dLbls>
          <c:showLegendKey val="0"/>
          <c:showVal val="0"/>
          <c:showCatName val="0"/>
          <c:showSerName val="0"/>
          <c:showPercent val="0"/>
          <c:showBubbleSize val="0"/>
          <c:showLeaderLines val="0"/>
        </c:dLbls>
        <c:firstSliceAng val="233"/>
      </c:pieChart>
      <c:spPr>
        <a:noFill/>
        <a:ln w="25345">
          <a:noFill/>
        </a:ln>
      </c:spPr>
    </c:plotArea>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171315449975525E-2"/>
          <c:y val="6.4641485031762327E-2"/>
          <c:w val="0.93896155561085082"/>
          <c:h val="0.77718130096072469"/>
        </c:manualLayout>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89</c:v>
                </c:pt>
                <c:pt idx="1">
                  <c:v>82</c:v>
                </c:pt>
                <c:pt idx="2">
                  <c:v>86</c:v>
                </c:pt>
                <c:pt idx="3">
                  <c:v>78</c:v>
                </c:pt>
                <c:pt idx="4">
                  <c:v>76</c:v>
                </c:pt>
              </c:numCache>
            </c:numRef>
          </c:val>
          <c:smooth val="0"/>
          <c:extLst xmlns:c16r2="http://schemas.microsoft.com/office/drawing/2015/06/chart">
            <c:ext xmlns:c16="http://schemas.microsoft.com/office/drawing/2014/chart" uri="{C3380CC4-5D6E-409C-BE32-E72D297353CC}">
              <c16:uniqueId val="{00000001-BE3B-4754-9CF8-E6AFB5286E64}"/>
            </c:ext>
          </c:extLst>
        </c:ser>
        <c:dLbls>
          <c:dLblPos val="b"/>
          <c:showLegendKey val="0"/>
          <c:showVal val="1"/>
          <c:showCatName val="0"/>
          <c:showSerName val="0"/>
          <c:showPercent val="0"/>
          <c:showBubbleSize val="0"/>
        </c:dLbls>
        <c:marker val="1"/>
        <c:smooth val="0"/>
        <c:axId val="117596160"/>
        <c:axId val="117598848"/>
      </c:lineChart>
      <c:catAx>
        <c:axId val="117596160"/>
        <c:scaling>
          <c:orientation val="minMax"/>
        </c:scaling>
        <c:delete val="0"/>
        <c:axPos val="b"/>
        <c:numFmt formatCode="General" sourceLinked="1"/>
        <c:majorTickMark val="none"/>
        <c:minorTickMark val="none"/>
        <c:tickLblPos val="nextTo"/>
        <c:spPr>
          <a:noFill/>
          <a:ln w="1267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598848"/>
        <c:crosses val="autoZero"/>
        <c:auto val="1"/>
        <c:lblAlgn val="ctr"/>
        <c:lblOffset val="100"/>
        <c:noMultiLvlLbl val="0"/>
      </c:catAx>
      <c:valAx>
        <c:axId val="117598848"/>
        <c:scaling>
          <c:orientation val="minMax"/>
          <c:min val="60"/>
        </c:scaling>
        <c:delete val="1"/>
        <c:axPos val="l"/>
        <c:majorGridlines>
          <c:spPr>
            <a:ln w="9508" cap="flat" cmpd="sng" algn="ctr">
              <a:solidFill>
                <a:schemeClr val="tx1">
                  <a:lumMod val="15000"/>
                  <a:lumOff val="85000"/>
                </a:schemeClr>
              </a:solidFill>
              <a:round/>
            </a:ln>
            <a:effectLst/>
          </c:spPr>
        </c:majorGridlines>
        <c:numFmt formatCode="General" sourceLinked="1"/>
        <c:majorTickMark val="out"/>
        <c:minorTickMark val="none"/>
        <c:tickLblPos val="nextTo"/>
        <c:crossAx val="117596160"/>
        <c:crosses val="autoZero"/>
        <c:crossBetween val="between"/>
      </c:valAx>
      <c:spPr>
        <a:noFill/>
        <a:ln w="25354">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26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Greece</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3099498926"/>
          <c:y val="3.2786749932120551E-2"/>
        </c:manualLayout>
      </c:layout>
      <c:overlay val="0"/>
      <c:spPr>
        <a:noFill/>
        <a:ln w="25326">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7FAF-44E5-9A37-AB3E5127795C}"/>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7FAF-44E5-9A37-AB3E5127795C}"/>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7FAF-44E5-9A37-AB3E5127795C}"/>
              </c:ext>
            </c:extLst>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7FAF-44E5-9A37-AB3E5127795C}"/>
              </c:ext>
            </c:extLst>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7FAF-44E5-9A37-AB3E5127795C}"/>
              </c:ext>
            </c:extLst>
          </c:dPt>
          <c:dPt>
            <c:idx val="5"/>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7FAF-44E5-9A37-AB3E5127795C}"/>
              </c:ext>
            </c:extLst>
          </c:dPt>
          <c:dPt>
            <c:idx val="6"/>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7FAF-44E5-9A37-AB3E5127795C}"/>
              </c:ext>
            </c:extLst>
          </c:dPt>
          <c:dPt>
            <c:idx val="7"/>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E-A1F2-4D80-AB5D-221643B2C8CA}"/>
              </c:ext>
            </c:extLst>
          </c:dPt>
          <c:dPt>
            <c:idx val="8"/>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F-A1F2-4D80-AB5D-221643B2C8CA}"/>
              </c:ext>
            </c:extLst>
          </c:dPt>
          <c:dPt>
            <c:idx val="9"/>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A1F2-4D80-AB5D-221643B2C8CA}"/>
              </c:ext>
            </c:extLst>
          </c:dPt>
          <c:dPt>
            <c:idx val="10"/>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A1F2-4D80-AB5D-221643B2C8C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AF-44E5-9A37-AB3E5127795C}"/>
                </c:ext>
              </c:extLst>
            </c:dLbl>
            <c:dLbl>
              <c:idx val="1"/>
              <c:layout>
                <c:manualLayout>
                  <c:x val="2.2825566732983998E-2"/>
                  <c:y val="-2.734867746201403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AF-44E5-9A37-AB3E5127795C}"/>
                </c:ext>
              </c:extLst>
            </c:dLbl>
            <c:dLbl>
              <c:idx val="2"/>
              <c:layout>
                <c:manualLayout>
                  <c:x val="5.1774595791184465E-3"/>
                  <c:y val="1.242377204839312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AF-44E5-9A37-AB3E5127795C}"/>
                </c:ext>
              </c:extLst>
            </c:dLbl>
            <c:dLbl>
              <c:idx val="3"/>
              <c:layout>
                <c:manualLayout>
                  <c:x val="-2.8859584722728163E-2"/>
                  <c:y val="6.109559335064544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FAF-44E5-9A37-AB3E5127795C}"/>
                </c:ext>
              </c:extLst>
            </c:dLbl>
            <c:dLbl>
              <c:idx val="4"/>
              <c:layout>
                <c:manualLayout>
                  <c:x val="-2.6967803401798975E-3"/>
                  <c:y val="3.961576307339399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AF-44E5-9A37-AB3E5127795C}"/>
                </c:ext>
              </c:extLst>
            </c:dLbl>
            <c:dLbl>
              <c:idx val="5"/>
              <c:layout>
                <c:manualLayout>
                  <c:x val="5.3352761509793483E-5"/>
                  <c:y val="-7.0307502355519441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FAF-44E5-9A37-AB3E5127795C}"/>
                </c:ext>
              </c:extLst>
            </c:dLbl>
            <c:dLbl>
              <c:idx val="6"/>
              <c:layout>
                <c:manualLayout>
                  <c:x val="3.7158405021436275E-2"/>
                  <c:y val="-0.106128946670204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FAF-44E5-9A37-AB3E5127795C}"/>
                </c:ext>
              </c:extLst>
            </c:dLbl>
            <c:dLbl>
              <c:idx val="7"/>
              <c:layout>
                <c:manualLayout>
                  <c:x val="0.1110320284697509"/>
                  <c:y val="-5.3064473335102148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1F2-4D80-AB5D-221643B2C8CA}"/>
                </c:ext>
              </c:extLst>
            </c:dLbl>
            <c:dLbl>
              <c:idx val="8"/>
              <c:layout>
                <c:manualLayout>
                  <c:x val="1.4234875444839857E-2"/>
                  <c:y val="-1.06128946670204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1F2-4D80-AB5D-221643B2C8CA}"/>
                </c:ext>
              </c:extLst>
            </c:dLbl>
            <c:dLbl>
              <c:idx val="9"/>
              <c:layout>
                <c:manualLayout>
                  <c:x val="-4.570224451480933E-2"/>
                  <c:y val="-6.89838153356327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1F2-4D80-AB5D-221643B2C8CA}"/>
                </c:ext>
              </c:extLst>
            </c:dLbl>
            <c:dLbl>
              <c:idx val="10"/>
              <c:layout>
                <c:manualLayout>
                  <c:x val="-2.2775800711743774E-2"/>
                  <c:y val="-6.36773680021225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1F2-4D80-AB5D-221643B2C8CA}"/>
                </c:ext>
              </c:extLst>
            </c:dLbl>
            <c:spPr>
              <a:noFill/>
              <a:ln w="25326">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Blad1!$A$2:$A$12</c:f>
              <c:strCache>
                <c:ptCount val="11"/>
                <c:pt idx="0">
                  <c:v>Policy Area</c:v>
                </c:pt>
                <c:pt idx="1">
                  <c:v>Internal market, industry, entrepreneurship and SMEs</c:v>
                </c:pt>
                <c:pt idx="2">
                  <c:v>Energy</c:v>
                </c:pt>
                <c:pt idx="3">
                  <c:v>Communication networks</c:v>
                </c:pt>
                <c:pt idx="4">
                  <c:v>Justice and consumers</c:v>
                </c:pt>
                <c:pt idx="5">
                  <c:v>Taxation and customs</c:v>
                </c:pt>
                <c:pt idx="6">
                  <c:v>Migration and home affairs</c:v>
                </c:pt>
                <c:pt idx="7">
                  <c:v>Environment</c:v>
                </c:pt>
                <c:pt idx="8">
                  <c:v>Mobility and transport</c:v>
                </c:pt>
                <c:pt idx="9">
                  <c:v>Financial stability, financial services and Capital Markets Union</c:v>
                </c:pt>
                <c:pt idx="10">
                  <c:v>Employment</c:v>
                </c:pt>
              </c:strCache>
            </c:strRef>
          </c:cat>
          <c:val>
            <c:numRef>
              <c:f>Blad1!$B$2:$B$12</c:f>
              <c:numCache>
                <c:formatCode>General</c:formatCode>
                <c:ptCount val="11"/>
                <c:pt idx="0">
                  <c:v>0</c:v>
                </c:pt>
                <c:pt idx="1">
                  <c:v>4</c:v>
                </c:pt>
                <c:pt idx="2">
                  <c:v>3</c:v>
                </c:pt>
                <c:pt idx="3">
                  <c:v>3</c:v>
                </c:pt>
                <c:pt idx="4">
                  <c:v>3</c:v>
                </c:pt>
                <c:pt idx="5">
                  <c:v>3</c:v>
                </c:pt>
                <c:pt idx="6">
                  <c:v>3</c:v>
                </c:pt>
                <c:pt idx="7">
                  <c:v>2</c:v>
                </c:pt>
                <c:pt idx="8">
                  <c:v>2</c:v>
                </c:pt>
                <c:pt idx="9">
                  <c:v>2</c:v>
                </c:pt>
                <c:pt idx="10">
                  <c:v>1</c:v>
                </c:pt>
              </c:numCache>
            </c:numRef>
          </c:val>
          <c:extLst xmlns:c16r2="http://schemas.microsoft.com/office/drawing/2015/06/chart">
            <c:ext xmlns:c16="http://schemas.microsoft.com/office/drawing/2014/chart" uri="{C3380CC4-5D6E-409C-BE32-E72D297353CC}">
              <c16:uniqueId val="{0000000D-7FAF-44E5-9A37-AB3E5127795C}"/>
            </c:ext>
          </c:extLst>
        </c:ser>
        <c:dLbls>
          <c:showLegendKey val="0"/>
          <c:showVal val="0"/>
          <c:showCatName val="0"/>
          <c:showSerName val="0"/>
          <c:showPercent val="0"/>
          <c:showBubbleSize val="0"/>
          <c:showLeaderLines val="0"/>
        </c:dLbls>
        <c:firstSliceAng val="262"/>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65">
                <a:noFill/>
              </a:ln>
            </c:spPr>
            <c:txPr>
              <a:bodyPr/>
              <a:lstStyle/>
              <a:p>
                <a:pPr>
                  <a:defRPr>
                    <a:solidFill>
                      <a:srgbClr val="0070C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20</c:v>
                </c:pt>
                <c:pt idx="1">
                  <c:v>24</c:v>
                </c:pt>
                <c:pt idx="2">
                  <c:v>32</c:v>
                </c:pt>
                <c:pt idx="3">
                  <c:v>33</c:v>
                </c:pt>
                <c:pt idx="4">
                  <c:v>32</c:v>
                </c:pt>
              </c:numCache>
            </c:numRef>
          </c:val>
          <c:smooth val="0"/>
          <c:extLst xmlns:c16r2="http://schemas.microsoft.com/office/drawing/2015/06/chart">
            <c:ext xmlns:c16="http://schemas.microsoft.com/office/drawing/2014/chart" uri="{C3380CC4-5D6E-409C-BE32-E72D297353CC}">
              <c16:uniqueId val="{00000001-2229-4C0C-866F-178AACF2994D}"/>
            </c:ext>
          </c:extLst>
        </c:ser>
        <c:dLbls>
          <c:showLegendKey val="0"/>
          <c:showVal val="0"/>
          <c:showCatName val="0"/>
          <c:showSerName val="0"/>
          <c:showPercent val="0"/>
          <c:showBubbleSize val="0"/>
        </c:dLbls>
        <c:marker val="1"/>
        <c:smooth val="0"/>
        <c:axId val="117893760"/>
        <c:axId val="117895552"/>
      </c:lineChart>
      <c:catAx>
        <c:axId val="117893760"/>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895552"/>
        <c:crosses val="autoZero"/>
        <c:auto val="1"/>
        <c:lblAlgn val="ctr"/>
        <c:lblOffset val="100"/>
        <c:noMultiLvlLbl val="0"/>
      </c:catAx>
      <c:valAx>
        <c:axId val="117895552"/>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117893760"/>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34</c:v>
                </c:pt>
                <c:pt idx="1">
                  <c:v>32</c:v>
                </c:pt>
                <c:pt idx="2">
                  <c:v>36</c:v>
                </c:pt>
                <c:pt idx="3">
                  <c:v>22</c:v>
                </c:pt>
                <c:pt idx="4">
                  <c:v>17</c:v>
                </c:pt>
              </c:numCache>
            </c:numRef>
          </c:val>
          <c:smooth val="0"/>
          <c:extLst xmlns:c16r2="http://schemas.microsoft.com/office/drawing/2015/06/chart">
            <c:ext xmlns:c16="http://schemas.microsoft.com/office/drawing/2014/chart" uri="{C3380CC4-5D6E-409C-BE32-E72D297353CC}">
              <c16:uniqueId val="{00000002-FA39-44AE-8916-D483B6BB558F}"/>
            </c:ext>
          </c:extLst>
        </c:ser>
        <c:dLbls>
          <c:dLblPos val="t"/>
          <c:showLegendKey val="0"/>
          <c:showVal val="1"/>
          <c:showCatName val="0"/>
          <c:showSerName val="0"/>
          <c:showPercent val="0"/>
          <c:showBubbleSize val="0"/>
        </c:dLbls>
        <c:marker val="1"/>
        <c:smooth val="0"/>
        <c:axId val="117710208"/>
        <c:axId val="117725440"/>
      </c:lineChart>
      <c:catAx>
        <c:axId val="117710208"/>
        <c:scaling>
          <c:orientation val="minMax"/>
        </c:scaling>
        <c:delete val="0"/>
        <c:axPos val="b"/>
        <c:numFmt formatCode="General" sourceLinked="1"/>
        <c:majorTickMark val="none"/>
        <c:minorTickMark val="none"/>
        <c:tickLblPos val="nextTo"/>
        <c:spPr>
          <a:noFill/>
          <a:ln w="1268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7725440"/>
        <c:crosses val="autoZero"/>
        <c:auto val="1"/>
        <c:lblAlgn val="ctr"/>
        <c:lblOffset val="100"/>
        <c:noMultiLvlLbl val="0"/>
      </c:catAx>
      <c:valAx>
        <c:axId val="117725440"/>
        <c:scaling>
          <c:orientation val="minMax"/>
          <c:min val="15"/>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117710208"/>
        <c:crosses val="autoZero"/>
        <c:crossBetween val="between"/>
      </c:valAx>
      <c:spPr>
        <a:noFill/>
        <a:ln w="25365">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Greece</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1">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C36F-4C62-AA24-CC7A206BCC5E}"/>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C36F-4C62-AA24-CC7A206BCC5E}"/>
              </c:ext>
            </c:extLst>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C36F-4C62-AA24-CC7A206BCC5E}"/>
              </c:ext>
            </c:extLst>
          </c:dPt>
          <c:dPt>
            <c:idx val="3"/>
            <c:bubble3D val="0"/>
            <c:spPr>
              <a:solidFill>
                <a:srgbClr val="000099"/>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C36F-4C62-AA24-CC7A206BCC5E}"/>
              </c:ext>
            </c:extLst>
          </c:dPt>
          <c:dPt>
            <c:idx val="4"/>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C36F-4C62-AA24-CC7A206BCC5E}"/>
              </c:ext>
            </c:extLst>
          </c:dPt>
          <c:dPt>
            <c:idx val="5"/>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C36F-4C62-AA24-CC7A206BCC5E}"/>
              </c:ext>
            </c:extLst>
          </c:dPt>
          <c:dPt>
            <c:idx val="6"/>
            <c:bubble3D val="0"/>
            <c:spPr>
              <a:solidFill>
                <a:srgbClr val="A200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B67D-4DC3-9AB6-FCFBD0028030}"/>
              </c:ext>
            </c:extLst>
          </c:dPt>
          <c:dPt>
            <c:idx val="7"/>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B67D-4DC3-9AB6-FCFBD0028030}"/>
              </c:ext>
            </c:extLst>
          </c:dPt>
          <c:dPt>
            <c:idx val="8"/>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67D-4DC3-9AB6-FCFBD0028030}"/>
              </c:ext>
            </c:extLst>
          </c:dPt>
          <c:dLbls>
            <c:dLbl>
              <c:idx val="0"/>
              <c:layout>
                <c:manualLayout>
                  <c:x val="-7.9856760418159714E-3"/>
                  <c:y val="-1.022715685719141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6F-4C62-AA24-CC7A206BCC5E}"/>
                </c:ext>
              </c:extLst>
            </c:dLbl>
            <c:dLbl>
              <c:idx val="1"/>
              <c:layout>
                <c:manualLayout>
                  <c:x val="-7.3221873396183672E-3"/>
                  <c:y val="-6.097471628996015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6F-4C62-AA24-CC7A206BCC5E}"/>
                </c:ext>
              </c:extLst>
            </c:dLbl>
            <c:dLbl>
              <c:idx val="2"/>
              <c:layout>
                <c:manualLayout>
                  <c:x val="2.2840656368335637E-4"/>
                  <c:y val="1.310145584319945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6F-4C62-AA24-CC7A206BCC5E}"/>
                </c:ext>
              </c:extLst>
            </c:dLbl>
            <c:dLbl>
              <c:idx val="3"/>
              <c:layout>
                <c:manualLayout>
                  <c:x val="-4.3151501981218879E-2"/>
                  <c:y val="8.633093525179856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6F-4C62-AA24-CC7A206BCC5E}"/>
                </c:ext>
              </c:extLst>
            </c:dLbl>
            <c:dLbl>
              <c:idx val="4"/>
              <c:layout>
                <c:manualLayout>
                  <c:x val="-1.4611084653760724E-2"/>
                  <c:y val="4.0767386091127025E-2"/>
                </c:manualLayout>
              </c:layout>
              <c:spPr>
                <a:noFill/>
                <a:ln w="25401">
                  <a:noFill/>
                </a:ln>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6282012751929196"/>
                      <c:h val="0.21664268585131891"/>
                    </c:manualLayout>
                  </c15:layout>
                </c:ext>
                <c:ext xmlns:c16="http://schemas.microsoft.com/office/drawing/2014/chart" uri="{C3380CC4-5D6E-409C-BE32-E72D297353CC}">
                  <c16:uniqueId val="{00000009-C36F-4C62-AA24-CC7A206BCC5E}"/>
                </c:ext>
              </c:extLst>
            </c:dLbl>
            <c:dLbl>
              <c:idx val="5"/>
              <c:layout>
                <c:manualLayout>
                  <c:x val="4.3411117943786097E-3"/>
                  <c:y val="2.144149247531108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36F-4C62-AA24-CC7A206BCC5E}"/>
                </c:ext>
              </c:extLst>
            </c:dLbl>
            <c:dLbl>
              <c:idx val="6"/>
              <c:layout>
                <c:manualLayout>
                  <c:x val="1.7615971814445096E-2"/>
                  <c:y val="-4.7961630695444527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67D-4DC3-9AB6-FCFBD0028030}"/>
                </c:ext>
              </c:extLst>
            </c:dLbl>
            <c:dLbl>
              <c:idx val="7"/>
              <c:layout>
                <c:manualLayout>
                  <c:x val="0"/>
                  <c:y val="-4.796163069544182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244612333029716"/>
                      <c:h val="0.10258992805755397"/>
                    </c:manualLayout>
                  </c15:layout>
                </c:ext>
                <c:ext xmlns:c16="http://schemas.microsoft.com/office/drawing/2014/chart" uri="{C3380CC4-5D6E-409C-BE32-E72D297353CC}">
                  <c16:uniqueId val="{0000000C-B67D-4DC3-9AB6-FCFBD0028030}"/>
                </c:ext>
              </c:extLst>
            </c:dLbl>
            <c:dLbl>
              <c:idx val="8"/>
              <c:layout>
                <c:manualLayout>
                  <c:x val="-3.2295948326482679E-2"/>
                  <c:y val="1.438848920863309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67D-4DC3-9AB6-FCFBD0028030}"/>
                </c:ext>
              </c:extLst>
            </c:dLbl>
            <c:spPr>
              <a:noFill/>
              <a:ln w="25401">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Blad1!$A$4:$A$12</c:f>
              <c:strCache>
                <c:ptCount val="9"/>
                <c:pt idx="0">
                  <c:v>Communication networks</c:v>
                </c:pt>
                <c:pt idx="1">
                  <c:v>Justice and consumers</c:v>
                </c:pt>
                <c:pt idx="2">
                  <c:v>Migration and home affairs</c:v>
                </c:pt>
                <c:pt idx="3">
                  <c:v>Internal market, industry, entrepreneurship and SMEs</c:v>
                </c:pt>
                <c:pt idx="4">
                  <c:v>Financial stability, financial services and Capital Markets Union</c:v>
                </c:pt>
                <c:pt idx="5">
                  <c:v>Employment</c:v>
                </c:pt>
                <c:pt idx="6">
                  <c:v>Taxation and customs</c:v>
                </c:pt>
                <c:pt idx="7">
                  <c:v>Energy</c:v>
                </c:pt>
                <c:pt idx="8">
                  <c:v>Environment</c:v>
                </c:pt>
              </c:strCache>
            </c:strRef>
          </c:cat>
          <c:val>
            <c:numRef>
              <c:f>Blad1!$B$4:$B$12</c:f>
              <c:numCache>
                <c:formatCode>General</c:formatCode>
                <c:ptCount val="9"/>
                <c:pt idx="0">
                  <c:v>3</c:v>
                </c:pt>
                <c:pt idx="1">
                  <c:v>3</c:v>
                </c:pt>
                <c:pt idx="2">
                  <c:v>3</c:v>
                </c:pt>
                <c:pt idx="3">
                  <c:v>2</c:v>
                </c:pt>
                <c:pt idx="4">
                  <c:v>2</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B-C36F-4C62-AA24-CC7A206BCC5E}"/>
            </c:ext>
          </c:extLst>
        </c:ser>
        <c:dLbls>
          <c:showLegendKey val="0"/>
          <c:showVal val="0"/>
          <c:showCatName val="0"/>
          <c:showSerName val="0"/>
          <c:showPercent val="0"/>
          <c:showBubbleSize val="0"/>
          <c:showLeaderLines val="0"/>
        </c:dLbls>
        <c:firstSliceAng val="171"/>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5.8227465280573001E-2"/>
                  <c:y val="7.8216900203768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38-4A8F-AA66-67E6D82E28A8}"/>
                </c:ext>
              </c:extLst>
            </c:dLbl>
            <c:dLbl>
              <c:idx val="1"/>
              <c:layout>
                <c:manualLayout>
                  <c:x val="-4.994854366608429E-2"/>
                  <c:y val="4.91866413880954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16-4BE2-8FC2-D8E01CFDD281}"/>
                </c:ext>
              </c:extLst>
            </c:dLbl>
            <c:dLbl>
              <c:idx val="2"/>
              <c:layout>
                <c:manualLayout>
                  <c:x val="-5.0138633168366392E-2"/>
                  <c:y val="7.21816785096984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C7-4D87-8852-05388C2C21D5}"/>
                </c:ext>
              </c:extLst>
            </c:dLbl>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553</c:v>
                </c:pt>
                <c:pt idx="1">
                  <c:v>342</c:v>
                </c:pt>
                <c:pt idx="2">
                  <c:v>424</c:v>
                </c:pt>
                <c:pt idx="3">
                  <c:v>437</c:v>
                </c:pt>
                <c:pt idx="4">
                  <c:v>486</c:v>
                </c:pt>
              </c:numCache>
            </c:numRef>
          </c:val>
          <c:smooth val="0"/>
          <c:extLst xmlns:c16r2="http://schemas.microsoft.com/office/drawing/2015/06/chart">
            <c:ext xmlns:c16="http://schemas.microsoft.com/office/drawing/2014/chart" uri="{C3380CC4-5D6E-409C-BE32-E72D297353CC}">
              <c16:uniqueId val="{00000001-AEC7-4D87-8852-05388C2C21D5}"/>
            </c:ext>
          </c:extLst>
        </c:ser>
        <c:dLbls>
          <c:showLegendKey val="0"/>
          <c:showVal val="0"/>
          <c:showCatName val="0"/>
          <c:showSerName val="0"/>
          <c:showPercent val="0"/>
          <c:showBubbleSize val="0"/>
        </c:dLbls>
        <c:marker val="1"/>
        <c:smooth val="0"/>
        <c:axId val="118080256"/>
        <c:axId val="118081792"/>
      </c:lineChart>
      <c:catAx>
        <c:axId val="118080256"/>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081792"/>
        <c:crosses val="autoZero"/>
        <c:auto val="1"/>
        <c:lblAlgn val="ctr"/>
        <c:lblOffset val="100"/>
        <c:noMultiLvlLbl val="0"/>
      </c:catAx>
      <c:valAx>
        <c:axId val="118081792"/>
        <c:scaling>
          <c:orientation val="minMax"/>
          <c:min val="25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808025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9" b="0" i="0" u="none" strike="noStrike" kern="1200" baseline="0">
                <a:solidFill>
                  <a:srgbClr val="002060"/>
                </a:solidFill>
                <a:latin typeface="+mn-lt"/>
                <a:ea typeface="+mn-ea"/>
                <a:cs typeface="+mn-cs"/>
              </a:defRPr>
            </a:pPr>
            <a:r>
              <a:rPr lang="en-US" sz="1099" b="0" i="0">
                <a:solidFill>
                  <a:srgbClr val="002060"/>
                </a:solidFill>
                <a:latin typeface="Arial" panose="020B0604020202020204" pitchFamily="34" charset="0"/>
                <a:ea typeface="Verdana" panose="020B0604030504040204" pitchFamily="34" charset="0"/>
                <a:cs typeface="Arial" panose="020B0604020202020204" pitchFamily="34" charset="0"/>
              </a:rPr>
              <a:t>486 complaints made against </a:t>
            </a:r>
            <a:r>
              <a:rPr lang="en-US" sz="10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87">
          <a:noFill/>
        </a:ln>
      </c:spPr>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E5F-4B61-84C8-4195C101718C}"/>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E5F-4B61-84C8-4195C101718C}"/>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E5F-4B61-84C8-4195C101718C}"/>
              </c:ext>
            </c:extLst>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E5F-4B61-84C8-4195C101718C}"/>
              </c:ext>
            </c:extLst>
          </c:dPt>
          <c:dPt>
            <c:idx val="4"/>
            <c:bubble3D val="0"/>
            <c:extLst xmlns:c16r2="http://schemas.microsoft.com/office/drawing/2015/06/chart">
              <c:ext xmlns:c16="http://schemas.microsoft.com/office/drawing/2014/chart" uri="{C3380CC4-5D6E-409C-BE32-E72D297353CC}">
                <c16:uniqueId val="{00000008-EE5F-4B61-84C8-4195C101718C}"/>
              </c:ext>
            </c:extLst>
          </c:dPt>
          <c:dLbls>
            <c:dLbl>
              <c:idx val="0"/>
              <c:layout>
                <c:manualLayout>
                  <c:x val="-4.9396267837541162E-2"/>
                  <c:y val="0.1477024070021881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5F-4B61-84C8-4195C101718C}"/>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Blad1!$A$2:$A$5</c:f>
              <c:strCache>
                <c:ptCount val="4"/>
                <c:pt idx="0">
                  <c:v>Justice and consumers</c:v>
                </c:pt>
                <c:pt idx="1">
                  <c:v>Employment</c:v>
                </c:pt>
                <c:pt idx="2">
                  <c:v>Environment</c:v>
                </c:pt>
                <c:pt idx="3">
                  <c:v>Other</c:v>
                </c:pt>
              </c:strCache>
            </c:strRef>
          </c:cat>
          <c:val>
            <c:numRef>
              <c:f>Blad1!$B$2:$B$5</c:f>
              <c:numCache>
                <c:formatCode>General</c:formatCode>
                <c:ptCount val="4"/>
                <c:pt idx="0">
                  <c:v>142</c:v>
                </c:pt>
                <c:pt idx="1">
                  <c:v>99</c:v>
                </c:pt>
                <c:pt idx="2">
                  <c:v>57</c:v>
                </c:pt>
                <c:pt idx="3">
                  <c:v>188</c:v>
                </c:pt>
              </c:numCache>
            </c:numRef>
          </c:val>
          <c:extLst xmlns:c16r2="http://schemas.microsoft.com/office/drawing/2015/06/chart">
            <c:ext xmlns:c16="http://schemas.microsoft.com/office/drawing/2014/chart" uri="{C3380CC4-5D6E-409C-BE32-E72D297353CC}">
              <c16:uniqueId val="{00000009-EE5F-4B61-84C8-4195C101718C}"/>
            </c:ext>
          </c:extLst>
        </c:ser>
        <c:dLbls>
          <c:dLblPos val="outEnd"/>
          <c:showLegendKey val="0"/>
          <c:showVal val="1"/>
          <c:showCatName val="0"/>
          <c:showSerName val="0"/>
          <c:showPercent val="0"/>
          <c:showBubbleSize val="0"/>
          <c:showLeaderLines val="0"/>
        </c:dLbls>
        <c:firstSliceAng val="283"/>
      </c:pieChart>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84</c:v>
                </c:pt>
                <c:pt idx="1">
                  <c:v>49</c:v>
                </c:pt>
                <c:pt idx="2">
                  <c:v>53</c:v>
                </c:pt>
                <c:pt idx="3">
                  <c:v>11</c:v>
                </c:pt>
                <c:pt idx="4">
                  <c:v>7</c:v>
                </c:pt>
              </c:numCache>
            </c:numRef>
          </c:val>
          <c:smooth val="0"/>
          <c:extLst xmlns:c16r2="http://schemas.microsoft.com/office/drawing/2015/06/chart">
            <c:ext xmlns:c16="http://schemas.microsoft.com/office/drawing/2014/chart" uri="{C3380CC4-5D6E-409C-BE32-E72D297353CC}">
              <c16:uniqueId val="{00000000-B466-4B60-8E0E-59A7BCA77C0C}"/>
            </c:ext>
          </c:extLst>
        </c:ser>
        <c:dLbls>
          <c:showLegendKey val="0"/>
          <c:showVal val="0"/>
          <c:showCatName val="0"/>
          <c:showSerName val="0"/>
          <c:showPercent val="0"/>
          <c:showBubbleSize val="0"/>
        </c:dLbls>
        <c:marker val="1"/>
        <c:smooth val="0"/>
        <c:axId val="118388224"/>
        <c:axId val="118389760"/>
      </c:lineChart>
      <c:catAx>
        <c:axId val="11838822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389760"/>
        <c:crosses val="autoZero"/>
        <c:auto val="1"/>
        <c:lblAlgn val="ctr"/>
        <c:lblOffset val="100"/>
        <c:noMultiLvlLbl val="0"/>
      </c:catAx>
      <c:valAx>
        <c:axId val="11838976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8388224"/>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w="25384">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91</c:v>
                </c:pt>
                <c:pt idx="1">
                  <c:v>78</c:v>
                </c:pt>
                <c:pt idx="2">
                  <c:v>74</c:v>
                </c:pt>
                <c:pt idx="3">
                  <c:v>55</c:v>
                </c:pt>
                <c:pt idx="4">
                  <c:v>39</c:v>
                </c:pt>
              </c:numCache>
            </c:numRef>
          </c:val>
          <c:smooth val="0"/>
          <c:extLst xmlns:c16r2="http://schemas.microsoft.com/office/drawing/2015/06/chart">
            <c:ext xmlns:c16="http://schemas.microsoft.com/office/drawing/2014/chart" uri="{C3380CC4-5D6E-409C-BE32-E72D297353CC}">
              <c16:uniqueId val="{00000000-DA03-4A46-99EE-EE65B2EC5034}"/>
            </c:ext>
          </c:extLst>
        </c:ser>
        <c:dLbls>
          <c:showLegendKey val="0"/>
          <c:showVal val="0"/>
          <c:showCatName val="0"/>
          <c:showSerName val="0"/>
          <c:showPercent val="0"/>
          <c:showBubbleSize val="0"/>
        </c:dLbls>
        <c:marker val="1"/>
        <c:smooth val="0"/>
        <c:axId val="118541312"/>
        <c:axId val="118543104"/>
      </c:lineChart>
      <c:catAx>
        <c:axId val="118541312"/>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543104"/>
        <c:crosses val="autoZero"/>
        <c:auto val="1"/>
        <c:lblAlgn val="ctr"/>
        <c:lblOffset val="100"/>
        <c:noMultiLvlLbl val="0"/>
      </c:catAx>
      <c:valAx>
        <c:axId val="118543104"/>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8541312"/>
        <c:crosses val="autoZero"/>
        <c:crossBetween val="between"/>
      </c:valAx>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7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Spain</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3791062881845651"/>
          <c:y val="3.1847180928110126E-2"/>
        </c:manualLayout>
      </c:layout>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C70-412C-A939-5CD934296A1C}"/>
              </c:ext>
            </c:extLst>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C70-412C-A939-5CD934296A1C}"/>
              </c:ext>
            </c:extLst>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C70-412C-A939-5CD934296A1C}"/>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C70-412C-A939-5CD934296A1C}"/>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3C70-412C-A939-5CD934296A1C}"/>
              </c:ext>
            </c:extLst>
          </c:dPt>
          <c:dPt>
            <c:idx val="5"/>
            <c:bubble3D val="0"/>
            <c:spPr>
              <a:solidFill>
                <a:srgbClr val="A65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3C70-412C-A939-5CD934296A1C}"/>
              </c:ext>
            </c:extLst>
          </c:dPt>
          <c:dPt>
            <c:idx val="6"/>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3C70-412C-A939-5CD934296A1C}"/>
              </c:ext>
            </c:extLst>
          </c:dPt>
          <c:dLbls>
            <c:dLbl>
              <c:idx val="0"/>
              <c:layout>
                <c:manualLayout>
                  <c:x val="2.2270554755795587E-2"/>
                  <c:y val="-1.3312124984905707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70-412C-A939-5CD934296A1C}"/>
                </c:ext>
              </c:extLst>
            </c:dLbl>
            <c:dLbl>
              <c:idx val="1"/>
              <c:layout>
                <c:manualLayout>
                  <c:x val="-9.6066652956497498E-3"/>
                  <c:y val="-2.9416173586445534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17305757948039893"/>
                      <c:h val="0.14209413008989949"/>
                    </c:manualLayout>
                  </c15:layout>
                </c:ext>
                <c:ext xmlns:c16="http://schemas.microsoft.com/office/drawing/2014/chart" uri="{C3380CC4-5D6E-409C-BE32-E72D297353CC}">
                  <c16:uniqueId val="{00000003-3C70-412C-A939-5CD934296A1C}"/>
                </c:ext>
              </c:extLst>
            </c:dLbl>
            <c:dLbl>
              <c:idx val="2"/>
              <c:layout>
                <c:manualLayout>
                  <c:x val="-2.7729714422918522E-2"/>
                  <c:y val="-1.7608481118601582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70-412C-A939-5CD934296A1C}"/>
                </c:ext>
              </c:extLst>
            </c:dLbl>
            <c:dLbl>
              <c:idx val="3"/>
              <c:layout>
                <c:manualLayout>
                  <c:x val="-1.8959871914000632E-2"/>
                  <c:y val="7.833500585033957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70-412C-A939-5CD934296A1C}"/>
                </c:ext>
              </c:extLst>
            </c:dLbl>
            <c:dLbl>
              <c:idx val="4"/>
              <c:layout>
                <c:manualLayout>
                  <c:x val="-1.6268084771914108E-2"/>
                  <c:y val="0.1269806834695636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70-412C-A939-5CD934296A1C}"/>
                </c:ext>
              </c:extLst>
            </c:dLbl>
            <c:dLbl>
              <c:idx val="5"/>
              <c:layout>
                <c:manualLayout>
                  <c:x val="2.4910287853362592E-2"/>
                  <c:y val="-7.6694579844186145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70-412C-A939-5CD934296A1C}"/>
                </c:ext>
              </c:extLst>
            </c:dLbl>
            <c:dLbl>
              <c:idx val="6"/>
              <c:layout>
                <c:manualLayout>
                  <c:x val="2.0076588787057356E-3"/>
                  <c:y val="-4.2494688163882504E-5"/>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C70-412C-A939-5CD934296A1C}"/>
                </c:ext>
              </c:extLst>
            </c:dLbl>
            <c:spPr>
              <a:noFill/>
              <a:ln w="25390">
                <a:noFill/>
              </a:ln>
            </c:spPr>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Blad1!$A$3:$A$7</c:f>
              <c:strCache>
                <c:ptCount val="5"/>
                <c:pt idx="0">
                  <c:v>Taxation and customs</c:v>
                </c:pt>
                <c:pt idx="1">
                  <c:v>Environment</c:v>
                </c:pt>
                <c:pt idx="2">
                  <c:v>Energy</c:v>
                </c:pt>
                <c:pt idx="3">
                  <c:v>Migration and home affairs</c:v>
                </c:pt>
                <c:pt idx="4">
                  <c:v>Agriculture and rural development</c:v>
                </c:pt>
              </c:strCache>
            </c:strRef>
          </c:cat>
          <c:val>
            <c:numRef>
              <c:f>Blad1!$B$3:$B$7</c:f>
              <c:numCache>
                <c:formatCode>General</c:formatCode>
                <c:ptCount val="5"/>
                <c:pt idx="0">
                  <c:v>1</c:v>
                </c:pt>
                <c:pt idx="1">
                  <c:v>1</c:v>
                </c:pt>
                <c:pt idx="2">
                  <c:v>1</c:v>
                </c:pt>
                <c:pt idx="3">
                  <c:v>1</c:v>
                </c:pt>
                <c:pt idx="4">
                  <c:v>3</c:v>
                </c:pt>
              </c:numCache>
            </c:numRef>
          </c:val>
          <c:extLst xmlns:c16r2="http://schemas.microsoft.com/office/drawing/2015/06/chart">
            <c:ext xmlns:c16="http://schemas.microsoft.com/office/drawing/2014/chart" uri="{C3380CC4-5D6E-409C-BE32-E72D297353CC}">
              <c16:uniqueId val="{0000000E-3C70-412C-A939-5CD934296A1C}"/>
            </c:ext>
          </c:extLst>
        </c:ser>
        <c:dLbls>
          <c:showLegendKey val="0"/>
          <c:showVal val="0"/>
          <c:showCatName val="0"/>
          <c:showSerName val="0"/>
          <c:showPercent val="0"/>
          <c:showBubbleSize val="0"/>
          <c:showLeaderLines val="0"/>
        </c:dLbls>
        <c:firstSliceAng val="122"/>
      </c:pieChart>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5.0158445188155695E-2"/>
                  <c:y val="6.6503542058684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70-43FB-AEB9-9388BA54A117}"/>
                </c:ext>
              </c:extLst>
            </c:dLbl>
            <c:dLbl>
              <c:idx val="1"/>
              <c:layout>
                <c:manualLayout>
                  <c:x val="-3.9247507427908147E-2"/>
                  <c:y val="-7.09738437867679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6C-49F6-8ADC-0F52D9ECDDFB}"/>
                </c:ext>
              </c:extLst>
            </c:dLbl>
            <c:dLbl>
              <c:idx val="2"/>
              <c:layout>
                <c:manualLayout>
                  <c:x val="-4.1914709008481377E-2"/>
                  <c:y val="6.07557057097966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70-43FB-AEB9-9388BA54A117}"/>
                </c:ext>
              </c:extLst>
            </c:dLbl>
            <c:dLbl>
              <c:idx val="3"/>
              <c:layout>
                <c:manualLayout>
                  <c:x val="-4.1988687057682147E-2"/>
                  <c:y val="-6.52267173499864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6C-49F6-8ADC-0F52D9ECDDFB}"/>
                </c:ext>
              </c:extLst>
            </c:dLbl>
            <c:spPr>
              <a:noFill/>
              <a:ln w="25383">
                <a:noFill/>
              </a:ln>
            </c:spPr>
            <c:txPr>
              <a:bodyPr/>
              <a:lstStyle/>
              <a:p>
                <a:pPr>
                  <a:defRPr sz="899">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36</c:v>
                </c:pt>
                <c:pt idx="1">
                  <c:v>23</c:v>
                </c:pt>
                <c:pt idx="2">
                  <c:v>48</c:v>
                </c:pt>
                <c:pt idx="3">
                  <c:v>46</c:v>
                </c:pt>
                <c:pt idx="4">
                  <c:v>41</c:v>
                </c:pt>
              </c:numCache>
            </c:numRef>
          </c:val>
          <c:smooth val="0"/>
          <c:extLst xmlns:c16r2="http://schemas.microsoft.com/office/drawing/2015/06/chart">
            <c:ext xmlns:c16="http://schemas.microsoft.com/office/drawing/2014/chart" uri="{C3380CC4-5D6E-409C-BE32-E72D297353CC}">
              <c16:uniqueId val="{00000002-C96C-49F6-8ADC-0F52D9ECDDFB}"/>
            </c:ext>
          </c:extLst>
        </c:ser>
        <c:dLbls>
          <c:showLegendKey val="0"/>
          <c:showVal val="0"/>
          <c:showCatName val="0"/>
          <c:showSerName val="0"/>
          <c:showPercent val="0"/>
          <c:showBubbleSize val="0"/>
        </c:dLbls>
        <c:marker val="1"/>
        <c:smooth val="0"/>
        <c:axId val="106691968"/>
        <c:axId val="106366080"/>
      </c:lineChart>
      <c:catAx>
        <c:axId val="106691968"/>
        <c:scaling>
          <c:orientation val="minMax"/>
        </c:scaling>
        <c:delete val="0"/>
        <c:axPos val="b"/>
        <c:numFmt formatCode="General" sourceLinked="1"/>
        <c:majorTickMark val="none"/>
        <c:minorTickMark val="none"/>
        <c:tickLblPos val="nextTo"/>
        <c:spPr>
          <a:noFill/>
          <a:ln w="1270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366080"/>
        <c:crosses val="autoZero"/>
        <c:auto val="1"/>
        <c:lblAlgn val="ctr"/>
        <c:lblOffset val="100"/>
        <c:noMultiLvlLbl val="0"/>
      </c:catAx>
      <c:valAx>
        <c:axId val="106366080"/>
        <c:scaling>
          <c:orientation val="minMax"/>
          <c:min val="15"/>
        </c:scaling>
        <c:delete val="1"/>
        <c:axPos val="l"/>
        <c:majorGridlines>
          <c:spPr>
            <a:ln w="9527" cap="flat" cmpd="sng" algn="ctr">
              <a:solidFill>
                <a:schemeClr val="tx1">
                  <a:lumMod val="15000"/>
                  <a:lumOff val="85000"/>
                </a:schemeClr>
              </a:solidFill>
              <a:round/>
            </a:ln>
            <a:effectLst/>
          </c:spPr>
        </c:majorGridlines>
        <c:numFmt formatCode="General" sourceLinked="1"/>
        <c:majorTickMark val="out"/>
        <c:minorTickMark val="none"/>
        <c:tickLblPos val="nextTo"/>
        <c:crossAx val="106691968"/>
        <c:crosses val="autoZero"/>
        <c:crossBetween val="between"/>
      </c:valAx>
      <c:spPr>
        <a:noFill/>
        <a:ln w="25383">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Blad1!$B$2</c:f>
              <c:strCache>
                <c:ptCount val="1"/>
                <c:pt idx="0">
                  <c:v>Spain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1313571097730446E-2"/>
                  <c:y val="6.68279997110452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B1-4FCA-94E9-49A4C4DE4C5E}"/>
                </c:ext>
              </c:extLst>
            </c:dLbl>
            <c:dLbl>
              <c:idx val="1"/>
              <c:layout>
                <c:manualLayout>
                  <c:x val="-5.8506999125109364E-2"/>
                  <c:y val="6.7698154180238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B1-4FCA-94E9-49A4C4DE4C5E}"/>
                </c:ext>
              </c:extLst>
            </c:dLbl>
            <c:dLbl>
              <c:idx val="2"/>
              <c:layout>
                <c:manualLayout>
                  <c:x val="-5.5536386671389257E-2"/>
                  <c:y val="-8.38100377765785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C7-4DD5-8762-9CE791818C9B}"/>
                </c:ext>
              </c:extLst>
            </c:dLbl>
            <c:dLbl>
              <c:idx val="3"/>
              <c:layout>
                <c:manualLayout>
                  <c:x val="-5.3735770917908619E-2"/>
                  <c:y val="-8.06540574764905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B1-4FCA-94E9-49A4C4DE4C5E}"/>
                </c:ext>
              </c:extLst>
            </c:dLbl>
            <c:dLbl>
              <c:idx val="4"/>
              <c:layout>
                <c:manualLayout>
                  <c:x val="-4.7395888013998251E-2"/>
                  <c:y val="-7.3452768729641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B1-4FCA-94E9-49A4C4DE4C5E}"/>
                </c:ext>
              </c:extLst>
            </c:dLbl>
            <c:spPr>
              <a:noFill/>
              <a:ln w="25401">
                <a:noFill/>
              </a:ln>
            </c:spPr>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0%</c:formatCode>
                <c:ptCount val="5"/>
                <c:pt idx="0">
                  <c:v>0.69</c:v>
                </c:pt>
                <c:pt idx="1">
                  <c:v>0.69</c:v>
                </c:pt>
                <c:pt idx="2">
                  <c:v>0.75</c:v>
                </c:pt>
                <c:pt idx="3">
                  <c:v>0.8</c:v>
                </c:pt>
                <c:pt idx="4">
                  <c:v>0.8</c:v>
                </c:pt>
              </c:numCache>
            </c:numRef>
          </c:val>
          <c:smooth val="0"/>
          <c:extLst xmlns:c16r2="http://schemas.microsoft.com/office/drawing/2015/06/chart">
            <c:ext xmlns:c16="http://schemas.microsoft.com/office/drawing/2014/chart" uri="{C3380CC4-5D6E-409C-BE32-E72D297353CC}">
              <c16:uniqueId val="{00000004-40B1-4FCA-94E9-49A4C4DE4C5E}"/>
            </c:ext>
          </c:extLst>
        </c:ser>
        <c:ser>
          <c:idx val="1"/>
          <c:order val="1"/>
          <c:tx>
            <c:strRef>
              <c:f>Blad1!$C$2</c:f>
              <c:strCache>
                <c:ptCount val="1"/>
                <c:pt idx="0">
                  <c:v>General rate for all Member States</c:v>
                </c:pt>
              </c:strCache>
            </c:strRef>
          </c:tx>
          <c:spPr>
            <a:ln w="25401">
              <a:solidFill>
                <a:srgbClr val="92D050"/>
              </a:solidFill>
            </a:ln>
          </c:spPr>
          <c:marker>
            <c:symbol val="square"/>
            <c:size val="5"/>
            <c:spPr>
              <a:solidFill>
                <a:srgbClr val="92D050"/>
              </a:solidFill>
              <a:ln>
                <a:solidFill>
                  <a:srgbClr val="92D050"/>
                </a:solidFill>
              </a:ln>
            </c:spPr>
          </c:marker>
          <c:dLbls>
            <c:dLbl>
              <c:idx val="0"/>
              <c:layout>
                <c:manualLayout>
                  <c:x val="-6.1275209110971854E-2"/>
                  <c:y val="-7.22769205926970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B1-4FCA-94E9-49A4C4DE4C5E}"/>
                </c:ext>
              </c:extLst>
            </c:dLbl>
            <c:dLbl>
              <c:idx val="2"/>
              <c:layout>
                <c:manualLayout>
                  <c:x val="-4.7231888401493165E-2"/>
                  <c:y val="5.68267674042094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C7-4DD5-8762-9CE791818C9B}"/>
                </c:ext>
              </c:extLst>
            </c:dLbl>
            <c:dLbl>
              <c:idx val="3"/>
              <c:layout>
                <c:manualLayout>
                  <c:x val="-4.169555622156227E-2"/>
                  <c:y val="6.7620075553157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B1-4FCA-94E9-49A4C4DE4C5E}"/>
                </c:ext>
              </c:extLst>
            </c:dLbl>
            <c:dLbl>
              <c:idx val="4"/>
              <c:layout>
                <c:manualLayout>
                  <c:x val="-4.4618110236220469E-2"/>
                  <c:y val="6.80238870792616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B1-4FCA-94E9-49A4C4DE4C5E}"/>
                </c:ext>
              </c:extLst>
            </c:dLbl>
            <c:spPr>
              <a:noFill/>
              <a:ln w="25401">
                <a:noFill/>
              </a:ln>
            </c:spPr>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Blad1!$C$3:$C$7</c:f>
              <c:numCache>
                <c:formatCode>0%</c:formatCode>
                <c:ptCount val="5"/>
                <c:pt idx="0">
                  <c:v>0.75</c:v>
                </c:pt>
                <c:pt idx="1">
                  <c:v>0.75</c:v>
                </c:pt>
                <c:pt idx="2">
                  <c:v>0.72</c:v>
                </c:pt>
                <c:pt idx="3">
                  <c:v>0.77</c:v>
                </c:pt>
                <c:pt idx="4">
                  <c:v>0.73</c:v>
                </c:pt>
              </c:numCache>
            </c:numRef>
          </c:val>
          <c:smooth val="0"/>
          <c:extLst xmlns:c16r2="http://schemas.microsoft.com/office/drawing/2015/06/chart">
            <c:ext xmlns:c16="http://schemas.microsoft.com/office/drawing/2014/chart" uri="{C3380CC4-5D6E-409C-BE32-E72D297353CC}">
              <c16:uniqueId val="{00000007-40B1-4FCA-94E9-49A4C4DE4C5E}"/>
            </c:ext>
          </c:extLst>
        </c:ser>
        <c:dLbls>
          <c:showLegendKey val="0"/>
          <c:showVal val="0"/>
          <c:showCatName val="0"/>
          <c:showSerName val="0"/>
          <c:showPercent val="0"/>
          <c:showBubbleSize val="0"/>
        </c:dLbls>
        <c:marker val="1"/>
        <c:smooth val="0"/>
        <c:axId val="118957184"/>
        <c:axId val="118958720"/>
      </c:lineChart>
      <c:catAx>
        <c:axId val="11895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958720"/>
        <c:crosses val="autoZero"/>
        <c:auto val="1"/>
        <c:lblAlgn val="ctr"/>
        <c:lblOffset val="100"/>
        <c:noMultiLvlLbl val="0"/>
      </c:catAx>
      <c:valAx>
        <c:axId val="11895872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18957184"/>
        <c:crosses val="autoZero"/>
        <c:crossBetween val="between"/>
      </c:valAx>
      <c:spPr>
        <a:noFill/>
        <a:ln w="25401">
          <a:noFill/>
        </a:ln>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Blad1!$A$4:$A$8</c:f>
              <c:numCache>
                <c:formatCode>General</c:formatCode>
                <c:ptCount val="5"/>
                <c:pt idx="0">
                  <c:v>2014</c:v>
                </c:pt>
                <c:pt idx="1">
                  <c:v>2015</c:v>
                </c:pt>
                <c:pt idx="2">
                  <c:v>2016</c:v>
                </c:pt>
                <c:pt idx="3">
                  <c:v>2017</c:v>
                </c:pt>
                <c:pt idx="4">
                  <c:v>2018</c:v>
                </c:pt>
              </c:numCache>
            </c:numRef>
          </c:cat>
          <c:val>
            <c:numRef>
              <c:f>Blad1!$B$4:$B$8</c:f>
              <c:numCache>
                <c:formatCode>General</c:formatCode>
                <c:ptCount val="5"/>
                <c:pt idx="0">
                  <c:v>86</c:v>
                </c:pt>
                <c:pt idx="1">
                  <c:v>83</c:v>
                </c:pt>
                <c:pt idx="2">
                  <c:v>91</c:v>
                </c:pt>
                <c:pt idx="3">
                  <c:v>93</c:v>
                </c:pt>
                <c:pt idx="4">
                  <c:v>97</c:v>
                </c:pt>
              </c:numCache>
            </c:numRef>
          </c:val>
          <c:smooth val="0"/>
          <c:extLst xmlns:c16r2="http://schemas.microsoft.com/office/drawing/2015/06/chart">
            <c:ext xmlns:c16="http://schemas.microsoft.com/office/drawing/2014/chart" uri="{C3380CC4-5D6E-409C-BE32-E72D297353CC}">
              <c16:uniqueId val="{00000000-F250-46F1-9106-B6E81666D781}"/>
            </c:ext>
          </c:extLst>
        </c:ser>
        <c:dLbls>
          <c:showLegendKey val="0"/>
          <c:showVal val="0"/>
          <c:showCatName val="0"/>
          <c:showSerName val="0"/>
          <c:showPercent val="0"/>
          <c:showBubbleSize val="0"/>
        </c:dLbls>
        <c:marker val="1"/>
        <c:smooth val="0"/>
        <c:axId val="119012352"/>
        <c:axId val="119030528"/>
      </c:lineChart>
      <c:catAx>
        <c:axId val="119012352"/>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030528"/>
        <c:crosses val="autoZero"/>
        <c:auto val="1"/>
        <c:lblAlgn val="ctr"/>
        <c:lblOffset val="100"/>
        <c:noMultiLvlLbl val="0"/>
      </c:catAx>
      <c:valAx>
        <c:axId val="119030528"/>
        <c:scaling>
          <c:orientation val="minMax"/>
          <c:min val="75"/>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9012352"/>
        <c:crosses val="autoZero"/>
        <c:crossBetween val="between"/>
      </c:valAx>
      <c:spPr>
        <a:noFill/>
        <a:ln w="25372">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27 new </a:t>
            </a:r>
            <a:r>
              <a:rPr lang="en-US" sz="1097"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097"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709567787133234"/>
          <c:y val="3.2786741402615199E-2"/>
        </c:manualLayout>
      </c:layout>
      <c:overlay val="0"/>
      <c:spPr>
        <a:noFill/>
        <a:ln w="25326">
          <a:noFill/>
        </a:ln>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E869-4929-9C5E-A450DC1303F3}"/>
              </c:ext>
            </c:extLst>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E869-4929-9C5E-A450DC1303F3}"/>
              </c:ext>
            </c:extLst>
          </c:dPt>
          <c:dPt>
            <c:idx val="2"/>
            <c:bubble3D val="0"/>
            <c:spPr>
              <a:solidFill>
                <a:srgbClr val="00A676"/>
              </a:solidFill>
              <a:ln>
                <a:solidFill>
                  <a:srgbClr val="00A676"/>
                </a:solid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E869-4929-9C5E-A450DC1303F3}"/>
              </c:ext>
            </c:extLst>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E869-4929-9C5E-A450DC1303F3}"/>
              </c:ext>
            </c:extLst>
          </c:dPt>
          <c:dPt>
            <c:idx val="4"/>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E869-4929-9C5E-A450DC1303F3}"/>
              </c:ext>
            </c:extLst>
          </c:dPt>
          <c:dPt>
            <c:idx val="5"/>
            <c:bubble3D val="0"/>
            <c:spPr>
              <a:solidFill>
                <a:srgbClr val="99663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E869-4929-9C5E-A450DC1303F3}"/>
              </c:ext>
            </c:extLst>
          </c:dPt>
          <c:dPt>
            <c:idx val="6"/>
            <c:bubble3D val="0"/>
            <c:spPr>
              <a:solidFill>
                <a:srgbClr val="37ACDE"/>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9DD9-4496-8578-5B0A89D4A215}"/>
              </c:ext>
            </c:extLst>
          </c:dPt>
          <c:dPt>
            <c:idx val="7"/>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9DD9-4496-8578-5B0A89D4A21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69-4929-9C5E-A450DC1303F3}"/>
                </c:ext>
              </c:extLst>
            </c:dLbl>
            <c:dLbl>
              <c:idx val="1"/>
              <c:layout>
                <c:manualLayout>
                  <c:x val="1.1326380255099692E-2"/>
                  <c:y val="1.7422822147231596E-3"/>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69-4929-9C5E-A450DC1303F3}"/>
                </c:ext>
              </c:extLst>
            </c:dLbl>
            <c:dLbl>
              <c:idx val="2"/>
              <c:layout>
                <c:manualLayout>
                  <c:x val="2.4954623029598579E-2"/>
                  <c:y val="3.923094118408982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69-4929-9C5E-A450DC1303F3}"/>
                </c:ext>
              </c:extLst>
            </c:dLbl>
            <c:dLbl>
              <c:idx val="3"/>
              <c:layout>
                <c:manualLayout>
                  <c:x val="6.7927752490039911E-3"/>
                  <c:y val="5.6307255835525205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69-4929-9C5E-A450DC1303F3}"/>
                </c:ext>
              </c:extLst>
            </c:dLbl>
            <c:dLbl>
              <c:idx val="4"/>
              <c:layout>
                <c:manualLayout>
                  <c:x val="-8.3576425076244392E-3"/>
                  <c:y val="4.425647720477778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69-4929-9C5E-A450DC1303F3}"/>
                </c:ext>
              </c:extLst>
            </c:dLbl>
            <c:spPr>
              <a:noFill/>
              <a:ln w="25326">
                <a:noFill/>
              </a:ln>
            </c:spPr>
            <c:txPr>
              <a:bodyPr rot="0" spcFirstLastPara="1" vertOverflow="ellipsis" vert="horz" wrap="square" lIns="38100" tIns="19050" rIns="38100" bIns="19050" anchor="ctr" anchorCtr="1">
                <a:spAutoFit/>
              </a:bodyPr>
              <a:lstStyle/>
              <a:p>
                <a:pPr>
                  <a:defRPr sz="848"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Blad1!$A$2:$A$9</c:f>
              <c:strCache>
                <c:ptCount val="8"/>
                <c:pt idx="0">
                  <c:v>Policy Area</c:v>
                </c:pt>
                <c:pt idx="1">
                  <c:v>Internal market, industry, entrepreneurship and SMEs</c:v>
                </c:pt>
                <c:pt idx="2">
                  <c:v>Environment</c:v>
                </c:pt>
                <c:pt idx="3">
                  <c:v>Mobility and transport</c:v>
                </c:pt>
                <c:pt idx="4">
                  <c:v>Energy</c:v>
                </c:pt>
                <c:pt idx="5">
                  <c:v>Justice and consumers</c:v>
                </c:pt>
                <c:pt idx="6">
                  <c:v>Migration and home affairs</c:v>
                </c:pt>
                <c:pt idx="7">
                  <c:v>Other</c:v>
                </c:pt>
              </c:strCache>
            </c:strRef>
          </c:cat>
          <c:val>
            <c:numRef>
              <c:f>Blad1!$B$2:$B$9</c:f>
              <c:numCache>
                <c:formatCode>General</c:formatCode>
                <c:ptCount val="8"/>
                <c:pt idx="0">
                  <c:v>0</c:v>
                </c:pt>
                <c:pt idx="1">
                  <c:v>5</c:v>
                </c:pt>
                <c:pt idx="2">
                  <c:v>4</c:v>
                </c:pt>
                <c:pt idx="3">
                  <c:v>4</c:v>
                </c:pt>
                <c:pt idx="4">
                  <c:v>3</c:v>
                </c:pt>
                <c:pt idx="5">
                  <c:v>3</c:v>
                </c:pt>
                <c:pt idx="6">
                  <c:v>3</c:v>
                </c:pt>
                <c:pt idx="7">
                  <c:v>5</c:v>
                </c:pt>
              </c:numCache>
            </c:numRef>
          </c:val>
          <c:extLst xmlns:c16r2="http://schemas.microsoft.com/office/drawing/2015/06/chart">
            <c:ext xmlns:c16="http://schemas.microsoft.com/office/drawing/2014/chart" uri="{C3380CC4-5D6E-409C-BE32-E72D297353CC}">
              <c16:uniqueId val="{0000000C-E869-4929-9C5E-A450DC1303F3}"/>
            </c:ext>
          </c:extLst>
        </c:ser>
        <c:dLbls>
          <c:showLegendKey val="0"/>
          <c:showVal val="0"/>
          <c:showCatName val="0"/>
          <c:showSerName val="0"/>
          <c:showPercent val="0"/>
          <c:showBubbleSize val="0"/>
          <c:showLeaderLines val="0"/>
        </c:dLbls>
        <c:firstSliceAng val="245"/>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77298553155051E-2"/>
                  <c:y val="5.25499134589600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6D-4895-A13F-37397A189182}"/>
                </c:ext>
              </c:extLst>
            </c:dLbl>
            <c:dLbl>
              <c:idx val="1"/>
              <c:layout>
                <c:manualLayout>
                  <c:x val="-4.7729505941541003E-2"/>
                  <c:y val="4.66785305087639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6D-4895-A13F-37397A189182}"/>
                </c:ext>
              </c:extLst>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19</c:v>
                </c:pt>
                <c:pt idx="1">
                  <c:v>21</c:v>
                </c:pt>
                <c:pt idx="2">
                  <c:v>32</c:v>
                </c:pt>
                <c:pt idx="3">
                  <c:v>32</c:v>
                </c:pt>
                <c:pt idx="4">
                  <c:v>36</c:v>
                </c:pt>
              </c:numCache>
            </c:numRef>
          </c:val>
          <c:smooth val="0"/>
          <c:extLst xmlns:c16r2="http://schemas.microsoft.com/office/drawing/2015/06/chart">
            <c:ext xmlns:c16="http://schemas.microsoft.com/office/drawing/2014/chart" uri="{C3380CC4-5D6E-409C-BE32-E72D297353CC}">
              <c16:uniqueId val="{00000002-A46D-4895-A13F-37397A189182}"/>
            </c:ext>
          </c:extLst>
        </c:ser>
        <c:dLbls>
          <c:showLegendKey val="0"/>
          <c:showVal val="0"/>
          <c:showCatName val="0"/>
          <c:showSerName val="0"/>
          <c:showPercent val="0"/>
          <c:showBubbleSize val="0"/>
        </c:dLbls>
        <c:marker val="1"/>
        <c:smooth val="0"/>
        <c:axId val="118625024"/>
        <c:axId val="118626560"/>
      </c:lineChart>
      <c:catAx>
        <c:axId val="11862502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626560"/>
        <c:crosses val="autoZero"/>
        <c:auto val="1"/>
        <c:lblAlgn val="ctr"/>
        <c:lblOffset val="100"/>
        <c:noMultiLvlLbl val="0"/>
      </c:catAx>
      <c:valAx>
        <c:axId val="118626560"/>
        <c:scaling>
          <c:orientation val="minMax"/>
          <c:min val="1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8625024"/>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77336528586101E-2"/>
                  <c:y val="7.73975368463557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CA-405A-87C6-01F7DB68F152}"/>
                </c:ext>
              </c:extLst>
            </c:dLbl>
            <c:dLbl>
              <c:idx val="1"/>
              <c:layout>
                <c:manualLayout>
                  <c:x val="-4.4956300191683E-2"/>
                  <c:y val="7.7661979463660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CA-405A-87C6-01F7DB68F152}"/>
                </c:ext>
              </c:extLst>
            </c:dLbl>
            <c:dLbl>
              <c:idx val="2"/>
              <c:layout>
                <c:manualLayout>
                  <c:x val="-3.6631252814868162E-2"/>
                  <c:y val="-7.4902636400034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CA-405A-87C6-01F7DB68F152}"/>
                </c:ext>
              </c:extLst>
            </c:dLbl>
            <c:dLbl>
              <c:idx val="3"/>
              <c:layout>
                <c:manualLayout>
                  <c:x val="-4.204210933981415E-2"/>
                  <c:y val="-5.41086832558873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CA-405A-87C6-01F7DB68F152}"/>
                </c:ext>
              </c:extLst>
            </c:dLbl>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Blad1!$A$2:$A$6</c:f>
              <c:numCache>
                <c:formatCode>General</c:formatCode>
                <c:ptCount val="5"/>
                <c:pt idx="0">
                  <c:v>2014</c:v>
                </c:pt>
                <c:pt idx="1">
                  <c:v>2015</c:v>
                </c:pt>
                <c:pt idx="2">
                  <c:v>2016</c:v>
                </c:pt>
                <c:pt idx="3">
                  <c:v>2017</c:v>
                </c:pt>
                <c:pt idx="4">
                  <c:v>2018</c:v>
                </c:pt>
              </c:numCache>
            </c:numRef>
          </c:cat>
          <c:val>
            <c:numRef>
              <c:f>Blad1!$B$2:$B$6</c:f>
              <c:numCache>
                <c:formatCode>General</c:formatCode>
                <c:ptCount val="5"/>
                <c:pt idx="0">
                  <c:v>24</c:v>
                </c:pt>
                <c:pt idx="1">
                  <c:v>16</c:v>
                </c:pt>
                <c:pt idx="2">
                  <c:v>34</c:v>
                </c:pt>
                <c:pt idx="3">
                  <c:v>32</c:v>
                </c:pt>
                <c:pt idx="4">
                  <c:v>17</c:v>
                </c:pt>
              </c:numCache>
            </c:numRef>
          </c:val>
          <c:smooth val="0"/>
          <c:extLst xmlns:c16r2="http://schemas.microsoft.com/office/drawing/2015/06/chart">
            <c:ext xmlns:c16="http://schemas.microsoft.com/office/drawing/2014/chart" uri="{C3380CC4-5D6E-409C-BE32-E72D297353CC}">
              <c16:uniqueId val="{00000003-40CA-405A-87C6-01F7DB68F152}"/>
            </c:ext>
          </c:extLst>
        </c:ser>
        <c:dLbls>
          <c:showLegendKey val="0"/>
          <c:showVal val="0"/>
          <c:showCatName val="0"/>
          <c:showSerName val="0"/>
          <c:showPercent val="0"/>
          <c:showBubbleSize val="0"/>
        </c:dLbls>
        <c:marker val="1"/>
        <c:smooth val="0"/>
        <c:axId val="118651904"/>
        <c:axId val="118674176"/>
      </c:lineChart>
      <c:catAx>
        <c:axId val="118651904"/>
        <c:scaling>
          <c:orientation val="minMax"/>
        </c:scaling>
        <c:delete val="0"/>
        <c:axPos val="b"/>
        <c:numFmt formatCode="General" sourceLinked="1"/>
        <c:majorTickMark val="none"/>
        <c:minorTickMark val="none"/>
        <c:tickLblPos val="nextTo"/>
        <c:spPr>
          <a:noFill/>
          <a:ln w="1268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8674176"/>
        <c:crosses val="autoZero"/>
        <c:auto val="1"/>
        <c:lblAlgn val="ctr"/>
        <c:lblOffset val="100"/>
        <c:noMultiLvlLbl val="0"/>
      </c:catAx>
      <c:valAx>
        <c:axId val="118674176"/>
        <c:scaling>
          <c:orientation val="minMax"/>
          <c:min val="10"/>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8651904"/>
        <c:crosses val="autoZero"/>
        <c:crossBetween val="between"/>
      </c:valAx>
      <c:spPr>
        <a:noFill/>
        <a:ln w="25374">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7"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097" b="0" baseline="0">
                <a:solidFill>
                  <a:srgbClr val="002060"/>
                </a:solidFill>
                <a:latin typeface="Arial" panose="020B0604020202020204" pitchFamily="34" charset="0"/>
                <a:ea typeface="Verdana" panose="020B0604030504040204" pitchFamily="34" charset="0"/>
                <a:cs typeface="Arial" panose="020B0604020202020204" pitchFamily="34" charset="0"/>
              </a:rPr>
              <a:t>17 new </a:t>
            </a:r>
            <a:r>
              <a:rPr lang="nl-BE" sz="1097"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097"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Spain</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326">
          <a:noFill/>
        </a:ln>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1C6F-4589-B564-B8B184499D84}"/>
              </c:ext>
            </c:extLst>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1C6F-4589-B564-B8B184499D84}"/>
              </c:ext>
            </c:extLst>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1C6F-4589-B564-B8B184499D84}"/>
              </c:ext>
            </c:extLst>
          </c:dPt>
          <c:dPt>
            <c:idx val="3"/>
            <c:bubble3D val="0"/>
            <c:spPr>
              <a:solidFill>
                <a:srgbClr val="7030A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1C6F-4589-B564-B8B184499D84}"/>
              </c:ext>
            </c:extLst>
          </c:dPt>
          <c:dPt>
            <c:idx val="4"/>
            <c:bubble3D val="0"/>
            <c:spPr>
              <a:solidFill>
                <a:srgbClr val="95C15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BF73-452E-BC24-602BABC0E85C}"/>
              </c:ext>
            </c:extLst>
          </c:dPt>
          <c:dPt>
            <c:idx val="5"/>
            <c:bubble3D val="0"/>
            <c:spPr>
              <a:solidFill>
                <a:srgbClr val="FFD617"/>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9-BF73-452E-BC24-602BABC0E85C}"/>
              </c:ext>
            </c:extLst>
          </c:dPt>
          <c:dPt>
            <c:idx val="6"/>
            <c:bubble3D val="0"/>
            <c:spPr>
              <a:solidFill>
                <a:srgbClr val="E75113"/>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A-BF73-452E-BC24-602BABC0E85C}"/>
              </c:ext>
            </c:extLst>
          </c:dPt>
          <c:dPt>
            <c:idx val="7"/>
            <c:bubble3D val="0"/>
            <c:spPr>
              <a:solidFill>
                <a:srgbClr val="00A676"/>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D-BF73-452E-BC24-602BABC0E85C}"/>
              </c:ext>
            </c:extLst>
          </c:dPt>
          <c:dPt>
            <c:idx val="8"/>
            <c:bubble3D val="0"/>
            <c:spPr>
              <a:solidFill>
                <a:srgbClr val="FF7DFF"/>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C-BF73-452E-BC24-602BABC0E85C}"/>
              </c:ext>
            </c:extLst>
          </c:dPt>
          <c:dPt>
            <c:idx val="9"/>
            <c:bubble3D val="0"/>
            <c:spPr>
              <a:solidFill>
                <a:srgbClr val="FF9900"/>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B-BF73-452E-BC24-602BABC0E85C}"/>
              </c:ext>
            </c:extLst>
          </c:dPt>
          <c:dLbls>
            <c:dLbl>
              <c:idx val="0"/>
              <c:layout>
                <c:manualLayout>
                  <c:x val="-2.7219008548650674E-3"/>
                  <c:y val="-4.7272089131601983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6F-4589-B564-B8B184499D84}"/>
                </c:ext>
              </c:extLst>
            </c:dLbl>
            <c:dLbl>
              <c:idx val="1"/>
              <c:layout>
                <c:manualLayout>
                  <c:x val="-3.3351199878609378E-2"/>
                  <c:y val="7.84025504373640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6F-4589-B564-B8B184499D84}"/>
                </c:ext>
              </c:extLst>
            </c:dLbl>
            <c:dLbl>
              <c:idx val="2"/>
              <c:layout>
                <c:manualLayout>
                  <c:x val="-7.7486297160310941E-2"/>
                  <c:y val="2.64758295502263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6F-4589-B564-B8B184499D84}"/>
                </c:ext>
              </c:extLst>
            </c:dLbl>
            <c:dLbl>
              <c:idx val="3"/>
              <c:layout>
                <c:manualLayout>
                  <c:x val="2.7633832614121995E-3"/>
                  <c:y val="-6.90740667233523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6F-4589-B564-B8B184499D84}"/>
                </c:ext>
              </c:extLst>
            </c:dLbl>
            <c:dLbl>
              <c:idx val="4"/>
              <c:layout>
                <c:manualLayout>
                  <c:x val="1.3863856924996533E-2"/>
                  <c:y val="-6.8983815335632886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F73-452E-BC24-602BABC0E85C}"/>
                </c:ext>
              </c:extLst>
            </c:dLbl>
            <c:dLbl>
              <c:idx val="5"/>
              <c:layout>
                <c:manualLayout>
                  <c:x val="3.3273256619991684E-2"/>
                  <c:y val="-1.5919342000530644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73-452E-BC24-602BABC0E85C}"/>
                </c:ext>
              </c:extLst>
            </c:dLbl>
            <c:dLbl>
              <c:idx val="6"/>
              <c:layout>
                <c:manualLayout>
                  <c:x val="2.495494246499376E-2"/>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F73-452E-BC24-602BABC0E85C}"/>
                </c:ext>
              </c:extLst>
            </c:dLbl>
            <c:dLbl>
              <c:idx val="7"/>
              <c:layout>
                <c:manualLayout>
                  <c:x val="8.318314154997869E-3"/>
                  <c:y val="0"/>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F73-452E-BC24-602BABC0E85C}"/>
                </c:ext>
              </c:extLst>
            </c:dLbl>
            <c:dLbl>
              <c:idx val="8"/>
              <c:layout>
                <c:manualLayout>
                  <c:x val="-1.663662830999587E-2"/>
                  <c:y val="-9.0209604669673649E-2"/>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0.23718701251349542"/>
                      <c:h val="0.16229790061065927"/>
                    </c:manualLayout>
                  </c15:layout>
                </c:ext>
                <c:ext xmlns:c16="http://schemas.microsoft.com/office/drawing/2014/chart" uri="{C3380CC4-5D6E-409C-BE32-E72D297353CC}">
                  <c16:uniqueId val="{0000000C-BF73-452E-BC24-602BABC0E85C}"/>
                </c:ext>
              </c:extLst>
            </c:dLbl>
            <c:dLbl>
              <c:idx val="9"/>
              <c:layout>
                <c:manualLayout>
                  <c:x val="-3.6046028004990988E-2"/>
                  <c:y val="-0.11143539400371451"/>
                </c:manualLayout>
              </c:layout>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F73-452E-BC24-602BABC0E85C}"/>
                </c:ext>
              </c:extLst>
            </c:dLbl>
            <c:spPr>
              <a:noFill/>
              <a:ln w="25326">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Blad1!$A$4:$A$13</c:f>
              <c:strCache>
                <c:ptCount val="10"/>
                <c:pt idx="0">
                  <c:v>Justice and consumers</c:v>
                </c:pt>
                <c:pt idx="1">
                  <c:v>Migration and home affairs</c:v>
                </c:pt>
                <c:pt idx="2">
                  <c:v>Internal market, industry, entrepreneurship and SMEs</c:v>
                </c:pt>
                <c:pt idx="3">
                  <c:v>Financial stability, financial services and Capital Markets Union</c:v>
                </c:pt>
                <c:pt idx="4">
                  <c:v>Communication networks</c:v>
                </c:pt>
                <c:pt idx="5">
                  <c:v>Employment</c:v>
                </c:pt>
                <c:pt idx="6">
                  <c:v>Energy</c:v>
                </c:pt>
                <c:pt idx="7">
                  <c:v>Environment</c:v>
                </c:pt>
                <c:pt idx="8">
                  <c:v>Health and food safety</c:v>
                </c:pt>
                <c:pt idx="9">
                  <c:v>Mobility and transport</c:v>
                </c:pt>
              </c:strCache>
            </c:strRef>
          </c:cat>
          <c:val>
            <c:numRef>
              <c:f>Blad1!$B$4:$B$13</c:f>
              <c:numCache>
                <c:formatCode>General</c:formatCode>
                <c:ptCount val="10"/>
                <c:pt idx="0">
                  <c:v>3</c:v>
                </c:pt>
                <c:pt idx="1">
                  <c:v>3</c:v>
                </c:pt>
                <c:pt idx="2">
                  <c:v>3</c:v>
                </c:pt>
                <c:pt idx="3">
                  <c:v>2</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8-1C6F-4589-B564-B8B184499D84}"/>
            </c:ext>
          </c:extLst>
        </c:ser>
        <c:dLbls>
          <c:showLegendKey val="0"/>
          <c:showVal val="0"/>
          <c:showCatName val="0"/>
          <c:showSerName val="0"/>
          <c:showPercent val="0"/>
          <c:showBubbleSize val="0"/>
          <c:showLeaderLines val="0"/>
        </c:dLbls>
        <c:firstSliceAng val="250"/>
      </c:pieChart>
      <c:spPr>
        <a:noFill/>
        <a:ln w="25326">
          <a:noFill/>
        </a:ln>
      </c:spPr>
    </c:plotArea>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75052148518984E-2"/>
          <c:y val="8.6660476632621483E-2"/>
          <c:w val="0.93878241420773845"/>
          <c:h val="0.79582789811624632"/>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7444547800909245E-2"/>
                  <c:y val="7.02332180802122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1A-4712-80DD-FAED81736DD8}"/>
                </c:ext>
              </c:extLst>
            </c:dLbl>
            <c:dLbl>
              <c:idx val="2"/>
              <c:layout>
                <c:manualLayout>
                  <c:x val="-4.7504374453193353E-2"/>
                  <c:y val="8.9099348692524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1A-4712-80DD-FAED81736DD8}"/>
                </c:ext>
              </c:extLst>
            </c:dLbl>
            <c:dLbl>
              <c:idx val="4"/>
              <c:layout>
                <c:manualLayout>
                  <c:x val="-4.1900458908332924E-2"/>
                  <c:y val="9.47257399276703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1A-4712-80DD-FAED81736DD8}"/>
                </c:ext>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245</c:v>
                </c:pt>
                <c:pt idx="1">
                  <c:v>267</c:v>
                </c:pt>
                <c:pt idx="2">
                  <c:v>325</c:v>
                </c:pt>
                <c:pt idx="3">
                  <c:v>383</c:v>
                </c:pt>
                <c:pt idx="4">
                  <c:v>316</c:v>
                </c:pt>
              </c:numCache>
            </c:numRef>
          </c:val>
          <c:smooth val="0"/>
          <c:extLst xmlns:c16r2="http://schemas.microsoft.com/office/drawing/2015/06/chart">
            <c:ext xmlns:c16="http://schemas.microsoft.com/office/drawing/2014/chart" uri="{C3380CC4-5D6E-409C-BE32-E72D297353CC}">
              <c16:uniqueId val="{00000003-CD1A-4712-80DD-FAED81736DD8}"/>
            </c:ext>
          </c:extLst>
        </c:ser>
        <c:dLbls>
          <c:showLegendKey val="0"/>
          <c:showVal val="0"/>
          <c:showCatName val="0"/>
          <c:showSerName val="0"/>
          <c:showPercent val="0"/>
          <c:showBubbleSize val="0"/>
        </c:dLbls>
        <c:marker val="1"/>
        <c:smooth val="0"/>
        <c:axId val="119664640"/>
        <c:axId val="119666176"/>
      </c:lineChart>
      <c:catAx>
        <c:axId val="119664640"/>
        <c:scaling>
          <c:orientation val="minMax"/>
        </c:scaling>
        <c:delete val="0"/>
        <c:axPos val="b"/>
        <c:numFmt formatCode="General" sourceLinked="1"/>
        <c:majorTickMark val="none"/>
        <c:minorTickMark val="none"/>
        <c:tickLblPos val="nextTo"/>
        <c:spPr>
          <a:noFill/>
          <a:ln w="1270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666176"/>
        <c:crosses val="autoZero"/>
        <c:auto val="1"/>
        <c:lblAlgn val="ctr"/>
        <c:lblOffset val="100"/>
        <c:noMultiLvlLbl val="0"/>
      </c:catAx>
      <c:valAx>
        <c:axId val="119666176"/>
        <c:scaling>
          <c:orientation val="minMax"/>
          <c:min val="19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19664640"/>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316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France</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w="25403">
          <a:noFill/>
        </a:ln>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6600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39D5-4C8B-B020-F4629B4C7B2D}"/>
              </c:ext>
            </c:extLst>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39D5-4C8B-B020-F4629B4C7B2D}"/>
              </c:ext>
            </c:extLst>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39D5-4C8B-B020-F4629B4C7B2D}"/>
              </c:ext>
            </c:extLst>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39D5-4C8B-B020-F4629B4C7B2D}"/>
              </c:ext>
            </c:extLst>
          </c:dPt>
          <c:dPt>
            <c:idx val="4"/>
            <c:bubble3D val="0"/>
            <c:spPr>
              <a:solidFill>
                <a:srgbClr val="808AA4"/>
              </a:solidFill>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8-39D5-4C8B-B020-F4629B4C7B2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D5-4C8B-B020-F4629B4C7B2D}"/>
                </c:ext>
              </c:extLst>
            </c:dLbl>
            <c:dLbl>
              <c:idx val="1"/>
              <c:layout>
                <c:manualLayout>
                  <c:x val="-6.8624510575036518E-2"/>
                  <c:y val="9.5422118689931487E-2"/>
                </c:manualLayout>
              </c:layout>
              <c:spPr>
                <a:noFill/>
                <a:ln w="25403">
                  <a:noFill/>
                </a:ln>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D5-4C8B-B020-F4629B4C7B2D}"/>
                </c:ext>
              </c:extLst>
            </c:dLbl>
            <c:dLbl>
              <c:idx val="2"/>
              <c:layout>
                <c:manualLayout>
                  <c:x val="-2.7297884060788698E-2"/>
                  <c:y val="-1.1998500187476566E-5"/>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D5-4C8B-B020-F4629B4C7B2D}"/>
                </c:ext>
              </c:extLst>
            </c:dLbl>
            <c:dLbl>
              <c:idx val="3"/>
              <c:layout>
                <c:manualLayout>
                  <c:x val="1.646090534979424E-2"/>
                  <c:y val="-9.7959183673469383E-2"/>
                </c:manualLayout>
              </c:layout>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9D5-4C8B-B020-F4629B4C7B2D}"/>
                </c:ext>
              </c:extLst>
            </c:dLbl>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Blad1!$A$2:$A$6</c:f>
              <c:strCache>
                <c:ptCount val="5"/>
                <c:pt idx="0">
                  <c:v>Policy Area</c:v>
                </c:pt>
                <c:pt idx="1">
                  <c:v>Justice and consumers</c:v>
                </c:pt>
                <c:pt idx="2">
                  <c:v>Employment</c:v>
                </c:pt>
                <c:pt idx="3">
                  <c:v>Migration and home affairs</c:v>
                </c:pt>
                <c:pt idx="4">
                  <c:v>Other</c:v>
                </c:pt>
              </c:strCache>
            </c:strRef>
          </c:cat>
          <c:val>
            <c:numRef>
              <c:f>Blad1!$B$2:$B$6</c:f>
              <c:numCache>
                <c:formatCode>General</c:formatCode>
                <c:ptCount val="5"/>
                <c:pt idx="0">
                  <c:v>0</c:v>
                </c:pt>
                <c:pt idx="1">
                  <c:v>72</c:v>
                </c:pt>
                <c:pt idx="2">
                  <c:v>44</c:v>
                </c:pt>
                <c:pt idx="3">
                  <c:v>43</c:v>
                </c:pt>
                <c:pt idx="4">
                  <c:v>157</c:v>
                </c:pt>
              </c:numCache>
            </c:numRef>
          </c:val>
          <c:extLst xmlns:c16r2="http://schemas.microsoft.com/office/drawing/2015/06/chart">
            <c:ext xmlns:c16="http://schemas.microsoft.com/office/drawing/2014/chart" uri="{C3380CC4-5D6E-409C-BE32-E72D297353CC}">
              <c16:uniqueId val="{00000009-39D5-4C8B-B020-F4629B4C7B2D}"/>
            </c:ext>
          </c:extLst>
        </c:ser>
        <c:dLbls>
          <c:showLegendKey val="0"/>
          <c:showVal val="0"/>
          <c:showCatName val="0"/>
          <c:showSerName val="0"/>
          <c:showPercent val="0"/>
          <c:showBubbleSize val="0"/>
          <c:showLeaderLines val="0"/>
        </c:dLbls>
        <c:firstSliceAng val="304"/>
      </c:pieChart>
      <c:spPr>
        <a:noFill/>
        <a:ln w="25403">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6.0894991431856144E-2"/>
                  <c:y val="7.05517687154777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48-4E04-A766-E28D9BAD326B}"/>
                </c:ext>
              </c:extLst>
            </c:dLbl>
            <c:dLbl>
              <c:idx val="2"/>
              <c:layout>
                <c:manualLayout>
                  <c:x val="-3.8829316100047695E-2"/>
                  <c:y val="8.2586600819208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48-4E04-A766-E28D9BAD326B}"/>
                </c:ext>
              </c:extLst>
            </c:dLbl>
            <c:dLbl>
              <c:idx val="3"/>
              <c:layout>
                <c:manualLayout>
                  <c:x val="-5.2919189556750949E-2"/>
                  <c:y val="8.93192317749949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48-4E04-A766-E28D9BAD326B}"/>
                </c:ext>
              </c:extLst>
            </c:dLbl>
            <c:dLbl>
              <c:idx val="4"/>
              <c:layout>
                <c:manualLayout>
                  <c:x val="-4.1928374655647381E-2"/>
                  <c:y val="5.8893034825870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48-4E04-A766-E28D9BAD326B}"/>
                </c:ext>
              </c:extLst>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61</c:v>
                </c:pt>
                <c:pt idx="1">
                  <c:v>46</c:v>
                </c:pt>
                <c:pt idx="2">
                  <c:v>53</c:v>
                </c:pt>
                <c:pt idx="3">
                  <c:v>8</c:v>
                </c:pt>
                <c:pt idx="4">
                  <c:v>6</c:v>
                </c:pt>
              </c:numCache>
            </c:numRef>
          </c:val>
          <c:smooth val="0"/>
          <c:extLst xmlns:c16r2="http://schemas.microsoft.com/office/drawing/2015/06/chart">
            <c:ext xmlns:c16="http://schemas.microsoft.com/office/drawing/2014/chart" uri="{C3380CC4-5D6E-409C-BE32-E72D297353CC}">
              <c16:uniqueId val="{00000004-D448-4E04-A766-E28D9BAD326B}"/>
            </c:ext>
          </c:extLst>
        </c:ser>
        <c:dLbls>
          <c:showLegendKey val="0"/>
          <c:showVal val="0"/>
          <c:showCatName val="0"/>
          <c:showSerName val="0"/>
          <c:showPercent val="0"/>
          <c:showBubbleSize val="0"/>
        </c:dLbls>
        <c:marker val="1"/>
        <c:smooth val="0"/>
        <c:axId val="119318016"/>
        <c:axId val="119319552"/>
      </c:lineChart>
      <c:catAx>
        <c:axId val="119318016"/>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319552"/>
        <c:crosses val="autoZero"/>
        <c:auto val="1"/>
        <c:lblAlgn val="ctr"/>
        <c:lblOffset val="100"/>
        <c:noMultiLvlLbl val="0"/>
      </c:catAx>
      <c:valAx>
        <c:axId val="119319552"/>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9318016"/>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6.0886967815516245E-2"/>
                  <c:y val="6.94127387638062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FC-43DE-8FAA-369EA0909BD4}"/>
                </c:ext>
              </c:extLst>
            </c:dLbl>
            <c:dLbl>
              <c:idx val="2"/>
              <c:layout>
                <c:manualLayout>
                  <c:x val="-4.4339934583765728E-2"/>
                  <c:y val="-8.26317616865884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FC-43DE-8FAA-369EA0909BD4}"/>
                </c:ext>
              </c:extLst>
            </c:dLbl>
            <c:dLbl>
              <c:idx val="3"/>
              <c:layout>
                <c:manualLayout>
                  <c:x val="-3.3667352919175164E-2"/>
                  <c:y val="-6.43979400817266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FC-43DE-8FAA-369EA0909BD4}"/>
                </c:ext>
              </c:extLst>
            </c:dLbl>
            <c:dLbl>
              <c:idx val="4"/>
              <c:layout>
                <c:manualLayout>
                  <c:x val="-4.1928374655647381E-2"/>
                  <c:y val="5.8893034825870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FC-43DE-8FAA-369EA0909BD4}"/>
                </c:ext>
              </c:extLst>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Blad1!$A$3:$A$7</c:f>
              <c:numCache>
                <c:formatCode>General</c:formatCode>
                <c:ptCount val="5"/>
                <c:pt idx="0">
                  <c:v>2014</c:v>
                </c:pt>
                <c:pt idx="1">
                  <c:v>2015</c:v>
                </c:pt>
                <c:pt idx="2">
                  <c:v>2016</c:v>
                </c:pt>
                <c:pt idx="3">
                  <c:v>2017</c:v>
                </c:pt>
                <c:pt idx="4">
                  <c:v>2018</c:v>
                </c:pt>
              </c:numCache>
            </c:numRef>
          </c:cat>
          <c:val>
            <c:numRef>
              <c:f>Blad1!$B$3:$B$7</c:f>
              <c:numCache>
                <c:formatCode>General</c:formatCode>
                <c:ptCount val="5"/>
                <c:pt idx="0">
                  <c:v>76</c:v>
                </c:pt>
                <c:pt idx="1">
                  <c:v>62</c:v>
                </c:pt>
                <c:pt idx="2">
                  <c:v>73</c:v>
                </c:pt>
                <c:pt idx="3">
                  <c:v>50</c:v>
                </c:pt>
                <c:pt idx="4">
                  <c:v>26</c:v>
                </c:pt>
              </c:numCache>
            </c:numRef>
          </c:val>
          <c:smooth val="0"/>
          <c:extLst xmlns:c16r2="http://schemas.microsoft.com/office/drawing/2015/06/chart">
            <c:ext xmlns:c16="http://schemas.microsoft.com/office/drawing/2014/chart" uri="{C3380CC4-5D6E-409C-BE32-E72D297353CC}">
              <c16:uniqueId val="{00000004-B1FC-43DE-8FAA-369EA0909BD4}"/>
            </c:ext>
          </c:extLst>
        </c:ser>
        <c:dLbls>
          <c:showLegendKey val="0"/>
          <c:showVal val="0"/>
          <c:showCatName val="0"/>
          <c:showSerName val="0"/>
          <c:showPercent val="0"/>
          <c:showBubbleSize val="0"/>
        </c:dLbls>
        <c:marker val="1"/>
        <c:smooth val="0"/>
        <c:axId val="119403264"/>
        <c:axId val="119404800"/>
      </c:lineChart>
      <c:catAx>
        <c:axId val="119403264"/>
        <c:scaling>
          <c:orientation val="minMax"/>
        </c:scaling>
        <c:delete val="0"/>
        <c:axPos val="b"/>
        <c:numFmt formatCode="General" sourceLinked="1"/>
        <c:majorTickMark val="none"/>
        <c:min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9404800"/>
        <c:crosses val="autoZero"/>
        <c:auto val="1"/>
        <c:lblAlgn val="ctr"/>
        <c:lblOffset val="100"/>
        <c:noMultiLvlLbl val="0"/>
      </c:catAx>
      <c:valAx>
        <c:axId val="119404800"/>
        <c:scaling>
          <c:orientation val="minMax"/>
        </c:scaling>
        <c:delete val="1"/>
        <c:axPos val="l"/>
        <c:majorGridlines>
          <c:spPr>
            <a:ln w="9519" cap="flat" cmpd="sng" algn="ctr">
              <a:solidFill>
                <a:schemeClr val="tx1">
                  <a:lumMod val="15000"/>
                  <a:lumOff val="85000"/>
                </a:schemeClr>
              </a:solidFill>
              <a:round/>
            </a:ln>
            <a:effectLst/>
          </c:spPr>
        </c:majorGridlines>
        <c:numFmt formatCode="General" sourceLinked="1"/>
        <c:majorTickMark val="out"/>
        <c:minorTickMark val="none"/>
        <c:tickLblPos val="nextTo"/>
        <c:crossAx val="119403264"/>
        <c:crosses val="autoZero"/>
        <c:crossBetween val="between"/>
      </c:valAx>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6B955-0A19-4693-B439-4B24E1E10DCF}">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78FF350C-6027-496B-BE79-2CBA36BB8BB7}">
  <ds:schemaRefs>
    <ds:schemaRef ds:uri="http://schemas.microsoft.com/sharepoint/v3/contenttype/forms"/>
  </ds:schemaRefs>
</ds:datastoreItem>
</file>

<file path=customXml/itemProps3.xml><?xml version="1.0" encoding="utf-8"?>
<ds:datastoreItem xmlns:ds="http://schemas.openxmlformats.org/officeDocument/2006/customXml" ds:itemID="{96824739-62C6-4C2A-86CB-1DCFDA3E7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05DE490-42A3-4293-A865-209F62E6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14813</Words>
  <Characters>80734</Characters>
  <Application>Microsoft Office Word</Application>
  <DocSecurity>0</DocSecurity>
  <Lines>2070</Lines>
  <Paragraphs>1384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94163</CharactersWithSpaces>
  <SharedDoc>false</SharedDoc>
  <HLinks>
    <vt:vector size="222" baseType="variant">
      <vt:variant>
        <vt:i4>7995420</vt:i4>
      </vt:variant>
      <vt:variant>
        <vt:i4>618</vt:i4>
      </vt:variant>
      <vt:variant>
        <vt:i4>0</vt:i4>
      </vt:variant>
      <vt:variant>
        <vt:i4>5</vt:i4>
      </vt:variant>
      <vt:variant>
        <vt:lpwstr>https://ec.europa.eu/info/law/settlement-finality-directive-98-26-ec_en</vt:lpwstr>
      </vt:variant>
      <vt:variant>
        <vt:lpwstr/>
      </vt:variant>
      <vt:variant>
        <vt:i4>3014687</vt:i4>
      </vt:variant>
      <vt:variant>
        <vt:i4>615</vt:i4>
      </vt:variant>
      <vt:variant>
        <vt:i4>0</vt:i4>
      </vt:variant>
      <vt:variant>
        <vt:i4>5</vt:i4>
      </vt:variant>
      <vt:variant>
        <vt:lpwstr>http://ec.europa.eu/finance/general-policy/banking-union/european-deposit-insurance-scheme/index_en.htm</vt:lpwstr>
      </vt:variant>
      <vt:variant>
        <vt:lpwstr/>
      </vt:variant>
      <vt:variant>
        <vt:i4>3014687</vt:i4>
      </vt:variant>
      <vt:variant>
        <vt:i4>579</vt:i4>
      </vt:variant>
      <vt:variant>
        <vt:i4>0</vt:i4>
      </vt:variant>
      <vt:variant>
        <vt:i4>5</vt:i4>
      </vt:variant>
      <vt:variant>
        <vt:lpwstr>http://ec.europa.eu/finance/general-policy/banking-union/european-deposit-insurance-scheme/index_en.htm</vt:lpwstr>
      </vt:variant>
      <vt:variant>
        <vt:lpwstr/>
      </vt:variant>
      <vt:variant>
        <vt:i4>7995420</vt:i4>
      </vt:variant>
      <vt:variant>
        <vt:i4>477</vt:i4>
      </vt:variant>
      <vt:variant>
        <vt:i4>0</vt:i4>
      </vt:variant>
      <vt:variant>
        <vt:i4>5</vt:i4>
      </vt:variant>
      <vt:variant>
        <vt:lpwstr>https://ec.europa.eu/info/law/settlement-finality-directive-98-26-ec_en</vt:lpwstr>
      </vt:variant>
      <vt:variant>
        <vt:lpwstr/>
      </vt:variant>
      <vt:variant>
        <vt:i4>6094874</vt:i4>
      </vt:variant>
      <vt:variant>
        <vt:i4>441</vt:i4>
      </vt:variant>
      <vt:variant>
        <vt:i4>0</vt:i4>
      </vt:variant>
      <vt:variant>
        <vt:i4>5</vt:i4>
      </vt:variant>
      <vt:variant>
        <vt:lpwstr>http://eur-lex.europa.eu/LexUriServ/LexUriServ.do?uri=OJ:L:2006:409:0011:0085:EN:PDF</vt:lpwstr>
      </vt:variant>
      <vt:variant>
        <vt:lpwstr/>
      </vt:variant>
      <vt:variant>
        <vt:i4>2031665</vt:i4>
      </vt:variant>
      <vt:variant>
        <vt:i4>170</vt:i4>
      </vt:variant>
      <vt:variant>
        <vt:i4>0</vt:i4>
      </vt:variant>
      <vt:variant>
        <vt:i4>5</vt:i4>
      </vt:variant>
      <vt:variant>
        <vt:lpwstr/>
      </vt:variant>
      <vt:variant>
        <vt:lpwstr>_Toc484622345</vt:lpwstr>
      </vt:variant>
      <vt:variant>
        <vt:i4>2031665</vt:i4>
      </vt:variant>
      <vt:variant>
        <vt:i4>164</vt:i4>
      </vt:variant>
      <vt:variant>
        <vt:i4>0</vt:i4>
      </vt:variant>
      <vt:variant>
        <vt:i4>5</vt:i4>
      </vt:variant>
      <vt:variant>
        <vt:lpwstr/>
      </vt:variant>
      <vt:variant>
        <vt:lpwstr>_Toc484622344</vt:lpwstr>
      </vt:variant>
      <vt:variant>
        <vt:i4>2031665</vt:i4>
      </vt:variant>
      <vt:variant>
        <vt:i4>158</vt:i4>
      </vt:variant>
      <vt:variant>
        <vt:i4>0</vt:i4>
      </vt:variant>
      <vt:variant>
        <vt:i4>5</vt:i4>
      </vt:variant>
      <vt:variant>
        <vt:lpwstr/>
      </vt:variant>
      <vt:variant>
        <vt:lpwstr>_Toc484622343</vt:lpwstr>
      </vt:variant>
      <vt:variant>
        <vt:i4>2031665</vt:i4>
      </vt:variant>
      <vt:variant>
        <vt:i4>152</vt:i4>
      </vt:variant>
      <vt:variant>
        <vt:i4>0</vt:i4>
      </vt:variant>
      <vt:variant>
        <vt:i4>5</vt:i4>
      </vt:variant>
      <vt:variant>
        <vt:lpwstr/>
      </vt:variant>
      <vt:variant>
        <vt:lpwstr>_Toc484622342</vt:lpwstr>
      </vt:variant>
      <vt:variant>
        <vt:i4>2031665</vt:i4>
      </vt:variant>
      <vt:variant>
        <vt:i4>146</vt:i4>
      </vt:variant>
      <vt:variant>
        <vt:i4>0</vt:i4>
      </vt:variant>
      <vt:variant>
        <vt:i4>5</vt:i4>
      </vt:variant>
      <vt:variant>
        <vt:lpwstr/>
      </vt:variant>
      <vt:variant>
        <vt:lpwstr>_Toc484622341</vt:lpwstr>
      </vt:variant>
      <vt:variant>
        <vt:i4>2031665</vt:i4>
      </vt:variant>
      <vt:variant>
        <vt:i4>140</vt:i4>
      </vt:variant>
      <vt:variant>
        <vt:i4>0</vt:i4>
      </vt:variant>
      <vt:variant>
        <vt:i4>5</vt:i4>
      </vt:variant>
      <vt:variant>
        <vt:lpwstr/>
      </vt:variant>
      <vt:variant>
        <vt:lpwstr>_Toc484622340</vt:lpwstr>
      </vt:variant>
      <vt:variant>
        <vt:i4>1572913</vt:i4>
      </vt:variant>
      <vt:variant>
        <vt:i4>134</vt:i4>
      </vt:variant>
      <vt:variant>
        <vt:i4>0</vt:i4>
      </vt:variant>
      <vt:variant>
        <vt:i4>5</vt:i4>
      </vt:variant>
      <vt:variant>
        <vt:lpwstr/>
      </vt:variant>
      <vt:variant>
        <vt:lpwstr>_Toc484622339</vt:lpwstr>
      </vt:variant>
      <vt:variant>
        <vt:i4>1572913</vt:i4>
      </vt:variant>
      <vt:variant>
        <vt:i4>128</vt:i4>
      </vt:variant>
      <vt:variant>
        <vt:i4>0</vt:i4>
      </vt:variant>
      <vt:variant>
        <vt:i4>5</vt:i4>
      </vt:variant>
      <vt:variant>
        <vt:lpwstr/>
      </vt:variant>
      <vt:variant>
        <vt:lpwstr>_Toc484622338</vt:lpwstr>
      </vt:variant>
      <vt:variant>
        <vt:i4>1572913</vt:i4>
      </vt:variant>
      <vt:variant>
        <vt:i4>122</vt:i4>
      </vt:variant>
      <vt:variant>
        <vt:i4>0</vt:i4>
      </vt:variant>
      <vt:variant>
        <vt:i4>5</vt:i4>
      </vt:variant>
      <vt:variant>
        <vt:lpwstr/>
      </vt:variant>
      <vt:variant>
        <vt:lpwstr>_Toc484622337</vt:lpwstr>
      </vt:variant>
      <vt:variant>
        <vt:i4>1572913</vt:i4>
      </vt:variant>
      <vt:variant>
        <vt:i4>116</vt:i4>
      </vt:variant>
      <vt:variant>
        <vt:i4>0</vt:i4>
      </vt:variant>
      <vt:variant>
        <vt:i4>5</vt:i4>
      </vt:variant>
      <vt:variant>
        <vt:lpwstr/>
      </vt:variant>
      <vt:variant>
        <vt:lpwstr>_Toc484622336</vt:lpwstr>
      </vt:variant>
      <vt:variant>
        <vt:i4>1572913</vt:i4>
      </vt:variant>
      <vt:variant>
        <vt:i4>110</vt:i4>
      </vt:variant>
      <vt:variant>
        <vt:i4>0</vt:i4>
      </vt:variant>
      <vt:variant>
        <vt:i4>5</vt:i4>
      </vt:variant>
      <vt:variant>
        <vt:lpwstr/>
      </vt:variant>
      <vt:variant>
        <vt:lpwstr>_Toc484622335</vt:lpwstr>
      </vt:variant>
      <vt:variant>
        <vt:i4>1572913</vt:i4>
      </vt:variant>
      <vt:variant>
        <vt:i4>104</vt:i4>
      </vt:variant>
      <vt:variant>
        <vt:i4>0</vt:i4>
      </vt:variant>
      <vt:variant>
        <vt:i4>5</vt:i4>
      </vt:variant>
      <vt:variant>
        <vt:lpwstr/>
      </vt:variant>
      <vt:variant>
        <vt:lpwstr>_Toc484622334</vt:lpwstr>
      </vt:variant>
      <vt:variant>
        <vt:i4>1572913</vt:i4>
      </vt:variant>
      <vt:variant>
        <vt:i4>98</vt:i4>
      </vt:variant>
      <vt:variant>
        <vt:i4>0</vt:i4>
      </vt:variant>
      <vt:variant>
        <vt:i4>5</vt:i4>
      </vt:variant>
      <vt:variant>
        <vt:lpwstr/>
      </vt:variant>
      <vt:variant>
        <vt:lpwstr>_Toc484622333</vt:lpwstr>
      </vt:variant>
      <vt:variant>
        <vt:i4>1572913</vt:i4>
      </vt:variant>
      <vt:variant>
        <vt:i4>92</vt:i4>
      </vt:variant>
      <vt:variant>
        <vt:i4>0</vt:i4>
      </vt:variant>
      <vt:variant>
        <vt:i4>5</vt:i4>
      </vt:variant>
      <vt:variant>
        <vt:lpwstr/>
      </vt:variant>
      <vt:variant>
        <vt:lpwstr>_Toc484622332</vt:lpwstr>
      </vt:variant>
      <vt:variant>
        <vt:i4>1572913</vt:i4>
      </vt:variant>
      <vt:variant>
        <vt:i4>86</vt:i4>
      </vt:variant>
      <vt:variant>
        <vt:i4>0</vt:i4>
      </vt:variant>
      <vt:variant>
        <vt:i4>5</vt:i4>
      </vt:variant>
      <vt:variant>
        <vt:lpwstr/>
      </vt:variant>
      <vt:variant>
        <vt:lpwstr>_Toc484622331</vt:lpwstr>
      </vt:variant>
      <vt:variant>
        <vt:i4>1572913</vt:i4>
      </vt:variant>
      <vt:variant>
        <vt:i4>80</vt:i4>
      </vt:variant>
      <vt:variant>
        <vt:i4>0</vt:i4>
      </vt:variant>
      <vt:variant>
        <vt:i4>5</vt:i4>
      </vt:variant>
      <vt:variant>
        <vt:lpwstr/>
      </vt:variant>
      <vt:variant>
        <vt:lpwstr>_Toc484622330</vt:lpwstr>
      </vt:variant>
      <vt:variant>
        <vt:i4>1638449</vt:i4>
      </vt:variant>
      <vt:variant>
        <vt:i4>74</vt:i4>
      </vt:variant>
      <vt:variant>
        <vt:i4>0</vt:i4>
      </vt:variant>
      <vt:variant>
        <vt:i4>5</vt:i4>
      </vt:variant>
      <vt:variant>
        <vt:lpwstr/>
      </vt:variant>
      <vt:variant>
        <vt:lpwstr>_Toc484622329</vt:lpwstr>
      </vt:variant>
      <vt:variant>
        <vt:i4>1638449</vt:i4>
      </vt:variant>
      <vt:variant>
        <vt:i4>68</vt:i4>
      </vt:variant>
      <vt:variant>
        <vt:i4>0</vt:i4>
      </vt:variant>
      <vt:variant>
        <vt:i4>5</vt:i4>
      </vt:variant>
      <vt:variant>
        <vt:lpwstr/>
      </vt:variant>
      <vt:variant>
        <vt:lpwstr>_Toc484622328</vt:lpwstr>
      </vt:variant>
      <vt:variant>
        <vt:i4>1638449</vt:i4>
      </vt:variant>
      <vt:variant>
        <vt:i4>62</vt:i4>
      </vt:variant>
      <vt:variant>
        <vt:i4>0</vt:i4>
      </vt:variant>
      <vt:variant>
        <vt:i4>5</vt:i4>
      </vt:variant>
      <vt:variant>
        <vt:lpwstr/>
      </vt:variant>
      <vt:variant>
        <vt:lpwstr>_Toc484622327</vt:lpwstr>
      </vt:variant>
      <vt:variant>
        <vt:i4>1638449</vt:i4>
      </vt:variant>
      <vt:variant>
        <vt:i4>56</vt:i4>
      </vt:variant>
      <vt:variant>
        <vt:i4>0</vt:i4>
      </vt:variant>
      <vt:variant>
        <vt:i4>5</vt:i4>
      </vt:variant>
      <vt:variant>
        <vt:lpwstr/>
      </vt:variant>
      <vt:variant>
        <vt:lpwstr>_Toc484622326</vt:lpwstr>
      </vt:variant>
      <vt:variant>
        <vt:i4>1638449</vt:i4>
      </vt:variant>
      <vt:variant>
        <vt:i4>50</vt:i4>
      </vt:variant>
      <vt:variant>
        <vt:i4>0</vt:i4>
      </vt:variant>
      <vt:variant>
        <vt:i4>5</vt:i4>
      </vt:variant>
      <vt:variant>
        <vt:lpwstr/>
      </vt:variant>
      <vt:variant>
        <vt:lpwstr>_Toc484622325</vt:lpwstr>
      </vt:variant>
      <vt:variant>
        <vt:i4>1638449</vt:i4>
      </vt:variant>
      <vt:variant>
        <vt:i4>44</vt:i4>
      </vt:variant>
      <vt:variant>
        <vt:i4>0</vt:i4>
      </vt:variant>
      <vt:variant>
        <vt:i4>5</vt:i4>
      </vt:variant>
      <vt:variant>
        <vt:lpwstr/>
      </vt:variant>
      <vt:variant>
        <vt:lpwstr>_Toc484622324</vt:lpwstr>
      </vt:variant>
      <vt:variant>
        <vt:i4>1638449</vt:i4>
      </vt:variant>
      <vt:variant>
        <vt:i4>38</vt:i4>
      </vt:variant>
      <vt:variant>
        <vt:i4>0</vt:i4>
      </vt:variant>
      <vt:variant>
        <vt:i4>5</vt:i4>
      </vt:variant>
      <vt:variant>
        <vt:lpwstr/>
      </vt:variant>
      <vt:variant>
        <vt:lpwstr>_Toc484622323</vt:lpwstr>
      </vt:variant>
      <vt:variant>
        <vt:i4>1638449</vt:i4>
      </vt:variant>
      <vt:variant>
        <vt:i4>32</vt:i4>
      </vt:variant>
      <vt:variant>
        <vt:i4>0</vt:i4>
      </vt:variant>
      <vt:variant>
        <vt:i4>5</vt:i4>
      </vt:variant>
      <vt:variant>
        <vt:lpwstr/>
      </vt:variant>
      <vt:variant>
        <vt:lpwstr>_Toc484622322</vt:lpwstr>
      </vt:variant>
      <vt:variant>
        <vt:i4>1638449</vt:i4>
      </vt:variant>
      <vt:variant>
        <vt:i4>26</vt:i4>
      </vt:variant>
      <vt:variant>
        <vt:i4>0</vt:i4>
      </vt:variant>
      <vt:variant>
        <vt:i4>5</vt:i4>
      </vt:variant>
      <vt:variant>
        <vt:lpwstr/>
      </vt:variant>
      <vt:variant>
        <vt:lpwstr>_Toc484622321</vt:lpwstr>
      </vt:variant>
      <vt:variant>
        <vt:i4>1638449</vt:i4>
      </vt:variant>
      <vt:variant>
        <vt:i4>20</vt:i4>
      </vt:variant>
      <vt:variant>
        <vt:i4>0</vt:i4>
      </vt:variant>
      <vt:variant>
        <vt:i4>5</vt:i4>
      </vt:variant>
      <vt:variant>
        <vt:lpwstr/>
      </vt:variant>
      <vt:variant>
        <vt:lpwstr>_Toc484622320</vt:lpwstr>
      </vt:variant>
      <vt:variant>
        <vt:i4>1703985</vt:i4>
      </vt:variant>
      <vt:variant>
        <vt:i4>14</vt:i4>
      </vt:variant>
      <vt:variant>
        <vt:i4>0</vt:i4>
      </vt:variant>
      <vt:variant>
        <vt:i4>5</vt:i4>
      </vt:variant>
      <vt:variant>
        <vt:lpwstr/>
      </vt:variant>
      <vt:variant>
        <vt:lpwstr>_Toc484622319</vt:lpwstr>
      </vt:variant>
      <vt:variant>
        <vt:i4>1703985</vt:i4>
      </vt:variant>
      <vt:variant>
        <vt:i4>8</vt:i4>
      </vt:variant>
      <vt:variant>
        <vt:i4>0</vt:i4>
      </vt:variant>
      <vt:variant>
        <vt:i4>5</vt:i4>
      </vt:variant>
      <vt:variant>
        <vt:lpwstr/>
      </vt:variant>
      <vt:variant>
        <vt:lpwstr>_Toc484622318</vt:lpwstr>
      </vt:variant>
      <vt:variant>
        <vt:i4>1703985</vt:i4>
      </vt:variant>
      <vt:variant>
        <vt:i4>2</vt:i4>
      </vt:variant>
      <vt:variant>
        <vt:i4>0</vt:i4>
      </vt:variant>
      <vt:variant>
        <vt:i4>5</vt:i4>
      </vt:variant>
      <vt:variant>
        <vt:lpwstr/>
      </vt:variant>
      <vt:variant>
        <vt:lpwstr>_Toc484622317</vt:lpwstr>
      </vt:variant>
      <vt:variant>
        <vt:i4>2162742</vt:i4>
      </vt:variant>
      <vt:variant>
        <vt:i4>6</vt:i4>
      </vt:variant>
      <vt:variant>
        <vt:i4>0</vt:i4>
      </vt:variant>
      <vt:variant>
        <vt:i4>5</vt:i4>
      </vt:variant>
      <vt:variant>
        <vt:lpwstr>http://europa.eu/rapid/press-release_MEMO-17-4767_EN.htm</vt:lpwstr>
      </vt:variant>
      <vt:variant>
        <vt:lpwstr/>
      </vt:variant>
      <vt:variant>
        <vt:i4>917584</vt:i4>
      </vt:variant>
      <vt:variant>
        <vt:i4>3</vt:i4>
      </vt:variant>
      <vt:variant>
        <vt:i4>0</vt:i4>
      </vt:variant>
      <vt:variant>
        <vt:i4>5</vt:i4>
      </vt:variant>
      <vt:variant>
        <vt:lpwstr>http://eur-lex.europa.eu/legal-content/AUTO/?uri=CELEX:32014L0035&amp;qid=1461336551167&amp;rid=1</vt:lpwstr>
      </vt:variant>
      <vt:variant>
        <vt:lpwstr/>
      </vt:variant>
      <vt:variant>
        <vt:i4>3014755</vt:i4>
      </vt:variant>
      <vt:variant>
        <vt:i4>0</vt:i4>
      </vt:variant>
      <vt:variant>
        <vt:i4>0</vt:i4>
      </vt:variant>
      <vt:variant>
        <vt:i4>5</vt:i4>
      </vt:variant>
      <vt:variant>
        <vt:lpwstr>http://europa.eu/rapid/press-release_MEMO-17-234_EN.htm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24</cp:revision>
  <cp:lastPrinted>2019-03-29T15:27:00Z</cp:lastPrinted>
  <dcterms:created xsi:type="dcterms:W3CDTF">2019-05-21T16:35:00Z</dcterms:created>
  <dcterms:modified xsi:type="dcterms:W3CDTF">2019-06-26T07:41:00Z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y fmtid="{D5CDD505-2E9C-101B-9397-08002B2CF9AE}" pid="6" name="Level of sensitivity">
    <vt:lpwstr>Standard treatment</vt:lpwstr>
  </property>
  <property fmtid="{D5CDD505-2E9C-101B-9397-08002B2CF9AE}" pid="7" name="Last edited using">
    <vt:lpwstr>LW 6.0.1, Build 20180503</vt:lpwstr>
  </property>
  <property fmtid="{D5CDD505-2E9C-101B-9397-08002B2CF9AE}" pid="8" name="Created using">
    <vt:lpwstr>LW 6.0.1, Build 20180503</vt:lpwstr>
  </property>
</Properties>
</file>