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13140770"/>
      <w:bookmarkStart w:id="1" w:name="_Toc415656190"/>
      <w:bookmarkStart w:id="2" w:name="_Toc406073936"/>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AF244EC4-D833-4FDA-811C-1EAFDA3BA44A" style="width:450.75pt;height:429pt">
            <v:imagedata r:id="rId12" o:title=""/>
          </v:shape>
        </w:pict>
      </w:r>
    </w:p>
    <w:bookmarkEnd w:id="3"/>
    <w:p>
      <w:pPr>
        <w:rP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134" w:right="1417" w:bottom="1134" w:left="1417" w:header="709" w:footer="709" w:gutter="0"/>
          <w:pgNumType w:start="0"/>
          <w:cols w:space="720"/>
          <w:docGrid w:linePitch="360"/>
        </w:sectPr>
      </w:pPr>
    </w:p>
    <w:bookmarkStart w:id="4" w:name="_Toc444769585"/>
    <w:bookmarkStart w:id="5" w:name="_Toc444772041"/>
    <w:bookmarkStart w:id="6" w:name="_Toc444773360"/>
    <w:bookmarkStart w:id="7" w:name="_Toc444776732"/>
    <w:bookmarkStart w:id="8" w:name="_Toc475974639"/>
    <w:bookmarkStart w:id="9" w:name="_Toc475980135"/>
    <w:bookmarkStart w:id="10" w:name="_Toc475981384"/>
    <w:bookmarkStart w:id="11" w:name="_GoBack"/>
    <w:bookmarkEnd w:id="0"/>
    <w:bookmarkEnd w:id="1"/>
    <w:bookmarkEnd w:id="2"/>
    <w:bookmarkEnd w:id="11"/>
    <w:p>
      <w:pPr>
        <w:pStyle w:val="TOC1"/>
        <w:rPr>
          <w:rFonts w:asciiTheme="minorHAnsi" w:eastAsiaTheme="minorEastAsia" w:hAnsiTheme="minorHAnsi" w:cstheme="minorBidi"/>
          <w:color w:val="4F81BD"/>
          <w:sz w:val="22"/>
          <w:lang w:val="en-IE" w:eastAsia="en-IE"/>
        </w:rPr>
      </w:pPr>
      <w:r>
        <w:rPr>
          <w:bCs/>
          <w:color w:val="4F81BD"/>
        </w:rPr>
        <w:lastRenderedPageBreak/>
        <w:fldChar w:fldCharType="begin"/>
      </w:r>
      <w:r>
        <w:rPr>
          <w:bCs/>
          <w:color w:val="4F81BD"/>
        </w:rPr>
        <w:instrText xml:space="preserve"> TOC \o "1-1" \h \z \u </w:instrText>
      </w:r>
      <w:r>
        <w:rPr>
          <w:bCs/>
          <w:color w:val="4F81BD"/>
        </w:rPr>
        <w:fldChar w:fldCharType="separate"/>
      </w:r>
      <w:hyperlink w:anchor="_Toc5728029" w:history="1">
        <w:r>
          <w:rPr>
            <w:rStyle w:val="Hyperlink"/>
            <w:rFonts w:eastAsia="SimSun"/>
            <w:bCs/>
            <w:color w:val="4F81BD"/>
          </w:rPr>
          <w:t>Hungary</w:t>
        </w:r>
        <w:r>
          <w:rPr>
            <w:webHidden/>
            <w:color w:val="4F81BD"/>
          </w:rPr>
          <w:tab/>
        </w:r>
        <w:r>
          <w:rPr>
            <w:webHidden/>
            <w:color w:val="4F81BD"/>
          </w:rPr>
          <w:fldChar w:fldCharType="begin"/>
        </w:r>
        <w:r>
          <w:rPr>
            <w:webHidden/>
            <w:color w:val="4F81BD"/>
          </w:rPr>
          <w:instrText xml:space="preserve"> PAGEREF _Toc5728029 \h </w:instrText>
        </w:r>
        <w:r>
          <w:rPr>
            <w:webHidden/>
            <w:color w:val="4F81BD"/>
          </w:rPr>
        </w:r>
        <w:r>
          <w:rPr>
            <w:webHidden/>
            <w:color w:val="4F81BD"/>
          </w:rPr>
          <w:fldChar w:fldCharType="separate"/>
        </w:r>
        <w:r>
          <w:rPr>
            <w:webHidden/>
            <w:color w:val="4F81BD"/>
          </w:rPr>
          <w:t>111</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0" w:history="1">
        <w:r>
          <w:rPr>
            <w:rStyle w:val="Hyperlink"/>
            <w:rFonts w:eastAsia="SimSun"/>
            <w:bCs/>
            <w:color w:val="4F81BD"/>
          </w:rPr>
          <w:t>Malta</w:t>
        </w:r>
        <w:r>
          <w:rPr>
            <w:webHidden/>
            <w:color w:val="4F81BD"/>
          </w:rPr>
          <w:tab/>
        </w:r>
        <w:r>
          <w:rPr>
            <w:webHidden/>
            <w:color w:val="4F81BD"/>
          </w:rPr>
          <w:fldChar w:fldCharType="begin"/>
        </w:r>
        <w:r>
          <w:rPr>
            <w:webHidden/>
            <w:color w:val="4F81BD"/>
          </w:rPr>
          <w:instrText xml:space="preserve"> PAGEREF _Toc5728030 \h </w:instrText>
        </w:r>
        <w:r>
          <w:rPr>
            <w:webHidden/>
            <w:color w:val="4F81BD"/>
          </w:rPr>
        </w:r>
        <w:r>
          <w:rPr>
            <w:webHidden/>
            <w:color w:val="4F81BD"/>
          </w:rPr>
          <w:fldChar w:fldCharType="separate"/>
        </w:r>
        <w:r>
          <w:rPr>
            <w:webHidden/>
            <w:color w:val="4F81BD"/>
          </w:rPr>
          <w:t>118</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1" w:history="1">
        <w:r>
          <w:rPr>
            <w:rStyle w:val="Hyperlink"/>
            <w:rFonts w:eastAsia="SimSun"/>
            <w:bCs/>
            <w:color w:val="4F81BD"/>
          </w:rPr>
          <w:t>Netherlands</w:t>
        </w:r>
        <w:r>
          <w:rPr>
            <w:webHidden/>
            <w:color w:val="4F81BD"/>
          </w:rPr>
          <w:tab/>
        </w:r>
        <w:r>
          <w:rPr>
            <w:webHidden/>
            <w:color w:val="4F81BD"/>
          </w:rPr>
          <w:fldChar w:fldCharType="begin"/>
        </w:r>
        <w:r>
          <w:rPr>
            <w:webHidden/>
            <w:color w:val="4F81BD"/>
          </w:rPr>
          <w:instrText xml:space="preserve"> PAGEREF _Toc5728031 \h </w:instrText>
        </w:r>
        <w:r>
          <w:rPr>
            <w:webHidden/>
            <w:color w:val="4F81BD"/>
          </w:rPr>
        </w:r>
        <w:r>
          <w:rPr>
            <w:webHidden/>
            <w:color w:val="4F81BD"/>
          </w:rPr>
          <w:fldChar w:fldCharType="separate"/>
        </w:r>
        <w:r>
          <w:rPr>
            <w:webHidden/>
            <w:color w:val="4F81BD"/>
          </w:rPr>
          <w:t>124</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2" w:history="1">
        <w:r>
          <w:rPr>
            <w:rStyle w:val="Hyperlink"/>
            <w:rFonts w:eastAsia="SimSun"/>
            <w:bCs/>
            <w:color w:val="4F81BD"/>
          </w:rPr>
          <w:t>Austria</w:t>
        </w:r>
        <w:r>
          <w:rPr>
            <w:webHidden/>
            <w:color w:val="4F81BD"/>
          </w:rPr>
          <w:tab/>
        </w:r>
        <w:r>
          <w:rPr>
            <w:webHidden/>
            <w:color w:val="4F81BD"/>
          </w:rPr>
          <w:fldChar w:fldCharType="begin"/>
        </w:r>
        <w:r>
          <w:rPr>
            <w:webHidden/>
            <w:color w:val="4F81BD"/>
          </w:rPr>
          <w:instrText xml:space="preserve"> PAGEREF _Toc5728032 \h </w:instrText>
        </w:r>
        <w:r>
          <w:rPr>
            <w:webHidden/>
            <w:color w:val="4F81BD"/>
          </w:rPr>
        </w:r>
        <w:r>
          <w:rPr>
            <w:webHidden/>
            <w:color w:val="4F81BD"/>
          </w:rPr>
          <w:fldChar w:fldCharType="separate"/>
        </w:r>
        <w:r>
          <w:rPr>
            <w:webHidden/>
            <w:color w:val="4F81BD"/>
          </w:rPr>
          <w:t>131</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3" w:history="1">
        <w:r>
          <w:rPr>
            <w:rStyle w:val="Hyperlink"/>
            <w:rFonts w:eastAsia="SimSun"/>
            <w:bCs/>
            <w:color w:val="4F81BD"/>
          </w:rPr>
          <w:t>Poland</w:t>
        </w:r>
        <w:r>
          <w:rPr>
            <w:webHidden/>
            <w:color w:val="4F81BD"/>
          </w:rPr>
          <w:tab/>
        </w:r>
        <w:r>
          <w:rPr>
            <w:webHidden/>
            <w:color w:val="4F81BD"/>
          </w:rPr>
          <w:fldChar w:fldCharType="begin"/>
        </w:r>
        <w:r>
          <w:rPr>
            <w:webHidden/>
            <w:color w:val="4F81BD"/>
          </w:rPr>
          <w:instrText xml:space="preserve"> PAGEREF _Toc5728033 \h </w:instrText>
        </w:r>
        <w:r>
          <w:rPr>
            <w:webHidden/>
            <w:color w:val="4F81BD"/>
          </w:rPr>
        </w:r>
        <w:r>
          <w:rPr>
            <w:webHidden/>
            <w:color w:val="4F81BD"/>
          </w:rPr>
          <w:fldChar w:fldCharType="separate"/>
        </w:r>
        <w:r>
          <w:rPr>
            <w:webHidden/>
            <w:color w:val="4F81BD"/>
          </w:rPr>
          <w:t>138</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4" w:history="1">
        <w:r>
          <w:rPr>
            <w:rStyle w:val="Hyperlink"/>
            <w:rFonts w:eastAsia="SimSun"/>
            <w:bCs/>
            <w:color w:val="4F81BD"/>
          </w:rPr>
          <w:t>Portugal</w:t>
        </w:r>
        <w:r>
          <w:rPr>
            <w:webHidden/>
            <w:color w:val="4F81BD"/>
          </w:rPr>
          <w:tab/>
        </w:r>
        <w:r>
          <w:rPr>
            <w:webHidden/>
            <w:color w:val="4F81BD"/>
          </w:rPr>
          <w:fldChar w:fldCharType="begin"/>
        </w:r>
        <w:r>
          <w:rPr>
            <w:webHidden/>
            <w:color w:val="4F81BD"/>
          </w:rPr>
          <w:instrText xml:space="preserve"> PAGEREF _Toc5728034 \h </w:instrText>
        </w:r>
        <w:r>
          <w:rPr>
            <w:webHidden/>
            <w:color w:val="4F81BD"/>
          </w:rPr>
        </w:r>
        <w:r>
          <w:rPr>
            <w:webHidden/>
            <w:color w:val="4F81BD"/>
          </w:rPr>
          <w:fldChar w:fldCharType="separate"/>
        </w:r>
        <w:r>
          <w:rPr>
            <w:webHidden/>
            <w:color w:val="4F81BD"/>
          </w:rPr>
          <w:t>145</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5" w:history="1">
        <w:r>
          <w:rPr>
            <w:rStyle w:val="Hyperlink"/>
            <w:rFonts w:eastAsia="SimSun"/>
            <w:bCs/>
            <w:color w:val="4F81BD"/>
          </w:rPr>
          <w:t>Romania</w:t>
        </w:r>
        <w:r>
          <w:rPr>
            <w:webHidden/>
            <w:color w:val="4F81BD"/>
          </w:rPr>
          <w:tab/>
        </w:r>
        <w:r>
          <w:rPr>
            <w:webHidden/>
            <w:color w:val="4F81BD"/>
          </w:rPr>
          <w:fldChar w:fldCharType="begin"/>
        </w:r>
        <w:r>
          <w:rPr>
            <w:webHidden/>
            <w:color w:val="4F81BD"/>
          </w:rPr>
          <w:instrText xml:space="preserve"> PAGEREF _Toc5728035 \h </w:instrText>
        </w:r>
        <w:r>
          <w:rPr>
            <w:webHidden/>
            <w:color w:val="4F81BD"/>
          </w:rPr>
        </w:r>
        <w:r>
          <w:rPr>
            <w:webHidden/>
            <w:color w:val="4F81BD"/>
          </w:rPr>
          <w:fldChar w:fldCharType="separate"/>
        </w:r>
        <w:r>
          <w:rPr>
            <w:webHidden/>
            <w:color w:val="4F81BD"/>
          </w:rPr>
          <w:t>151</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6" w:history="1">
        <w:r>
          <w:rPr>
            <w:rStyle w:val="Hyperlink"/>
            <w:rFonts w:eastAsia="SimSun"/>
            <w:bCs/>
            <w:color w:val="4F81BD"/>
          </w:rPr>
          <w:t>Slovenia</w:t>
        </w:r>
        <w:r>
          <w:rPr>
            <w:webHidden/>
            <w:color w:val="4F81BD"/>
          </w:rPr>
          <w:tab/>
        </w:r>
        <w:r>
          <w:rPr>
            <w:webHidden/>
            <w:color w:val="4F81BD"/>
          </w:rPr>
          <w:fldChar w:fldCharType="begin"/>
        </w:r>
        <w:r>
          <w:rPr>
            <w:webHidden/>
            <w:color w:val="4F81BD"/>
          </w:rPr>
          <w:instrText xml:space="preserve"> PAGEREF _Toc5728036 \h </w:instrText>
        </w:r>
        <w:r>
          <w:rPr>
            <w:webHidden/>
            <w:color w:val="4F81BD"/>
          </w:rPr>
        </w:r>
        <w:r>
          <w:rPr>
            <w:webHidden/>
            <w:color w:val="4F81BD"/>
          </w:rPr>
          <w:fldChar w:fldCharType="separate"/>
        </w:r>
        <w:r>
          <w:rPr>
            <w:webHidden/>
            <w:color w:val="4F81BD"/>
          </w:rPr>
          <w:t>158</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7" w:history="1">
        <w:r>
          <w:rPr>
            <w:rStyle w:val="Hyperlink"/>
            <w:rFonts w:eastAsia="SimSun"/>
            <w:bCs/>
            <w:color w:val="4F81BD"/>
          </w:rPr>
          <w:t>Slovakia</w:t>
        </w:r>
        <w:r>
          <w:rPr>
            <w:webHidden/>
            <w:color w:val="4F81BD"/>
          </w:rPr>
          <w:tab/>
        </w:r>
        <w:r>
          <w:rPr>
            <w:webHidden/>
            <w:color w:val="4F81BD"/>
          </w:rPr>
          <w:fldChar w:fldCharType="begin"/>
        </w:r>
        <w:r>
          <w:rPr>
            <w:webHidden/>
            <w:color w:val="4F81BD"/>
          </w:rPr>
          <w:instrText xml:space="preserve"> PAGEREF _Toc5728037 \h </w:instrText>
        </w:r>
        <w:r>
          <w:rPr>
            <w:webHidden/>
            <w:color w:val="4F81BD"/>
          </w:rPr>
        </w:r>
        <w:r>
          <w:rPr>
            <w:webHidden/>
            <w:color w:val="4F81BD"/>
          </w:rPr>
          <w:fldChar w:fldCharType="separate"/>
        </w:r>
        <w:r>
          <w:rPr>
            <w:webHidden/>
            <w:color w:val="4F81BD"/>
          </w:rPr>
          <w:t>165</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8" w:history="1">
        <w:r>
          <w:rPr>
            <w:rStyle w:val="Hyperlink"/>
            <w:rFonts w:eastAsia="SimSun"/>
            <w:bCs/>
            <w:color w:val="4F81BD"/>
          </w:rPr>
          <w:t>Finland</w:t>
        </w:r>
        <w:r>
          <w:rPr>
            <w:webHidden/>
            <w:color w:val="4F81BD"/>
          </w:rPr>
          <w:tab/>
        </w:r>
        <w:r>
          <w:rPr>
            <w:webHidden/>
            <w:color w:val="4F81BD"/>
          </w:rPr>
          <w:fldChar w:fldCharType="begin"/>
        </w:r>
        <w:r>
          <w:rPr>
            <w:webHidden/>
            <w:color w:val="4F81BD"/>
          </w:rPr>
          <w:instrText xml:space="preserve"> PAGEREF _Toc5728038 \h </w:instrText>
        </w:r>
        <w:r>
          <w:rPr>
            <w:webHidden/>
            <w:color w:val="4F81BD"/>
          </w:rPr>
        </w:r>
        <w:r>
          <w:rPr>
            <w:webHidden/>
            <w:color w:val="4F81BD"/>
          </w:rPr>
          <w:fldChar w:fldCharType="separate"/>
        </w:r>
        <w:r>
          <w:rPr>
            <w:webHidden/>
            <w:color w:val="4F81BD"/>
          </w:rPr>
          <w:t>171</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39" w:history="1">
        <w:r>
          <w:rPr>
            <w:rStyle w:val="Hyperlink"/>
            <w:rFonts w:eastAsia="SimSun"/>
            <w:bCs/>
            <w:color w:val="4F81BD"/>
          </w:rPr>
          <w:t>Sweden</w:t>
        </w:r>
        <w:r>
          <w:rPr>
            <w:webHidden/>
            <w:color w:val="4F81BD"/>
          </w:rPr>
          <w:tab/>
        </w:r>
        <w:r>
          <w:rPr>
            <w:webHidden/>
            <w:color w:val="4F81BD"/>
          </w:rPr>
          <w:fldChar w:fldCharType="begin"/>
        </w:r>
        <w:r>
          <w:rPr>
            <w:webHidden/>
            <w:color w:val="4F81BD"/>
          </w:rPr>
          <w:instrText xml:space="preserve"> PAGEREF _Toc5728039 \h </w:instrText>
        </w:r>
        <w:r>
          <w:rPr>
            <w:webHidden/>
            <w:color w:val="4F81BD"/>
          </w:rPr>
        </w:r>
        <w:r>
          <w:rPr>
            <w:webHidden/>
            <w:color w:val="4F81BD"/>
          </w:rPr>
          <w:fldChar w:fldCharType="separate"/>
        </w:r>
        <w:r>
          <w:rPr>
            <w:webHidden/>
            <w:color w:val="4F81BD"/>
          </w:rPr>
          <w:t>177</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40" w:history="1">
        <w:r>
          <w:rPr>
            <w:rStyle w:val="Hyperlink"/>
            <w:rFonts w:eastAsia="SimSun"/>
            <w:bCs/>
            <w:color w:val="4F81BD"/>
          </w:rPr>
          <w:t>United Kingdom</w:t>
        </w:r>
        <w:r>
          <w:rPr>
            <w:webHidden/>
            <w:color w:val="4F81BD"/>
          </w:rPr>
          <w:tab/>
        </w:r>
        <w:r>
          <w:rPr>
            <w:webHidden/>
            <w:color w:val="4F81BD"/>
          </w:rPr>
          <w:fldChar w:fldCharType="begin"/>
        </w:r>
        <w:r>
          <w:rPr>
            <w:webHidden/>
            <w:color w:val="4F81BD"/>
          </w:rPr>
          <w:instrText xml:space="preserve"> PAGEREF _Toc5728040 \h </w:instrText>
        </w:r>
        <w:r>
          <w:rPr>
            <w:webHidden/>
            <w:color w:val="4F81BD"/>
          </w:rPr>
        </w:r>
        <w:r>
          <w:rPr>
            <w:webHidden/>
            <w:color w:val="4F81BD"/>
          </w:rPr>
          <w:fldChar w:fldCharType="separate"/>
        </w:r>
        <w:r>
          <w:rPr>
            <w:webHidden/>
            <w:color w:val="4F81BD"/>
          </w:rPr>
          <w:t>183</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28041" w:history="1">
        <w:r>
          <w:rPr>
            <w:rStyle w:val="Hyperlink"/>
            <w:rFonts w:eastAsia="SimSun"/>
            <w:bCs/>
            <w:color w:val="4F81BD"/>
          </w:rPr>
          <w:t>Methodology and explanations</w:t>
        </w:r>
        <w:r>
          <w:rPr>
            <w:webHidden/>
            <w:color w:val="4F81BD"/>
          </w:rPr>
          <w:tab/>
        </w:r>
        <w:r>
          <w:rPr>
            <w:webHidden/>
            <w:color w:val="4F81BD"/>
          </w:rPr>
          <w:fldChar w:fldCharType="begin"/>
        </w:r>
        <w:r>
          <w:rPr>
            <w:webHidden/>
            <w:color w:val="4F81BD"/>
          </w:rPr>
          <w:instrText xml:space="preserve"> PAGEREF _Toc5728041 \h </w:instrText>
        </w:r>
        <w:r>
          <w:rPr>
            <w:webHidden/>
            <w:color w:val="4F81BD"/>
          </w:rPr>
        </w:r>
        <w:r>
          <w:rPr>
            <w:webHidden/>
            <w:color w:val="4F81BD"/>
          </w:rPr>
          <w:fldChar w:fldCharType="separate"/>
        </w:r>
        <w:r>
          <w:rPr>
            <w:webHidden/>
            <w:color w:val="4F81BD"/>
          </w:rPr>
          <w:t>190</w:t>
        </w:r>
        <w:r>
          <w:rPr>
            <w:webHidden/>
            <w:color w:val="4F81BD"/>
          </w:rPr>
          <w:fldChar w:fldCharType="end"/>
        </w:r>
      </w:hyperlink>
    </w:p>
    <w:p>
      <w:pPr>
        <w:pStyle w:val="Heading1"/>
        <w:rPr>
          <w:noProof/>
        </w:rPr>
        <w:sectPr>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pgMar w:top="1701" w:right="1418" w:bottom="1134" w:left="1418" w:header="567" w:footer="352" w:gutter="0"/>
          <w:pgNumType w:start="1"/>
          <w:cols w:space="708"/>
          <w:titlePg/>
          <w:docGrid w:linePitch="360"/>
        </w:sectPr>
      </w:pPr>
      <w:r>
        <w:rPr>
          <w:rFonts w:eastAsia="Times New Roman" w:cs="Arial"/>
          <w:bCs w:val="0"/>
          <w:noProof/>
          <w:color w:val="4F81BD"/>
          <w:sz w:val="20"/>
          <w:szCs w:val="20"/>
        </w:rPr>
        <w:fldChar w:fldCharType="end"/>
      </w:r>
    </w:p>
    <w:p>
      <w:pPr>
        <w:keepNext/>
        <w:keepLines/>
        <w:jc w:val="center"/>
        <w:outlineLvl w:val="0"/>
        <w:rPr>
          <w:rFonts w:ascii="Arial" w:eastAsia="SimSun" w:hAnsi="Arial"/>
          <w:bCs/>
          <w:noProof/>
          <w:color w:val="A6A6A6"/>
          <w:szCs w:val="28"/>
        </w:rPr>
      </w:pPr>
      <w:bookmarkStart w:id="12" w:name="_Toc444769596"/>
      <w:bookmarkStart w:id="13" w:name="_Toc444772052"/>
      <w:bookmarkStart w:id="14" w:name="_Toc444773371"/>
      <w:bookmarkStart w:id="15" w:name="_Toc444776743"/>
      <w:bookmarkStart w:id="16" w:name="_Toc475974650"/>
      <w:bookmarkStart w:id="17" w:name="_Toc475980146"/>
      <w:bookmarkStart w:id="18" w:name="_Toc475981395"/>
      <w:bookmarkStart w:id="19" w:name="_Toc484622333"/>
      <w:bookmarkStart w:id="20" w:name="_Toc5728029"/>
      <w:bookmarkStart w:id="21" w:name="_Toc475974656"/>
      <w:bookmarkStart w:id="22" w:name="_Toc475980152"/>
      <w:bookmarkStart w:id="23" w:name="_Toc475981401"/>
      <w:bookmarkEnd w:id="4"/>
      <w:bookmarkEnd w:id="5"/>
      <w:bookmarkEnd w:id="6"/>
      <w:bookmarkEnd w:id="7"/>
      <w:bookmarkEnd w:id="8"/>
      <w:bookmarkEnd w:id="9"/>
      <w:bookmarkEnd w:id="10"/>
      <w:r>
        <w:rPr>
          <w:rFonts w:ascii="Arial" w:eastAsia="SimSun" w:hAnsi="Arial"/>
          <w:bCs/>
          <w:noProof/>
          <w:color w:val="A6A6A6"/>
          <w:szCs w:val="28"/>
        </w:rPr>
        <w:t>Hungary</w:t>
      </w:r>
      <w:bookmarkEnd w:id="12"/>
      <w:bookmarkEnd w:id="13"/>
      <w:bookmarkEnd w:id="14"/>
      <w:bookmarkEnd w:id="15"/>
      <w:bookmarkEnd w:id="16"/>
      <w:bookmarkEnd w:id="17"/>
      <w:bookmarkEnd w:id="18"/>
      <w:bookmarkEnd w:id="19"/>
      <w:bookmarkEnd w:id="20"/>
    </w:p>
    <w:p>
      <w:pPr>
        <w:pStyle w:val="AnnualReport1"/>
        <w:numPr>
          <w:ilvl w:val="0"/>
          <w:numId w:val="177"/>
        </w:numPr>
        <w:rPr>
          <w:noProof/>
        </w:rPr>
      </w:pPr>
      <w:r>
        <w:rPr>
          <w:noProof/>
        </w:rPr>
        <w:t>COMPLAINTS</w:t>
      </w:r>
    </w:p>
    <w:p>
      <w:pPr>
        <w:numPr>
          <w:ilvl w:val="0"/>
          <w:numId w:val="101"/>
        </w:numPr>
        <w:spacing w:before="240"/>
        <w:ind w:left="709" w:hanging="425"/>
        <w:outlineLvl w:val="1"/>
        <w:rPr>
          <w:rFonts w:ascii="Arial" w:hAnsi="Arial"/>
          <w:noProof/>
          <w:color w:val="002060"/>
        </w:rPr>
      </w:pPr>
      <w:r>
        <w:rPr>
          <w:rFonts w:ascii="Arial" w:hAnsi="Arial"/>
          <w:noProof/>
          <w:color w:val="002060"/>
        </w:rPr>
        <w:t>New complaints made against Hungary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218690"/>
            <wp:effectExtent l="0" t="0" r="17145" b="10160"/>
            <wp:docPr id="93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numPr>
          <w:ilvl w:val="0"/>
          <w:numId w:val="101"/>
        </w:numPr>
        <w:spacing w:before="240"/>
        <w:ind w:left="709" w:hanging="425"/>
        <w:outlineLvl w:val="1"/>
        <w:rPr>
          <w:rFonts w:ascii="Arial" w:hAnsi="Arial"/>
          <w:noProof/>
          <w:color w:val="002060"/>
        </w:rPr>
      </w:pPr>
      <w:r>
        <w:rPr>
          <w:rFonts w:ascii="Arial" w:hAnsi="Arial"/>
          <w:noProof/>
          <w:color w:val="002060"/>
        </w:rPr>
        <w:t>Public complaints against Hungary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65</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41</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101"/>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55820" cy="2241550"/>
            <wp:effectExtent l="0" t="0" r="11430" b="6350"/>
            <wp:docPr id="931"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after="200" w:line="276" w:lineRule="auto"/>
        <w:rPr>
          <w:noProof/>
        </w:rPr>
      </w:pPr>
      <w:r>
        <w:rPr>
          <w:noProof/>
        </w:rPr>
        <w:br w:type="page"/>
      </w:r>
    </w:p>
    <w:p>
      <w:pPr>
        <w:pStyle w:val="AnnualReport1"/>
        <w:numPr>
          <w:ilvl w:val="0"/>
          <w:numId w:val="177"/>
        </w:numPr>
        <w:rPr>
          <w:noProof/>
        </w:rPr>
      </w:pPr>
      <w:r>
        <w:rPr>
          <w:noProof/>
        </w:rPr>
        <w:t>EU PILOT</w:t>
      </w:r>
    </w:p>
    <w:p>
      <w:pPr>
        <w:numPr>
          <w:ilvl w:val="0"/>
          <w:numId w:val="102"/>
        </w:numPr>
        <w:spacing w:before="240"/>
        <w:ind w:left="709" w:hanging="425"/>
        <w:outlineLvl w:val="1"/>
        <w:rPr>
          <w:rFonts w:ascii="Arial" w:hAnsi="Arial"/>
          <w:noProof/>
          <w:color w:val="002060"/>
        </w:rPr>
      </w:pPr>
      <w:r>
        <w:rPr>
          <w:rFonts w:ascii="Arial" w:hAnsi="Arial"/>
          <w:noProof/>
          <w:color w:val="002060"/>
        </w:rPr>
        <w:t>New EU Pilot files opened against Hungary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12005" cy="2051685"/>
            <wp:effectExtent l="0" t="0" r="0" b="0"/>
            <wp:docPr id="93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numPr>
          <w:ilvl w:val="0"/>
          <w:numId w:val="102"/>
        </w:numPr>
        <w:spacing w:before="240"/>
        <w:ind w:left="709" w:hanging="425"/>
        <w:outlineLvl w:val="1"/>
        <w:rPr>
          <w:rFonts w:ascii="Arial" w:hAnsi="Arial"/>
          <w:noProof/>
          <w:color w:val="002060"/>
        </w:rPr>
      </w:pPr>
      <w:r>
        <w:rPr>
          <w:rFonts w:ascii="Arial" w:hAnsi="Arial"/>
          <w:noProof/>
          <w:color w:val="002060"/>
        </w:rPr>
        <w:t>Files relating to Hungary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051685"/>
            <wp:effectExtent l="0" t="0" r="0" b="0"/>
            <wp:docPr id="92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numPr>
          <w:ilvl w:val="0"/>
          <w:numId w:val="102"/>
        </w:numPr>
        <w:spacing w:before="240"/>
        <w:ind w:left="709" w:hanging="425"/>
        <w:outlineLvl w:val="1"/>
        <w:rPr>
          <w:rFonts w:ascii="Arial" w:hAnsi="Arial"/>
          <w:noProof/>
          <w:color w:val="002060"/>
        </w:rPr>
      </w:pPr>
      <w:r>
        <w:rPr>
          <w:rFonts w:ascii="Arial" w:hAnsi="Arial"/>
          <w:noProof/>
          <w:color w:val="002060"/>
        </w:rPr>
        <w:t>New EU Pilot files opened in 2018: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178685"/>
            <wp:effectExtent l="0" t="0" r="4445" b="12065"/>
            <wp:docPr id="928"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after="0"/>
        <w:rPr>
          <w:rFonts w:ascii="Arial" w:hAnsi="Arial"/>
          <w:noProof/>
          <w:color w:val="002060"/>
        </w:rPr>
      </w:pPr>
      <w:r>
        <w:rPr>
          <w:noProof/>
        </w:rPr>
        <w:br w:type="page"/>
      </w:r>
    </w:p>
    <w:p>
      <w:pPr>
        <w:numPr>
          <w:ilvl w:val="0"/>
          <w:numId w:val="102"/>
        </w:numPr>
        <w:spacing w:before="240"/>
        <w:ind w:left="709" w:hanging="425"/>
        <w:outlineLvl w:val="1"/>
        <w:rPr>
          <w:rFonts w:ascii="Arial" w:hAnsi="Arial"/>
          <w:noProof/>
          <w:color w:val="002060"/>
        </w:rPr>
      </w:pPr>
      <w:r>
        <w:rPr>
          <w:rFonts w:ascii="Arial" w:hAnsi="Arial"/>
          <w:noProof/>
          <w:color w:val="002060"/>
        </w:rPr>
        <w:t>EU Pilot files: Hungary’s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218690"/>
            <wp:effectExtent l="0" t="0" r="6350" b="10160"/>
            <wp:docPr id="18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AnnualReport1"/>
        <w:numPr>
          <w:ilvl w:val="0"/>
          <w:numId w:val="177"/>
        </w:numPr>
        <w:rPr>
          <w:noProof/>
        </w:rPr>
      </w:pPr>
      <w:r>
        <w:rPr>
          <w:noProof/>
        </w:rPr>
        <w:t>INFRINGEMENT CASES</w:t>
      </w:r>
    </w:p>
    <w:p>
      <w:pPr>
        <w:numPr>
          <w:ilvl w:val="0"/>
          <w:numId w:val="103"/>
        </w:numPr>
        <w:spacing w:before="240"/>
        <w:ind w:left="709" w:hanging="425"/>
        <w:outlineLvl w:val="1"/>
        <w:rPr>
          <w:rFonts w:ascii="Arial" w:hAnsi="Arial"/>
          <w:noProof/>
          <w:color w:val="002060"/>
        </w:rPr>
      </w:pPr>
      <w:r>
        <w:rPr>
          <w:rFonts w:ascii="Arial" w:hAnsi="Arial"/>
          <w:noProof/>
          <w:color w:val="002060"/>
        </w:rPr>
        <w:t>Infringement cases against Hungary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54555"/>
            <wp:effectExtent l="0" t="0" r="3175" b="17145"/>
            <wp:docPr id="18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numPr>
          <w:ilvl w:val="0"/>
          <w:numId w:val="103"/>
        </w:numPr>
        <w:spacing w:before="240"/>
        <w:ind w:left="709" w:hanging="425"/>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noProof/>
          <w:sz w:val="18"/>
        </w:rPr>
      </w:pPr>
      <w:r>
        <w:rPr>
          <w:rFonts w:ascii="Arial" w:hAnsi="Arial"/>
          <w:noProof/>
          <w:sz w:val="18"/>
          <w:lang w:eastAsia="en-GB"/>
        </w:rPr>
        <w:drawing>
          <wp:inline distT="0" distB="0" distL="0" distR="0">
            <wp:extent cx="4587875" cy="2292350"/>
            <wp:effectExtent l="0" t="0" r="3175" b="12700"/>
            <wp:docPr id="185"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0"/>
        <w:rPr>
          <w:rFonts w:ascii="Arial" w:hAnsi="Arial"/>
          <w:noProof/>
          <w:color w:val="002060"/>
        </w:rPr>
      </w:pPr>
      <w:r>
        <w:rPr>
          <w:noProof/>
        </w:rPr>
        <w:br w:type="page"/>
      </w:r>
    </w:p>
    <w:p>
      <w:pPr>
        <w:numPr>
          <w:ilvl w:val="0"/>
          <w:numId w:val="103"/>
        </w:numPr>
        <w:spacing w:before="240"/>
        <w:ind w:left="709" w:hanging="425"/>
        <w:outlineLvl w:val="1"/>
        <w:rPr>
          <w:rFonts w:ascii="Arial" w:hAnsi="Arial"/>
          <w:noProof/>
          <w:color w:val="002060"/>
        </w:rPr>
      </w:pPr>
      <w:r>
        <w:rPr>
          <w:rFonts w:ascii="Arial" w:hAnsi="Arial"/>
          <w:noProof/>
          <w:color w:val="002060"/>
        </w:rPr>
        <w:t>Key infringement cases and referrals to the Court</w:t>
      </w:r>
    </w:p>
    <w:p>
      <w:pPr>
        <w:numPr>
          <w:ilvl w:val="0"/>
          <w:numId w:val="139"/>
        </w:numPr>
        <w:ind w:left="1276" w:hanging="425"/>
        <w:jc w:val="both"/>
        <w:rPr>
          <w:rFonts w:ascii="Arial" w:hAnsi="Arial" w:cs="Arial"/>
          <w:noProof/>
          <w:sz w:val="20"/>
          <w:szCs w:val="20"/>
        </w:rPr>
      </w:pPr>
      <w:r>
        <w:rPr>
          <w:rFonts w:ascii="Arial" w:hAnsi="Arial" w:cs="Arial"/>
          <w:noProof/>
          <w:sz w:val="20"/>
          <w:szCs w:val="20"/>
        </w:rPr>
        <w:t>The Commission opened 22 new infringement cases against Hungary in 2018. These, and other major ongoing infringement cases, include:</w:t>
      </w:r>
    </w:p>
    <w:p>
      <w:pPr>
        <w:pStyle w:val="ListParagraph"/>
        <w:numPr>
          <w:ilvl w:val="0"/>
          <w:numId w:val="220"/>
        </w:numPr>
        <w:spacing w:after="200"/>
        <w:ind w:left="1701"/>
        <w:jc w:val="both"/>
        <w:rPr>
          <w:rFonts w:ascii="Arial" w:hAnsi="Arial" w:cs="Arial"/>
          <w:noProof/>
          <w:sz w:val="20"/>
          <w:szCs w:val="20"/>
          <w:lang w:eastAsia="en-GB"/>
        </w:rPr>
      </w:pPr>
      <w:r>
        <w:rPr>
          <w:rFonts w:ascii="Arial" w:hAnsi="Arial" w:cs="Arial"/>
          <w:noProof/>
          <w:sz w:val="20"/>
          <w:szCs w:val="20"/>
        </w:rPr>
        <w:t>failure to verify compliance with air safety requirements</w:t>
      </w:r>
      <w:r>
        <w:rPr>
          <w:rStyle w:val="FootnoteReference"/>
          <w:rFonts w:ascii="Arial" w:hAnsi="Arial" w:cs="Arial"/>
          <w:noProof/>
          <w:sz w:val="20"/>
          <w:szCs w:val="20"/>
        </w:rPr>
        <w:footnoteReference w:id="2"/>
      </w:r>
      <w:r>
        <w:rPr>
          <w:rFonts w:ascii="Arial" w:hAnsi="Arial" w:cs="Arial"/>
          <w:noProof/>
          <w:sz w:val="20"/>
          <w:szCs w:val="20"/>
        </w:rPr>
        <w:t>;</w:t>
      </w:r>
    </w:p>
    <w:p>
      <w:pPr>
        <w:pStyle w:val="ListParagraph"/>
        <w:numPr>
          <w:ilvl w:val="0"/>
          <w:numId w:val="220"/>
        </w:numPr>
        <w:spacing w:after="200"/>
        <w:ind w:left="1701"/>
        <w:jc w:val="both"/>
        <w:rPr>
          <w:rFonts w:ascii="Arial" w:hAnsi="Arial" w:cs="Arial"/>
          <w:noProof/>
          <w:sz w:val="20"/>
          <w:szCs w:val="20"/>
          <w:lang w:eastAsia="en-GB"/>
        </w:rPr>
      </w:pPr>
      <w:r>
        <w:rPr>
          <w:rFonts w:ascii="Arial" w:hAnsi="Arial" w:cs="Arial"/>
          <w:noProof/>
          <w:sz w:val="20"/>
          <w:szCs w:val="20"/>
        </w:rPr>
        <w:t>failure to comply with EU legislation on Flag State requirements</w:t>
      </w:r>
      <w:r>
        <w:rPr>
          <w:rStyle w:val="FootnoteReference"/>
          <w:rFonts w:ascii="Arial" w:hAnsi="Arial" w:cs="Arial"/>
          <w:noProof/>
          <w:sz w:val="20"/>
          <w:szCs w:val="20"/>
        </w:rPr>
        <w:footnoteReference w:id="3"/>
      </w:r>
      <w:r>
        <w:rPr>
          <w:rFonts w:ascii="Arial" w:hAnsi="Arial" w:cs="Arial"/>
          <w:noProof/>
          <w:sz w:val="20"/>
          <w:szCs w:val="20"/>
        </w:rPr>
        <w:t>;</w:t>
      </w:r>
    </w:p>
    <w:p>
      <w:pPr>
        <w:pStyle w:val="ListParagraph"/>
        <w:numPr>
          <w:ilvl w:val="0"/>
          <w:numId w:val="220"/>
        </w:numPr>
        <w:ind w:left="1701"/>
        <w:jc w:val="both"/>
        <w:rPr>
          <w:rFonts w:ascii="Arial" w:hAnsi="Arial" w:cs="Arial"/>
          <w:noProof/>
          <w:sz w:val="20"/>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4"/>
      </w:r>
      <w:r>
        <w:rPr>
          <w:rFonts w:ascii="Arial" w:hAnsi="Arial" w:cs="Arial"/>
          <w:noProof/>
          <w:sz w:val="20"/>
          <w:szCs w:val="20"/>
        </w:rPr>
        <w:t>;</w:t>
      </w:r>
    </w:p>
    <w:p>
      <w:pPr>
        <w:pStyle w:val="ListParagraph"/>
        <w:numPr>
          <w:ilvl w:val="0"/>
          <w:numId w:val="220"/>
        </w:numPr>
        <w:spacing w:after="200"/>
        <w:ind w:left="1701"/>
        <w:jc w:val="both"/>
        <w:rPr>
          <w:rFonts w:ascii="Arial" w:hAnsi="Arial" w:cs="Arial"/>
          <w:noProof/>
          <w:sz w:val="20"/>
          <w:szCs w:val="20"/>
          <w:lang w:eastAsia="en-GB"/>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5"/>
      </w:r>
      <w:r>
        <w:rPr>
          <w:rFonts w:ascii="Arial" w:hAnsi="Arial" w:cs="Arial"/>
          <w:noProof/>
          <w:sz w:val="20"/>
          <w:szCs w:val="20"/>
        </w:rPr>
        <w:t>;</w:t>
      </w:r>
    </w:p>
    <w:p>
      <w:pPr>
        <w:pStyle w:val="ListParagraph"/>
        <w:numPr>
          <w:ilvl w:val="0"/>
          <w:numId w:val="220"/>
        </w:numPr>
        <w:spacing w:after="200"/>
        <w:ind w:left="1701"/>
        <w:jc w:val="both"/>
        <w:rPr>
          <w:rFonts w:ascii="Arial" w:hAnsi="Arial" w:cs="Arial"/>
          <w:noProof/>
          <w:sz w:val="20"/>
          <w:szCs w:val="20"/>
        </w:rPr>
      </w:pPr>
      <w:r>
        <w:rPr>
          <w:rFonts w:ascii="Arial" w:hAnsi="Arial" w:cs="Arial"/>
          <w:noProof/>
          <w:sz w:val="20"/>
          <w:szCs w:val="20"/>
        </w:rPr>
        <w:t>failure to fulfil obligations under the Long-Term Residents Directive</w:t>
      </w:r>
      <w:r>
        <w:rPr>
          <w:rStyle w:val="FootnoteReference"/>
          <w:rFonts w:ascii="Arial" w:hAnsi="Arial" w:cs="Arial"/>
          <w:noProof/>
          <w:sz w:val="20"/>
          <w:szCs w:val="20"/>
        </w:rPr>
        <w:footnoteReference w:id="6"/>
      </w:r>
      <w:r>
        <w:rPr>
          <w:rFonts w:ascii="Arial" w:hAnsi="Arial" w:cs="Arial"/>
          <w:noProof/>
          <w:sz w:val="20"/>
          <w:szCs w:val="20"/>
        </w:rPr>
        <w:t xml:space="preserve"> since Hungarian law precludes third country nationals who are long-term residents from access to employment or self-employed activities in the veterinary sector; </w:t>
      </w:r>
    </w:p>
    <w:p>
      <w:pPr>
        <w:pStyle w:val="ListParagraph"/>
        <w:numPr>
          <w:ilvl w:val="0"/>
          <w:numId w:val="220"/>
        </w:numPr>
        <w:spacing w:after="200"/>
        <w:ind w:left="1701"/>
        <w:jc w:val="both"/>
        <w:rPr>
          <w:rFonts w:ascii="Arial" w:hAnsi="Arial" w:cs="Arial"/>
          <w:noProof/>
          <w:sz w:val="20"/>
          <w:szCs w:val="20"/>
          <w:lang w:eastAsia="en-GB"/>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7"/>
      </w:r>
      <w:r>
        <w:rPr>
          <w:rFonts w:ascii="Arial" w:hAnsi="Arial" w:cs="Arial"/>
          <w:noProof/>
          <w:sz w:val="20"/>
          <w:szCs w:val="20"/>
        </w:rPr>
        <w:t>;</w:t>
      </w:r>
    </w:p>
    <w:p>
      <w:pPr>
        <w:pStyle w:val="ListParagraph"/>
        <w:numPr>
          <w:ilvl w:val="0"/>
          <w:numId w:val="220"/>
        </w:numPr>
        <w:spacing w:after="200"/>
        <w:ind w:left="1701"/>
        <w:jc w:val="both"/>
        <w:rPr>
          <w:rFonts w:ascii="Arial" w:hAnsi="Arial" w:cs="Arial"/>
          <w:noProof/>
          <w:sz w:val="20"/>
          <w:szCs w:val="20"/>
          <w:lang w:eastAsia="en-GB"/>
        </w:rPr>
      </w:pPr>
      <w:r>
        <w:rPr>
          <w:rFonts w:ascii="Arial" w:hAnsi="Arial" w:cs="Arial"/>
          <w:noProof/>
          <w:sz w:val="20"/>
          <w:szCs w:val="20"/>
        </w:rPr>
        <w:t xml:space="preserve">incompatibility </w:t>
      </w:r>
      <w:r>
        <w:rPr>
          <w:rFonts w:ascii="Arial" w:hAnsi="Arial" w:cs="Arial"/>
          <w:noProof/>
          <w:sz w:val="20"/>
          <w:szCs w:val="20"/>
          <w:lang w:eastAsia="en-GB"/>
        </w:rPr>
        <w:t xml:space="preserve">of domestic legislation </w:t>
      </w:r>
      <w:r>
        <w:rPr>
          <w:rFonts w:ascii="Arial" w:hAnsi="Arial" w:cs="Arial"/>
          <w:noProof/>
          <w:sz w:val="20"/>
          <w:szCs w:val="20"/>
        </w:rPr>
        <w:t>with the EU provisions on asylum and free movement, as well as the EU Charter of Fundamental Rights</w:t>
      </w:r>
      <w:r>
        <w:rPr>
          <w:rStyle w:val="FootnoteReference"/>
          <w:rFonts w:ascii="Arial" w:hAnsi="Arial" w:cs="Arial"/>
          <w:noProof/>
          <w:sz w:val="20"/>
          <w:szCs w:val="20"/>
        </w:rPr>
        <w:footnoteReference w:id="8"/>
      </w:r>
      <w:r>
        <w:rPr>
          <w:rFonts w:ascii="Arial" w:hAnsi="Arial" w:cs="Arial"/>
          <w:noProof/>
          <w:sz w:val="20"/>
          <w:szCs w:val="20"/>
        </w:rPr>
        <w:t>;</w:t>
      </w:r>
    </w:p>
    <w:p>
      <w:pPr>
        <w:pStyle w:val="ListParagraph"/>
        <w:numPr>
          <w:ilvl w:val="0"/>
          <w:numId w:val="220"/>
        </w:numPr>
        <w:spacing w:after="200"/>
        <w:ind w:left="1701"/>
        <w:jc w:val="both"/>
        <w:rPr>
          <w:rFonts w:ascii="Arial" w:hAnsi="Arial" w:cs="Arial"/>
          <w:noProof/>
          <w:sz w:val="20"/>
          <w:szCs w:val="20"/>
          <w:lang w:eastAsia="en-GB"/>
        </w:rPr>
      </w:pPr>
      <w:r>
        <w:rPr>
          <w:rFonts w:ascii="Arial" w:eastAsia="Calibri" w:hAnsi="Arial" w:cs="Arial"/>
          <w:noProof/>
          <w:kern w:val="20"/>
          <w:sz w:val="20"/>
          <w:lang w:eastAsia="en-GB"/>
        </w:rPr>
        <w:t>non-communication of national measures transposing the</w:t>
      </w:r>
    </w:p>
    <w:p>
      <w:pPr>
        <w:pStyle w:val="ListParagraph"/>
        <w:numPr>
          <w:ilvl w:val="1"/>
          <w:numId w:val="220"/>
        </w:numPr>
        <w:spacing w:after="200"/>
        <w:ind w:left="2410"/>
        <w:jc w:val="both"/>
        <w:rPr>
          <w:rFonts w:ascii="Arial" w:hAnsi="Arial" w:cs="Arial"/>
          <w:noProof/>
          <w:sz w:val="20"/>
          <w:szCs w:val="20"/>
          <w:lang w:eastAsia="en-GB"/>
        </w:rPr>
      </w:pPr>
      <w:r>
        <w:rPr>
          <w:rFonts w:ascii="Arial" w:eastAsia="Calibri" w:hAnsi="Arial" w:cs="Arial"/>
          <w:noProof/>
          <w:kern w:val="20"/>
          <w:sz w:val="20"/>
          <w:lang w:eastAsia="en-GB"/>
        </w:rPr>
        <w:t>Directive on protective measures against the introduction into the Community of organisms harmful to plants</w:t>
      </w:r>
      <w:r>
        <w:rPr>
          <w:rStyle w:val="FootnoteReference"/>
          <w:rFonts w:ascii="Arial" w:eastAsia="Calibri" w:hAnsi="Arial" w:cs="Arial"/>
          <w:noProof/>
          <w:kern w:val="20"/>
          <w:sz w:val="20"/>
          <w:lang w:eastAsia="en-GB"/>
        </w:rPr>
        <w:footnoteReference w:id="9"/>
      </w:r>
      <w:r>
        <w:rPr>
          <w:rFonts w:ascii="Arial" w:eastAsia="Calibri" w:hAnsi="Arial" w:cs="Arial"/>
          <w:noProof/>
          <w:kern w:val="20"/>
          <w:sz w:val="20"/>
          <w:lang w:eastAsia="en-GB"/>
        </w:rPr>
        <w:t>;</w:t>
      </w:r>
    </w:p>
    <w:p>
      <w:pPr>
        <w:pStyle w:val="ListParagraph"/>
        <w:numPr>
          <w:ilvl w:val="1"/>
          <w:numId w:val="220"/>
        </w:numPr>
        <w:spacing w:after="200"/>
        <w:ind w:left="2410"/>
        <w:jc w:val="both"/>
        <w:rPr>
          <w:rFonts w:ascii="Arial" w:hAnsi="Arial" w:cs="Arial"/>
          <w:noProof/>
          <w:sz w:val="20"/>
          <w:szCs w:val="20"/>
          <w:lang w:eastAsia="en-GB"/>
        </w:rPr>
      </w:pPr>
      <w:r>
        <w:rPr>
          <w:rFonts w:ascii="Arial" w:hAnsi="Arial" w:cs="Arial"/>
          <w:noProof/>
          <w:sz w:val="20"/>
          <w:szCs w:val="20"/>
          <w:lang w:eastAsia="en-GB"/>
        </w:rPr>
        <w:t>Directive on end-of life vehicles</w:t>
      </w:r>
      <w:r>
        <w:rPr>
          <w:rStyle w:val="FootnoteReference"/>
          <w:rFonts w:ascii="Arial" w:hAnsi="Arial" w:cs="Arial"/>
          <w:noProof/>
          <w:sz w:val="20"/>
          <w:szCs w:val="20"/>
          <w:lang w:eastAsia="en-GB"/>
        </w:rPr>
        <w:footnoteReference w:id="10"/>
      </w:r>
      <w:r>
        <w:rPr>
          <w:rFonts w:ascii="Arial" w:hAnsi="Arial" w:cs="Arial"/>
          <w:noProof/>
          <w:sz w:val="20"/>
          <w:szCs w:val="20"/>
          <w:lang w:eastAsia="en-GB"/>
        </w:rPr>
        <w:t>;</w:t>
      </w:r>
    </w:p>
    <w:p>
      <w:pPr>
        <w:pStyle w:val="ListParagraph"/>
        <w:numPr>
          <w:ilvl w:val="1"/>
          <w:numId w:val="220"/>
        </w:numPr>
        <w:spacing w:after="200"/>
        <w:ind w:left="2410"/>
        <w:jc w:val="both"/>
        <w:rPr>
          <w:rFonts w:ascii="Arial" w:hAnsi="Arial" w:cs="Arial"/>
          <w:noProof/>
          <w:sz w:val="20"/>
          <w:szCs w:val="20"/>
          <w:lang w:eastAsia="en-GB"/>
        </w:rPr>
      </w:pPr>
      <w:r>
        <w:rPr>
          <w:rFonts w:ascii="Arial" w:hAnsi="Arial" w:cs="Arial"/>
          <w:noProof/>
          <w:sz w:val="20"/>
          <w:szCs w:val="20"/>
          <w:lang w:eastAsia="en-GB"/>
        </w:rPr>
        <w:t>Directive on security of network and information systems</w:t>
      </w:r>
      <w:r>
        <w:rPr>
          <w:rStyle w:val="FootnoteReference"/>
          <w:rFonts w:ascii="Arial" w:hAnsi="Arial" w:cs="Arial"/>
          <w:noProof/>
          <w:sz w:val="20"/>
          <w:szCs w:val="20"/>
        </w:rPr>
        <w:footnoteReference w:id="11"/>
      </w:r>
      <w:r>
        <w:rPr>
          <w:rFonts w:ascii="Arial" w:hAnsi="Arial" w:cs="Arial"/>
          <w:noProof/>
          <w:sz w:val="20"/>
          <w:szCs w:val="20"/>
          <w:lang w:eastAsia="en-GB"/>
        </w:rPr>
        <w:t>;</w:t>
      </w:r>
    </w:p>
    <w:p>
      <w:pPr>
        <w:pStyle w:val="ListParagraph"/>
        <w:numPr>
          <w:ilvl w:val="1"/>
          <w:numId w:val="220"/>
        </w:numPr>
        <w:spacing w:after="200"/>
        <w:ind w:left="2410"/>
        <w:jc w:val="both"/>
        <w:rPr>
          <w:rFonts w:ascii="Arial" w:hAnsi="Arial" w:cs="Arial"/>
          <w:noProof/>
          <w:sz w:val="20"/>
          <w:szCs w:val="20"/>
          <w:lang w:eastAsia="en-GB"/>
        </w:rPr>
      </w:pPr>
      <w:r>
        <w:rPr>
          <w:rFonts w:ascii="Arial" w:hAnsi="Arial" w:cs="Arial"/>
          <w:noProof/>
          <w:sz w:val="20"/>
          <w:szCs w:val="20"/>
          <w:lang w:eastAsia="en-GB"/>
        </w:rPr>
        <w:t>Directive on the accessibility of the websites and mobile applications of public sector bodies</w:t>
      </w:r>
      <w:r>
        <w:rPr>
          <w:rStyle w:val="FootnoteReference"/>
          <w:rFonts w:ascii="Arial" w:hAnsi="Arial" w:cs="Arial"/>
          <w:noProof/>
          <w:sz w:val="20"/>
          <w:szCs w:val="20"/>
          <w:lang w:eastAsia="en-GB"/>
        </w:rPr>
        <w:footnoteReference w:id="12"/>
      </w:r>
      <w:r>
        <w:rPr>
          <w:rFonts w:ascii="Arial" w:hAnsi="Arial" w:cs="Arial"/>
          <w:noProof/>
          <w:sz w:val="20"/>
          <w:szCs w:val="20"/>
          <w:lang w:eastAsia="en-GB"/>
        </w:rPr>
        <w:t xml:space="preserve">. </w:t>
      </w:r>
    </w:p>
    <w:p>
      <w:pPr>
        <w:numPr>
          <w:ilvl w:val="0"/>
          <w:numId w:val="139"/>
        </w:numPr>
        <w:ind w:left="1276" w:hanging="425"/>
        <w:jc w:val="both"/>
        <w:rPr>
          <w:rFonts w:ascii="Arial" w:hAnsi="Arial" w:cs="Arial"/>
          <w:noProof/>
          <w:sz w:val="20"/>
          <w:szCs w:val="20"/>
        </w:rPr>
      </w:pPr>
      <w:r>
        <w:rPr>
          <w:rFonts w:ascii="Arial" w:hAnsi="Arial" w:cs="Arial"/>
          <w:noProof/>
          <w:sz w:val="20"/>
          <w:szCs w:val="20"/>
        </w:rPr>
        <w:t>The Commission referred five cases to the Court under Article 258 TFEU. They concern</w:t>
      </w:r>
    </w:p>
    <w:p>
      <w:pPr>
        <w:pStyle w:val="Lijstje2"/>
        <w:numPr>
          <w:ilvl w:val="0"/>
          <w:numId w:val="2"/>
        </w:numPr>
        <w:spacing w:after="200" w:line="240" w:lineRule="auto"/>
        <w:ind w:left="1701" w:hanging="425"/>
        <w:jc w:val="both"/>
        <w:rPr>
          <w:rFonts w:ascii="Arial" w:hAnsi="Arial" w:cs="Arial"/>
          <w:noProof/>
          <w:lang w:val="en-GB"/>
        </w:rPr>
      </w:pPr>
      <w:r>
        <w:rPr>
          <w:rFonts w:ascii="Arial" w:hAnsi="Arial" w:cs="Arial"/>
          <w:noProof/>
          <w:lang w:val="en-GB"/>
        </w:rPr>
        <w:t>the introduction of conditions on the transparency of organisations supported from abroad, in violation of the free movement of capital and the Charter of Fundamental Rights</w:t>
      </w:r>
      <w:r>
        <w:rPr>
          <w:rStyle w:val="FootnoteReference"/>
          <w:rFonts w:ascii="Arial" w:hAnsi="Arial" w:cs="Arial"/>
          <w:noProof/>
        </w:rPr>
        <w:footnoteReference w:id="13"/>
      </w:r>
      <w:r>
        <w:rPr>
          <w:rFonts w:ascii="Arial" w:hAnsi="Arial" w:cs="Arial"/>
          <w:noProof/>
          <w:lang w:val="en-GB"/>
        </w:rPr>
        <w:t>;</w:t>
      </w:r>
    </w:p>
    <w:p>
      <w:pPr>
        <w:pStyle w:val="Lijstje2"/>
        <w:numPr>
          <w:ilvl w:val="0"/>
          <w:numId w:val="2"/>
        </w:numPr>
        <w:spacing w:after="200" w:line="240" w:lineRule="auto"/>
        <w:ind w:left="1701" w:hanging="425"/>
        <w:jc w:val="both"/>
        <w:rPr>
          <w:rFonts w:ascii="Arial" w:hAnsi="Arial" w:cs="Arial"/>
          <w:noProof/>
          <w:szCs w:val="20"/>
          <w:lang w:val="en-US"/>
        </w:rPr>
      </w:pPr>
      <w:r>
        <w:rPr>
          <w:rFonts w:ascii="Arial" w:hAnsi="Arial" w:cs="Arial"/>
          <w:noProof/>
          <w:lang w:val="en-GB"/>
        </w:rPr>
        <w:t>non-compliance with the requirements of the Third Energy Package Directives (Electricity and Gas Directives)</w:t>
      </w:r>
      <w:r>
        <w:rPr>
          <w:rStyle w:val="FootnoteReference"/>
          <w:rFonts w:ascii="Arial" w:hAnsi="Arial" w:cs="Arial"/>
          <w:noProof/>
          <w:lang w:val="en-GB"/>
        </w:rPr>
        <w:footnoteReference w:id="14"/>
      </w:r>
      <w:r>
        <w:rPr>
          <w:rFonts w:ascii="Arial" w:hAnsi="Arial" w:cs="Arial"/>
          <w:noProof/>
          <w:lang w:val="en-GB"/>
        </w:rPr>
        <w:t>;</w:t>
      </w:r>
    </w:p>
    <w:p>
      <w:pPr>
        <w:pStyle w:val="Lijstje2"/>
        <w:numPr>
          <w:ilvl w:val="0"/>
          <w:numId w:val="2"/>
        </w:numPr>
        <w:spacing w:after="200" w:line="240" w:lineRule="auto"/>
        <w:ind w:left="1701" w:hanging="425"/>
        <w:jc w:val="both"/>
        <w:rPr>
          <w:rFonts w:ascii="Arial" w:hAnsi="Arial" w:cs="Arial"/>
          <w:noProof/>
          <w:szCs w:val="20"/>
          <w:lang w:val="en-US"/>
        </w:rPr>
      </w:pPr>
      <w:r>
        <w:rPr>
          <w:rFonts w:ascii="Arial" w:hAnsi="Arial" w:cs="Arial"/>
          <w:noProof/>
          <w:lang w:val="en-GB"/>
        </w:rPr>
        <w:t>exceedance</w:t>
      </w:r>
      <w:r>
        <w:rPr>
          <w:rFonts w:ascii="Arial" w:hAnsi="Arial" w:cs="Arial"/>
          <w:noProof/>
          <w:szCs w:val="20"/>
          <w:lang w:val="en-US"/>
        </w:rPr>
        <w:t xml:space="preserve"> of the PM</w:t>
      </w:r>
      <w:r>
        <w:rPr>
          <w:rFonts w:ascii="Arial" w:hAnsi="Arial" w:cs="Arial"/>
          <w:noProof/>
          <w:szCs w:val="20"/>
          <w:vertAlign w:val="subscript"/>
          <w:lang w:val="en-US"/>
        </w:rPr>
        <w:t>10</w:t>
      </w:r>
      <w:r>
        <w:rPr>
          <w:rStyle w:val="FootnoteReference"/>
          <w:rFonts w:ascii="Arial" w:hAnsi="Arial" w:cs="Arial"/>
          <w:noProof/>
          <w:szCs w:val="20"/>
        </w:rPr>
        <w:footnoteReference w:id="15"/>
      </w:r>
      <w:r>
        <w:rPr>
          <w:rFonts w:ascii="Arial" w:hAnsi="Arial" w:cs="Arial"/>
          <w:noProof/>
          <w:szCs w:val="20"/>
          <w:lang w:val="en-US"/>
        </w:rPr>
        <w:t xml:space="preserve"> limit values set by the Air Quality Directive</w:t>
      </w:r>
      <w:r>
        <w:rPr>
          <w:rStyle w:val="FootnoteReference"/>
          <w:rFonts w:ascii="Arial" w:hAnsi="Arial" w:cs="Arial"/>
          <w:noProof/>
          <w:szCs w:val="20"/>
        </w:rPr>
        <w:footnoteReference w:id="16"/>
      </w:r>
      <w:r>
        <w:rPr>
          <w:rFonts w:ascii="Arial" w:hAnsi="Arial" w:cs="Arial"/>
          <w:noProof/>
          <w:szCs w:val="20"/>
          <w:lang w:val="en-US"/>
        </w:rPr>
        <w:t>;</w:t>
      </w:r>
    </w:p>
    <w:p>
      <w:pPr>
        <w:pStyle w:val="Lijstje2"/>
        <w:numPr>
          <w:ilvl w:val="0"/>
          <w:numId w:val="2"/>
        </w:numPr>
        <w:spacing w:after="200" w:line="240" w:lineRule="auto"/>
        <w:ind w:left="1701" w:hanging="425"/>
        <w:jc w:val="both"/>
        <w:rPr>
          <w:rFonts w:ascii="Arial" w:hAnsi="Arial" w:cs="Arial"/>
          <w:noProof/>
          <w:szCs w:val="20"/>
          <w:lang w:val="en-US"/>
        </w:rPr>
      </w:pPr>
      <w:r>
        <w:rPr>
          <w:rFonts w:ascii="Arial" w:hAnsi="Arial" w:cs="Arial"/>
          <w:noProof/>
          <w:szCs w:val="20"/>
          <w:lang w:val="en-US"/>
        </w:rPr>
        <w:t>non-compliance of asylum and return legislation with EU law</w:t>
      </w:r>
      <w:r>
        <w:rPr>
          <w:rStyle w:val="FootnoteReference"/>
          <w:rFonts w:ascii="Arial" w:hAnsi="Arial" w:cs="Arial"/>
          <w:noProof/>
          <w:szCs w:val="20"/>
          <w:lang w:val="en-US"/>
        </w:rPr>
        <w:t xml:space="preserve"> </w:t>
      </w:r>
      <w:r>
        <w:rPr>
          <w:rStyle w:val="FootnoteReference"/>
          <w:rFonts w:ascii="Arial" w:hAnsi="Arial" w:cs="Arial"/>
          <w:noProof/>
          <w:szCs w:val="20"/>
        </w:rPr>
        <w:footnoteReference w:id="17"/>
      </w:r>
      <w:r>
        <w:rPr>
          <w:rFonts w:ascii="Arial" w:hAnsi="Arial" w:cs="Arial"/>
          <w:noProof/>
          <w:szCs w:val="20"/>
          <w:lang w:val="en-US"/>
        </w:rPr>
        <w:t>;</w:t>
      </w:r>
    </w:p>
    <w:p>
      <w:pPr>
        <w:pStyle w:val="Lijstje2"/>
        <w:numPr>
          <w:ilvl w:val="0"/>
          <w:numId w:val="2"/>
        </w:numPr>
        <w:spacing w:after="200" w:line="240" w:lineRule="auto"/>
        <w:ind w:left="1701" w:hanging="425"/>
        <w:jc w:val="both"/>
        <w:rPr>
          <w:rFonts w:ascii="Arial" w:hAnsi="Arial" w:cs="Arial"/>
          <w:noProof/>
          <w:szCs w:val="20"/>
          <w:lang w:val="en-US"/>
        </w:rPr>
      </w:pPr>
      <w:r>
        <w:rPr>
          <w:rFonts w:ascii="Arial" w:hAnsi="Arial" w:cs="Arial"/>
          <w:noProof/>
          <w:szCs w:val="20"/>
          <w:lang w:val="en-US"/>
        </w:rPr>
        <w:t>amendments of the Hungarian Higher Education Act (CCIV), which violate EU law by restricting the operations of EU and non-EU higher education institutions</w:t>
      </w:r>
      <w:r>
        <w:rPr>
          <w:rStyle w:val="FootnoteReference"/>
          <w:rFonts w:ascii="Arial" w:hAnsi="Arial" w:cs="Arial"/>
          <w:noProof/>
          <w:szCs w:val="20"/>
        </w:rPr>
        <w:footnoteReference w:id="18"/>
      </w:r>
      <w:r>
        <w:rPr>
          <w:rFonts w:ascii="Arial" w:hAnsi="Arial" w:cs="Arial"/>
          <w:noProof/>
          <w:szCs w:val="20"/>
          <w:lang w:val="en-US"/>
        </w:rPr>
        <w:t>.</w:t>
      </w:r>
    </w:p>
    <w:p>
      <w:pPr>
        <w:numPr>
          <w:ilvl w:val="0"/>
          <w:numId w:val="139"/>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77"/>
        </w:numPr>
        <w:rPr>
          <w:noProof/>
        </w:rPr>
      </w:pPr>
      <w:r>
        <w:rPr>
          <w:noProof/>
        </w:rPr>
        <w:t>TRANSPOSITION OF DIRECTIVES</w:t>
      </w:r>
    </w:p>
    <w:p>
      <w:pPr>
        <w:numPr>
          <w:ilvl w:val="0"/>
          <w:numId w:val="249"/>
        </w:numPr>
        <w:spacing w:before="240"/>
        <w:outlineLvl w:val="1"/>
        <w:rPr>
          <w:rFonts w:ascii="Arial" w:hAnsi="Arial"/>
          <w:noProof/>
          <w:color w:val="002060"/>
        </w:rPr>
      </w:pPr>
      <w:r>
        <w:rPr>
          <w:rFonts w:ascii="Arial" w:hAnsi="Arial"/>
          <w:noProof/>
          <w:color w:val="002060"/>
        </w:rPr>
        <w:t>Late transposition infringement cases against Hungary open on 31 December (2014-2018)</w:t>
      </w:r>
    </w:p>
    <w:p>
      <w:pPr>
        <w:ind w:left="426" w:firstLine="283"/>
        <w:rPr>
          <w:noProof/>
        </w:rPr>
      </w:pPr>
      <w:r>
        <w:rPr>
          <w:noProof/>
          <w:lang w:eastAsia="en-GB"/>
        </w:rPr>
        <w:drawing>
          <wp:inline distT="0" distB="0" distL="0" distR="0">
            <wp:extent cx="4563745" cy="2289810"/>
            <wp:effectExtent l="0" t="0" r="8255" b="15240"/>
            <wp:docPr id="18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numPr>
          <w:ilvl w:val="0"/>
          <w:numId w:val="249"/>
        </w:numPr>
        <w:spacing w:before="240"/>
        <w:ind w:left="709" w:hanging="425"/>
        <w:outlineLvl w:val="1"/>
        <w:rPr>
          <w:rFonts w:ascii="Arial" w:hAnsi="Arial"/>
          <w:noProof/>
          <w:color w:val="002060"/>
        </w:rPr>
      </w:pPr>
      <w:r>
        <w:rPr>
          <w:rFonts w:ascii="Arial" w:hAnsi="Arial"/>
          <w:noProof/>
          <w:color w:val="002060"/>
        </w:rPr>
        <w:t>New late transposition infringement cases against Hungary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63745" cy="2170430"/>
            <wp:effectExtent l="0" t="0" r="8255" b="1270"/>
            <wp:docPr id="18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numPr>
          <w:ilvl w:val="0"/>
          <w:numId w:val="249"/>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ind w:firstLine="709"/>
        <w:rPr>
          <w:rFonts w:ascii="Arial" w:hAnsi="Arial" w:cs="Arial"/>
          <w:noProof/>
          <w:sz w:val="20"/>
        </w:rPr>
      </w:pPr>
      <w:r>
        <w:rPr>
          <w:rFonts w:ascii="Arial" w:hAnsi="Arial" w:cs="Arial"/>
          <w:noProof/>
          <w:sz w:val="20"/>
          <w:lang w:eastAsia="en-GB"/>
        </w:rPr>
        <w:drawing>
          <wp:inline distT="0" distB="0" distL="0" distR="0">
            <wp:extent cx="4596130" cy="2330450"/>
            <wp:effectExtent l="0" t="0" r="13970" b="12700"/>
            <wp:docPr id="188"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249"/>
        </w:numPr>
        <w:spacing w:before="240"/>
        <w:ind w:left="709" w:hanging="425"/>
        <w:outlineLvl w:val="1"/>
        <w:rPr>
          <w:rFonts w:ascii="Arial" w:hAnsi="Arial" w:cs="Arial"/>
          <w:noProof/>
          <w:color w:val="002060"/>
        </w:rPr>
      </w:pPr>
      <w:r>
        <w:rPr>
          <w:rFonts w:ascii="Arial" w:hAnsi="Arial"/>
          <w:noProof/>
          <w:color w:val="002060"/>
        </w:rPr>
        <w:t xml:space="preserve">Referrals to the </w:t>
      </w:r>
      <w:r>
        <w:rPr>
          <w:rFonts w:ascii="Arial" w:hAnsi="Arial" w:cs="Arial"/>
          <w:noProof/>
          <w:color w:val="002060"/>
        </w:rPr>
        <w:t>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77"/>
        </w:numPr>
        <w:rPr>
          <w:noProof/>
        </w:rPr>
      </w:pPr>
      <w:r>
        <w:rPr>
          <w:noProof/>
        </w:rPr>
        <w:t>EARLY RESOLUTION OF INFRINGEMENT CASES</w:t>
      </w:r>
    </w:p>
    <w:p>
      <w:pPr>
        <w:spacing w:after="60"/>
        <w:ind w:left="786" w:hanging="77"/>
        <w:outlineLvl w:val="1"/>
        <w:rPr>
          <w:rFonts w:ascii="Arial" w:hAnsi="Arial" w:cs="Arial"/>
          <w:noProof/>
          <w:color w:val="002060"/>
        </w:rPr>
      </w:pPr>
      <w:r>
        <w:rPr>
          <w:rFonts w:ascii="Arial" w:hAnsi="Arial" w:cs="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224"/>
        </w:numPr>
        <w:spacing w:after="120"/>
        <w:jc w:val="both"/>
        <w:rPr>
          <w:rFonts w:ascii="Arial" w:hAnsi="Arial" w:cs="Arial"/>
          <w:noProof/>
          <w:sz w:val="20"/>
        </w:rPr>
      </w:pPr>
      <w:r>
        <w:rPr>
          <w:rFonts w:ascii="Arial" w:eastAsia="Calibri" w:hAnsi="Arial" w:cs="Arial"/>
          <w:noProof/>
          <w:kern w:val="20"/>
          <w:sz w:val="20"/>
          <w:lang w:eastAsia="en-GB"/>
        </w:rPr>
        <w:t>non-communication of national measures transposing the Directives on</w:t>
      </w:r>
    </w:p>
    <w:p>
      <w:pPr>
        <w:pStyle w:val="ListParagraph"/>
        <w:numPr>
          <w:ilvl w:val="1"/>
          <w:numId w:val="224"/>
        </w:numPr>
        <w:spacing w:after="120"/>
        <w:rPr>
          <w:rFonts w:ascii="Arial" w:hAnsi="Arial" w:cs="Arial"/>
          <w:noProof/>
          <w:sz w:val="20"/>
          <w:szCs w:val="20"/>
        </w:rPr>
      </w:pPr>
      <w:r>
        <w:rPr>
          <w:rFonts w:ascii="Arial" w:hAnsi="Arial" w:cs="Arial"/>
          <w:noProof/>
          <w:sz w:val="20"/>
          <w:szCs w:val="20"/>
        </w:rPr>
        <w:t>tobacco products</w:t>
      </w:r>
      <w:r>
        <w:rPr>
          <w:rFonts w:ascii="Arial" w:hAnsi="Arial" w:cs="Arial"/>
          <w:noProof/>
          <w:sz w:val="20"/>
          <w:szCs w:val="20"/>
          <w:vertAlign w:val="superscript"/>
          <w:lang w:val="nl-NL"/>
        </w:rPr>
        <w:footnoteReference w:id="19"/>
      </w:r>
      <w:r>
        <w:rPr>
          <w:rFonts w:ascii="Arial" w:hAnsi="Arial" w:cs="Arial"/>
          <w:noProof/>
          <w:sz w:val="20"/>
          <w:szCs w:val="20"/>
        </w:rPr>
        <w:t>;</w:t>
      </w:r>
    </w:p>
    <w:p>
      <w:pPr>
        <w:pStyle w:val="ListParagraph"/>
        <w:numPr>
          <w:ilvl w:val="1"/>
          <w:numId w:val="224"/>
        </w:numPr>
        <w:spacing w:after="120"/>
        <w:jc w:val="both"/>
        <w:rPr>
          <w:rFonts w:ascii="Arial" w:hAnsi="Arial" w:cs="Arial"/>
          <w:noProof/>
          <w:sz w:val="20"/>
        </w:rPr>
      </w:pPr>
      <w:r>
        <w:rPr>
          <w:rFonts w:ascii="Arial" w:eastAsia="Calibri" w:hAnsi="Arial" w:cs="Arial"/>
          <w:noProof/>
          <w:kern w:val="20"/>
          <w:sz w:val="20"/>
          <w:lang w:eastAsia="en-GB"/>
        </w:rPr>
        <w:t>protective measures against the introduction into the Community of organisms harmful to plants</w:t>
      </w:r>
      <w:r>
        <w:rPr>
          <w:noProof/>
          <w:vertAlign w:val="superscript"/>
          <w:lang w:val="nl-NL" w:eastAsia="en-GB"/>
        </w:rPr>
        <w:footnoteReference w:id="20"/>
      </w:r>
      <w:r>
        <w:rPr>
          <w:rFonts w:ascii="Arial" w:eastAsia="Calibri" w:hAnsi="Arial" w:cs="Arial"/>
          <w:noProof/>
          <w:kern w:val="20"/>
          <w:sz w:val="20"/>
          <w:lang w:eastAsia="en-GB"/>
        </w:rPr>
        <w:t>;</w:t>
      </w:r>
    </w:p>
    <w:p>
      <w:pPr>
        <w:pStyle w:val="ListParagraph"/>
        <w:numPr>
          <w:ilvl w:val="1"/>
          <w:numId w:val="224"/>
        </w:numPr>
        <w:spacing w:after="120"/>
        <w:rPr>
          <w:rFonts w:ascii="Arial" w:hAnsi="Arial" w:cs="Arial"/>
          <w:noProof/>
          <w:sz w:val="20"/>
        </w:rPr>
      </w:pPr>
      <w:r>
        <w:rPr>
          <w:rFonts w:ascii="Arial" w:hAnsi="Arial" w:cs="Arial"/>
          <w:bCs/>
          <w:noProof/>
          <w:sz w:val="20"/>
        </w:rPr>
        <w:t>the freezing and confiscation of instrumentalities and proceeds of crime</w:t>
      </w:r>
      <w:r>
        <w:rPr>
          <w:rStyle w:val="FootnoteReference"/>
          <w:rFonts w:ascii="Arial" w:hAnsi="Arial" w:cs="Arial"/>
          <w:bCs/>
          <w:noProof/>
          <w:sz w:val="20"/>
        </w:rPr>
        <w:footnoteReference w:id="21"/>
      </w:r>
      <w:r>
        <w:rPr>
          <w:rFonts w:ascii="Arial" w:hAnsi="Arial" w:cs="Arial"/>
          <w:bCs/>
          <w:noProof/>
          <w:sz w:val="20"/>
        </w:rPr>
        <w:t>;</w:t>
      </w:r>
    </w:p>
    <w:p>
      <w:pPr>
        <w:pStyle w:val="ListParagraph"/>
        <w:numPr>
          <w:ilvl w:val="0"/>
          <w:numId w:val="224"/>
        </w:numPr>
        <w:spacing w:after="120"/>
        <w:jc w:val="both"/>
        <w:rPr>
          <w:rFonts w:ascii="Arial" w:eastAsia="Calibri" w:hAnsi="Arial" w:cs="Arial"/>
          <w:noProof/>
          <w:kern w:val="20"/>
          <w:sz w:val="20"/>
          <w:lang w:eastAsia="en-GB"/>
        </w:rPr>
      </w:pPr>
      <w:r>
        <w:rPr>
          <w:rFonts w:ascii="Arial" w:eastAsia="Calibri" w:hAnsi="Arial" w:cs="Arial"/>
          <w:noProof/>
          <w:kern w:val="20"/>
          <w:sz w:val="20"/>
          <w:lang w:eastAsia="en-GB"/>
        </w:rPr>
        <w:t>incorrect transposition of the Directive on the protection of the environment through criminal law</w:t>
      </w:r>
      <w:r>
        <w:rPr>
          <w:rFonts w:ascii="Arial" w:eastAsia="Calibri" w:hAnsi="Arial" w:cs="Arial"/>
          <w:noProof/>
          <w:kern w:val="20"/>
          <w:sz w:val="20"/>
          <w:vertAlign w:val="superscript"/>
          <w:lang w:eastAsia="en-GB"/>
        </w:rPr>
        <w:footnoteReference w:id="22"/>
      </w:r>
      <w:r>
        <w:rPr>
          <w:rFonts w:ascii="Arial" w:eastAsia="Calibri" w:hAnsi="Arial" w:cs="Arial"/>
          <w:noProof/>
          <w:kern w:val="20"/>
          <w:sz w:val="20"/>
          <w:lang w:eastAsia="en-GB"/>
        </w:rPr>
        <w:t>;</w:t>
      </w:r>
    </w:p>
    <w:p>
      <w:pPr>
        <w:pStyle w:val="ListParagraph"/>
        <w:numPr>
          <w:ilvl w:val="0"/>
          <w:numId w:val="224"/>
        </w:numPr>
        <w:spacing w:after="120"/>
        <w:jc w:val="both"/>
        <w:rPr>
          <w:rFonts w:ascii="Arial" w:eastAsia="Calibri" w:hAnsi="Arial" w:cs="Arial"/>
          <w:noProof/>
          <w:kern w:val="20"/>
          <w:sz w:val="20"/>
          <w:szCs w:val="20"/>
          <w:lang w:eastAsia="en-GB"/>
        </w:rPr>
      </w:pPr>
      <w:r>
        <w:rPr>
          <w:rFonts w:ascii="Arial" w:eastAsia="Calibri" w:hAnsi="Arial" w:cs="Arial"/>
          <w:noProof/>
          <w:kern w:val="20"/>
          <w:sz w:val="20"/>
          <w:szCs w:val="20"/>
          <w:lang w:eastAsia="en-GB"/>
        </w:rPr>
        <w:t>in</w:t>
      </w:r>
      <w:r>
        <w:rPr>
          <w:rFonts w:ascii="Arial" w:hAnsi="Arial" w:cs="Arial"/>
          <w:noProof/>
          <w:sz w:val="20"/>
          <w:szCs w:val="20"/>
        </w:rPr>
        <w:t>correct transposition of the EU rules on maternity leave.</w:t>
      </w:r>
    </w:p>
    <w:p>
      <w:pPr>
        <w:pStyle w:val="AnnualReport1"/>
        <w:numPr>
          <w:ilvl w:val="0"/>
          <w:numId w:val="177"/>
        </w:numPr>
        <w:rPr>
          <w:noProof/>
        </w:rPr>
      </w:pPr>
      <w:r>
        <w:rPr>
          <w:noProof/>
        </w:rPr>
        <w:t>IMPORTANT JUDGMENTS</w:t>
      </w:r>
    </w:p>
    <w:p>
      <w:pPr>
        <w:numPr>
          <w:ilvl w:val="0"/>
          <w:numId w:val="104"/>
        </w:numPr>
        <w:spacing w:before="240"/>
        <w:ind w:left="709" w:hanging="425"/>
        <w:outlineLvl w:val="1"/>
        <w:rPr>
          <w:rFonts w:ascii="Arial" w:hAnsi="Arial" w:cs="Arial"/>
          <w:noProof/>
          <w:color w:val="002060"/>
        </w:rPr>
      </w:pPr>
      <w:r>
        <w:rPr>
          <w:rFonts w:ascii="Arial" w:hAnsi="Arial" w:cs="Arial"/>
          <w:noProof/>
          <w:color w:val="002060"/>
        </w:rPr>
        <w:t>Court rulings</w:t>
      </w:r>
    </w:p>
    <w:p>
      <w:pPr>
        <w:spacing w:after="120"/>
        <w:ind w:firstLine="709"/>
        <w:rPr>
          <w:rFonts w:ascii="Arial" w:hAnsi="Arial" w:cs="Arial"/>
          <w:noProof/>
          <w:sz w:val="20"/>
        </w:rPr>
      </w:pPr>
      <w:r>
        <w:rPr>
          <w:rFonts w:ascii="Arial" w:hAnsi="Arial" w:cs="Arial"/>
          <w:noProof/>
          <w:sz w:val="20"/>
        </w:rPr>
        <w:t>The Court ruled that:</w:t>
      </w:r>
    </w:p>
    <w:p>
      <w:pPr>
        <w:pStyle w:val="ListParagraph"/>
        <w:numPr>
          <w:ilvl w:val="0"/>
          <w:numId w:val="231"/>
        </w:numPr>
        <w:spacing w:after="120"/>
        <w:ind w:left="1418"/>
        <w:jc w:val="both"/>
        <w:rPr>
          <w:rFonts w:ascii="Arial" w:hAnsi="Arial" w:cs="Arial"/>
          <w:noProof/>
          <w:sz w:val="20"/>
        </w:rPr>
      </w:pPr>
      <w:r>
        <w:rPr>
          <w:rFonts w:ascii="Arial" w:hAnsi="Arial" w:cs="Arial"/>
          <w:i/>
          <w:noProof/>
          <w:sz w:val="20"/>
          <w:szCs w:val="20"/>
        </w:rPr>
        <w:t>Hungary</w:t>
      </w:r>
      <w:r>
        <w:rPr>
          <w:rFonts w:ascii="Arial" w:hAnsi="Arial" w:cs="Arial"/>
          <w:noProof/>
          <w:sz w:val="20"/>
          <w:szCs w:val="20"/>
        </w:rPr>
        <w:t xml:space="preserve"> breached its obligations under the Services Directive by </w:t>
      </w:r>
      <w:r>
        <w:rPr>
          <w:rFonts w:ascii="Arial" w:hAnsi="Arial" w:cs="Arial"/>
          <w:noProof/>
          <w:sz w:val="20"/>
          <w:szCs w:val="20"/>
          <w:lang w:val="en-IE"/>
        </w:rPr>
        <w:t>adopting legislation creating a monopoly by a State-owned entity on the provision of mobile payments services for public parking and other activities</w:t>
      </w:r>
      <w:r>
        <w:rPr>
          <w:rStyle w:val="FootnoteReference"/>
          <w:rFonts w:ascii="Arial" w:hAnsi="Arial" w:cs="Arial"/>
          <w:noProof/>
          <w:sz w:val="20"/>
          <w:szCs w:val="20"/>
        </w:rPr>
        <w:footnoteReference w:id="23"/>
      </w:r>
      <w:r>
        <w:rPr>
          <w:rFonts w:ascii="Arial" w:hAnsi="Arial" w:cs="Arial"/>
          <w:noProof/>
          <w:sz w:val="20"/>
          <w:szCs w:val="20"/>
        </w:rPr>
        <w:t>.</w:t>
      </w:r>
    </w:p>
    <w:p>
      <w:pPr>
        <w:numPr>
          <w:ilvl w:val="0"/>
          <w:numId w:val="104"/>
        </w:numPr>
        <w:spacing w:before="240"/>
        <w:ind w:left="709" w:hanging="425"/>
        <w:outlineLvl w:val="1"/>
        <w:rPr>
          <w:rFonts w:ascii="Arial" w:hAnsi="Arial" w:cs="Arial"/>
          <w:noProof/>
          <w:color w:val="002060"/>
        </w:rPr>
      </w:pPr>
      <w:r>
        <w:rPr>
          <w:rFonts w:ascii="Arial" w:hAnsi="Arial" w:cs="Arial"/>
          <w:noProof/>
          <w:color w:val="002060"/>
        </w:rPr>
        <w:t>Preliminary rulings</w:t>
      </w:r>
    </w:p>
    <w:p>
      <w:pPr>
        <w:spacing w:after="120"/>
        <w:ind w:left="426" w:firstLine="294"/>
        <w:jc w:val="both"/>
        <w:rPr>
          <w:rFonts w:ascii="Arial" w:hAnsi="Arial" w:cs="Arial"/>
          <w:noProof/>
          <w:sz w:val="20"/>
        </w:rPr>
      </w:pPr>
      <w:r>
        <w:rPr>
          <w:rFonts w:ascii="Arial" w:hAnsi="Arial" w:cs="Arial"/>
          <w:noProof/>
          <w:sz w:val="20"/>
        </w:rPr>
        <w:t>The Court addressed the following preliminary rulings to the Hungarian judiciary.</w:t>
      </w:r>
    </w:p>
    <w:p>
      <w:pPr>
        <w:pStyle w:val="ListParagraph"/>
        <w:numPr>
          <w:ilvl w:val="0"/>
          <w:numId w:val="218"/>
        </w:numPr>
        <w:spacing w:line="240" w:lineRule="auto"/>
        <w:jc w:val="both"/>
        <w:rPr>
          <w:rFonts w:ascii="Arial" w:hAnsi="Arial" w:cs="Arial"/>
          <w:noProof/>
          <w:sz w:val="20"/>
          <w:szCs w:val="20"/>
        </w:rPr>
      </w:pPr>
      <w:r>
        <w:rPr>
          <w:rFonts w:ascii="Arial" w:hAnsi="Arial" w:cs="Arial"/>
          <w:noProof/>
          <w:sz w:val="20"/>
          <w:szCs w:val="20"/>
        </w:rPr>
        <w:t>Recourse to a psychologist’s expert report for the purpose of assessing the veracity of a claim made by an asylum seeker as to his sexual orientation constitutes an interference with that person’s right to respect for his private life and is not consistent with EU law</w:t>
      </w:r>
      <w:r>
        <w:rPr>
          <w:rStyle w:val="FootnoteReference"/>
          <w:rFonts w:ascii="Arial" w:hAnsi="Arial" w:cs="Arial"/>
          <w:noProof/>
          <w:sz w:val="20"/>
          <w:szCs w:val="20"/>
        </w:rPr>
        <w:footnoteReference w:id="24"/>
      </w:r>
      <w:r>
        <w:rPr>
          <w:rFonts w:ascii="Arial" w:hAnsi="Arial" w:cs="Arial"/>
          <w:noProof/>
          <w:sz w:val="20"/>
          <w:szCs w:val="20"/>
        </w:rPr>
        <w:t>.</w:t>
      </w:r>
    </w:p>
    <w:p>
      <w:pPr>
        <w:pStyle w:val="ListParagraph"/>
        <w:numPr>
          <w:ilvl w:val="0"/>
          <w:numId w:val="218"/>
        </w:numPr>
        <w:spacing w:line="240" w:lineRule="auto"/>
        <w:jc w:val="both"/>
        <w:rPr>
          <w:rFonts w:ascii="Arial" w:hAnsi="Arial" w:cs="Arial"/>
          <w:noProof/>
          <w:sz w:val="20"/>
          <w:szCs w:val="20"/>
        </w:rPr>
      </w:pPr>
      <w:r>
        <w:rPr>
          <w:rFonts w:ascii="Arial" w:hAnsi="Arial" w:cs="Arial"/>
          <w:noProof/>
          <w:sz w:val="20"/>
          <w:szCs w:val="20"/>
        </w:rPr>
        <w:t>Any decision to exclude a person from refugee status or subsidiary protection must be preceded by a full investigation into all the circumstances of his individual case and cannot be taken automatically. The penalty provided for a specific crime under the law of the particular Member State may not constitute the sole criterion to determine whether the person claiming subsidiary protection may be excluded from it</w:t>
      </w:r>
      <w:r>
        <w:rPr>
          <w:rStyle w:val="FootnoteReference"/>
          <w:rFonts w:ascii="Arial" w:hAnsi="Arial" w:cs="Arial"/>
          <w:noProof/>
          <w:sz w:val="20"/>
          <w:szCs w:val="20"/>
        </w:rPr>
        <w:footnoteReference w:id="25"/>
      </w:r>
      <w:r>
        <w:rPr>
          <w:rFonts w:ascii="Arial" w:hAnsi="Arial" w:cs="Arial"/>
          <w:noProof/>
          <w:sz w:val="20"/>
          <w:szCs w:val="20"/>
        </w:rPr>
        <w:t>.</w:t>
      </w:r>
    </w:p>
    <w:p>
      <w:pPr>
        <w:pStyle w:val="ListParagraph"/>
        <w:numPr>
          <w:ilvl w:val="0"/>
          <w:numId w:val="218"/>
        </w:numPr>
        <w:spacing w:after="120"/>
        <w:jc w:val="both"/>
        <w:rPr>
          <w:rFonts w:ascii="Arial" w:hAnsi="Arial" w:cs="Arial"/>
          <w:noProof/>
          <w:sz w:val="20"/>
        </w:rPr>
      </w:pPr>
      <w:r>
        <w:rPr>
          <w:rFonts w:ascii="Arial" w:eastAsia="Calibri" w:hAnsi="Arial" w:cs="Arial"/>
          <w:noProof/>
          <w:kern w:val="20"/>
          <w:sz w:val="20"/>
          <w:lang w:eastAsia="en-GB"/>
        </w:rPr>
        <w:t>National legislation restricting usufructuary rights over agricultural land breaches the free movement of capital. The Court concluded that the claimants could enjoy the property in which they invested capital and the national legislation was potentially discriminatory as it favoured close family members of the landowners, who were mainly Hungarian citizens</w:t>
      </w:r>
      <w:r>
        <w:rPr>
          <w:rStyle w:val="FootnoteReference"/>
          <w:rFonts w:ascii="Arial" w:eastAsia="Calibri" w:hAnsi="Arial" w:cs="Arial"/>
          <w:noProof/>
          <w:kern w:val="20"/>
          <w:sz w:val="20"/>
          <w:lang w:eastAsia="en-GB"/>
        </w:rPr>
        <w:footnoteReference w:id="26"/>
      </w:r>
      <w:r>
        <w:rPr>
          <w:rFonts w:ascii="Arial" w:eastAsia="Calibri" w:hAnsi="Arial" w:cs="Arial"/>
          <w:noProof/>
          <w:kern w:val="20"/>
          <w:sz w:val="20"/>
          <w:lang w:eastAsia="en-GB"/>
        </w:rPr>
        <w:t>.</w:t>
      </w:r>
    </w:p>
    <w:p>
      <w:pPr>
        <w:pStyle w:val="ListParagraph"/>
        <w:numPr>
          <w:ilvl w:val="0"/>
          <w:numId w:val="218"/>
        </w:numPr>
        <w:spacing w:after="120"/>
        <w:jc w:val="both"/>
        <w:rPr>
          <w:rFonts w:ascii="Arial" w:hAnsi="Arial" w:cs="Arial"/>
          <w:noProof/>
          <w:sz w:val="20"/>
        </w:rPr>
      </w:pPr>
      <w:r>
        <w:rPr>
          <w:rFonts w:ascii="Arial" w:hAnsi="Arial" w:cs="Arial"/>
          <w:bCs/>
          <w:noProof/>
          <w:sz w:val="20"/>
          <w:szCs w:val="20"/>
        </w:rPr>
        <w:t>The requirement of proportionality concerning the system of penalties applicable set out in the Directive on the charging of heavy goods vehicles for the use of certain infrastructures does not have direct effect</w:t>
      </w:r>
      <w:r>
        <w:rPr>
          <w:rFonts w:ascii="Arial" w:hAnsi="Arial" w:cs="Arial"/>
          <w:bCs/>
          <w:noProof/>
          <w:sz w:val="20"/>
          <w:szCs w:val="20"/>
          <w:vertAlign w:val="superscript"/>
        </w:rPr>
        <w:footnoteReference w:id="27"/>
      </w:r>
      <w:r>
        <w:rPr>
          <w:rFonts w:ascii="Arial" w:hAnsi="Arial" w:cs="Arial"/>
          <w:bCs/>
          <w:noProof/>
          <w:sz w:val="20"/>
          <w:szCs w:val="20"/>
        </w:rPr>
        <w:t>.</w:t>
      </w:r>
    </w:p>
    <w:p>
      <w:pPr>
        <w:pStyle w:val="ListParagraph"/>
        <w:numPr>
          <w:ilvl w:val="0"/>
          <w:numId w:val="218"/>
        </w:numPr>
        <w:spacing w:after="120"/>
        <w:jc w:val="both"/>
        <w:rPr>
          <w:rFonts w:ascii="Arial" w:hAnsi="Arial" w:cs="Arial"/>
          <w:noProof/>
          <w:sz w:val="20"/>
        </w:rPr>
      </w:pPr>
      <w:r>
        <w:rPr>
          <w:rFonts w:ascii="Arial" w:hAnsi="Arial" w:cs="Arial"/>
          <w:noProof/>
          <w:sz w:val="20"/>
          <w:szCs w:val="20"/>
        </w:rPr>
        <w:t>When businesses fulfil the conditions of the special exemption scheme for small enterprises, for the scheme to apply the taxable person must opt for its application. In the absence of doing so, the normal VAT obligations apply by default</w:t>
      </w:r>
      <w:r>
        <w:rPr>
          <w:rStyle w:val="FootnoteReference"/>
          <w:rFonts w:ascii="Arial" w:hAnsi="Arial" w:cs="Arial"/>
          <w:noProof/>
          <w:sz w:val="20"/>
          <w:szCs w:val="20"/>
        </w:rPr>
        <w:footnoteReference w:id="28"/>
      </w:r>
      <w:r>
        <w:rPr>
          <w:rFonts w:ascii="Arial" w:hAnsi="Arial" w:cs="Arial"/>
          <w:noProof/>
          <w:sz w:val="20"/>
          <w:szCs w:val="20"/>
        </w:rPr>
        <w:t>.</w:t>
      </w:r>
    </w:p>
    <w:p>
      <w:pPr>
        <w:pStyle w:val="ListParagraph"/>
        <w:numPr>
          <w:ilvl w:val="0"/>
          <w:numId w:val="218"/>
        </w:numPr>
        <w:spacing w:after="120"/>
        <w:jc w:val="both"/>
        <w:rPr>
          <w:rFonts w:ascii="Arial" w:hAnsi="Arial" w:cs="Arial"/>
          <w:noProof/>
          <w:sz w:val="20"/>
          <w:szCs w:val="20"/>
        </w:rPr>
      </w:pPr>
      <w:r>
        <w:rPr>
          <w:rFonts w:ascii="Arial" w:hAnsi="Arial" w:cs="Arial"/>
          <w:noProof/>
          <w:sz w:val="20"/>
          <w:szCs w:val="20"/>
          <w:lang w:val="en-US"/>
        </w:rPr>
        <w:t>The case concerns a  national procedural rule which submits the possibility of asserting a claim under civil law in the event of an infringement of the rules governing public procurement and the award of public contracts to the condition that the infringement be definitively established by a court decision. The Court ruled that the rule can be considered compatible with EU legislation</w:t>
      </w:r>
      <w:r>
        <w:rPr>
          <w:rStyle w:val="FootnoteReference"/>
          <w:rFonts w:ascii="Arial" w:hAnsi="Arial" w:cs="Arial"/>
          <w:noProof/>
          <w:sz w:val="20"/>
          <w:szCs w:val="20"/>
          <w:lang w:val="en-US"/>
        </w:rPr>
        <w:footnoteReference w:id="29"/>
      </w:r>
      <w:r>
        <w:rPr>
          <w:rFonts w:ascii="Arial" w:hAnsi="Arial" w:cs="Arial"/>
          <w:noProof/>
          <w:sz w:val="20"/>
          <w:szCs w:val="20"/>
          <w:lang w:val="en-US"/>
        </w:rPr>
        <w:t>.</w:t>
      </w:r>
    </w:p>
    <w:p>
      <w:pPr>
        <w:pStyle w:val="ListParagraph"/>
        <w:numPr>
          <w:ilvl w:val="0"/>
          <w:numId w:val="218"/>
        </w:numPr>
        <w:spacing w:after="120"/>
        <w:jc w:val="both"/>
        <w:rPr>
          <w:rFonts w:ascii="Arial" w:hAnsi="Arial" w:cs="Arial"/>
          <w:noProof/>
          <w:sz w:val="20"/>
          <w:szCs w:val="20"/>
        </w:rPr>
      </w:pPr>
      <w:r>
        <w:rPr>
          <w:rFonts w:ascii="Arial" w:hAnsi="Arial" w:cs="Arial"/>
          <w:noProof/>
          <w:sz w:val="20"/>
          <w:szCs w:val="20"/>
          <w:lang w:val="en-US"/>
        </w:rPr>
        <w:t>The unfairness of an unclear contractual term which places the exchange rate risk on the borrower and does not reflect statutory provisions may be subject to judicial review</w:t>
      </w:r>
      <w:r>
        <w:rPr>
          <w:rStyle w:val="FootnoteReference"/>
          <w:rFonts w:ascii="Arial" w:hAnsi="Arial" w:cs="Arial"/>
          <w:noProof/>
          <w:sz w:val="20"/>
          <w:szCs w:val="20"/>
          <w:lang w:val="en-US"/>
        </w:rPr>
        <w:footnoteReference w:id="30"/>
      </w:r>
      <w:r>
        <w:rPr>
          <w:rFonts w:ascii="Arial" w:hAnsi="Arial" w:cs="Arial"/>
          <w:noProof/>
          <w:sz w:val="20"/>
          <w:szCs w:val="20"/>
          <w:lang w:val="en-US"/>
        </w:rPr>
        <w:t>.</w:t>
      </w:r>
    </w:p>
    <w:p>
      <w:pPr>
        <w:spacing w:after="120"/>
        <w:ind w:left="1276" w:hanging="425"/>
        <w:contextualSpacing/>
        <w:jc w:val="both"/>
        <w:rPr>
          <w:rFonts w:ascii="Arial" w:eastAsia="Calibri" w:hAnsi="Arial" w:cs="Arial"/>
          <w:noProof/>
          <w:kern w:val="20"/>
          <w:sz w:val="20"/>
          <w:szCs w:val="20"/>
        </w:rPr>
      </w:pPr>
    </w:p>
    <w:p>
      <w:pPr>
        <w:spacing w:after="0"/>
        <w:rPr>
          <w:noProof/>
        </w:rPr>
        <w:sectPr>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6" w:h="16838"/>
          <w:pgMar w:top="1702" w:right="1417" w:bottom="1134" w:left="1417" w:header="567" w:footer="351" w:gutter="0"/>
          <w:pgNumType w:start="111"/>
          <w:cols w:space="708"/>
          <w:titlePg/>
          <w:docGrid w:linePitch="360"/>
        </w:sectPr>
      </w:pPr>
    </w:p>
    <w:p>
      <w:pPr>
        <w:keepNext/>
        <w:keepLines/>
        <w:jc w:val="center"/>
        <w:outlineLvl w:val="0"/>
        <w:rPr>
          <w:rFonts w:ascii="Arial" w:eastAsia="SimSun" w:hAnsi="Arial"/>
          <w:bCs/>
          <w:noProof/>
          <w:color w:val="A6A6A6"/>
          <w:szCs w:val="28"/>
        </w:rPr>
      </w:pPr>
      <w:bookmarkStart w:id="24" w:name="_Toc484622334"/>
      <w:bookmarkStart w:id="25" w:name="_Toc5728030"/>
      <w:r>
        <w:rPr>
          <w:rFonts w:ascii="Arial" w:eastAsia="SimSun" w:hAnsi="Arial"/>
          <w:bCs/>
          <w:noProof/>
          <w:color w:val="A6A6A6"/>
          <w:szCs w:val="28"/>
        </w:rPr>
        <w:t>Malta</w:t>
      </w:r>
      <w:bookmarkEnd w:id="21"/>
      <w:bookmarkEnd w:id="22"/>
      <w:bookmarkEnd w:id="23"/>
      <w:bookmarkEnd w:id="24"/>
      <w:bookmarkEnd w:id="25"/>
    </w:p>
    <w:p>
      <w:pPr>
        <w:pStyle w:val="AnnualReport1"/>
        <w:numPr>
          <w:ilvl w:val="0"/>
          <w:numId w:val="178"/>
        </w:numPr>
        <w:rPr>
          <w:noProof/>
        </w:rPr>
      </w:pPr>
      <w:r>
        <w:rPr>
          <w:noProof/>
        </w:rPr>
        <w:t>COMPLAINTS</w:t>
      </w:r>
    </w:p>
    <w:p>
      <w:pPr>
        <w:numPr>
          <w:ilvl w:val="2"/>
          <w:numId w:val="1"/>
        </w:numPr>
        <w:spacing w:before="240"/>
        <w:ind w:left="709" w:hanging="425"/>
        <w:outlineLvl w:val="1"/>
        <w:rPr>
          <w:rFonts w:ascii="Arial" w:hAnsi="Arial"/>
          <w:noProof/>
          <w:color w:val="002060"/>
        </w:rPr>
      </w:pPr>
      <w:r>
        <w:rPr>
          <w:rFonts w:ascii="Arial" w:hAnsi="Arial"/>
          <w:noProof/>
          <w:color w:val="002060"/>
        </w:rPr>
        <w:t>New complaints made against Malta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0255" cy="2210435"/>
            <wp:effectExtent l="0" t="0" r="0" b="0"/>
            <wp:docPr id="18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Public complaints against Malta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24</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30</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29</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lang w:eastAsia="en-GB"/>
              </w:rPr>
            </w:pPr>
            <w:r>
              <w:rPr>
                <w:rFonts w:ascii="Arial" w:hAnsi="Arial" w:cs="Arial"/>
                <w:noProof/>
                <w:color w:val="C00000"/>
                <w:lang w:eastAsia="en-GB"/>
              </w:rPr>
              <w:t>= 25</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Complaints open at end-2018</w:t>
            </w:r>
          </w:p>
        </w:tc>
      </w:tr>
    </w:tbl>
    <w:p>
      <w:pPr>
        <w:numPr>
          <w:ilvl w:val="2"/>
          <w:numId w:val="1"/>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pStyle w:val="Body"/>
        <w:rPr>
          <w:noProof/>
        </w:rPr>
      </w:pPr>
      <w:r>
        <w:rPr>
          <w:noProof/>
          <w:color w:val="002060"/>
          <w:sz w:val="22"/>
          <w:lang w:val="en-GB" w:eastAsia="en-GB"/>
        </w:rPr>
        <w:drawing>
          <wp:inline distT="0" distB="0" distL="0" distR="0">
            <wp:extent cx="4627880" cy="2241550"/>
            <wp:effectExtent l="0" t="0" r="1270" b="6350"/>
            <wp:docPr id="190"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0"/>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pStyle w:val="AnnualReport1"/>
        <w:numPr>
          <w:ilvl w:val="0"/>
          <w:numId w:val="178"/>
        </w:numPr>
        <w:rPr>
          <w:noProof/>
        </w:rPr>
      </w:pPr>
      <w:r>
        <w:rPr>
          <w:noProof/>
        </w:rPr>
        <w:t>EU PILOT</w:t>
      </w:r>
    </w:p>
    <w:p>
      <w:pPr>
        <w:numPr>
          <w:ilvl w:val="2"/>
          <w:numId w:val="1"/>
        </w:numPr>
        <w:spacing w:before="240"/>
        <w:ind w:left="709" w:hanging="425"/>
        <w:outlineLvl w:val="1"/>
        <w:rPr>
          <w:rFonts w:ascii="Arial" w:hAnsi="Arial"/>
          <w:noProof/>
          <w:color w:val="002060"/>
        </w:rPr>
      </w:pPr>
      <w:r>
        <w:rPr>
          <w:rFonts w:ascii="Arial" w:hAnsi="Arial"/>
          <w:noProof/>
          <w:color w:val="002060"/>
        </w:rPr>
        <w:t>New EU Pilot files opened against Malta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96130" cy="2210435"/>
            <wp:effectExtent l="0" t="0" r="13970" b="18415"/>
            <wp:docPr id="19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Files relating to Malta open in EU Pilot at year-end</w:t>
      </w:r>
    </w:p>
    <w:p>
      <w:pPr>
        <w:spacing w:after="0"/>
        <w:ind w:firstLine="709"/>
        <w:rPr>
          <w:rFonts w:ascii="Arial" w:hAnsi="Arial" w:cs="Arial"/>
          <w:noProof/>
          <w:sz w:val="20"/>
        </w:rPr>
      </w:pPr>
      <w:r>
        <w:rPr>
          <w:rFonts w:ascii="Arial" w:hAnsi="Arial" w:cs="Arial"/>
          <w:noProof/>
          <w:sz w:val="20"/>
          <w:lang w:eastAsia="en-GB"/>
        </w:rPr>
        <w:drawing>
          <wp:inline distT="0" distB="0" distL="0" distR="0">
            <wp:extent cx="4596130" cy="2250440"/>
            <wp:effectExtent l="0" t="0" r="13970" b="16510"/>
            <wp:docPr id="1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New EU Pilot files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51375" cy="2226310"/>
            <wp:effectExtent l="0" t="0" r="15875" b="2540"/>
            <wp:docPr id="1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after="0" w:line="240" w:lineRule="auto"/>
        <w:rPr>
          <w:rFonts w:ascii="Arial" w:hAnsi="Arial" w:cs="Arial"/>
          <w:noProof/>
          <w:sz w:val="20"/>
          <w:szCs w:val="20"/>
        </w:rPr>
      </w:pPr>
      <w:r>
        <w:rPr>
          <w:rFonts w:ascii="Arial" w:hAnsi="Arial" w:cs="Arial"/>
          <w:noProof/>
          <w:sz w:val="20"/>
          <w:szCs w:val="20"/>
        </w:rPr>
        <w:br w:type="page"/>
      </w:r>
    </w:p>
    <w:p>
      <w:pPr>
        <w:numPr>
          <w:ilvl w:val="2"/>
          <w:numId w:val="1"/>
        </w:numPr>
        <w:spacing w:before="240"/>
        <w:ind w:left="709" w:hanging="425"/>
        <w:outlineLvl w:val="1"/>
        <w:rPr>
          <w:rFonts w:ascii="Arial" w:hAnsi="Arial"/>
          <w:noProof/>
          <w:color w:val="002060"/>
        </w:rPr>
      </w:pPr>
      <w:r>
        <w:rPr>
          <w:rFonts w:ascii="Arial" w:hAnsi="Arial"/>
          <w:noProof/>
          <w:color w:val="002060"/>
        </w:rPr>
        <w:t>EU Pilot files: Malta’s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89810"/>
            <wp:effectExtent l="0" t="0" r="0" b="0"/>
            <wp:docPr id="1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AnnualReport1"/>
        <w:numPr>
          <w:ilvl w:val="0"/>
          <w:numId w:val="178"/>
        </w:numPr>
        <w:rPr>
          <w:noProof/>
        </w:rPr>
      </w:pPr>
      <w:r>
        <w:rPr>
          <w:noProof/>
        </w:rPr>
        <w:t>INFRINGEMENT CASES</w:t>
      </w:r>
    </w:p>
    <w:p>
      <w:pPr>
        <w:numPr>
          <w:ilvl w:val="0"/>
          <w:numId w:val="105"/>
        </w:numPr>
        <w:spacing w:before="240"/>
        <w:ind w:left="709"/>
        <w:outlineLvl w:val="1"/>
        <w:rPr>
          <w:rFonts w:ascii="Arial" w:hAnsi="Arial"/>
          <w:noProof/>
          <w:color w:val="002060"/>
        </w:rPr>
      </w:pPr>
      <w:r>
        <w:rPr>
          <w:rFonts w:ascii="Arial" w:hAnsi="Arial"/>
          <w:noProof/>
          <w:color w:val="002060"/>
        </w:rPr>
        <w:t>Infringement cases against Malta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4860" cy="2095500"/>
            <wp:effectExtent l="0" t="0" r="15240" b="19050"/>
            <wp:docPr id="19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numPr>
          <w:ilvl w:val="0"/>
          <w:numId w:val="105"/>
        </w:numPr>
        <w:spacing w:before="240"/>
        <w:ind w:left="709"/>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4860" cy="2316480"/>
            <wp:effectExtent l="0" t="0" r="15240" b="7620"/>
            <wp:docPr id="196" name="Object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105"/>
        </w:numPr>
        <w:spacing w:before="240"/>
        <w:outlineLvl w:val="1"/>
        <w:rPr>
          <w:rFonts w:ascii="Arial" w:hAnsi="Arial"/>
          <w:noProof/>
          <w:color w:val="002060"/>
        </w:rPr>
      </w:pPr>
      <w:r>
        <w:rPr>
          <w:rFonts w:ascii="Arial" w:hAnsi="Arial"/>
          <w:noProof/>
          <w:color w:val="002060"/>
        </w:rPr>
        <w:t>Key infringement cases and referrals to the Court</w:t>
      </w:r>
    </w:p>
    <w:p>
      <w:pPr>
        <w:numPr>
          <w:ilvl w:val="0"/>
          <w:numId w:val="140"/>
        </w:numPr>
        <w:ind w:left="1276" w:hanging="425"/>
        <w:jc w:val="both"/>
        <w:rPr>
          <w:rFonts w:ascii="Arial" w:hAnsi="Arial" w:cs="Arial"/>
          <w:noProof/>
          <w:sz w:val="20"/>
          <w:szCs w:val="20"/>
        </w:rPr>
      </w:pPr>
      <w:r>
        <w:rPr>
          <w:rFonts w:ascii="Arial" w:hAnsi="Arial" w:cs="Arial"/>
          <w:noProof/>
          <w:sz w:val="20"/>
          <w:szCs w:val="20"/>
        </w:rPr>
        <w:t>The Commission opened 22 new infringement cases against Malta in 2018. These, and other major ongoing infringement cases, include:</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rPr>
        <w:t xml:space="preserve">incorrect application of the </w:t>
      </w:r>
      <w:r>
        <w:rPr>
          <w:rFonts w:ascii="Arial" w:hAnsi="Arial" w:cs="Arial"/>
          <w:noProof/>
          <w:color w:val="000000"/>
          <w:sz w:val="20"/>
          <w:szCs w:val="20"/>
        </w:rPr>
        <w:t xml:space="preserve">VAT rules on </w:t>
      </w:r>
      <w:r>
        <w:rPr>
          <w:rFonts w:ascii="Arial" w:hAnsi="Arial" w:cs="Arial"/>
          <w:noProof/>
          <w:sz w:val="20"/>
          <w:szCs w:val="20"/>
        </w:rPr>
        <w:t>the lease of yachts and the incorrect taxation of purchases of yachts</w:t>
      </w:r>
      <w:r>
        <w:rPr>
          <w:rStyle w:val="FootnoteReference"/>
          <w:rFonts w:ascii="Arial" w:hAnsi="Arial" w:cs="Arial"/>
          <w:noProof/>
          <w:sz w:val="20"/>
          <w:szCs w:val="20"/>
        </w:rPr>
        <w:footnoteReference w:id="31"/>
      </w:r>
      <w:r>
        <w:rPr>
          <w:rFonts w:ascii="Arial" w:hAnsi="Arial" w:cs="Arial"/>
          <w:noProof/>
          <w:sz w:val="20"/>
          <w:szCs w:val="20"/>
        </w:rPr>
        <w:t>;</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32"/>
      </w:r>
      <w:r>
        <w:rPr>
          <w:rFonts w:ascii="Arial" w:hAnsi="Arial" w:cs="Arial"/>
          <w:noProof/>
          <w:sz w:val="20"/>
          <w:szCs w:val="20"/>
        </w:rPr>
        <w:t>;</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33"/>
      </w:r>
      <w:r>
        <w:rPr>
          <w:rFonts w:ascii="Arial" w:hAnsi="Arial" w:cs="Arial"/>
          <w:noProof/>
          <w:sz w:val="20"/>
          <w:szCs w:val="20"/>
        </w:rPr>
        <w:t>;</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34"/>
      </w:r>
      <w:r>
        <w:rPr>
          <w:rFonts w:ascii="Arial" w:hAnsi="Arial" w:cs="Arial"/>
          <w:noProof/>
          <w:sz w:val="20"/>
          <w:szCs w:val="20"/>
        </w:rPr>
        <w:t>;</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35"/>
      </w:r>
      <w:r>
        <w:rPr>
          <w:rFonts w:ascii="Arial" w:hAnsi="Arial" w:cs="Arial"/>
          <w:noProof/>
          <w:sz w:val="20"/>
          <w:szCs w:val="20"/>
        </w:rPr>
        <w:t>;</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shd w:val="clear" w:color="auto" w:fill="FFFFFF" w:themeFill="background1"/>
        </w:rPr>
        <w:t>failure to notify the national policy framework as required under the Directive on the deployment of alternative fuels infrastructure</w:t>
      </w:r>
      <w:r>
        <w:rPr>
          <w:noProof/>
          <w:shd w:val="clear" w:color="auto" w:fill="FFFFFF" w:themeFill="background1"/>
          <w:vertAlign w:val="superscript"/>
        </w:rPr>
        <w:footnoteReference w:id="36"/>
      </w:r>
      <w:r>
        <w:rPr>
          <w:rFonts w:ascii="Arial" w:hAnsi="Arial" w:cs="Arial"/>
          <w:noProof/>
          <w:sz w:val="20"/>
          <w:szCs w:val="20"/>
          <w:shd w:val="clear" w:color="auto" w:fill="FFFFFF" w:themeFill="background1"/>
        </w:rPr>
        <w:t>;</w:t>
      </w:r>
    </w:p>
    <w:p>
      <w:pPr>
        <w:pStyle w:val="ListParagraph"/>
        <w:numPr>
          <w:ilvl w:val="0"/>
          <w:numId w:val="161"/>
        </w:numPr>
        <w:ind w:left="1701" w:hanging="283"/>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Payment Services Directive</w:t>
      </w:r>
      <w:r>
        <w:rPr>
          <w:rStyle w:val="FootnoteReference"/>
          <w:rFonts w:ascii="Arial" w:hAnsi="Arial" w:cs="Arial"/>
          <w:noProof/>
          <w:sz w:val="20"/>
          <w:szCs w:val="20"/>
        </w:rPr>
        <w:footnoteReference w:id="37"/>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38"/>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as regards the characteristics to be covered as a minimum by the examination and the minimum conditions for examining certain varieties of agricultural plant species and vegetable species</w:t>
      </w:r>
      <w:r>
        <w:rPr>
          <w:rFonts w:ascii="Arial" w:hAnsi="Arial" w:cs="Arial"/>
          <w:noProof/>
          <w:sz w:val="20"/>
          <w:szCs w:val="20"/>
          <w:vertAlign w:val="superscript"/>
        </w:rPr>
        <w:footnoteReference w:id="39"/>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end-of life vehicles</w:t>
      </w:r>
      <w:r>
        <w:rPr>
          <w:rStyle w:val="FootnoteReference"/>
          <w:rFonts w:ascii="Arial" w:hAnsi="Arial" w:cs="Arial"/>
          <w:noProof/>
          <w:sz w:val="20"/>
          <w:szCs w:val="20"/>
        </w:rPr>
        <w:footnoteReference w:id="40"/>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the reduction of national emissions of certain atmospheric pollutants</w:t>
      </w:r>
      <w:r>
        <w:rPr>
          <w:rStyle w:val="FootnoteReference"/>
          <w:rFonts w:ascii="Arial" w:hAnsi="Arial" w:cs="Arial"/>
          <w:noProof/>
          <w:sz w:val="20"/>
          <w:szCs w:val="20"/>
        </w:rPr>
        <w:footnoteReference w:id="41"/>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42"/>
      </w:r>
      <w:r>
        <w:rPr>
          <w:rFonts w:ascii="Arial" w:hAnsi="Arial" w:cs="Arial"/>
          <w:noProof/>
          <w:sz w:val="20"/>
          <w:szCs w:val="20"/>
        </w:rPr>
        <w:t>;</w:t>
      </w:r>
    </w:p>
    <w:p>
      <w:pPr>
        <w:pStyle w:val="ListParagraph"/>
        <w:numPr>
          <w:ilvl w:val="0"/>
          <w:numId w:val="213"/>
        </w:numPr>
        <w:spacing w:after="240"/>
        <w:ind w:left="2410" w:hanging="357"/>
        <w:jc w:val="both"/>
        <w:rPr>
          <w:rFonts w:ascii="Arial" w:hAnsi="Arial" w:cs="Arial"/>
          <w:noProof/>
          <w:sz w:val="20"/>
          <w:szCs w:val="20"/>
        </w:rPr>
      </w:pPr>
      <w:r>
        <w:rPr>
          <w:rFonts w:ascii="Arial" w:hAnsi="Arial" w:cs="Arial"/>
          <w:noProof/>
          <w:sz w:val="20"/>
          <w:szCs w:val="20"/>
        </w:rPr>
        <w:t>Basic Safety Standards Directive</w:t>
      </w:r>
      <w:r>
        <w:rPr>
          <w:rStyle w:val="FootnoteReference"/>
          <w:rFonts w:ascii="Arial" w:hAnsi="Arial" w:cs="Arial"/>
          <w:noProof/>
          <w:sz w:val="20"/>
          <w:szCs w:val="20"/>
        </w:rPr>
        <w:footnoteReference w:id="43"/>
      </w:r>
      <w:r>
        <w:rPr>
          <w:rFonts w:ascii="Arial" w:hAnsi="Arial" w:cs="Arial"/>
          <w:noProof/>
          <w:sz w:val="20"/>
          <w:szCs w:val="20"/>
        </w:rPr>
        <w:t>.</w:t>
      </w:r>
    </w:p>
    <w:p>
      <w:pPr>
        <w:pStyle w:val="ListParagraph"/>
        <w:numPr>
          <w:ilvl w:val="0"/>
          <w:numId w:val="140"/>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140"/>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noProof/>
        </w:rPr>
        <w:br w:type="page"/>
      </w:r>
    </w:p>
    <w:p>
      <w:pPr>
        <w:pStyle w:val="AnnualReport1"/>
        <w:numPr>
          <w:ilvl w:val="0"/>
          <w:numId w:val="178"/>
        </w:numPr>
        <w:rPr>
          <w:noProof/>
        </w:rPr>
      </w:pPr>
      <w:r>
        <w:rPr>
          <w:noProof/>
        </w:rPr>
        <w:t>TRANSPOSITION OF DIRECTIVES</w:t>
      </w:r>
    </w:p>
    <w:p>
      <w:pPr>
        <w:numPr>
          <w:ilvl w:val="0"/>
          <w:numId w:val="271"/>
        </w:numPr>
        <w:spacing w:before="240"/>
        <w:ind w:left="709"/>
        <w:outlineLvl w:val="1"/>
        <w:rPr>
          <w:rFonts w:ascii="Arial" w:hAnsi="Arial"/>
          <w:noProof/>
          <w:color w:val="002060"/>
        </w:rPr>
      </w:pPr>
      <w:r>
        <w:rPr>
          <w:rFonts w:ascii="Arial" w:hAnsi="Arial"/>
          <w:noProof/>
          <w:color w:val="002060"/>
        </w:rPr>
        <w:t>Late transposition infringement cases against Malta open on 31 December (2014-2018)</w:t>
      </w:r>
    </w:p>
    <w:p>
      <w:pPr>
        <w:ind w:left="426" w:firstLine="283"/>
        <w:rPr>
          <w:noProof/>
        </w:rPr>
      </w:pPr>
      <w:r>
        <w:rPr>
          <w:noProof/>
          <w:lang w:eastAsia="en-GB"/>
        </w:rPr>
        <w:drawing>
          <wp:inline distT="0" distB="0" distL="0" distR="0">
            <wp:extent cx="4572000" cy="2345690"/>
            <wp:effectExtent l="0" t="0" r="0" b="0"/>
            <wp:docPr id="31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numPr>
          <w:ilvl w:val="0"/>
          <w:numId w:val="271"/>
        </w:numPr>
        <w:spacing w:before="240"/>
        <w:ind w:left="709" w:hanging="425"/>
        <w:outlineLvl w:val="1"/>
        <w:rPr>
          <w:rFonts w:ascii="Arial" w:hAnsi="Arial"/>
          <w:noProof/>
          <w:color w:val="002060"/>
        </w:rPr>
      </w:pPr>
      <w:r>
        <w:rPr>
          <w:rFonts w:ascii="Arial" w:hAnsi="Arial"/>
          <w:noProof/>
          <w:color w:val="002060"/>
        </w:rPr>
        <w:t>New late transposition infringement cases against Malta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337435"/>
            <wp:effectExtent l="0" t="0" r="10795" b="5715"/>
            <wp:docPr id="19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numPr>
          <w:ilvl w:val="0"/>
          <w:numId w:val="271"/>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321560"/>
            <wp:effectExtent l="0" t="0" r="10795" b="2540"/>
            <wp:docPr id="199" name="Objec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numPr>
          <w:ilvl w:val="0"/>
          <w:numId w:val="271"/>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78"/>
        </w:numPr>
        <w:rPr>
          <w:noProof/>
        </w:rPr>
      </w:pPr>
      <w:r>
        <w:rPr>
          <w:noProof/>
        </w:rPr>
        <w:t>EARLY RESOLUTION OF INFRINGEMENT CASES</w:t>
      </w:r>
    </w:p>
    <w:p>
      <w:pPr>
        <w:spacing w:after="60"/>
        <w:ind w:firstLine="360"/>
        <w:outlineLvl w:val="1"/>
        <w:rPr>
          <w:rFonts w:ascii="Arial" w:hAnsi="Arial"/>
          <w:noProof/>
          <w:color w:val="002060"/>
        </w:rPr>
      </w:pPr>
      <w:r>
        <w:rPr>
          <w:rFonts w:ascii="Arial" w:hAnsi="Arial"/>
          <w:noProof/>
          <w:color w:val="002060"/>
        </w:rPr>
        <w:t>Major cases closed without a Court judgment in 2018</w:t>
      </w:r>
    </w:p>
    <w:p>
      <w:pPr>
        <w:spacing w:after="120"/>
        <w:ind w:firstLine="720"/>
        <w:jc w:val="both"/>
        <w:rPr>
          <w:rFonts w:ascii="Arial" w:hAnsi="Arial" w:cs="Arial"/>
          <w:noProof/>
          <w:sz w:val="20"/>
        </w:rPr>
      </w:pPr>
      <w:r>
        <w:rPr>
          <w:rFonts w:ascii="Arial" w:hAnsi="Arial" w:cs="Arial"/>
          <w:noProof/>
          <w:sz w:val="20"/>
        </w:rPr>
        <w:t>These concerned n</w:t>
      </w:r>
      <w:r>
        <w:rPr>
          <w:rFonts w:ascii="Arial" w:hAnsi="Arial" w:cs="Arial"/>
          <w:noProof/>
          <w:sz w:val="20"/>
          <w:szCs w:val="20"/>
        </w:rPr>
        <w:t>on-communication of national measures transposing</w:t>
      </w:r>
      <w:r>
        <w:rPr>
          <w:noProof/>
        </w:rPr>
        <w:t xml:space="preserve"> the Directives:</w:t>
      </w:r>
    </w:p>
    <w:p>
      <w:pPr>
        <w:pStyle w:val="ListParagraph"/>
        <w:numPr>
          <w:ilvl w:val="2"/>
          <w:numId w:val="161"/>
        </w:numPr>
        <w:spacing w:after="120"/>
        <w:ind w:left="1560"/>
        <w:jc w:val="both"/>
        <w:rPr>
          <w:rFonts w:ascii="Arial" w:hAnsi="Arial" w:cs="Arial"/>
          <w:noProof/>
          <w:sz w:val="20"/>
        </w:rPr>
      </w:pPr>
      <w:r>
        <w:rPr>
          <w:rFonts w:ascii="Arial" w:eastAsia="Times New Roman" w:hAnsi="Arial" w:cs="Arial"/>
          <w:noProof/>
          <w:sz w:val="20"/>
          <w:szCs w:val="20"/>
          <w:lang w:eastAsia="en-GB"/>
        </w:rPr>
        <w:t>concerning undertakings for collective investment in transferable securities</w:t>
      </w:r>
      <w:r>
        <w:rPr>
          <w:rStyle w:val="FootnoteReference"/>
          <w:rFonts w:ascii="Arial" w:eastAsia="Times New Roman" w:hAnsi="Arial" w:cs="Arial"/>
          <w:noProof/>
          <w:sz w:val="20"/>
          <w:szCs w:val="20"/>
          <w:lang w:eastAsia="en-GB"/>
        </w:rPr>
        <w:footnoteReference w:id="44"/>
      </w:r>
      <w:r>
        <w:rPr>
          <w:rFonts w:ascii="Arial" w:eastAsia="Times New Roman" w:hAnsi="Arial" w:cs="Arial"/>
          <w:noProof/>
          <w:sz w:val="20"/>
          <w:szCs w:val="20"/>
          <w:lang w:eastAsia="en-GB"/>
        </w:rPr>
        <w:t>;</w:t>
      </w:r>
    </w:p>
    <w:p>
      <w:pPr>
        <w:pStyle w:val="ListParagraph"/>
        <w:numPr>
          <w:ilvl w:val="2"/>
          <w:numId w:val="161"/>
        </w:numPr>
        <w:ind w:left="1560"/>
        <w:jc w:val="both"/>
        <w:rPr>
          <w:rFonts w:ascii="Arial" w:eastAsia="Calibri" w:hAnsi="Arial" w:cs="Arial"/>
          <w:noProof/>
          <w:sz w:val="20"/>
          <w:szCs w:val="20"/>
        </w:rPr>
      </w:pPr>
      <w:r>
        <w:rPr>
          <w:rFonts w:ascii="Arial" w:eastAsia="Calibri" w:hAnsi="Arial" w:cs="Arial"/>
          <w:noProof/>
          <w:sz w:val="20"/>
          <w:szCs w:val="20"/>
        </w:rPr>
        <w:t>on end-of-life vehicles</w:t>
      </w:r>
      <w:r>
        <w:rPr>
          <w:rStyle w:val="FootnoteReference"/>
          <w:rFonts w:ascii="Arial" w:eastAsia="Calibri" w:hAnsi="Arial" w:cs="Arial"/>
          <w:noProof/>
          <w:sz w:val="20"/>
          <w:szCs w:val="20"/>
        </w:rPr>
        <w:footnoteReference w:id="45"/>
      </w:r>
      <w:r>
        <w:rPr>
          <w:rFonts w:ascii="Arial" w:eastAsia="Calibri" w:hAnsi="Arial" w:cs="Arial"/>
          <w:noProof/>
          <w:sz w:val="20"/>
          <w:szCs w:val="20"/>
        </w:rPr>
        <w:t>;</w:t>
      </w:r>
    </w:p>
    <w:p>
      <w:pPr>
        <w:pStyle w:val="ListParagraph"/>
        <w:numPr>
          <w:ilvl w:val="2"/>
          <w:numId w:val="161"/>
        </w:numPr>
        <w:spacing w:after="120"/>
        <w:ind w:left="1560"/>
        <w:jc w:val="both"/>
        <w:rPr>
          <w:rFonts w:ascii="Arial" w:hAnsi="Arial" w:cs="Arial"/>
          <w:noProof/>
          <w:sz w:val="20"/>
        </w:rPr>
      </w:pPr>
      <w:r>
        <w:rPr>
          <w:rFonts w:ascii="Arial" w:eastAsia="Calibri" w:hAnsi="Arial" w:cs="Arial"/>
          <w:noProof/>
          <w:kern w:val="20"/>
          <w:sz w:val="20"/>
          <w:szCs w:val="20"/>
          <w:lang w:eastAsia="en-GB"/>
        </w:rPr>
        <w:t>on protective measures against the introduction into the Community of organisms harmful to plants</w:t>
      </w:r>
      <w:r>
        <w:rPr>
          <w:rFonts w:ascii="Arial" w:eastAsia="Calibri" w:hAnsi="Arial" w:cs="Arial"/>
          <w:noProof/>
          <w:kern w:val="20"/>
          <w:sz w:val="20"/>
          <w:szCs w:val="20"/>
          <w:vertAlign w:val="superscript"/>
          <w:lang w:val="nl-NL" w:eastAsia="en-GB"/>
        </w:rPr>
        <w:footnoteReference w:id="46"/>
      </w:r>
      <w:r>
        <w:rPr>
          <w:rFonts w:ascii="Arial" w:eastAsia="Calibri" w:hAnsi="Arial" w:cs="Arial"/>
          <w:noProof/>
          <w:kern w:val="20"/>
          <w:sz w:val="20"/>
          <w:szCs w:val="20"/>
          <w:lang w:eastAsia="en-GB"/>
        </w:rPr>
        <w:t>;</w:t>
      </w:r>
    </w:p>
    <w:p>
      <w:pPr>
        <w:pStyle w:val="ListParagraph"/>
        <w:numPr>
          <w:ilvl w:val="2"/>
          <w:numId w:val="161"/>
        </w:numPr>
        <w:spacing w:after="120"/>
        <w:ind w:left="1560"/>
        <w:jc w:val="both"/>
        <w:rPr>
          <w:rFonts w:ascii="Arial" w:hAnsi="Arial" w:cs="Arial"/>
          <w:noProof/>
          <w:sz w:val="20"/>
        </w:rPr>
      </w:pPr>
      <w:r>
        <w:rPr>
          <w:rFonts w:ascii="Arial" w:hAnsi="Arial" w:cs="Arial"/>
          <w:noProof/>
          <w:sz w:val="20"/>
          <w:szCs w:val="20"/>
          <w:shd w:val="clear" w:color="auto" w:fill="FFFFFF" w:themeFill="background1"/>
        </w:rPr>
        <w:t>on the deployment of alternative fuels infrastructure</w:t>
      </w:r>
      <w:r>
        <w:rPr>
          <w:rStyle w:val="Ancredenotedebasdepage"/>
          <w:rFonts w:ascii="Arial" w:hAnsi="Arial" w:cs="Arial"/>
          <w:noProof/>
          <w:sz w:val="20"/>
          <w:szCs w:val="20"/>
          <w:shd w:val="clear" w:color="auto" w:fill="FFFFFF" w:themeFill="background1"/>
        </w:rPr>
        <w:footnoteReference w:id="47"/>
      </w:r>
      <w:r>
        <w:rPr>
          <w:rFonts w:ascii="Arial" w:hAnsi="Arial" w:cs="Arial"/>
          <w:noProof/>
          <w:sz w:val="20"/>
          <w:szCs w:val="20"/>
          <w:shd w:val="clear" w:color="auto" w:fill="FFFFFF" w:themeFill="background1"/>
        </w:rPr>
        <w:t>;</w:t>
      </w:r>
    </w:p>
    <w:p>
      <w:pPr>
        <w:pStyle w:val="ListParagraph"/>
        <w:numPr>
          <w:ilvl w:val="2"/>
          <w:numId w:val="161"/>
        </w:numPr>
        <w:spacing w:after="120"/>
        <w:ind w:left="1560"/>
        <w:jc w:val="both"/>
        <w:rPr>
          <w:rFonts w:ascii="Arial" w:eastAsia="Calibri" w:hAnsi="Arial" w:cs="Arial"/>
          <w:noProof/>
          <w:sz w:val="20"/>
          <w:szCs w:val="20"/>
        </w:rPr>
      </w:pPr>
      <w:r>
        <w:rPr>
          <w:rFonts w:ascii="Arial" w:eastAsia="Calibri" w:hAnsi="Arial" w:cs="Arial"/>
          <w:noProof/>
          <w:sz w:val="20"/>
          <w:szCs w:val="20"/>
        </w:rPr>
        <w:t>on the assessment of the effects of certain public and private projects on the environment</w:t>
      </w:r>
      <w:r>
        <w:rPr>
          <w:rStyle w:val="FootnoteReference"/>
          <w:rFonts w:ascii="Arial" w:eastAsia="Calibri" w:hAnsi="Arial" w:cs="Arial"/>
          <w:noProof/>
          <w:sz w:val="20"/>
          <w:szCs w:val="20"/>
        </w:rPr>
        <w:footnoteReference w:id="48"/>
      </w:r>
      <w:r>
        <w:rPr>
          <w:rFonts w:ascii="Arial" w:eastAsia="Calibri" w:hAnsi="Arial" w:cs="Arial"/>
          <w:noProof/>
          <w:sz w:val="20"/>
          <w:szCs w:val="20"/>
        </w:rPr>
        <w:t>;</w:t>
      </w:r>
    </w:p>
    <w:p>
      <w:pPr>
        <w:pStyle w:val="ListParagraph"/>
        <w:numPr>
          <w:ilvl w:val="1"/>
          <w:numId w:val="161"/>
        </w:numPr>
        <w:spacing w:after="120" w:line="256" w:lineRule="auto"/>
        <w:ind w:left="1560"/>
        <w:jc w:val="both"/>
        <w:rPr>
          <w:rFonts w:ascii="Arial" w:hAnsi="Arial" w:cs="Arial"/>
          <w:noProof/>
          <w:sz w:val="20"/>
          <w:szCs w:val="20"/>
        </w:rPr>
      </w:pPr>
      <w:r>
        <w:rPr>
          <w:rFonts w:ascii="Arial" w:hAnsi="Arial" w:cs="Arial"/>
          <w:noProof/>
          <w:sz w:val="20"/>
          <w:szCs w:val="20"/>
        </w:rPr>
        <w:t>Antitrust Damages Directive</w:t>
      </w:r>
      <w:r>
        <w:rPr>
          <w:rStyle w:val="FootnoteReference"/>
          <w:rFonts w:cs="Arial"/>
          <w:noProof/>
          <w:sz w:val="20"/>
          <w:szCs w:val="20"/>
        </w:rPr>
        <w:footnoteReference w:id="49"/>
      </w:r>
      <w:r>
        <w:rPr>
          <w:rFonts w:ascii="Arial" w:hAnsi="Arial" w:cs="Arial"/>
          <w:noProof/>
          <w:sz w:val="20"/>
          <w:szCs w:val="20"/>
        </w:rPr>
        <w:t>;</w:t>
      </w:r>
    </w:p>
    <w:p>
      <w:pPr>
        <w:pStyle w:val="ListParagraph"/>
        <w:numPr>
          <w:ilvl w:val="2"/>
          <w:numId w:val="161"/>
        </w:numPr>
        <w:spacing w:after="120"/>
        <w:ind w:left="1560"/>
        <w:jc w:val="both"/>
        <w:rPr>
          <w:rFonts w:ascii="Arial" w:hAnsi="Arial" w:cs="Arial"/>
          <w:noProof/>
          <w:sz w:val="20"/>
        </w:rPr>
      </w:pPr>
      <w:r>
        <w:rPr>
          <w:rFonts w:ascii="Arial" w:hAnsi="Arial" w:cs="Arial"/>
          <w:noProof/>
          <w:sz w:val="20"/>
          <w:szCs w:val="20"/>
        </w:rPr>
        <w:t>on fuel quality reporting requirements and calculation methods</w:t>
      </w:r>
      <w:r>
        <w:rPr>
          <w:rStyle w:val="FootnoteReference"/>
          <w:rFonts w:ascii="Arial" w:hAnsi="Arial" w:cs="Arial"/>
          <w:noProof/>
          <w:sz w:val="20"/>
          <w:szCs w:val="20"/>
        </w:rPr>
        <w:footnoteReference w:id="50"/>
      </w:r>
      <w:r>
        <w:rPr>
          <w:rFonts w:ascii="Arial" w:hAnsi="Arial" w:cs="Arial"/>
          <w:noProof/>
          <w:sz w:val="20"/>
          <w:szCs w:val="20"/>
        </w:rPr>
        <w:t>.</w:t>
      </w:r>
    </w:p>
    <w:p>
      <w:pPr>
        <w:pStyle w:val="AnnualReport1"/>
        <w:numPr>
          <w:ilvl w:val="0"/>
          <w:numId w:val="178"/>
        </w:numPr>
        <w:rPr>
          <w:noProof/>
        </w:rPr>
      </w:pPr>
      <w:r>
        <w:rPr>
          <w:noProof/>
        </w:rPr>
        <w:t>IMPORTANT JUDGMENTS</w:t>
      </w:r>
    </w:p>
    <w:p>
      <w:pPr>
        <w:numPr>
          <w:ilvl w:val="0"/>
          <w:numId w:val="106"/>
        </w:numPr>
        <w:spacing w:before="240"/>
        <w:ind w:left="709" w:hanging="425"/>
        <w:outlineLvl w:val="1"/>
        <w:rPr>
          <w:rFonts w:ascii="Arial" w:hAnsi="Arial"/>
          <w:noProof/>
          <w:color w:val="002060"/>
        </w:rPr>
      </w:pPr>
      <w:r>
        <w:rPr>
          <w:rFonts w:ascii="Arial" w:hAnsi="Arial"/>
          <w:noProof/>
          <w:color w:val="002060"/>
        </w:rPr>
        <w:t>Court ruling</w:t>
      </w:r>
    </w:p>
    <w:p>
      <w:pPr>
        <w:spacing w:after="120"/>
        <w:ind w:firstLine="709"/>
        <w:rPr>
          <w:rFonts w:ascii="Arial" w:hAnsi="Arial" w:cs="Arial"/>
          <w:noProof/>
          <w:sz w:val="20"/>
        </w:rPr>
      </w:pPr>
      <w:r>
        <w:rPr>
          <w:rFonts w:ascii="Arial" w:hAnsi="Arial" w:cs="Arial"/>
          <w:noProof/>
          <w:sz w:val="20"/>
        </w:rPr>
        <w:t>The Court ruled that:</w:t>
      </w:r>
    </w:p>
    <w:p>
      <w:pPr>
        <w:pStyle w:val="Basis"/>
        <w:numPr>
          <w:ilvl w:val="0"/>
          <w:numId w:val="231"/>
        </w:numPr>
        <w:spacing w:after="100" w:afterAutospacing="1" w:line="240" w:lineRule="auto"/>
        <w:ind w:left="1276" w:hanging="425"/>
        <w:jc w:val="both"/>
        <w:rPr>
          <w:rFonts w:ascii="Arial" w:hAnsi="Arial" w:cs="Arial"/>
          <w:noProof/>
          <w:lang w:val="en-GB"/>
        </w:rPr>
      </w:pPr>
      <w:r>
        <w:rPr>
          <w:rFonts w:ascii="Arial" w:hAnsi="Arial" w:cs="Arial"/>
          <w:i/>
          <w:noProof/>
          <w:lang w:val="en-GB"/>
        </w:rPr>
        <w:t>Malta</w:t>
      </w:r>
      <w:r>
        <w:rPr>
          <w:rFonts w:ascii="Arial" w:hAnsi="Arial" w:cs="Arial"/>
          <w:noProof/>
          <w:lang w:val="en-GB"/>
        </w:rPr>
        <w:t xml:space="preserve"> has failed to comply with the Birds Directive in adopting a certain derogation regime allowing the </w:t>
      </w:r>
      <w:r>
        <w:rPr>
          <w:rFonts w:ascii="Arial" w:hAnsi="Arial" w:cs="Arial"/>
          <w:noProof/>
        </w:rPr>
        <w:t>capture</w:t>
      </w:r>
      <w:r>
        <w:rPr>
          <w:rFonts w:ascii="Arial" w:hAnsi="Arial" w:cs="Arial"/>
          <w:noProof/>
          <w:lang w:val="en-GB"/>
        </w:rPr>
        <w:t xml:space="preserve"> of seven species of wild birds</w:t>
      </w:r>
      <w:r>
        <w:rPr>
          <w:rStyle w:val="FootnoteReference"/>
          <w:rFonts w:ascii="Arial" w:hAnsi="Arial" w:cs="Arial"/>
          <w:noProof/>
          <w:lang w:val="en-GB"/>
        </w:rPr>
        <w:footnoteReference w:id="51"/>
      </w:r>
      <w:r>
        <w:rPr>
          <w:rFonts w:ascii="Arial" w:hAnsi="Arial" w:cs="Arial"/>
          <w:noProof/>
          <w:lang w:val="en-GB"/>
        </w:rPr>
        <w:t>.</w:t>
      </w:r>
    </w:p>
    <w:p>
      <w:pPr>
        <w:numPr>
          <w:ilvl w:val="0"/>
          <w:numId w:val="106"/>
        </w:numPr>
        <w:spacing w:before="240"/>
        <w:ind w:left="709" w:hanging="425"/>
        <w:outlineLvl w:val="1"/>
        <w:rPr>
          <w:rFonts w:ascii="Arial" w:hAnsi="Arial"/>
          <w:noProof/>
          <w:color w:val="002060"/>
        </w:rPr>
      </w:pPr>
      <w:r>
        <w:rPr>
          <w:rFonts w:ascii="Arial" w:hAnsi="Arial"/>
          <w:noProof/>
          <w:color w:val="002060"/>
        </w:rPr>
        <w:t>Preliminary rulings</w:t>
      </w:r>
    </w:p>
    <w:p>
      <w:pPr>
        <w:ind w:left="1070" w:hanging="360"/>
        <w:jc w:val="both"/>
        <w:rPr>
          <w:rFonts w:ascii="Arial" w:hAnsi="Arial" w:cs="Arial"/>
          <w:noProof/>
          <w:sz w:val="20"/>
          <w:szCs w:val="20"/>
        </w:rPr>
      </w:pPr>
      <w:r>
        <w:rPr>
          <w:rFonts w:ascii="Arial" w:hAnsi="Arial" w:cs="Arial"/>
          <w:noProof/>
          <w:sz w:val="20"/>
          <w:szCs w:val="20"/>
        </w:rPr>
        <w:t>No major preliminary rulings were addressed to the Maltese judiciary in 2018.</w:t>
      </w:r>
    </w:p>
    <w:p>
      <w:pPr>
        <w:spacing w:after="0"/>
        <w:rPr>
          <w:rFonts w:ascii="Arial" w:hAnsi="Arial" w:cs="Arial"/>
          <w:noProof/>
          <w:sz w:val="20"/>
        </w:rPr>
      </w:pPr>
    </w:p>
    <w:p>
      <w:pPr>
        <w:spacing w:after="0"/>
        <w:rPr>
          <w:noProof/>
        </w:rPr>
        <w:sectPr>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6" w:h="16838"/>
          <w:pgMar w:top="1843"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26" w:name="_Toc475974657"/>
      <w:bookmarkStart w:id="27" w:name="_Toc475980153"/>
      <w:bookmarkStart w:id="28" w:name="_Toc475981402"/>
      <w:bookmarkStart w:id="29" w:name="_Toc484622335"/>
      <w:bookmarkStart w:id="30" w:name="_Toc5728031"/>
      <w:r>
        <w:rPr>
          <w:rFonts w:ascii="Arial" w:eastAsia="SimSun" w:hAnsi="Arial"/>
          <w:bCs/>
          <w:noProof/>
          <w:color w:val="A6A6A6"/>
          <w:szCs w:val="28"/>
        </w:rPr>
        <w:t>Netherlands</w:t>
      </w:r>
      <w:bookmarkEnd w:id="26"/>
      <w:bookmarkEnd w:id="27"/>
      <w:bookmarkEnd w:id="28"/>
      <w:bookmarkEnd w:id="29"/>
      <w:bookmarkEnd w:id="30"/>
    </w:p>
    <w:p>
      <w:pPr>
        <w:pStyle w:val="AnnualReport1"/>
        <w:numPr>
          <w:ilvl w:val="0"/>
          <w:numId w:val="179"/>
        </w:numPr>
        <w:rPr>
          <w:noProof/>
        </w:rPr>
      </w:pPr>
      <w:r>
        <w:rPr>
          <w:noProof/>
        </w:rPr>
        <w:t>COMPLAINTS</w:t>
      </w:r>
    </w:p>
    <w:p>
      <w:pPr>
        <w:numPr>
          <w:ilvl w:val="0"/>
          <w:numId w:val="107"/>
        </w:numPr>
        <w:spacing w:before="240"/>
        <w:ind w:left="709" w:hanging="425"/>
        <w:outlineLvl w:val="1"/>
        <w:rPr>
          <w:rFonts w:ascii="Arial" w:hAnsi="Arial"/>
          <w:noProof/>
          <w:color w:val="002060"/>
        </w:rPr>
      </w:pPr>
      <w:r>
        <w:rPr>
          <w:rFonts w:ascii="Arial" w:hAnsi="Arial"/>
          <w:noProof/>
          <w:color w:val="002060"/>
        </w:rPr>
        <w:t>New complaints made against the Netherlands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0255" cy="2194560"/>
            <wp:effectExtent l="0" t="0" r="10795" b="15240"/>
            <wp:docPr id="31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numPr>
          <w:ilvl w:val="0"/>
          <w:numId w:val="107"/>
        </w:numPr>
        <w:spacing w:before="240"/>
        <w:ind w:left="709" w:hanging="425"/>
        <w:outlineLvl w:val="1"/>
        <w:rPr>
          <w:rFonts w:ascii="Arial" w:hAnsi="Arial"/>
          <w:noProof/>
          <w:color w:val="002060"/>
        </w:rPr>
      </w:pPr>
      <w:r>
        <w:rPr>
          <w:rFonts w:ascii="Arial" w:hAnsi="Arial"/>
          <w:noProof/>
          <w:color w:val="002060"/>
        </w:rPr>
        <w:t>Public complaints against the Netherlands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68</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110</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110</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lang w:eastAsia="en-GB"/>
              </w:rPr>
            </w:pPr>
            <w:r>
              <w:rPr>
                <w:rFonts w:ascii="Arial" w:hAnsi="Arial" w:cs="Arial"/>
                <w:noProof/>
                <w:color w:val="C00000"/>
                <w:lang w:eastAsia="en-GB"/>
              </w:rPr>
              <w:t>= 68</w:t>
            </w:r>
          </w:p>
        </w:tc>
        <w:tc>
          <w:tcPr>
            <w:tcW w:w="452" w:type="dxa"/>
            <w:shd w:val="clear" w:color="auto" w:fill="auto"/>
            <w:vAlign w:val="center"/>
          </w:tcPr>
          <w:p>
            <w:pPr>
              <w:spacing w:after="0"/>
              <w:jc w:val="right"/>
              <w:rPr>
                <w:rFonts w:ascii="Arial" w:hAnsi="Arial" w:cs="Arial"/>
                <w:noProof/>
                <w:color w:val="548DD4"/>
                <w:lang w:eastAsia="en-GB"/>
              </w:rPr>
            </w:pPr>
            <w:r>
              <w:rPr>
                <w:rFonts w:ascii="Arial" w:hAnsi="Arial" w:cs="Arial"/>
                <w:noProof/>
                <w:color w:val="548DD4"/>
                <w:lang w:eastAsia="en-GB"/>
              </w:rPr>
              <w:t>&gt;</w:t>
            </w:r>
          </w:p>
        </w:tc>
        <w:tc>
          <w:tcPr>
            <w:tcW w:w="5310" w:type="dxa"/>
            <w:shd w:val="clear" w:color="auto" w:fill="auto"/>
            <w:vAlign w:val="center"/>
          </w:tcPr>
          <w:p>
            <w:pPr>
              <w:spacing w:after="0"/>
              <w:rPr>
                <w:rFonts w:ascii="Arial" w:hAnsi="Arial" w:cs="Arial"/>
                <w:noProof/>
                <w:color w:val="548DD4"/>
                <w:lang w:eastAsia="en-GB"/>
              </w:rPr>
            </w:pPr>
            <w:r>
              <w:rPr>
                <w:rFonts w:ascii="Arial" w:hAnsi="Arial" w:cs="Arial"/>
                <w:noProof/>
                <w:color w:val="548DD4"/>
                <w:lang w:eastAsia="en-GB"/>
              </w:rPr>
              <w:t>Complaints open at end-2018</w:t>
            </w:r>
          </w:p>
        </w:tc>
      </w:tr>
    </w:tbl>
    <w:p>
      <w:pPr>
        <w:numPr>
          <w:ilvl w:val="0"/>
          <w:numId w:val="107"/>
        </w:numPr>
        <w:spacing w:before="240"/>
        <w:ind w:left="709" w:hanging="425"/>
        <w:outlineLvl w:val="1"/>
        <w:rPr>
          <w:rFonts w:ascii="Arial" w:hAnsi="Arial"/>
          <w:noProof/>
          <w:color w:val="002060"/>
        </w:rPr>
      </w:pPr>
      <w:r>
        <w:rPr>
          <w:rFonts w:ascii="Arial" w:hAnsi="Arial"/>
          <w:noProof/>
          <w:color w:val="002060"/>
        </w:rPr>
        <w:t>New complaints registered in 2018: main policy area</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28850"/>
            <wp:effectExtent l="0" t="0" r="1270" b="0"/>
            <wp:docPr id="316"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after="200" w:line="276" w:lineRule="auto"/>
        <w:rPr>
          <w:rFonts w:ascii="Arial" w:hAnsi="Arial" w:cs="Arial"/>
          <w:noProof/>
          <w:sz w:val="20"/>
        </w:rPr>
      </w:pPr>
      <w:r>
        <w:rPr>
          <w:noProof/>
        </w:rPr>
        <w:br w:type="page"/>
      </w:r>
    </w:p>
    <w:p>
      <w:pPr>
        <w:pStyle w:val="AnnualReport1"/>
        <w:numPr>
          <w:ilvl w:val="0"/>
          <w:numId w:val="179"/>
        </w:numPr>
        <w:rPr>
          <w:noProof/>
        </w:rPr>
      </w:pPr>
      <w:r>
        <w:rPr>
          <w:noProof/>
        </w:rPr>
        <w:t>EU PILOT</w:t>
      </w:r>
    </w:p>
    <w:p>
      <w:pPr>
        <w:numPr>
          <w:ilvl w:val="0"/>
          <w:numId w:val="108"/>
        </w:numPr>
        <w:spacing w:before="240"/>
        <w:ind w:left="709" w:hanging="425"/>
        <w:outlineLvl w:val="1"/>
        <w:rPr>
          <w:rFonts w:ascii="Arial" w:hAnsi="Arial"/>
          <w:noProof/>
          <w:color w:val="002060"/>
        </w:rPr>
      </w:pPr>
      <w:r>
        <w:rPr>
          <w:rFonts w:ascii="Arial" w:hAnsi="Arial"/>
          <w:noProof/>
          <w:color w:val="002060"/>
        </w:rPr>
        <w:t>New EU Pilot files opened against the Netherlands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7875" cy="2313940"/>
            <wp:effectExtent l="0" t="0" r="3175" b="10160"/>
            <wp:docPr id="20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numPr>
          <w:ilvl w:val="0"/>
          <w:numId w:val="108"/>
        </w:numPr>
        <w:spacing w:before="240"/>
        <w:ind w:left="709" w:hanging="425"/>
        <w:outlineLvl w:val="1"/>
        <w:rPr>
          <w:rFonts w:ascii="Arial" w:hAnsi="Arial"/>
          <w:noProof/>
          <w:color w:val="002060"/>
        </w:rPr>
      </w:pPr>
      <w:r>
        <w:rPr>
          <w:rFonts w:ascii="Arial" w:hAnsi="Arial"/>
          <w:noProof/>
          <w:color w:val="002060"/>
        </w:rPr>
        <w:t>Files relating to the Netherlands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240" cy="2217420"/>
            <wp:effectExtent l="0" t="0" r="22860" b="11430"/>
            <wp:docPr id="20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numPr>
          <w:ilvl w:val="0"/>
          <w:numId w:val="108"/>
        </w:numPr>
        <w:spacing w:before="240"/>
        <w:ind w:left="709" w:hanging="425"/>
        <w:outlineLvl w:val="1"/>
        <w:rPr>
          <w:rFonts w:ascii="Arial" w:hAnsi="Arial"/>
          <w:noProof/>
          <w:color w:val="002060"/>
        </w:rPr>
      </w:pPr>
      <w:r>
        <w:rPr>
          <w:rFonts w:ascii="Arial" w:hAnsi="Arial"/>
          <w:noProof/>
          <w:color w:val="002060"/>
        </w:rPr>
        <w:t>New EU Pilot files opened in 2018: policy areas</w:t>
      </w:r>
    </w:p>
    <w:p>
      <w:pPr>
        <w:spacing w:after="120"/>
        <w:ind w:firstLine="709"/>
        <w:rPr>
          <w:noProof/>
        </w:rPr>
      </w:pPr>
      <w:r>
        <w:rPr>
          <w:rFonts w:ascii="Arial" w:hAnsi="Arial" w:cs="Arial"/>
          <w:noProof/>
          <w:sz w:val="20"/>
          <w:lang w:eastAsia="en-GB"/>
        </w:rPr>
        <w:drawing>
          <wp:inline distT="0" distB="0" distL="0" distR="0">
            <wp:extent cx="4643755" cy="2197100"/>
            <wp:effectExtent l="0" t="0" r="4445" b="12700"/>
            <wp:docPr id="31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br w:type="page"/>
      </w:r>
    </w:p>
    <w:p>
      <w:pPr>
        <w:numPr>
          <w:ilvl w:val="0"/>
          <w:numId w:val="108"/>
        </w:numPr>
        <w:spacing w:before="240"/>
        <w:ind w:left="709" w:hanging="425"/>
        <w:outlineLvl w:val="1"/>
        <w:rPr>
          <w:rFonts w:ascii="Arial" w:hAnsi="Arial"/>
          <w:noProof/>
          <w:color w:val="002060"/>
        </w:rPr>
      </w:pPr>
      <w:r>
        <w:rPr>
          <w:rFonts w:ascii="Arial" w:hAnsi="Arial"/>
          <w:noProof/>
          <w:color w:val="002060"/>
        </w:rPr>
        <w:t>EU Pilot files: Netherlands’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361565"/>
            <wp:effectExtent l="0" t="0" r="4445" b="635"/>
            <wp:docPr id="20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AnnualReport1"/>
        <w:numPr>
          <w:ilvl w:val="0"/>
          <w:numId w:val="179"/>
        </w:numPr>
        <w:rPr>
          <w:noProof/>
        </w:rPr>
      </w:pPr>
      <w:r>
        <w:rPr>
          <w:noProof/>
        </w:rPr>
        <w:t>INFRINGEMENT CASES</w:t>
      </w:r>
    </w:p>
    <w:p>
      <w:pPr>
        <w:numPr>
          <w:ilvl w:val="0"/>
          <w:numId w:val="250"/>
        </w:numPr>
        <w:spacing w:before="240"/>
        <w:outlineLvl w:val="1"/>
        <w:rPr>
          <w:rFonts w:ascii="Arial" w:hAnsi="Arial"/>
          <w:noProof/>
          <w:color w:val="002060"/>
        </w:rPr>
      </w:pPr>
      <w:r>
        <w:rPr>
          <w:rFonts w:ascii="Arial" w:hAnsi="Arial"/>
          <w:noProof/>
          <w:color w:val="002060"/>
        </w:rPr>
        <w:t>Infringement cases against the Netherlands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393315"/>
            <wp:effectExtent l="0" t="0" r="0" b="0"/>
            <wp:docPr id="206"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numPr>
          <w:ilvl w:val="0"/>
          <w:numId w:val="250"/>
        </w:numPr>
        <w:spacing w:before="240"/>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32960" cy="2319020"/>
            <wp:effectExtent l="0" t="0" r="15240" b="5080"/>
            <wp:docPr id="207" name="Object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numPr>
          <w:ilvl w:val="0"/>
          <w:numId w:val="250"/>
        </w:numPr>
        <w:spacing w:before="240"/>
        <w:outlineLvl w:val="1"/>
        <w:rPr>
          <w:rFonts w:ascii="Arial" w:hAnsi="Arial"/>
          <w:noProof/>
          <w:color w:val="002060"/>
        </w:rPr>
      </w:pPr>
      <w:r>
        <w:rPr>
          <w:rFonts w:ascii="Arial" w:hAnsi="Arial"/>
          <w:noProof/>
          <w:color w:val="002060"/>
        </w:rPr>
        <w:t>Key infringement cases and referrals to the Court</w:t>
      </w:r>
    </w:p>
    <w:p>
      <w:pPr>
        <w:numPr>
          <w:ilvl w:val="0"/>
          <w:numId w:val="141"/>
        </w:numPr>
        <w:ind w:left="1276" w:hanging="425"/>
        <w:jc w:val="both"/>
        <w:rPr>
          <w:rFonts w:ascii="Arial" w:hAnsi="Arial" w:cs="Arial"/>
          <w:noProof/>
          <w:sz w:val="20"/>
          <w:szCs w:val="20"/>
        </w:rPr>
      </w:pPr>
      <w:r>
        <w:rPr>
          <w:rFonts w:ascii="Arial" w:hAnsi="Arial" w:cs="Arial"/>
          <w:noProof/>
          <w:sz w:val="20"/>
          <w:szCs w:val="20"/>
        </w:rPr>
        <w:t>The Commission opened 19 new infringement cases against the Netherlands in 2018. These, and other major ongoing infringement cases, include:</w:t>
      </w:r>
    </w:p>
    <w:p>
      <w:pPr>
        <w:pStyle w:val="ListParagraph"/>
        <w:numPr>
          <w:ilvl w:val="0"/>
          <w:numId w:val="161"/>
        </w:numPr>
        <w:ind w:left="1843"/>
        <w:jc w:val="both"/>
        <w:rPr>
          <w:rFonts w:ascii="Arial" w:hAnsi="Arial" w:cs="Arial"/>
          <w:noProof/>
          <w:sz w:val="20"/>
          <w:szCs w:val="20"/>
        </w:rPr>
      </w:pPr>
      <w:r>
        <w:rPr>
          <w:rFonts w:ascii="Arial" w:hAnsi="Arial" w:cs="Arial"/>
          <w:noProof/>
          <w:sz w:val="20"/>
          <w:szCs w:val="20"/>
        </w:rPr>
        <w:t>excessive fees for issuing resident permits</w:t>
      </w:r>
      <w:r>
        <w:rPr>
          <w:rStyle w:val="FootnoteReference"/>
          <w:rFonts w:ascii="Arial" w:hAnsi="Arial" w:cs="Arial"/>
          <w:noProof/>
          <w:sz w:val="20"/>
          <w:szCs w:val="20"/>
        </w:rPr>
        <w:footnoteReference w:id="52"/>
      </w:r>
      <w:r>
        <w:rPr>
          <w:rFonts w:ascii="Arial" w:hAnsi="Arial" w:cs="Arial"/>
          <w:noProof/>
          <w:sz w:val="20"/>
          <w:szCs w:val="20"/>
        </w:rPr>
        <w:t>;</w:t>
      </w:r>
    </w:p>
    <w:p>
      <w:pPr>
        <w:pStyle w:val="ListParagraph"/>
        <w:numPr>
          <w:ilvl w:val="0"/>
          <w:numId w:val="161"/>
        </w:numPr>
        <w:ind w:left="1843"/>
        <w:jc w:val="both"/>
        <w:rPr>
          <w:rFonts w:ascii="Arial" w:hAnsi="Arial" w:cs="Arial"/>
          <w:noProof/>
          <w:sz w:val="20"/>
          <w:szCs w:val="20"/>
        </w:rPr>
      </w:pPr>
      <w:r>
        <w:rPr>
          <w:rFonts w:ascii="Arial" w:hAnsi="Arial" w:cs="Arial"/>
          <w:noProof/>
          <w:sz w:val="20"/>
          <w:szCs w:val="20"/>
        </w:rPr>
        <w:t xml:space="preserve">non-conformity of national transposition measures with the Directive on the recognition of professional qualifications </w:t>
      </w:r>
      <w:r>
        <w:rPr>
          <w:rStyle w:val="FootnoteReference"/>
          <w:rFonts w:ascii="Arial" w:hAnsi="Arial" w:cs="Arial"/>
          <w:noProof/>
          <w:sz w:val="20"/>
          <w:szCs w:val="20"/>
        </w:rPr>
        <w:footnoteReference w:id="53"/>
      </w:r>
      <w:r>
        <w:rPr>
          <w:rFonts w:ascii="Arial" w:hAnsi="Arial" w:cs="Arial"/>
          <w:noProof/>
          <w:sz w:val="20"/>
          <w:szCs w:val="20"/>
        </w:rPr>
        <w:t>;</w:t>
      </w:r>
    </w:p>
    <w:p>
      <w:pPr>
        <w:pStyle w:val="ListParagraph"/>
        <w:numPr>
          <w:ilvl w:val="0"/>
          <w:numId w:val="161"/>
        </w:numPr>
        <w:ind w:left="1843"/>
        <w:jc w:val="both"/>
        <w:rPr>
          <w:rFonts w:ascii="Arial" w:hAnsi="Arial" w:cs="Arial"/>
          <w:noProof/>
          <w:sz w:val="20"/>
          <w:szCs w:val="20"/>
        </w:rPr>
      </w:pPr>
      <w:r>
        <w:rPr>
          <w:rFonts w:ascii="Arial" w:hAnsi="Arial" w:cs="Arial"/>
          <w:noProof/>
          <w:sz w:val="20"/>
          <w:szCs w:val="20"/>
        </w:rPr>
        <w:t>non-compliance with the requirements of the:</w:t>
      </w:r>
    </w:p>
    <w:p>
      <w:pPr>
        <w:pStyle w:val="ListParagraph"/>
        <w:numPr>
          <w:ilvl w:val="1"/>
          <w:numId w:val="161"/>
        </w:numPr>
        <w:ind w:left="2410"/>
        <w:jc w:val="both"/>
        <w:rPr>
          <w:rFonts w:ascii="Arial" w:hAnsi="Arial" w:cs="Arial"/>
          <w:noProof/>
          <w:sz w:val="20"/>
          <w:szCs w:val="20"/>
        </w:rPr>
      </w:pPr>
      <w:r>
        <w:rPr>
          <w:rFonts w:ascii="Arial" w:hAnsi="Arial" w:cs="Arial"/>
          <w:noProof/>
          <w:sz w:val="20"/>
          <w:szCs w:val="20"/>
        </w:rPr>
        <w:t>Energy Efficiency Directive</w:t>
      </w:r>
      <w:r>
        <w:rPr>
          <w:rStyle w:val="FootnoteReference"/>
          <w:rFonts w:ascii="Arial" w:hAnsi="Arial" w:cs="Arial"/>
          <w:noProof/>
          <w:sz w:val="20"/>
          <w:szCs w:val="20"/>
        </w:rPr>
        <w:footnoteReference w:id="54"/>
      </w:r>
      <w:r>
        <w:rPr>
          <w:rFonts w:ascii="Arial" w:hAnsi="Arial" w:cs="Arial"/>
          <w:noProof/>
          <w:sz w:val="20"/>
          <w:szCs w:val="20"/>
        </w:rPr>
        <w:t>;</w:t>
      </w:r>
    </w:p>
    <w:p>
      <w:pPr>
        <w:pStyle w:val="ListParagraph"/>
        <w:numPr>
          <w:ilvl w:val="1"/>
          <w:numId w:val="161"/>
        </w:numPr>
        <w:ind w:left="2410"/>
        <w:jc w:val="both"/>
        <w:rPr>
          <w:rFonts w:ascii="Arial" w:hAnsi="Arial" w:cs="Arial"/>
          <w:noProof/>
          <w:sz w:val="20"/>
          <w:szCs w:val="20"/>
        </w:rPr>
      </w:pPr>
      <w:r>
        <w:rPr>
          <w:rFonts w:ascii="Arial" w:hAnsi="Arial" w:cs="Arial"/>
          <w:noProof/>
          <w:sz w:val="20"/>
          <w:szCs w:val="20"/>
        </w:rPr>
        <w:t>Energy Performance of Buildings Directive</w:t>
      </w:r>
      <w:r>
        <w:rPr>
          <w:rStyle w:val="FootnoteReference"/>
          <w:rFonts w:ascii="Arial" w:hAnsi="Arial" w:cs="Arial"/>
          <w:noProof/>
          <w:sz w:val="20"/>
          <w:szCs w:val="20"/>
        </w:rPr>
        <w:footnoteReference w:id="55"/>
      </w:r>
      <w:r>
        <w:rPr>
          <w:rFonts w:ascii="Arial" w:hAnsi="Arial" w:cs="Arial"/>
          <w:noProof/>
          <w:sz w:val="20"/>
          <w:szCs w:val="20"/>
        </w:rPr>
        <w:t>;</w:t>
      </w:r>
    </w:p>
    <w:p>
      <w:pPr>
        <w:pStyle w:val="ListParagraph"/>
        <w:numPr>
          <w:ilvl w:val="1"/>
          <w:numId w:val="161"/>
        </w:numPr>
        <w:ind w:left="2410"/>
        <w:jc w:val="both"/>
        <w:rPr>
          <w:rFonts w:ascii="Arial" w:hAnsi="Arial" w:cs="Arial"/>
          <w:noProof/>
          <w:sz w:val="20"/>
          <w:szCs w:val="20"/>
        </w:rPr>
      </w:pPr>
      <w:r>
        <w:rPr>
          <w:rFonts w:ascii="Arial" w:hAnsi="Arial" w:cs="Arial"/>
          <w:noProof/>
          <w:sz w:val="20"/>
          <w:szCs w:val="20"/>
        </w:rPr>
        <w:t>European radio spectrum rules</w:t>
      </w:r>
      <w:r>
        <w:rPr>
          <w:rStyle w:val="FootnoteReference"/>
          <w:rFonts w:ascii="Arial" w:hAnsi="Arial" w:cs="Arial"/>
          <w:noProof/>
          <w:sz w:val="20"/>
          <w:szCs w:val="20"/>
        </w:rPr>
        <w:footnoteReference w:id="56"/>
      </w:r>
      <w:r>
        <w:rPr>
          <w:rFonts w:ascii="Arial" w:hAnsi="Arial" w:cs="Arial"/>
          <w:noProof/>
          <w:sz w:val="20"/>
          <w:szCs w:val="20"/>
        </w:rPr>
        <w:t>;</w:t>
      </w:r>
    </w:p>
    <w:p>
      <w:pPr>
        <w:pStyle w:val="ListParagraph"/>
        <w:numPr>
          <w:ilvl w:val="0"/>
          <w:numId w:val="161"/>
        </w:numPr>
        <w:ind w:left="1843"/>
        <w:jc w:val="both"/>
        <w:rPr>
          <w:rFonts w:ascii="Arial" w:hAnsi="Arial" w:cs="Arial"/>
          <w:noProof/>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57"/>
      </w:r>
      <w:r>
        <w:rPr>
          <w:rFonts w:ascii="Arial" w:hAnsi="Arial" w:cs="Arial"/>
          <w:noProof/>
          <w:sz w:val="20"/>
          <w:szCs w:val="20"/>
        </w:rPr>
        <w:t>;</w:t>
      </w:r>
    </w:p>
    <w:p>
      <w:pPr>
        <w:pStyle w:val="ListParagraph"/>
        <w:numPr>
          <w:ilvl w:val="0"/>
          <w:numId w:val="161"/>
        </w:numPr>
        <w:ind w:left="1843"/>
        <w:jc w:val="both"/>
        <w:rPr>
          <w:rFonts w:ascii="Arial" w:hAnsi="Arial" w:cs="Arial"/>
          <w:noProof/>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rPr>
        <w:footnoteReference w:id="58"/>
      </w:r>
      <w:r>
        <w:rPr>
          <w:rFonts w:ascii="Arial" w:hAnsi="Arial" w:cs="Arial"/>
          <w:noProof/>
          <w:sz w:val="20"/>
          <w:szCs w:val="20"/>
        </w:rPr>
        <w:t>;</w:t>
      </w:r>
    </w:p>
    <w:p>
      <w:pPr>
        <w:pStyle w:val="ListParagraph"/>
        <w:numPr>
          <w:ilvl w:val="0"/>
          <w:numId w:val="161"/>
        </w:numPr>
        <w:ind w:left="1843"/>
        <w:jc w:val="both"/>
        <w:rPr>
          <w:rFonts w:ascii="Arial" w:hAnsi="Arial" w:cs="Arial"/>
          <w:noProof/>
          <w:sz w:val="20"/>
          <w:szCs w:val="20"/>
        </w:rPr>
      </w:pPr>
      <w:r>
        <w:rPr>
          <w:rFonts w:ascii="Arial" w:hAnsi="Arial" w:cs="Arial"/>
          <w:noProof/>
          <w:sz w:val="20"/>
          <w:szCs w:val="20"/>
        </w:rPr>
        <w:t>unjustified offset requirements demanding compensation from non-national suppliers when purchasing defence equipment from them</w:t>
      </w:r>
      <w:r>
        <w:rPr>
          <w:rStyle w:val="FootnoteReference"/>
          <w:rFonts w:ascii="Arial" w:hAnsi="Arial" w:cs="Arial"/>
          <w:noProof/>
          <w:sz w:val="20"/>
          <w:szCs w:val="20"/>
        </w:rPr>
        <w:footnoteReference w:id="59"/>
      </w:r>
      <w:r>
        <w:rPr>
          <w:rFonts w:ascii="Arial" w:hAnsi="Arial" w:cs="Arial"/>
          <w:noProof/>
          <w:sz w:val="20"/>
          <w:szCs w:val="20"/>
        </w:rPr>
        <w:t>;</w:t>
      </w:r>
    </w:p>
    <w:p>
      <w:pPr>
        <w:pStyle w:val="ListParagraph"/>
        <w:numPr>
          <w:ilvl w:val="0"/>
          <w:numId w:val="161"/>
        </w:numPr>
        <w:ind w:left="1843"/>
        <w:jc w:val="both"/>
        <w:rPr>
          <w:rFonts w:ascii="Arial" w:hAnsi="Arial" w:cs="Arial"/>
          <w:noProof/>
          <w:sz w:val="20"/>
          <w:szCs w:val="20"/>
        </w:rPr>
      </w:pPr>
      <w:r>
        <w:rPr>
          <w:rFonts w:ascii="Arial" w:hAnsi="Arial" w:cs="Arial"/>
          <w:noProof/>
          <w:sz w:val="20"/>
          <w:szCs w:val="20"/>
        </w:rPr>
        <w:t>non-communication of national measures transposing the :</w:t>
      </w:r>
    </w:p>
    <w:p>
      <w:pPr>
        <w:pStyle w:val="ListParagraph"/>
        <w:numPr>
          <w:ilvl w:val="0"/>
          <w:numId w:val="213"/>
        </w:numPr>
        <w:ind w:left="2410"/>
        <w:jc w:val="both"/>
        <w:rPr>
          <w:noProof/>
        </w:rPr>
      </w:pPr>
      <w:r>
        <w:rPr>
          <w:rFonts w:ascii="Arial" w:hAnsi="Arial" w:cs="Arial"/>
          <w:noProof/>
          <w:sz w:val="20"/>
          <w:szCs w:val="20"/>
        </w:rPr>
        <w:t>Payment Services Directive</w:t>
      </w:r>
      <w:r>
        <w:rPr>
          <w:rStyle w:val="FootnoteReference"/>
          <w:rFonts w:ascii="Arial" w:hAnsi="Arial" w:cs="Arial"/>
          <w:noProof/>
        </w:rPr>
        <w:footnoteReference w:id="60"/>
      </w:r>
      <w:r>
        <w:rPr>
          <w:rFonts w:ascii="Arial" w:hAnsi="Arial" w:cs="Arial"/>
          <w:noProof/>
        </w:rPr>
        <w:t>;</w:t>
      </w:r>
    </w:p>
    <w:p>
      <w:pPr>
        <w:pStyle w:val="ListParagraph"/>
        <w:numPr>
          <w:ilvl w:val="0"/>
          <w:numId w:val="213"/>
        </w:numPr>
        <w:ind w:left="2410"/>
        <w:jc w:val="both"/>
        <w:rPr>
          <w:noProof/>
        </w:rPr>
      </w:pPr>
      <w:r>
        <w:rPr>
          <w:rFonts w:ascii="Arial" w:hAnsi="Arial" w:cs="Arial"/>
          <w:noProof/>
          <w:sz w:val="20"/>
          <w:szCs w:val="20"/>
        </w:rPr>
        <w:t>Directive as regards the characteristics to be covered as a minimum by the examination and the minimum conditions for examining certain varieties of agricultural plant species and vegetable species;</w:t>
      </w:r>
      <w:r>
        <w:rPr>
          <w:rFonts w:ascii="Arial" w:hAnsi="Arial" w:cs="Arial"/>
          <w:noProof/>
          <w:sz w:val="20"/>
          <w:szCs w:val="20"/>
          <w:vertAlign w:val="superscript"/>
        </w:rPr>
        <w:footnoteReference w:id="61"/>
      </w:r>
    </w:p>
    <w:p>
      <w:pPr>
        <w:pStyle w:val="ListParagraph"/>
        <w:numPr>
          <w:ilvl w:val="0"/>
          <w:numId w:val="213"/>
        </w:numPr>
        <w:ind w:left="2410"/>
        <w:jc w:val="both"/>
        <w:rPr>
          <w:noProof/>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62"/>
      </w:r>
      <w:r>
        <w:rPr>
          <w:rFonts w:ascii="Arial" w:hAnsi="Arial" w:cs="Arial"/>
          <w:noProof/>
          <w:sz w:val="20"/>
          <w:szCs w:val="20"/>
        </w:rPr>
        <w:t>;</w:t>
      </w:r>
    </w:p>
    <w:p>
      <w:pPr>
        <w:pStyle w:val="ListParagraph"/>
        <w:numPr>
          <w:ilvl w:val="0"/>
          <w:numId w:val="213"/>
        </w:numPr>
        <w:ind w:left="2410"/>
        <w:jc w:val="both"/>
        <w:rPr>
          <w:noProof/>
        </w:rPr>
      </w:pPr>
      <w:r>
        <w:rPr>
          <w:noProof/>
        </w:rPr>
        <w:t xml:space="preserve">the </w:t>
      </w:r>
      <w:r>
        <w:rPr>
          <w:rFonts w:ascii="Arial" w:hAnsi="Arial" w:cs="Arial"/>
          <w:noProof/>
          <w:sz w:val="20"/>
        </w:rPr>
        <w:t>Data Protection Law Enforcement Directive</w:t>
      </w:r>
      <w:r>
        <w:rPr>
          <w:rStyle w:val="FootnoteReference"/>
          <w:rFonts w:ascii="Arial" w:hAnsi="Arial" w:cs="Arial"/>
          <w:noProof/>
          <w:sz w:val="20"/>
        </w:rPr>
        <w:footnoteReference w:id="63"/>
      </w:r>
      <w:r>
        <w:rPr>
          <w:rFonts w:ascii="Arial" w:hAnsi="Arial" w:cs="Arial"/>
          <w:noProof/>
          <w:sz w:val="20"/>
        </w:rPr>
        <w:t>;</w:t>
      </w:r>
    </w:p>
    <w:p>
      <w:pPr>
        <w:numPr>
          <w:ilvl w:val="0"/>
          <w:numId w:val="141"/>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141"/>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pStyle w:val="AnnualReport1"/>
        <w:numPr>
          <w:ilvl w:val="0"/>
          <w:numId w:val="179"/>
        </w:numPr>
        <w:rPr>
          <w:noProof/>
        </w:rPr>
      </w:pPr>
      <w:r>
        <w:rPr>
          <w:noProof/>
        </w:rPr>
        <w:t>TRANSPOSITION OF DIRECTIVES</w:t>
      </w:r>
    </w:p>
    <w:p>
      <w:pPr>
        <w:numPr>
          <w:ilvl w:val="0"/>
          <w:numId w:val="109"/>
        </w:numPr>
        <w:spacing w:before="240"/>
        <w:outlineLvl w:val="1"/>
        <w:rPr>
          <w:rFonts w:ascii="Arial" w:hAnsi="Arial"/>
          <w:noProof/>
          <w:color w:val="002060"/>
        </w:rPr>
      </w:pPr>
      <w:r>
        <w:rPr>
          <w:rFonts w:ascii="Arial" w:hAnsi="Arial"/>
          <w:noProof/>
          <w:color w:val="002060"/>
        </w:rPr>
        <w:t>Late transposition infringement cases against the Netherlands open on 31 December (2014-2018)</w:t>
      </w:r>
    </w:p>
    <w:p>
      <w:pPr>
        <w:ind w:left="425" w:firstLine="284"/>
        <w:rPr>
          <w:noProof/>
        </w:rPr>
      </w:pPr>
      <w:r>
        <w:rPr>
          <w:noProof/>
          <w:lang w:eastAsia="en-GB"/>
        </w:rPr>
        <w:drawing>
          <wp:inline distT="0" distB="0" distL="0" distR="0">
            <wp:extent cx="4587875" cy="2099310"/>
            <wp:effectExtent l="0" t="0" r="0" b="0"/>
            <wp:docPr id="20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numPr>
          <w:ilvl w:val="0"/>
          <w:numId w:val="109"/>
        </w:numPr>
        <w:spacing w:before="240"/>
        <w:ind w:left="709" w:hanging="425"/>
        <w:outlineLvl w:val="1"/>
        <w:rPr>
          <w:rFonts w:ascii="Arial" w:hAnsi="Arial"/>
          <w:noProof/>
          <w:color w:val="002060"/>
        </w:rPr>
      </w:pPr>
      <w:r>
        <w:rPr>
          <w:rFonts w:ascii="Arial" w:hAnsi="Arial"/>
          <w:noProof/>
          <w:color w:val="002060"/>
        </w:rPr>
        <w:t>New late transposition infringement cases against the Netherlands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66315"/>
            <wp:effectExtent l="0" t="0" r="3175" b="635"/>
            <wp:docPr id="209"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numPr>
          <w:ilvl w:val="0"/>
          <w:numId w:val="109"/>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430780"/>
            <wp:effectExtent l="0" t="0" r="10795" b="7620"/>
            <wp:docPr id="210" name="Object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109"/>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284" w:firstLine="76"/>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79"/>
        </w:numPr>
        <w:rPr>
          <w:noProof/>
        </w:rPr>
      </w:pPr>
      <w:r>
        <w:rPr>
          <w:noProof/>
        </w:rPr>
        <w:t>EARLY RESOLUTION OF INFRINGEMENT CASES</w:t>
      </w:r>
    </w:p>
    <w:p>
      <w:pPr>
        <w:spacing w:after="60"/>
        <w:ind w:left="786" w:hanging="360"/>
        <w:outlineLvl w:val="1"/>
        <w:rPr>
          <w:rFonts w:ascii="Arial" w:hAnsi="Arial"/>
          <w:noProof/>
          <w:color w:val="002060"/>
        </w:rPr>
      </w:pPr>
      <w:r>
        <w:rPr>
          <w:rFonts w:ascii="Arial" w:hAnsi="Arial"/>
          <w:noProof/>
          <w:color w:val="002060"/>
        </w:rPr>
        <w:t>Major cases closed without a Court judgment in 2018</w:t>
      </w:r>
    </w:p>
    <w:p>
      <w:pPr>
        <w:spacing w:after="120"/>
        <w:ind w:firstLine="426"/>
        <w:rPr>
          <w:rFonts w:ascii="Arial" w:hAnsi="Arial" w:cs="Arial"/>
          <w:noProof/>
          <w:sz w:val="20"/>
          <w:szCs w:val="20"/>
        </w:rPr>
      </w:pPr>
      <w:r>
        <w:rPr>
          <w:rFonts w:ascii="Arial" w:hAnsi="Arial" w:cs="Arial"/>
          <w:noProof/>
          <w:sz w:val="20"/>
          <w:szCs w:val="20"/>
        </w:rPr>
        <w:t>These concerned:</w:t>
      </w:r>
    </w:p>
    <w:p>
      <w:pPr>
        <w:pStyle w:val="ListParagraph"/>
        <w:numPr>
          <w:ilvl w:val="0"/>
          <w:numId w:val="228"/>
        </w:numPr>
        <w:spacing w:after="120"/>
        <w:jc w:val="both"/>
        <w:rPr>
          <w:rFonts w:ascii="Arial" w:hAnsi="Arial" w:cs="Arial"/>
          <w:noProof/>
          <w:sz w:val="20"/>
          <w:szCs w:val="20"/>
        </w:rPr>
      </w:pPr>
      <w:r>
        <w:rPr>
          <w:rFonts w:ascii="Arial" w:hAnsi="Arial" w:cs="Arial"/>
          <w:noProof/>
          <w:sz w:val="20"/>
          <w:szCs w:val="20"/>
        </w:rPr>
        <w:t>failure to stop ongoing deterioration of a Natura 2000 site at Westerschelde in breach of the Habitats Directive</w:t>
      </w:r>
      <w:r>
        <w:rPr>
          <w:rStyle w:val="FootnoteReference"/>
          <w:rFonts w:ascii="Arial" w:hAnsi="Arial" w:cs="Arial"/>
          <w:noProof/>
          <w:sz w:val="20"/>
          <w:szCs w:val="20"/>
        </w:rPr>
        <w:footnoteReference w:id="64"/>
      </w:r>
      <w:r>
        <w:rPr>
          <w:rFonts w:ascii="Arial" w:hAnsi="Arial" w:cs="Arial"/>
          <w:noProof/>
          <w:sz w:val="20"/>
          <w:szCs w:val="20"/>
        </w:rPr>
        <w:t>;</w:t>
      </w:r>
    </w:p>
    <w:p>
      <w:pPr>
        <w:pStyle w:val="ListParagraph"/>
        <w:numPr>
          <w:ilvl w:val="0"/>
          <w:numId w:val="228"/>
        </w:numPr>
        <w:spacing w:after="120"/>
        <w:rPr>
          <w:rFonts w:ascii="Arial" w:hAnsi="Arial" w:cs="Arial"/>
          <w:noProof/>
          <w:szCs w:val="20"/>
        </w:rPr>
      </w:pPr>
      <w:r>
        <w:rPr>
          <w:rFonts w:ascii="Arial" w:hAnsi="Arial" w:cs="Arial"/>
          <w:noProof/>
          <w:sz w:val="20"/>
          <w:szCs w:val="20"/>
        </w:rPr>
        <w:t>incorrect transposition of the Third Energy Package Directives</w:t>
      </w:r>
      <w:r>
        <w:rPr>
          <w:rStyle w:val="FootnoteReference"/>
          <w:rFonts w:ascii="Arial" w:hAnsi="Arial" w:cs="Arial"/>
          <w:noProof/>
          <w:sz w:val="20"/>
          <w:szCs w:val="20"/>
        </w:rPr>
        <w:footnoteReference w:id="65"/>
      </w:r>
      <w:r>
        <w:rPr>
          <w:rFonts w:ascii="Arial" w:hAnsi="Arial" w:cs="Arial"/>
          <w:noProof/>
          <w:sz w:val="20"/>
          <w:szCs w:val="20"/>
        </w:rPr>
        <w:t xml:space="preserve">; </w:t>
      </w:r>
    </w:p>
    <w:p>
      <w:pPr>
        <w:pStyle w:val="ListParagraph"/>
        <w:numPr>
          <w:ilvl w:val="0"/>
          <w:numId w:val="228"/>
        </w:numPr>
        <w:spacing w:after="120"/>
        <w:rPr>
          <w:rFonts w:ascii="Arial" w:hAnsi="Arial" w:cs="Arial"/>
          <w:noProof/>
          <w:szCs w:val="20"/>
        </w:rPr>
      </w:pPr>
      <w:r>
        <w:rPr>
          <w:rFonts w:ascii="Arial" w:hAnsi="Arial" w:cs="Arial"/>
          <w:noProof/>
          <w:sz w:val="20"/>
        </w:rPr>
        <w:t>the Antitrust Damages Directive</w:t>
      </w:r>
      <w:r>
        <w:rPr>
          <w:rStyle w:val="FootnoteReference"/>
          <w:rFonts w:ascii="Arial" w:hAnsi="Arial" w:cs="Arial"/>
          <w:noProof/>
          <w:sz w:val="20"/>
        </w:rPr>
        <w:footnoteReference w:id="66"/>
      </w:r>
      <w:r>
        <w:rPr>
          <w:rFonts w:ascii="Arial" w:hAnsi="Arial" w:cs="Arial"/>
          <w:noProof/>
          <w:sz w:val="20"/>
        </w:rPr>
        <w:t>.</w:t>
      </w:r>
    </w:p>
    <w:p>
      <w:pPr>
        <w:pStyle w:val="AnnualReport1"/>
        <w:numPr>
          <w:ilvl w:val="0"/>
          <w:numId w:val="179"/>
        </w:numPr>
        <w:rPr>
          <w:noProof/>
        </w:rPr>
      </w:pPr>
      <w:r>
        <w:rPr>
          <w:noProof/>
        </w:rPr>
        <w:t>IMPORTANT JUDGMENTS</w:t>
      </w:r>
    </w:p>
    <w:p>
      <w:pPr>
        <w:numPr>
          <w:ilvl w:val="0"/>
          <w:numId w:val="251"/>
        </w:numPr>
        <w:spacing w:before="240"/>
        <w:outlineLvl w:val="1"/>
        <w:rPr>
          <w:rFonts w:ascii="Arial" w:hAnsi="Arial"/>
          <w:noProof/>
          <w:color w:val="002060"/>
        </w:rPr>
      </w:pPr>
      <w:r>
        <w:rPr>
          <w:rFonts w:ascii="Arial" w:hAnsi="Arial"/>
          <w:noProof/>
          <w:color w:val="002060"/>
        </w:rPr>
        <w:t>Court rulings</w:t>
      </w:r>
      <w:r>
        <w:rPr>
          <w:rFonts w:ascii="Arial" w:hAnsi="Arial"/>
          <w:noProof/>
          <w:color w:val="002060"/>
          <w:vertAlign w:val="superscript"/>
        </w:rPr>
        <w:footnoteReference w:id="67"/>
      </w:r>
    </w:p>
    <w:p>
      <w:pPr>
        <w:ind w:firstLine="709"/>
        <w:rPr>
          <w:rFonts w:ascii="Arial" w:hAnsi="Arial" w:cs="Arial"/>
          <w:noProof/>
          <w:sz w:val="20"/>
          <w:szCs w:val="20"/>
        </w:rPr>
      </w:pPr>
      <w:r>
        <w:rPr>
          <w:rFonts w:ascii="Arial" w:hAnsi="Arial" w:cs="Arial"/>
          <w:noProof/>
          <w:sz w:val="20"/>
          <w:szCs w:val="20"/>
        </w:rPr>
        <w:t>There were no major Court rulings in 2018.</w:t>
      </w:r>
    </w:p>
    <w:p>
      <w:pPr>
        <w:numPr>
          <w:ilvl w:val="0"/>
          <w:numId w:val="251"/>
        </w:numPr>
        <w:spacing w:before="240"/>
        <w:outlineLvl w:val="1"/>
        <w:rPr>
          <w:rFonts w:ascii="Arial" w:hAnsi="Arial"/>
          <w:noProof/>
          <w:color w:val="002060"/>
        </w:rPr>
      </w:pPr>
      <w:r>
        <w:rPr>
          <w:rFonts w:ascii="Arial" w:hAnsi="Arial"/>
          <w:noProof/>
          <w:color w:val="002060"/>
        </w:rPr>
        <w:t>Preliminary rulings</w:t>
      </w:r>
    </w:p>
    <w:p>
      <w:pPr>
        <w:spacing w:after="120"/>
        <w:ind w:left="426" w:firstLine="294"/>
        <w:jc w:val="both"/>
        <w:rPr>
          <w:rFonts w:ascii="Arial" w:hAnsi="Arial" w:cs="Arial"/>
          <w:noProof/>
          <w:sz w:val="20"/>
        </w:rPr>
      </w:pPr>
      <w:r>
        <w:rPr>
          <w:rFonts w:ascii="Arial" w:hAnsi="Arial" w:cs="Arial"/>
          <w:noProof/>
          <w:sz w:val="20"/>
        </w:rPr>
        <w:t>The Court addressed the following preliminary rulings to the Dutch judiciary.</w:t>
      </w:r>
    </w:p>
    <w:p>
      <w:pPr>
        <w:pStyle w:val="ListParagraph"/>
        <w:numPr>
          <w:ilvl w:val="0"/>
          <w:numId w:val="233"/>
        </w:numPr>
        <w:spacing w:after="120"/>
        <w:jc w:val="both"/>
        <w:rPr>
          <w:rFonts w:ascii="Arial" w:hAnsi="Arial" w:cs="Arial"/>
          <w:noProof/>
          <w:sz w:val="20"/>
        </w:rPr>
      </w:pPr>
      <w:r>
        <w:rPr>
          <w:rFonts w:ascii="Arial" w:hAnsi="Arial" w:cs="Arial"/>
          <w:noProof/>
          <w:sz w:val="20"/>
          <w:lang w:bidi="en-US"/>
        </w:rPr>
        <w:t>The taste of a food product can be protected by copyright if it can be classified as a ‘work’ within the meaning of the Directive on rights in the information society. Classification as a ‘work’ requires that the subject matter concerned is an original intellectual creation. Secondly, there must be an ‘expression’ of that original intellectual creation</w:t>
      </w:r>
      <w:r>
        <w:rPr>
          <w:rStyle w:val="FootnoteReference"/>
          <w:rFonts w:ascii="Arial" w:hAnsi="Arial" w:cs="Arial"/>
          <w:noProof/>
          <w:sz w:val="20"/>
          <w:lang w:bidi="en-US"/>
        </w:rPr>
        <w:footnoteReference w:id="68"/>
      </w:r>
      <w:r>
        <w:rPr>
          <w:rFonts w:ascii="Arial" w:hAnsi="Arial" w:cs="Arial"/>
          <w:noProof/>
          <w:sz w:val="20"/>
          <w:lang w:bidi="en-US"/>
        </w:rPr>
        <w:t>.</w:t>
      </w:r>
    </w:p>
    <w:p>
      <w:pPr>
        <w:numPr>
          <w:ilvl w:val="0"/>
          <w:numId w:val="233"/>
        </w:numPr>
        <w:spacing w:before="120" w:after="120"/>
        <w:jc w:val="both"/>
        <w:rPr>
          <w:rFonts w:ascii="Arial" w:hAnsi="Arial" w:cs="Arial"/>
          <w:noProof/>
          <w:sz w:val="20"/>
          <w:szCs w:val="20"/>
        </w:rPr>
      </w:pPr>
      <w:r>
        <w:rPr>
          <w:rFonts w:ascii="Arial" w:hAnsi="Arial" w:cs="Arial"/>
          <w:noProof/>
          <w:sz w:val="20"/>
          <w:szCs w:val="20"/>
        </w:rPr>
        <w:t>Retail is a service and falls within the scope of the Services Directive</w:t>
      </w:r>
      <w:r>
        <w:rPr>
          <w:rStyle w:val="FootnoteReference"/>
          <w:rFonts w:ascii="Arial" w:hAnsi="Arial" w:cs="Arial"/>
          <w:noProof/>
          <w:sz w:val="20"/>
          <w:szCs w:val="20"/>
        </w:rPr>
        <w:footnoteReference w:id="69"/>
      </w:r>
      <w:r>
        <w:rPr>
          <w:rFonts w:ascii="Arial" w:hAnsi="Arial" w:cs="Arial"/>
          <w:noProof/>
          <w:sz w:val="20"/>
          <w:szCs w:val="20"/>
        </w:rPr>
        <w:t>. The provisions on the freedom of establishment apply also to situations where only one Member State is concerned; the Directive applies also to Member States which regulate the establishment of retail shops through planning rules. A zoning plan rule, such as to reserve a specific location for the sale of bulky items, does not amount to an economic needs test within the meaning of Article 14(5) of the Directive</w:t>
      </w:r>
      <w:r>
        <w:rPr>
          <w:rStyle w:val="FootnoteReference"/>
          <w:rFonts w:ascii="Arial" w:hAnsi="Arial" w:cs="Arial"/>
          <w:noProof/>
          <w:sz w:val="20"/>
          <w:szCs w:val="20"/>
        </w:rPr>
        <w:footnoteReference w:id="70"/>
      </w:r>
      <w:r>
        <w:rPr>
          <w:rFonts w:ascii="Arial" w:hAnsi="Arial" w:cs="Arial"/>
          <w:noProof/>
          <w:sz w:val="20"/>
          <w:szCs w:val="20"/>
        </w:rPr>
        <w:t>.</w:t>
      </w:r>
    </w:p>
    <w:p>
      <w:pPr>
        <w:numPr>
          <w:ilvl w:val="0"/>
          <w:numId w:val="233"/>
        </w:numPr>
        <w:spacing w:before="120" w:after="120"/>
        <w:jc w:val="both"/>
        <w:rPr>
          <w:rFonts w:ascii="Arial" w:hAnsi="Arial" w:cs="Arial"/>
          <w:noProof/>
          <w:sz w:val="20"/>
          <w:szCs w:val="20"/>
        </w:rPr>
      </w:pPr>
      <w:r>
        <w:rPr>
          <w:rFonts w:ascii="Arial" w:hAnsi="Arial" w:cs="Arial"/>
          <w:noProof/>
          <w:sz w:val="20"/>
          <w:szCs w:val="20"/>
        </w:rPr>
        <w:t>A decision rejecting refugee status on the grounds that there are serious reasons to believe that the applicant committed a war crime or a crime against humanity may fall within the scope of the concept of public policy or public security. However, a case-by-case assessment is necessary before a measure based on grounds of public policy or public security is adopted</w:t>
      </w:r>
      <w:r>
        <w:rPr>
          <w:rStyle w:val="FootnoteReference"/>
          <w:rFonts w:ascii="Arial" w:hAnsi="Arial" w:cs="Arial"/>
          <w:noProof/>
          <w:sz w:val="20"/>
          <w:szCs w:val="20"/>
        </w:rPr>
        <w:footnoteReference w:id="71"/>
      </w:r>
      <w:r>
        <w:rPr>
          <w:rFonts w:ascii="Arial" w:hAnsi="Arial" w:cs="Arial"/>
          <w:noProof/>
          <w:sz w:val="20"/>
          <w:szCs w:val="20"/>
        </w:rPr>
        <w:t>.</w:t>
      </w:r>
    </w:p>
    <w:p>
      <w:pPr>
        <w:numPr>
          <w:ilvl w:val="0"/>
          <w:numId w:val="233"/>
        </w:numPr>
        <w:spacing w:before="120" w:after="120"/>
        <w:jc w:val="both"/>
        <w:rPr>
          <w:rFonts w:ascii="Arial" w:hAnsi="Arial" w:cs="Arial"/>
          <w:noProof/>
          <w:sz w:val="20"/>
          <w:szCs w:val="20"/>
        </w:rPr>
      </w:pPr>
      <w:r>
        <w:rPr>
          <w:rFonts w:ascii="Arial" w:hAnsi="Arial" w:cs="Arial"/>
          <w:noProof/>
          <w:sz w:val="20"/>
          <w:szCs w:val="20"/>
        </w:rPr>
        <w:t>The Member State in which a new application for international protection has been lodged is responsible for examining that application, when no take back request has been made within the periods laid down in the Dublin Regulation</w:t>
      </w:r>
      <w:r>
        <w:rPr>
          <w:rStyle w:val="FootnoteReference"/>
          <w:rFonts w:ascii="Arial" w:hAnsi="Arial" w:cs="Arial"/>
          <w:noProof/>
          <w:sz w:val="20"/>
          <w:szCs w:val="20"/>
        </w:rPr>
        <w:footnoteReference w:id="72"/>
      </w:r>
      <w:r>
        <w:rPr>
          <w:rFonts w:ascii="Arial" w:hAnsi="Arial" w:cs="Arial"/>
          <w:noProof/>
          <w:sz w:val="20"/>
          <w:szCs w:val="20"/>
        </w:rPr>
        <w:t>.</w:t>
      </w:r>
    </w:p>
    <w:p>
      <w:pPr>
        <w:numPr>
          <w:ilvl w:val="0"/>
          <w:numId w:val="233"/>
        </w:numPr>
        <w:spacing w:before="120" w:after="120"/>
        <w:jc w:val="both"/>
        <w:rPr>
          <w:rFonts w:ascii="Arial" w:hAnsi="Arial" w:cs="Arial"/>
          <w:noProof/>
          <w:sz w:val="20"/>
          <w:szCs w:val="20"/>
        </w:rPr>
      </w:pPr>
      <w:r>
        <w:rPr>
          <w:rFonts w:ascii="Arial" w:hAnsi="Arial" w:cs="Arial"/>
          <w:noProof/>
          <w:sz w:val="20"/>
          <w:szCs w:val="20"/>
        </w:rPr>
        <w:t>For the purpose of family reunification of refugees, what counts is that the third country national is below 18 at the time of his or her entry into the territory of a Member State and of the introduction of his or her asylum application in that State</w:t>
      </w:r>
      <w:r>
        <w:rPr>
          <w:rStyle w:val="FootnoteReference"/>
          <w:rFonts w:ascii="Arial" w:hAnsi="Arial" w:cs="Arial"/>
          <w:noProof/>
          <w:sz w:val="20"/>
          <w:szCs w:val="20"/>
        </w:rPr>
        <w:footnoteReference w:id="73"/>
      </w:r>
      <w:r>
        <w:rPr>
          <w:rFonts w:ascii="Arial" w:hAnsi="Arial" w:cs="Arial"/>
          <w:noProof/>
          <w:sz w:val="20"/>
          <w:szCs w:val="20"/>
        </w:rPr>
        <w:t>.</w:t>
      </w:r>
    </w:p>
    <w:p>
      <w:pPr>
        <w:numPr>
          <w:ilvl w:val="0"/>
          <w:numId w:val="233"/>
        </w:numPr>
        <w:spacing w:before="120" w:after="120"/>
        <w:jc w:val="both"/>
        <w:rPr>
          <w:rFonts w:ascii="Arial" w:hAnsi="Arial" w:cs="Arial"/>
          <w:noProof/>
          <w:sz w:val="20"/>
          <w:szCs w:val="20"/>
        </w:rPr>
      </w:pPr>
      <w:r>
        <w:rPr>
          <w:rFonts w:ascii="Arial" w:hAnsi="Arial" w:cs="Arial"/>
          <w:noProof/>
          <w:sz w:val="20"/>
          <w:szCs w:val="20"/>
        </w:rPr>
        <w:t>An application for an autonomous residence permit, lodged by a third country national who has resided for over 5 years in a Member State by virtue of family reunification, may be rejected on the grounds that he has not shown that he has passed a civic integration test on the language and society</w:t>
      </w:r>
      <w:r>
        <w:rPr>
          <w:rStyle w:val="FootnoteReference"/>
          <w:rFonts w:ascii="Arial" w:hAnsi="Arial" w:cs="Arial"/>
          <w:noProof/>
          <w:sz w:val="20"/>
          <w:szCs w:val="20"/>
        </w:rPr>
        <w:footnoteReference w:id="74"/>
      </w:r>
      <w:r>
        <w:rPr>
          <w:rFonts w:ascii="Arial" w:hAnsi="Arial" w:cs="Arial"/>
          <w:noProof/>
          <w:sz w:val="20"/>
          <w:szCs w:val="20"/>
        </w:rPr>
        <w:t>.</w:t>
      </w:r>
    </w:p>
    <w:p>
      <w:pPr>
        <w:numPr>
          <w:ilvl w:val="0"/>
          <w:numId w:val="233"/>
        </w:numPr>
        <w:spacing w:before="120" w:after="120"/>
        <w:jc w:val="both"/>
        <w:rPr>
          <w:rFonts w:ascii="Arial" w:hAnsi="Arial" w:cs="Arial"/>
          <w:noProof/>
          <w:sz w:val="20"/>
          <w:szCs w:val="20"/>
        </w:rPr>
      </w:pPr>
      <w:r>
        <w:rPr>
          <w:rFonts w:ascii="Arial" w:hAnsi="Arial" w:cs="Arial"/>
          <w:noProof/>
          <w:sz w:val="20"/>
          <w:szCs w:val="20"/>
        </w:rPr>
        <w:t>An application for family reunification lodged on behalf of a member of a refugee’s family may be rejected on the grounds that that application was lodged more than 3 months after the sponsor was granted refugee status, whilst affording the possibility of lodging a fresh application under a different set of rules provided that certain conditions are met</w:t>
      </w:r>
      <w:r>
        <w:rPr>
          <w:rStyle w:val="FootnoteReference"/>
          <w:rFonts w:ascii="Arial" w:hAnsi="Arial" w:cs="Arial"/>
          <w:noProof/>
          <w:sz w:val="20"/>
          <w:szCs w:val="20"/>
        </w:rPr>
        <w:footnoteReference w:id="75"/>
      </w:r>
      <w:r>
        <w:rPr>
          <w:rFonts w:ascii="Arial" w:hAnsi="Arial" w:cs="Arial"/>
          <w:b/>
          <w:noProof/>
          <w:sz w:val="20"/>
          <w:szCs w:val="20"/>
        </w:rPr>
        <w:t>.</w:t>
      </w:r>
    </w:p>
    <w:p>
      <w:pPr>
        <w:spacing w:after="120"/>
        <w:contextualSpacing/>
        <w:rPr>
          <w:rFonts w:ascii="Arial" w:eastAsia="Calibri" w:hAnsi="Arial"/>
          <w:noProof/>
          <w:kern w:val="20"/>
          <w:sz w:val="20"/>
        </w:rPr>
      </w:pPr>
    </w:p>
    <w:p>
      <w:pPr>
        <w:spacing w:after="120"/>
        <w:contextualSpacing/>
        <w:rPr>
          <w:rFonts w:ascii="Arial" w:eastAsia="Calibri" w:hAnsi="Arial"/>
          <w:noProof/>
          <w:kern w:val="20"/>
          <w:sz w:val="20"/>
        </w:rPr>
        <w:sectPr>
          <w:headerReference w:type="even" r:id="rId70"/>
          <w:headerReference w:type="default" r:id="rId71"/>
          <w:footerReference w:type="even" r:id="rId72"/>
          <w:footerReference w:type="default" r:id="rId73"/>
          <w:headerReference w:type="first" r:id="rId74"/>
          <w:footerReference w:type="first" r:id="rId75"/>
          <w:footnotePr>
            <w:numRestart w:val="eachSect"/>
          </w:footnotePr>
          <w:pgSz w:w="11906" w:h="16838"/>
          <w:pgMar w:top="1843"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31" w:name="_Toc484622336"/>
      <w:bookmarkStart w:id="32" w:name="_Toc5728032"/>
      <w:bookmarkStart w:id="33" w:name="_Toc475974658"/>
      <w:bookmarkStart w:id="34" w:name="_Toc475980154"/>
      <w:bookmarkStart w:id="35" w:name="_Toc475981403"/>
      <w:r>
        <w:rPr>
          <w:rFonts w:ascii="Arial" w:eastAsia="SimSun" w:hAnsi="Arial"/>
          <w:bCs/>
          <w:noProof/>
          <w:color w:val="A6A6A6"/>
          <w:szCs w:val="28"/>
        </w:rPr>
        <w:t>Austria</w:t>
      </w:r>
      <w:bookmarkEnd w:id="31"/>
      <w:bookmarkEnd w:id="32"/>
    </w:p>
    <w:p>
      <w:pPr>
        <w:pStyle w:val="AnnualReport1"/>
        <w:numPr>
          <w:ilvl w:val="0"/>
          <w:numId w:val="110"/>
        </w:numPr>
        <w:rPr>
          <w:noProof/>
        </w:rPr>
      </w:pPr>
      <w:r>
        <w:rPr>
          <w:noProof/>
        </w:rPr>
        <w:t>COMPLAINTS</w:t>
      </w:r>
    </w:p>
    <w:p>
      <w:pPr>
        <w:numPr>
          <w:ilvl w:val="0"/>
          <w:numId w:val="111"/>
        </w:numPr>
        <w:spacing w:before="240"/>
        <w:ind w:left="709" w:hanging="425"/>
        <w:outlineLvl w:val="1"/>
        <w:rPr>
          <w:rFonts w:ascii="Arial" w:hAnsi="Arial"/>
          <w:noProof/>
          <w:color w:val="002060"/>
        </w:rPr>
      </w:pPr>
      <w:r>
        <w:rPr>
          <w:rFonts w:ascii="Arial" w:hAnsi="Arial"/>
          <w:noProof/>
          <w:color w:val="002060"/>
        </w:rPr>
        <w:t>New complaints made against Austria by members of the public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34565"/>
            <wp:effectExtent l="0" t="0" r="17145" b="13335"/>
            <wp:docPr id="21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numPr>
          <w:ilvl w:val="0"/>
          <w:numId w:val="111"/>
        </w:numPr>
        <w:spacing w:before="240"/>
        <w:ind w:left="709" w:hanging="425"/>
        <w:outlineLvl w:val="1"/>
        <w:rPr>
          <w:rFonts w:ascii="Arial" w:hAnsi="Arial"/>
          <w:noProof/>
          <w:color w:val="002060"/>
        </w:rPr>
      </w:pPr>
      <w:r>
        <w:rPr>
          <w:rFonts w:ascii="Arial" w:hAnsi="Arial"/>
          <w:noProof/>
          <w:color w:val="002060"/>
        </w:rPr>
        <w:t>Public complaints against Austria open at year-end</w:t>
      </w:r>
    </w:p>
    <w:tbl>
      <w:tblPr>
        <w:tblW w:w="0" w:type="auto"/>
        <w:jc w:val="center"/>
        <w:tblLook w:val="04A0" w:firstRow="1" w:lastRow="0" w:firstColumn="1" w:lastColumn="0" w:noHBand="0" w:noVBand="1"/>
      </w:tblPr>
      <w:tblGrid>
        <w:gridCol w:w="1697"/>
        <w:gridCol w:w="34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122</w:t>
            </w:r>
          </w:p>
        </w:tc>
        <w:tc>
          <w:tcPr>
            <w:tcW w:w="33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65</w:t>
            </w:r>
          </w:p>
        </w:tc>
        <w:tc>
          <w:tcPr>
            <w:tcW w:w="33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85</w:t>
            </w:r>
          </w:p>
        </w:tc>
        <w:tc>
          <w:tcPr>
            <w:tcW w:w="33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102</w:t>
            </w:r>
          </w:p>
        </w:tc>
        <w:tc>
          <w:tcPr>
            <w:tcW w:w="33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111"/>
        </w:numPr>
        <w:spacing w:before="240"/>
        <w:ind w:left="709" w:hanging="425"/>
        <w:outlineLvl w:val="1"/>
        <w:rPr>
          <w:rFonts w:ascii="Arial" w:hAnsi="Arial"/>
          <w:noProof/>
          <w:color w:val="002060"/>
        </w:rPr>
      </w:pPr>
      <w:r>
        <w:rPr>
          <w:rFonts w:ascii="Arial" w:hAnsi="Arial"/>
          <w:noProof/>
          <w:color w:val="002060"/>
        </w:rPr>
        <w:t>New complaints registered in 2018: main policy areas</w:t>
      </w:r>
      <w:r>
        <w:rPr>
          <w:rFonts w:ascii="Arial" w:hAnsi="Arial"/>
          <w:noProof/>
          <w:color w:val="002060"/>
          <w:lang w:eastAsia="en-GB"/>
        </w:rPr>
        <w:drawing>
          <wp:inline distT="0" distB="0" distL="0" distR="0">
            <wp:extent cx="4615543" cy="2416628"/>
            <wp:effectExtent l="0" t="0" r="13970" b="3175"/>
            <wp:docPr id="107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after="0"/>
        <w:rPr>
          <w:rFonts w:ascii="Arial" w:hAnsi="Arial"/>
          <w:noProof/>
          <w:color w:val="002060"/>
        </w:rPr>
      </w:pPr>
      <w:r>
        <w:rPr>
          <w:noProof/>
        </w:rPr>
        <w:br w:type="page"/>
      </w:r>
    </w:p>
    <w:p>
      <w:pPr>
        <w:pStyle w:val="AnnualReport1"/>
        <w:numPr>
          <w:ilvl w:val="0"/>
          <w:numId w:val="110"/>
        </w:numPr>
        <w:rPr>
          <w:noProof/>
        </w:rPr>
      </w:pPr>
      <w:r>
        <w:rPr>
          <w:noProof/>
        </w:rPr>
        <w:t>EU PILOT</w:t>
      </w:r>
    </w:p>
    <w:p>
      <w:pPr>
        <w:numPr>
          <w:ilvl w:val="0"/>
          <w:numId w:val="33"/>
        </w:numPr>
        <w:spacing w:before="240"/>
        <w:ind w:left="709" w:hanging="425"/>
        <w:outlineLvl w:val="1"/>
        <w:rPr>
          <w:rFonts w:ascii="Arial" w:hAnsi="Arial"/>
          <w:noProof/>
          <w:color w:val="002060"/>
        </w:rPr>
      </w:pPr>
      <w:r>
        <w:rPr>
          <w:rFonts w:ascii="Arial" w:hAnsi="Arial"/>
          <w:noProof/>
          <w:color w:val="002060"/>
        </w:rPr>
        <w:t>New EU Pilot files opened against Austria (2014-2018)</w:t>
      </w:r>
    </w:p>
    <w:p>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extent cx="4603750" cy="2174240"/>
            <wp:effectExtent l="0" t="0" r="6350" b="16510"/>
            <wp:docPr id="21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numPr>
          <w:ilvl w:val="0"/>
          <w:numId w:val="33"/>
        </w:numPr>
        <w:spacing w:before="240"/>
        <w:ind w:left="709" w:hanging="425"/>
        <w:outlineLvl w:val="1"/>
        <w:rPr>
          <w:rFonts w:ascii="Arial" w:hAnsi="Arial"/>
          <w:noProof/>
          <w:color w:val="002060"/>
        </w:rPr>
      </w:pPr>
      <w:r>
        <w:rPr>
          <w:rFonts w:ascii="Arial" w:hAnsi="Arial"/>
          <w:noProof/>
          <w:color w:val="002060"/>
        </w:rPr>
        <w:t>Files relating to Austria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145665"/>
            <wp:effectExtent l="0" t="0" r="6350" b="6985"/>
            <wp:docPr id="21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numPr>
          <w:ilvl w:val="0"/>
          <w:numId w:val="33"/>
        </w:numPr>
        <w:spacing w:before="240"/>
        <w:ind w:left="709" w:hanging="425"/>
        <w:outlineLvl w:val="1"/>
        <w:rPr>
          <w:rFonts w:ascii="Arial" w:hAnsi="Arial"/>
          <w:noProof/>
          <w:color w:val="002060"/>
        </w:rPr>
      </w:pPr>
      <w:r>
        <w:rPr>
          <w:rFonts w:ascii="Arial" w:hAnsi="Arial"/>
          <w:noProof/>
          <w:color w:val="002060"/>
        </w:rPr>
        <w:t>New EU Pilot files opened in 2018: policy areas</w:t>
      </w:r>
    </w:p>
    <w:p>
      <w:pPr>
        <w:pStyle w:val="Body"/>
        <w:ind w:left="786" w:firstLine="0"/>
        <w:jc w:val="both"/>
        <w:rPr>
          <w:noProof/>
        </w:rPr>
      </w:pPr>
      <w:r>
        <w:rPr>
          <w:noProof/>
        </w:rPr>
        <w:t>In 2018, the Commission opened two EU Pilot files against Austria: one in the area of energy and one in the area of environment.</w:t>
      </w:r>
    </w:p>
    <w:p>
      <w:pPr>
        <w:numPr>
          <w:ilvl w:val="0"/>
          <w:numId w:val="33"/>
        </w:numPr>
        <w:spacing w:before="240"/>
        <w:outlineLvl w:val="1"/>
        <w:rPr>
          <w:rFonts w:ascii="Arial" w:hAnsi="Arial"/>
          <w:noProof/>
          <w:color w:val="002060"/>
        </w:rPr>
      </w:pPr>
      <w:r>
        <w:rPr>
          <w:rFonts w:ascii="Arial" w:hAnsi="Arial"/>
          <w:noProof/>
          <w:color w:val="002060"/>
        </w:rPr>
        <w:t>EU Pilot files: Austria’s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154555"/>
            <wp:effectExtent l="0" t="0" r="13970" b="17145"/>
            <wp:docPr id="21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AnnualReport1"/>
        <w:numPr>
          <w:ilvl w:val="0"/>
          <w:numId w:val="110"/>
        </w:numPr>
        <w:rPr>
          <w:noProof/>
        </w:rPr>
      </w:pPr>
      <w:r>
        <w:rPr>
          <w:noProof/>
        </w:rPr>
        <w:t>INFRINGEMENT CASES</w:t>
      </w:r>
    </w:p>
    <w:p>
      <w:pPr>
        <w:numPr>
          <w:ilvl w:val="0"/>
          <w:numId w:val="34"/>
        </w:numPr>
        <w:spacing w:before="240"/>
        <w:ind w:left="709" w:hanging="425"/>
        <w:outlineLvl w:val="1"/>
        <w:rPr>
          <w:rFonts w:ascii="Arial" w:hAnsi="Arial"/>
          <w:noProof/>
          <w:color w:val="002060"/>
        </w:rPr>
      </w:pPr>
      <w:r>
        <w:rPr>
          <w:rFonts w:ascii="Arial" w:hAnsi="Arial"/>
          <w:noProof/>
          <w:color w:val="002060"/>
        </w:rPr>
        <w:t>Infringement cases against Austria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120265"/>
            <wp:effectExtent l="0" t="0" r="17145" b="13335"/>
            <wp:docPr id="217"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numPr>
          <w:ilvl w:val="0"/>
          <w:numId w:val="34"/>
        </w:numPr>
        <w:spacing w:before="240"/>
        <w:ind w:left="709" w:hanging="425"/>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41520" cy="2194560"/>
            <wp:effectExtent l="0" t="0" r="11430" b="15240"/>
            <wp:docPr id="378" name="Object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numPr>
          <w:ilvl w:val="0"/>
          <w:numId w:val="34"/>
        </w:numPr>
        <w:spacing w:before="240"/>
        <w:ind w:left="709" w:hanging="425"/>
        <w:outlineLvl w:val="1"/>
        <w:rPr>
          <w:rFonts w:ascii="Arial" w:hAnsi="Arial"/>
          <w:noProof/>
          <w:color w:val="002060"/>
        </w:rPr>
      </w:pPr>
      <w:r>
        <w:rPr>
          <w:rFonts w:ascii="Arial" w:hAnsi="Arial"/>
          <w:noProof/>
          <w:color w:val="002060"/>
        </w:rPr>
        <w:t>Key infringement cases and referrals to the Court</w:t>
      </w:r>
    </w:p>
    <w:p>
      <w:pPr>
        <w:numPr>
          <w:ilvl w:val="0"/>
          <w:numId w:val="142"/>
        </w:numPr>
        <w:ind w:left="1276" w:hanging="425"/>
        <w:jc w:val="both"/>
        <w:rPr>
          <w:rFonts w:ascii="Arial" w:hAnsi="Arial" w:cs="Arial"/>
          <w:noProof/>
          <w:sz w:val="20"/>
          <w:szCs w:val="20"/>
        </w:rPr>
      </w:pPr>
      <w:r>
        <w:rPr>
          <w:rFonts w:ascii="Arial" w:hAnsi="Arial" w:cs="Arial"/>
          <w:noProof/>
          <w:sz w:val="20"/>
          <w:szCs w:val="20"/>
        </w:rPr>
        <w:t>The Commission opened 26 new infringement cases against Austria in 2018. These, and other major ongoing infringement cases, include:</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76"/>
      </w:r>
      <w:r>
        <w:rPr>
          <w:rFonts w:ascii="Arial" w:hAnsi="Arial" w:cs="Arial"/>
          <w:noProof/>
          <w:sz w:val="20"/>
          <w:szCs w:val="20"/>
        </w:rPr>
        <w:t>;</w:t>
      </w:r>
    </w:p>
    <w:p>
      <w:pPr>
        <w:pStyle w:val="ListParagraph"/>
        <w:numPr>
          <w:ilvl w:val="0"/>
          <w:numId w:val="161"/>
        </w:numPr>
        <w:ind w:left="1701"/>
        <w:jc w:val="both"/>
        <w:rPr>
          <w:rFonts w:ascii="Arial" w:hAnsi="Arial" w:cs="Arial"/>
          <w:noProof/>
          <w:sz w:val="20"/>
          <w:szCs w:val="20"/>
        </w:rPr>
      </w:pPr>
      <w:r>
        <w:rPr>
          <w:rFonts w:ascii="Arial" w:hAnsi="Arial" w:cs="Arial"/>
          <w:bCs/>
          <w:noProof/>
          <w:sz w:val="20"/>
          <w:szCs w:val="20"/>
        </w:rPr>
        <w:t xml:space="preserve">failure to adopt and notify the long-term renovation strategy under the </w:t>
      </w:r>
      <w:r>
        <w:rPr>
          <w:rFonts w:ascii="Arial" w:hAnsi="Arial" w:cs="Arial"/>
          <w:noProof/>
          <w:sz w:val="20"/>
          <w:szCs w:val="20"/>
        </w:rPr>
        <w:t>Energy Efficiency Directive</w:t>
      </w:r>
      <w:r>
        <w:rPr>
          <w:rStyle w:val="FootnoteReference"/>
          <w:rFonts w:ascii="Arial" w:hAnsi="Arial" w:cs="Arial"/>
          <w:noProof/>
          <w:sz w:val="20"/>
          <w:szCs w:val="20"/>
        </w:rPr>
        <w:footnoteReference w:id="77"/>
      </w:r>
      <w:r>
        <w:rPr>
          <w:rFonts w:ascii="Arial" w:hAnsi="Arial" w:cs="Arial"/>
          <w:noProof/>
          <w:sz w:val="20"/>
          <w:szCs w:val="20"/>
        </w:rPr>
        <w:t>;</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78"/>
      </w:r>
      <w:r>
        <w:rPr>
          <w:rFonts w:ascii="Arial" w:hAnsi="Arial" w:cs="Arial"/>
          <w:noProof/>
          <w:sz w:val="20"/>
          <w:szCs w:val="20"/>
        </w:rPr>
        <w:t>;</w:t>
      </w:r>
    </w:p>
    <w:p>
      <w:pPr>
        <w:pStyle w:val="ListParagraph"/>
        <w:numPr>
          <w:ilvl w:val="0"/>
          <w:numId w:val="161"/>
        </w:numPr>
        <w:ind w:left="1701"/>
        <w:jc w:val="both"/>
        <w:rPr>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79"/>
      </w:r>
      <w:r>
        <w:rPr>
          <w:rFonts w:ascii="Arial" w:hAnsi="Arial" w:cs="Arial"/>
          <w:noProof/>
          <w:sz w:val="20"/>
          <w:szCs w:val="20"/>
        </w:rPr>
        <w:t>;</w:t>
      </w:r>
    </w:p>
    <w:p>
      <w:pPr>
        <w:pStyle w:val="ListParagraph"/>
        <w:numPr>
          <w:ilvl w:val="0"/>
          <w:numId w:val="161"/>
        </w:numPr>
        <w:ind w:left="1701"/>
        <w:jc w:val="both"/>
        <w:rPr>
          <w:noProof/>
          <w:sz w:val="20"/>
          <w:szCs w:val="20"/>
        </w:rPr>
      </w:pPr>
      <w:r>
        <w:rPr>
          <w:rFonts w:ascii="Arial" w:hAnsi="Arial" w:cs="Arial"/>
          <w:noProof/>
          <w:sz w:val="20"/>
          <w:szCs w:val="20"/>
        </w:rPr>
        <w:t>lack of equal access for bidders to tender specifications (public procurement);</w:t>
      </w:r>
    </w:p>
    <w:p>
      <w:pPr>
        <w:pStyle w:val="ListParagraph"/>
        <w:numPr>
          <w:ilvl w:val="0"/>
          <w:numId w:val="161"/>
        </w:numPr>
        <w:ind w:left="1701"/>
        <w:jc w:val="both"/>
        <w:rPr>
          <w:noProof/>
          <w:sz w:val="20"/>
          <w:szCs w:val="20"/>
        </w:rPr>
      </w:pPr>
      <w:r>
        <w:rPr>
          <w:rFonts w:ascii="Arial" w:hAnsi="Arial" w:cs="Arial"/>
          <w:noProof/>
          <w:sz w:val="20"/>
          <w:szCs w:val="20"/>
        </w:rPr>
        <w:t>non-conformity of national measures with the Directive on the assessment of the effects of certain public and private projects on the environment</w:t>
      </w:r>
      <w:r>
        <w:rPr>
          <w:rStyle w:val="FootnoteReference"/>
          <w:rFonts w:ascii="Arial" w:hAnsi="Arial" w:cs="Arial"/>
          <w:noProof/>
          <w:sz w:val="20"/>
          <w:szCs w:val="20"/>
        </w:rPr>
        <w:footnoteReference w:id="80"/>
      </w:r>
      <w:r>
        <w:rPr>
          <w:rFonts w:ascii="Arial" w:hAnsi="Arial" w:cs="Arial"/>
          <w:noProof/>
          <w:sz w:val="20"/>
          <w:szCs w:val="20"/>
        </w:rPr>
        <w:t>;</w:t>
      </w:r>
    </w:p>
    <w:p>
      <w:pPr>
        <w:pStyle w:val="ListParagraph"/>
        <w:numPr>
          <w:ilvl w:val="0"/>
          <w:numId w:val="161"/>
        </w:numPr>
        <w:ind w:left="1701"/>
        <w:jc w:val="both"/>
        <w:rPr>
          <w:noProof/>
          <w:sz w:val="20"/>
          <w:szCs w:val="20"/>
        </w:rPr>
      </w:pPr>
      <w:r>
        <w:rPr>
          <w:rFonts w:ascii="Arial" w:hAnsi="Arial" w:cs="Arial"/>
          <w:noProof/>
          <w:sz w:val="20"/>
          <w:szCs w:val="20"/>
        </w:rPr>
        <w:t>failure to submit a list of proposed sites under the Habitats Directive</w:t>
      </w:r>
      <w:r>
        <w:rPr>
          <w:rStyle w:val="FootnoteReference"/>
          <w:rFonts w:ascii="Arial" w:hAnsi="Arial" w:cs="Arial"/>
          <w:noProof/>
          <w:sz w:val="20"/>
          <w:szCs w:val="20"/>
        </w:rPr>
        <w:footnoteReference w:id="81"/>
      </w:r>
      <w:r>
        <w:rPr>
          <w:rFonts w:ascii="Arial" w:hAnsi="Arial" w:cs="Arial"/>
          <w:noProof/>
          <w:sz w:val="20"/>
          <w:szCs w:val="20"/>
        </w:rPr>
        <w:t>;</w:t>
      </w:r>
    </w:p>
    <w:p>
      <w:pPr>
        <w:pStyle w:val="ListParagraph"/>
        <w:numPr>
          <w:ilvl w:val="0"/>
          <w:numId w:val="161"/>
        </w:numPr>
        <w:ind w:left="1701"/>
        <w:jc w:val="both"/>
        <w:rPr>
          <w:noProof/>
          <w:sz w:val="20"/>
          <w:szCs w:val="20"/>
        </w:rPr>
      </w:pPr>
      <w:r>
        <w:rPr>
          <w:rFonts w:ascii="Arial" w:hAnsi="Arial" w:cs="Arial"/>
          <w:noProof/>
          <w:sz w:val="20"/>
          <w:szCs w:val="20"/>
        </w:rPr>
        <w:t>incorrect application of the Habitats Directive in the authorisation procedure for a hydro power plant in Ferschnitz</w:t>
      </w:r>
      <w:r>
        <w:rPr>
          <w:rStyle w:val="FootnoteReference"/>
          <w:rFonts w:ascii="Arial" w:hAnsi="Arial" w:cs="Arial"/>
          <w:noProof/>
          <w:sz w:val="20"/>
          <w:szCs w:val="20"/>
        </w:rPr>
        <w:footnoteReference w:id="82"/>
      </w:r>
      <w:r>
        <w:rPr>
          <w:rFonts w:ascii="Arial" w:hAnsi="Arial" w:cs="Arial"/>
          <w:noProof/>
          <w:sz w:val="20"/>
          <w:szCs w:val="20"/>
        </w:rPr>
        <w:t>;</w:t>
      </w:r>
    </w:p>
    <w:p>
      <w:pPr>
        <w:pStyle w:val="ListParagraph"/>
        <w:numPr>
          <w:ilvl w:val="0"/>
          <w:numId w:val="161"/>
        </w:numPr>
        <w:ind w:left="1701"/>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213"/>
        </w:numPr>
        <w:ind w:left="2410"/>
        <w:jc w:val="both"/>
        <w:rPr>
          <w:noProof/>
        </w:rPr>
      </w:pPr>
      <w:r>
        <w:rPr>
          <w:rFonts w:ascii="Arial" w:hAnsi="Arial" w:cs="Arial"/>
          <w:noProof/>
          <w:sz w:val="20"/>
          <w:szCs w:val="20"/>
        </w:rPr>
        <w:t>Payment Services Directive</w:t>
      </w:r>
      <w:r>
        <w:rPr>
          <w:rStyle w:val="FootnoteReference"/>
          <w:rFonts w:ascii="Arial" w:hAnsi="Arial" w:cs="Arial"/>
          <w:noProof/>
        </w:rPr>
        <w:footnoteReference w:id="83"/>
      </w:r>
      <w:r>
        <w:rPr>
          <w:rFonts w:ascii="Arial" w:hAnsi="Arial" w:cs="Arial"/>
          <w:noProof/>
        </w:rPr>
        <w:t>;</w:t>
      </w:r>
    </w:p>
    <w:p>
      <w:pPr>
        <w:pStyle w:val="ListParagraph"/>
        <w:numPr>
          <w:ilvl w:val="0"/>
          <w:numId w:val="213"/>
        </w:numPr>
        <w:ind w:left="2410"/>
        <w:jc w:val="both"/>
        <w:rPr>
          <w:noProof/>
        </w:rPr>
      </w:pPr>
      <w:r>
        <w:rPr>
          <w:rFonts w:ascii="Arial" w:hAnsi="Arial" w:cs="Arial"/>
          <w:noProof/>
          <w:sz w:val="20"/>
          <w:szCs w:val="20"/>
        </w:rPr>
        <w:t>Insurance Distribution Directive</w:t>
      </w:r>
      <w:r>
        <w:rPr>
          <w:rStyle w:val="FootnoteReference"/>
          <w:rFonts w:ascii="Arial" w:hAnsi="Arial" w:cs="Arial"/>
          <w:noProof/>
          <w:sz w:val="20"/>
          <w:szCs w:val="20"/>
        </w:rPr>
        <w:footnoteReference w:id="84"/>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85"/>
      </w:r>
      <w:r>
        <w:rPr>
          <w:rStyle w:val="FootnoteReference"/>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86"/>
      </w:r>
      <w:r>
        <w:rPr>
          <w:rFonts w:ascii="Arial" w:hAnsi="Arial" w:cs="Arial"/>
          <w:noProof/>
          <w:sz w:val="20"/>
          <w:szCs w:val="20"/>
        </w:rPr>
        <w:t>;</w:t>
      </w:r>
    </w:p>
    <w:p>
      <w:pPr>
        <w:pStyle w:val="ListParagraph"/>
        <w:numPr>
          <w:ilvl w:val="0"/>
          <w:numId w:val="213"/>
        </w:numPr>
        <w:ind w:left="2410"/>
        <w:jc w:val="both"/>
        <w:rPr>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87"/>
      </w:r>
      <w:r>
        <w:rPr>
          <w:rFonts w:ascii="Arial" w:hAnsi="Arial" w:cs="Arial"/>
          <w:noProof/>
          <w:sz w:val="20"/>
          <w:szCs w:val="20"/>
        </w:rPr>
        <w:t>;</w:t>
      </w:r>
    </w:p>
    <w:p>
      <w:pPr>
        <w:pStyle w:val="ListParagraph"/>
        <w:numPr>
          <w:ilvl w:val="0"/>
          <w:numId w:val="213"/>
        </w:numPr>
        <w:ind w:left="2410"/>
        <w:jc w:val="both"/>
        <w:rPr>
          <w:noProof/>
          <w:sz w:val="20"/>
          <w:szCs w:val="20"/>
        </w:rPr>
      </w:pPr>
      <w:r>
        <w:rPr>
          <w:rFonts w:ascii="Arial" w:hAnsi="Arial" w:cs="Arial"/>
          <w:noProof/>
          <w:sz w:val="20"/>
          <w:szCs w:val="20"/>
        </w:rPr>
        <w:t>Directive on the reduction of national emissions of certain atmospheric pollutants</w:t>
      </w:r>
      <w:r>
        <w:rPr>
          <w:rStyle w:val="FootnoteReference"/>
          <w:rFonts w:ascii="Arial" w:hAnsi="Arial" w:cs="Arial"/>
          <w:noProof/>
          <w:sz w:val="20"/>
          <w:szCs w:val="20"/>
        </w:rPr>
        <w:footnoteReference w:id="88"/>
      </w:r>
      <w:r>
        <w:rPr>
          <w:rFonts w:ascii="Arial" w:hAnsi="Arial" w:cs="Arial"/>
          <w:noProof/>
          <w:sz w:val="20"/>
          <w:szCs w:val="20"/>
        </w:rPr>
        <w:t>.</w:t>
      </w:r>
    </w:p>
    <w:p>
      <w:pPr>
        <w:numPr>
          <w:ilvl w:val="0"/>
          <w:numId w:val="142"/>
        </w:numPr>
        <w:spacing w:after="120"/>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numPr>
          <w:ilvl w:val="0"/>
          <w:numId w:val="18"/>
        </w:numPr>
        <w:spacing w:after="0"/>
        <w:ind w:left="1701" w:hanging="425"/>
        <w:jc w:val="both"/>
        <w:rPr>
          <w:rFonts w:ascii="Arial" w:hAnsi="Arial" w:cs="Arial"/>
          <w:noProof/>
          <w:szCs w:val="20"/>
        </w:rPr>
      </w:pPr>
      <w:r>
        <w:rPr>
          <w:rFonts w:ascii="Arial" w:hAnsi="Arial" w:cs="Arial"/>
          <w:noProof/>
          <w:sz w:val="20"/>
          <w:szCs w:val="20"/>
        </w:rPr>
        <w:t>failure to notify the national programme for the implementation of a spent fuel and radioactive waste management policy</w:t>
      </w:r>
      <w:r>
        <w:rPr>
          <w:rStyle w:val="FootnoteReference"/>
          <w:rFonts w:ascii="Arial" w:hAnsi="Arial" w:cs="Arial"/>
          <w:noProof/>
          <w:sz w:val="20"/>
          <w:szCs w:val="20"/>
        </w:rPr>
        <w:footnoteReference w:id="89"/>
      </w:r>
      <w:r>
        <w:rPr>
          <w:rFonts w:ascii="Arial" w:hAnsi="Arial" w:cs="Arial"/>
          <w:noProof/>
          <w:sz w:val="20"/>
          <w:szCs w:val="20"/>
        </w:rPr>
        <w:t>;</w:t>
      </w:r>
    </w:p>
    <w:p>
      <w:pPr>
        <w:numPr>
          <w:ilvl w:val="0"/>
          <w:numId w:val="18"/>
        </w:numPr>
        <w:spacing w:after="0"/>
        <w:ind w:left="1701" w:hanging="425"/>
        <w:jc w:val="both"/>
        <w:rPr>
          <w:rFonts w:ascii="Arial" w:hAnsi="Arial" w:cs="Arial"/>
          <w:noProof/>
          <w:sz w:val="20"/>
          <w:szCs w:val="20"/>
        </w:rPr>
      </w:pPr>
      <w:r>
        <w:rPr>
          <w:rFonts w:ascii="Arial" w:hAnsi="Arial" w:cs="Arial"/>
          <w:noProof/>
          <w:sz w:val="20"/>
          <w:szCs w:val="20"/>
        </w:rPr>
        <w:t>incorrect application of the Services Directive</w:t>
      </w:r>
      <w:r>
        <w:rPr>
          <w:rFonts w:ascii="Arial" w:hAnsi="Arial" w:cs="Arial"/>
          <w:noProof/>
          <w:sz w:val="20"/>
          <w:szCs w:val="20"/>
          <w:vertAlign w:val="superscript"/>
        </w:rPr>
        <w:footnoteReference w:id="90"/>
      </w:r>
      <w:r>
        <w:rPr>
          <w:rFonts w:ascii="Arial" w:hAnsi="Arial" w:cs="Arial"/>
          <w:noProof/>
          <w:sz w:val="20"/>
          <w:szCs w:val="20"/>
        </w:rPr>
        <w:t xml:space="preserve"> by imposing unjustified requirements concerning the registered office, legal form and share capital ownership for companies in a number of professions – architects, engineers, patent attorneys and veterinarians</w:t>
      </w:r>
      <w:r>
        <w:rPr>
          <w:rStyle w:val="FootnoteReference"/>
          <w:rFonts w:ascii="Arial" w:hAnsi="Arial" w:cs="Arial"/>
          <w:noProof/>
          <w:sz w:val="20"/>
          <w:szCs w:val="20"/>
        </w:rPr>
        <w:footnoteReference w:id="91"/>
      </w:r>
      <w:r>
        <w:rPr>
          <w:rFonts w:ascii="Arial" w:hAnsi="Arial" w:cs="Arial"/>
          <w:noProof/>
          <w:sz w:val="20"/>
          <w:szCs w:val="20"/>
        </w:rPr>
        <w:t>.</w:t>
      </w:r>
    </w:p>
    <w:p>
      <w:pPr>
        <w:numPr>
          <w:ilvl w:val="0"/>
          <w:numId w:val="142"/>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10"/>
        </w:numPr>
        <w:spacing w:before="240"/>
        <w:ind w:left="357" w:hanging="357"/>
        <w:rPr>
          <w:noProof/>
        </w:rPr>
      </w:pPr>
      <w:r>
        <w:rPr>
          <w:noProof/>
        </w:rPr>
        <w:t>TRANSPOSITION OF DIRECTIVES</w:t>
      </w:r>
    </w:p>
    <w:p>
      <w:pPr>
        <w:numPr>
          <w:ilvl w:val="0"/>
          <w:numId w:val="35"/>
        </w:numPr>
        <w:spacing w:before="240"/>
        <w:ind w:left="709" w:hanging="425"/>
        <w:outlineLvl w:val="1"/>
        <w:rPr>
          <w:rFonts w:ascii="Arial" w:hAnsi="Arial"/>
          <w:noProof/>
          <w:color w:val="002060"/>
        </w:rPr>
      </w:pPr>
      <w:r>
        <w:rPr>
          <w:rFonts w:ascii="Arial" w:hAnsi="Arial"/>
          <w:noProof/>
          <w:color w:val="002060"/>
        </w:rPr>
        <w:t>Late transposition infringement cases against Austria open on 31 December (2014-2018)</w:t>
      </w:r>
    </w:p>
    <w:p>
      <w:pPr>
        <w:ind w:left="426" w:firstLine="283"/>
        <w:rPr>
          <w:noProof/>
        </w:rPr>
      </w:pPr>
      <w:r>
        <w:rPr>
          <w:noProof/>
          <w:lang w:eastAsia="en-GB"/>
        </w:rPr>
        <w:drawing>
          <wp:inline distT="0" distB="0" distL="0" distR="0">
            <wp:extent cx="4612005" cy="1971675"/>
            <wp:effectExtent l="0" t="0" r="17145" b="9525"/>
            <wp:docPr id="21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numPr>
          <w:ilvl w:val="0"/>
          <w:numId w:val="35"/>
        </w:numPr>
        <w:spacing w:before="240"/>
        <w:ind w:left="709" w:hanging="425"/>
        <w:outlineLvl w:val="1"/>
        <w:rPr>
          <w:rFonts w:ascii="Arial" w:hAnsi="Arial"/>
          <w:noProof/>
          <w:color w:val="002060"/>
        </w:rPr>
      </w:pPr>
      <w:r>
        <w:rPr>
          <w:rFonts w:ascii="Arial" w:hAnsi="Arial"/>
          <w:noProof/>
          <w:color w:val="002060"/>
        </w:rPr>
        <w:t>New late transposition infringement cases against Austria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003425"/>
            <wp:effectExtent l="0" t="0" r="13970" b="15875"/>
            <wp:docPr id="22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numPr>
          <w:ilvl w:val="0"/>
          <w:numId w:val="35"/>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250440"/>
            <wp:effectExtent l="0" t="0" r="10795" b="16510"/>
            <wp:docPr id="221" name="Object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numPr>
          <w:ilvl w:val="0"/>
          <w:numId w:val="35"/>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three cases to the Court under Articles 258 and 260(3) TFEU. They concern</w:t>
      </w:r>
      <w:r>
        <w:rPr>
          <w:rFonts w:ascii="Arial" w:hAnsi="Arial" w:cs="Arial"/>
          <w:noProof/>
          <w:sz w:val="20"/>
          <w:szCs w:val="20"/>
        </w:rPr>
        <w:t xml:space="preserve"> failure to communicate national measures transposing the Directives on</w:t>
      </w:r>
    </w:p>
    <w:p>
      <w:pPr>
        <w:pStyle w:val="ListParagraph"/>
        <w:numPr>
          <w:ilvl w:val="1"/>
          <w:numId w:val="17"/>
        </w:numPr>
        <w:spacing w:after="120"/>
        <w:ind w:left="1701"/>
        <w:jc w:val="both"/>
        <w:rPr>
          <w:rFonts w:ascii="Arial" w:eastAsia="Calibri" w:hAnsi="Arial" w:cs="Arial"/>
          <w:noProof/>
          <w:kern w:val="20"/>
          <w:sz w:val="20"/>
        </w:rPr>
      </w:pPr>
      <w:r>
        <w:rPr>
          <w:rFonts w:ascii="Arial" w:hAnsi="Arial" w:cs="Arial"/>
          <w:noProof/>
          <w:sz w:val="20"/>
          <w:szCs w:val="20"/>
        </w:rPr>
        <w:t>the award of concession contracts</w:t>
      </w:r>
      <w:r>
        <w:rPr>
          <w:rStyle w:val="FootnoteReference"/>
          <w:rFonts w:ascii="Arial" w:hAnsi="Arial" w:cs="Arial"/>
          <w:noProof/>
          <w:sz w:val="20"/>
          <w:szCs w:val="20"/>
        </w:rPr>
        <w:footnoteReference w:id="92"/>
      </w:r>
      <w:r>
        <w:rPr>
          <w:rFonts w:ascii="Arial" w:hAnsi="Arial" w:cs="Arial"/>
          <w:noProof/>
          <w:sz w:val="20"/>
          <w:szCs w:val="20"/>
        </w:rPr>
        <w:t xml:space="preserve">; </w:t>
      </w:r>
    </w:p>
    <w:p>
      <w:pPr>
        <w:pStyle w:val="ListParagraph"/>
        <w:numPr>
          <w:ilvl w:val="1"/>
          <w:numId w:val="17"/>
        </w:numPr>
        <w:spacing w:after="120"/>
        <w:ind w:left="1701"/>
        <w:jc w:val="both"/>
        <w:rPr>
          <w:rFonts w:ascii="Arial" w:eastAsia="Calibri" w:hAnsi="Arial" w:cs="Arial"/>
          <w:noProof/>
          <w:kern w:val="20"/>
          <w:sz w:val="20"/>
        </w:rPr>
      </w:pPr>
      <w:r>
        <w:rPr>
          <w:rFonts w:ascii="Arial" w:hAnsi="Arial" w:cs="Arial"/>
          <w:noProof/>
          <w:sz w:val="20"/>
          <w:szCs w:val="20"/>
        </w:rPr>
        <w:t>public procurement</w:t>
      </w:r>
      <w:r>
        <w:rPr>
          <w:rFonts w:ascii="Arial" w:hAnsi="Arial"/>
          <w:i/>
          <w:noProof/>
          <w:sz w:val="20"/>
          <w:vertAlign w:val="superscript"/>
        </w:rPr>
        <w:footnoteReference w:id="93"/>
      </w:r>
      <w:r>
        <w:rPr>
          <w:rFonts w:ascii="Arial" w:hAnsi="Arial" w:cs="Arial"/>
          <w:noProof/>
          <w:sz w:val="20"/>
          <w:szCs w:val="20"/>
        </w:rPr>
        <w:t>;</w:t>
      </w:r>
      <w:r>
        <w:rPr>
          <w:rFonts w:ascii="Arial" w:hAnsi="Arial" w:cs="Arial"/>
          <w:i/>
          <w:noProof/>
          <w:sz w:val="20"/>
          <w:szCs w:val="20"/>
        </w:rPr>
        <w:t xml:space="preserve"> </w:t>
      </w:r>
    </w:p>
    <w:p>
      <w:pPr>
        <w:pStyle w:val="ListParagraph"/>
        <w:numPr>
          <w:ilvl w:val="1"/>
          <w:numId w:val="17"/>
        </w:numPr>
        <w:spacing w:after="120"/>
        <w:ind w:left="1701"/>
        <w:jc w:val="both"/>
        <w:rPr>
          <w:rFonts w:ascii="Arial" w:eastAsia="Calibri" w:hAnsi="Arial" w:cs="Arial"/>
          <w:noProof/>
          <w:kern w:val="20"/>
          <w:sz w:val="20"/>
        </w:rPr>
      </w:pPr>
      <w:r>
        <w:rPr>
          <w:rFonts w:ascii="Arial" w:hAnsi="Arial" w:cs="Arial"/>
          <w:noProof/>
          <w:sz w:val="20"/>
          <w:szCs w:val="20"/>
        </w:rPr>
        <w:t>procurement by entities operating in the water, energy, transport and postal services sectors</w:t>
      </w:r>
      <w:r>
        <w:rPr>
          <w:noProof/>
          <w:vertAlign w:val="superscript"/>
        </w:rPr>
        <w:footnoteReference w:id="94"/>
      </w:r>
      <w:r>
        <w:rPr>
          <w:noProof/>
        </w:rPr>
        <w:t>.</w:t>
      </w:r>
    </w:p>
    <w:p>
      <w:pPr>
        <w:pStyle w:val="AnnualReport1"/>
        <w:numPr>
          <w:ilvl w:val="0"/>
          <w:numId w:val="110"/>
        </w:numPr>
        <w:rPr>
          <w:noProof/>
        </w:rPr>
      </w:pPr>
      <w:r>
        <w:rPr>
          <w:noProof/>
        </w:rPr>
        <w:t>EARLY RESOLUTION OF INFRINGEMENT CASES</w:t>
      </w:r>
    </w:p>
    <w:p>
      <w:pPr>
        <w:spacing w:before="240"/>
        <w:ind w:left="709" w:hanging="283"/>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 non-communication of national measures transposing the:</w:t>
      </w:r>
    </w:p>
    <w:p>
      <w:pPr>
        <w:pStyle w:val="ListParagraph"/>
        <w:numPr>
          <w:ilvl w:val="0"/>
          <w:numId w:val="236"/>
        </w:numPr>
        <w:autoSpaceDE w:val="0"/>
        <w:autoSpaceDN w:val="0"/>
        <w:adjustRightInd w:val="0"/>
        <w:spacing w:after="200" w:line="240" w:lineRule="auto"/>
        <w:ind w:left="1701" w:hanging="425"/>
        <w:jc w:val="both"/>
        <w:rPr>
          <w:rFonts w:ascii="Arial" w:hAnsi="Arial" w:cs="Arial"/>
          <w:noProof/>
        </w:rPr>
      </w:pPr>
      <w:r>
        <w:rPr>
          <w:rFonts w:ascii="Arial" w:hAnsi="Arial" w:cs="Arial"/>
          <w:noProof/>
          <w:sz w:val="20"/>
        </w:rPr>
        <w:t>Directive on fuel quality reporting requirements and calculation methods</w:t>
      </w:r>
      <w:r>
        <w:rPr>
          <w:rStyle w:val="FootnoteReference"/>
          <w:rFonts w:ascii="Arial" w:hAnsi="Arial" w:cs="Arial"/>
          <w:noProof/>
          <w:sz w:val="20"/>
        </w:rPr>
        <w:footnoteReference w:id="95"/>
      </w:r>
      <w:r>
        <w:rPr>
          <w:rFonts w:ascii="Arial" w:hAnsi="Arial" w:cs="Arial"/>
          <w:noProof/>
          <w:sz w:val="20"/>
        </w:rPr>
        <w:t>;</w:t>
      </w:r>
    </w:p>
    <w:p>
      <w:pPr>
        <w:pStyle w:val="ListParagraph"/>
        <w:numPr>
          <w:ilvl w:val="0"/>
          <w:numId w:val="236"/>
        </w:numPr>
        <w:autoSpaceDE w:val="0"/>
        <w:autoSpaceDN w:val="0"/>
        <w:adjustRightInd w:val="0"/>
        <w:spacing w:after="200" w:line="240" w:lineRule="auto"/>
        <w:ind w:left="1701" w:hanging="425"/>
        <w:jc w:val="both"/>
        <w:rPr>
          <w:rFonts w:ascii="Arial" w:hAnsi="Arial" w:cs="Arial"/>
          <w:noProof/>
        </w:rPr>
      </w:pPr>
      <w:r>
        <w:rPr>
          <w:rFonts w:ascii="Arial" w:hAnsi="Arial" w:cs="Arial"/>
          <w:bCs/>
          <w:noProof/>
          <w:sz w:val="20"/>
        </w:rPr>
        <w:t>Directive on seasonal workers</w:t>
      </w:r>
      <w:r>
        <w:rPr>
          <w:rStyle w:val="FootnoteReference"/>
          <w:rFonts w:ascii="Arial" w:hAnsi="Arial" w:cs="Arial"/>
          <w:bCs/>
          <w:noProof/>
          <w:sz w:val="20"/>
        </w:rPr>
        <w:footnoteReference w:id="96"/>
      </w:r>
      <w:r>
        <w:rPr>
          <w:rFonts w:ascii="Arial" w:hAnsi="Arial" w:cs="Arial"/>
          <w:bCs/>
          <w:noProof/>
          <w:sz w:val="20"/>
        </w:rPr>
        <w:t>;</w:t>
      </w:r>
    </w:p>
    <w:p>
      <w:pPr>
        <w:pStyle w:val="ListParagraph"/>
        <w:numPr>
          <w:ilvl w:val="0"/>
          <w:numId w:val="236"/>
        </w:numPr>
        <w:autoSpaceDE w:val="0"/>
        <w:autoSpaceDN w:val="0"/>
        <w:adjustRightInd w:val="0"/>
        <w:spacing w:after="200" w:line="240" w:lineRule="auto"/>
        <w:ind w:left="1701" w:hanging="425"/>
        <w:jc w:val="both"/>
        <w:rPr>
          <w:rFonts w:ascii="Arial" w:hAnsi="Arial" w:cs="Arial"/>
          <w:noProof/>
          <w:sz w:val="20"/>
          <w:szCs w:val="20"/>
        </w:rPr>
      </w:pPr>
      <w:r>
        <w:rPr>
          <w:rFonts w:ascii="Arial" w:hAnsi="Arial" w:cs="Arial"/>
          <w:noProof/>
          <w:sz w:val="20"/>
          <w:szCs w:val="20"/>
        </w:rPr>
        <w:t>Unfair Commercial Practices Directive;</w:t>
      </w:r>
    </w:p>
    <w:p>
      <w:pPr>
        <w:pStyle w:val="ListParagraph"/>
        <w:numPr>
          <w:ilvl w:val="0"/>
          <w:numId w:val="236"/>
        </w:numPr>
        <w:autoSpaceDE w:val="0"/>
        <w:autoSpaceDN w:val="0"/>
        <w:adjustRightInd w:val="0"/>
        <w:spacing w:after="200" w:line="240" w:lineRule="auto"/>
        <w:ind w:left="1701" w:hanging="425"/>
        <w:jc w:val="both"/>
        <w:rPr>
          <w:rFonts w:ascii="Arial" w:hAnsi="Arial" w:cs="Arial"/>
          <w:noProof/>
          <w:sz w:val="20"/>
          <w:szCs w:val="20"/>
        </w:rPr>
      </w:pPr>
      <w:r>
        <w:rPr>
          <w:rFonts w:ascii="Arial" w:hAnsi="Arial" w:cs="Arial"/>
          <w:bCs/>
          <w:noProof/>
          <w:sz w:val="20"/>
          <w:szCs w:val="20"/>
        </w:rPr>
        <w:t>Directive on intra-corporate transfer</w:t>
      </w:r>
      <w:r>
        <w:rPr>
          <w:rFonts w:ascii="Arial" w:hAnsi="Arial" w:cs="Arial"/>
          <w:bCs/>
          <w:noProof/>
          <w:sz w:val="20"/>
          <w:szCs w:val="20"/>
          <w:vertAlign w:val="superscript"/>
        </w:rPr>
        <w:footnoteReference w:id="97"/>
      </w:r>
      <w:r>
        <w:rPr>
          <w:rFonts w:ascii="Arial" w:hAnsi="Arial" w:cs="Arial"/>
          <w:bCs/>
          <w:noProof/>
          <w:sz w:val="20"/>
          <w:szCs w:val="20"/>
        </w:rPr>
        <w:t>;</w:t>
      </w:r>
      <w:r>
        <w:rPr>
          <w:rFonts w:ascii="Arial" w:eastAsia="Calibri" w:hAnsi="Arial" w:cs="Arial"/>
          <w:noProof/>
          <w:sz w:val="20"/>
          <w:szCs w:val="20"/>
          <w:lang w:eastAsia="en-GB"/>
        </w:rPr>
        <w:t>Antitrust Damages Directive</w:t>
      </w:r>
      <w:r>
        <w:rPr>
          <w:rFonts w:ascii="Arial" w:eastAsia="Calibri" w:hAnsi="Arial" w:cs="Arial"/>
          <w:noProof/>
          <w:sz w:val="20"/>
          <w:szCs w:val="20"/>
          <w:vertAlign w:val="superscript"/>
          <w:lang w:eastAsia="en-GB"/>
        </w:rPr>
        <w:footnoteReference w:id="98"/>
      </w:r>
      <w:r>
        <w:rPr>
          <w:rFonts w:ascii="Arial" w:eastAsia="Calibri" w:hAnsi="Arial" w:cs="Arial"/>
          <w:noProof/>
          <w:sz w:val="20"/>
          <w:szCs w:val="20"/>
          <w:lang w:eastAsia="en-GB"/>
        </w:rPr>
        <w:t>;</w:t>
      </w:r>
    </w:p>
    <w:p>
      <w:pPr>
        <w:pStyle w:val="ListParagraph"/>
        <w:numPr>
          <w:ilvl w:val="0"/>
          <w:numId w:val="236"/>
        </w:numPr>
        <w:autoSpaceDE w:val="0"/>
        <w:autoSpaceDN w:val="0"/>
        <w:adjustRightInd w:val="0"/>
        <w:spacing w:after="200" w:line="240" w:lineRule="auto"/>
        <w:ind w:left="1701" w:hanging="425"/>
        <w:jc w:val="both"/>
        <w:rPr>
          <w:rFonts w:ascii="Arial" w:hAnsi="Arial" w:cs="Arial"/>
          <w:noProof/>
          <w:sz w:val="20"/>
          <w:szCs w:val="20"/>
        </w:rPr>
      </w:pPr>
      <w:r>
        <w:rPr>
          <w:rFonts w:ascii="Arial" w:hAnsi="Arial" w:cs="Arial"/>
          <w:noProof/>
          <w:sz w:val="20"/>
          <w:szCs w:val="20"/>
        </w:rPr>
        <w:t>Nuclear Safety Directive</w:t>
      </w:r>
      <w:r>
        <w:rPr>
          <w:rStyle w:val="FootnoteReference"/>
          <w:noProof/>
          <w:sz w:val="20"/>
          <w:szCs w:val="20"/>
        </w:rPr>
        <w:footnoteReference w:id="99"/>
      </w:r>
      <w:r>
        <w:rPr>
          <w:rFonts w:ascii="Arial" w:hAnsi="Arial" w:cs="Arial"/>
          <w:noProof/>
          <w:sz w:val="20"/>
          <w:szCs w:val="20"/>
        </w:rPr>
        <w:t>.</w:t>
      </w:r>
    </w:p>
    <w:p>
      <w:pPr>
        <w:pStyle w:val="AnnualReport1"/>
        <w:numPr>
          <w:ilvl w:val="0"/>
          <w:numId w:val="110"/>
        </w:numPr>
        <w:rPr>
          <w:noProof/>
        </w:rPr>
      </w:pPr>
      <w:r>
        <w:rPr>
          <w:noProof/>
        </w:rPr>
        <w:t>IMPORTANT JUDGMENTS</w:t>
      </w:r>
    </w:p>
    <w:p>
      <w:pPr>
        <w:numPr>
          <w:ilvl w:val="0"/>
          <w:numId w:val="36"/>
        </w:numPr>
        <w:spacing w:before="240"/>
        <w:ind w:left="709" w:hanging="425"/>
        <w:outlineLvl w:val="1"/>
        <w:rPr>
          <w:rFonts w:ascii="Arial" w:hAnsi="Arial"/>
          <w:noProof/>
          <w:color w:val="002060"/>
        </w:rPr>
      </w:pPr>
      <w:r>
        <w:rPr>
          <w:rFonts w:ascii="Arial" w:hAnsi="Arial"/>
          <w:noProof/>
          <w:color w:val="002060"/>
        </w:rPr>
        <w:t>Court rulings</w:t>
      </w:r>
    </w:p>
    <w:p>
      <w:pPr>
        <w:spacing w:after="120"/>
        <w:ind w:firstLine="709"/>
        <w:rPr>
          <w:rFonts w:ascii="Arial" w:hAnsi="Arial" w:cs="Arial"/>
          <w:noProof/>
          <w:sz w:val="20"/>
        </w:rPr>
      </w:pPr>
      <w:r>
        <w:rPr>
          <w:rFonts w:ascii="Arial" w:hAnsi="Arial" w:cs="Arial"/>
          <w:noProof/>
          <w:sz w:val="20"/>
        </w:rPr>
        <w:t>The Court gave two rulings:</w:t>
      </w:r>
    </w:p>
    <w:p>
      <w:pPr>
        <w:numPr>
          <w:ilvl w:val="0"/>
          <w:numId w:val="17"/>
        </w:numPr>
        <w:spacing w:after="100" w:afterAutospacing="1"/>
        <w:ind w:left="1418"/>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xml:space="preserve"> breached its obligations under the EU directives on public procurement by awarding service contracts for the production of identity documents and other official documents</w:t>
      </w:r>
      <w:r>
        <w:rPr>
          <w:rStyle w:val="FootnoteReference"/>
          <w:noProof/>
        </w:rPr>
        <w:t xml:space="preserve"> </w:t>
      </w:r>
      <w:r>
        <w:rPr>
          <w:rFonts w:ascii="Arial" w:hAnsi="Arial" w:cs="Arial"/>
          <w:noProof/>
          <w:sz w:val="20"/>
          <w:szCs w:val="20"/>
        </w:rPr>
        <w:t>without holding an EU-wide call for tenders</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100"/>
      </w:r>
      <w:r>
        <w:rPr>
          <w:rFonts w:ascii="Arial" w:hAnsi="Arial" w:cs="Arial"/>
          <w:noProof/>
          <w:sz w:val="20"/>
          <w:szCs w:val="20"/>
        </w:rPr>
        <w:t>.</w:t>
      </w:r>
    </w:p>
    <w:p>
      <w:pPr>
        <w:numPr>
          <w:ilvl w:val="0"/>
          <w:numId w:val="17"/>
        </w:numPr>
        <w:spacing w:after="120"/>
        <w:ind w:left="1418"/>
        <w:jc w:val="both"/>
        <w:rPr>
          <w:rFonts w:ascii="Arial" w:hAnsi="Arial" w:cs="Arial"/>
          <w:noProof/>
          <w:sz w:val="20"/>
          <w:szCs w:val="20"/>
        </w:rPr>
      </w:pPr>
      <w:r>
        <w:rPr>
          <w:rFonts w:ascii="Arial" w:hAnsi="Arial" w:cs="Arial"/>
          <w:i/>
          <w:noProof/>
          <w:sz w:val="20"/>
          <w:szCs w:val="20"/>
        </w:rPr>
        <w:t>Austria</w:t>
      </w:r>
      <w:r>
        <w:rPr>
          <w:rFonts w:ascii="Arial" w:hAnsi="Arial" w:cs="Arial"/>
          <w:noProof/>
          <w:sz w:val="20"/>
          <w:szCs w:val="20"/>
        </w:rPr>
        <w:t xml:space="preserve"> levies VAT</w:t>
      </w:r>
      <w:hyperlink r:id="rId86" w:tgtFrame="_blank" w:history="1"/>
      <w:r>
        <w:rPr>
          <w:rFonts w:ascii="Arial" w:hAnsi="Arial" w:cs="Arial"/>
          <w:noProof/>
          <w:sz w:val="20"/>
          <w:szCs w:val="20"/>
        </w:rPr>
        <w:t xml:space="preserve"> on the royalties paid to the author of an original artistic work upon its resale, within the framework of the resale right. However, the royalty depends entirely on the price paid in the resale, the amount of which cannot be influenced by the author. The author (or his heirs) is entitled to the royalty without having to, or even being able to, undertake any service, either by action or by inaction. The Court decided that the resale right is not subject to VAT.</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101"/>
      </w:r>
    </w:p>
    <w:p>
      <w:pPr>
        <w:numPr>
          <w:ilvl w:val="0"/>
          <w:numId w:val="36"/>
        </w:numPr>
        <w:spacing w:before="240"/>
        <w:ind w:left="709" w:hanging="425"/>
        <w:outlineLvl w:val="1"/>
        <w:rPr>
          <w:rFonts w:ascii="Arial" w:hAnsi="Arial"/>
          <w:noProof/>
          <w:color w:val="002060"/>
        </w:rPr>
      </w:pPr>
      <w:r>
        <w:rPr>
          <w:rFonts w:ascii="Arial" w:hAnsi="Arial"/>
          <w:noProof/>
          <w:color w:val="002060"/>
        </w:rPr>
        <w:t>Preliminary rulings</w:t>
      </w:r>
    </w:p>
    <w:p>
      <w:pPr>
        <w:spacing w:after="120"/>
        <w:ind w:left="426" w:firstLine="294"/>
        <w:jc w:val="both"/>
        <w:rPr>
          <w:rFonts w:ascii="Arial" w:hAnsi="Arial" w:cs="Arial"/>
          <w:noProof/>
          <w:sz w:val="20"/>
        </w:rPr>
      </w:pPr>
      <w:r>
        <w:rPr>
          <w:rFonts w:ascii="Arial" w:hAnsi="Arial" w:cs="Arial"/>
          <w:noProof/>
          <w:sz w:val="20"/>
        </w:rPr>
        <w:t xml:space="preserve">The Court addressed the following preliminary rulings to the Austrian judiciary: </w:t>
      </w:r>
    </w:p>
    <w:p>
      <w:pPr>
        <w:pStyle w:val="ListParagraph"/>
        <w:numPr>
          <w:ilvl w:val="0"/>
          <w:numId w:val="211"/>
        </w:numPr>
        <w:spacing w:after="120"/>
        <w:ind w:left="1418"/>
        <w:jc w:val="both"/>
        <w:rPr>
          <w:rFonts w:ascii="Arial" w:hAnsi="Arial" w:cs="Arial"/>
          <w:noProof/>
          <w:sz w:val="20"/>
        </w:rPr>
      </w:pPr>
      <w:r>
        <w:rPr>
          <w:rFonts w:ascii="Arial" w:hAnsi="Arial" w:cs="Arial"/>
          <w:noProof/>
          <w:color w:val="222222"/>
          <w:sz w:val="20"/>
          <w:szCs w:val="20"/>
          <w:lang w:val="en"/>
        </w:rPr>
        <w:t>A worker posted by an employer to carry out work in another Member State and who is sent to replace a worker posted by a different employer cannot remain subject to the social security legislation of the Member States in which his employer usually carries on its activities</w:t>
      </w:r>
      <w:r>
        <w:rPr>
          <w:rStyle w:val="FootnoteReference"/>
          <w:rFonts w:ascii="Arial" w:hAnsi="Arial" w:cs="Arial"/>
          <w:noProof/>
          <w:color w:val="222222"/>
          <w:sz w:val="20"/>
          <w:szCs w:val="20"/>
          <w:lang w:val="en"/>
        </w:rPr>
        <w:footnoteReference w:id="102"/>
      </w:r>
      <w:r>
        <w:rPr>
          <w:noProof/>
        </w:rPr>
        <w:t>.</w:t>
      </w:r>
      <w:r>
        <w:rPr>
          <w:rStyle w:val="FootnoteReference"/>
          <w:rFonts w:ascii="Arial" w:hAnsi="Arial" w:cs="Arial"/>
          <w:noProof/>
          <w:color w:val="222222"/>
          <w:sz w:val="20"/>
          <w:szCs w:val="20"/>
          <w:lang w:val="en"/>
        </w:rPr>
        <w:t xml:space="preserve"> </w:t>
      </w:r>
    </w:p>
    <w:p>
      <w:pPr>
        <w:pStyle w:val="ListParagraph"/>
        <w:numPr>
          <w:ilvl w:val="0"/>
          <w:numId w:val="211"/>
        </w:numPr>
        <w:spacing w:after="120"/>
        <w:ind w:left="1418"/>
        <w:jc w:val="both"/>
        <w:rPr>
          <w:rFonts w:ascii="Arial" w:hAnsi="Arial" w:cs="Arial"/>
          <w:noProof/>
          <w:sz w:val="20"/>
        </w:rPr>
      </w:pPr>
      <w:r>
        <w:rPr>
          <w:rFonts w:ascii="Arial" w:eastAsia="Times New Roman" w:hAnsi="Arial" w:cs="Arial"/>
          <w:bCs/>
          <w:noProof/>
          <w:sz w:val="20"/>
          <w:szCs w:val="20"/>
          <w:lang w:eastAsia="en-GB"/>
        </w:rPr>
        <w:t>The obligation to provide prior information laid down in the Regulation on public passenger transport services by rail and by road also applies to contracts for public transport services by bus. However, an infringement of that obligation does not always entail the annulment of the call for tenders concerned</w:t>
      </w:r>
      <w:r>
        <w:rPr>
          <w:rFonts w:ascii="Arial" w:eastAsia="Times New Roman" w:hAnsi="Arial" w:cs="Arial"/>
          <w:bCs/>
          <w:noProof/>
          <w:sz w:val="20"/>
          <w:szCs w:val="20"/>
          <w:vertAlign w:val="superscript"/>
          <w:lang w:eastAsia="en-GB"/>
        </w:rPr>
        <w:footnoteReference w:id="103"/>
      </w:r>
      <w:r>
        <w:rPr>
          <w:rFonts w:ascii="Arial" w:eastAsia="Times New Roman" w:hAnsi="Arial" w:cs="Arial"/>
          <w:bCs/>
          <w:noProof/>
          <w:sz w:val="20"/>
          <w:szCs w:val="20"/>
          <w:lang w:eastAsia="en-GB"/>
        </w:rPr>
        <w:t>.</w:t>
      </w:r>
    </w:p>
    <w:p>
      <w:pPr>
        <w:pStyle w:val="ListParagraph"/>
        <w:numPr>
          <w:ilvl w:val="0"/>
          <w:numId w:val="211"/>
        </w:numPr>
        <w:spacing w:after="120"/>
        <w:ind w:left="1418"/>
        <w:jc w:val="both"/>
        <w:rPr>
          <w:rFonts w:ascii="Arial" w:hAnsi="Arial" w:cs="Arial"/>
          <w:noProof/>
          <w:sz w:val="20"/>
        </w:rPr>
      </w:pPr>
      <w:r>
        <w:rPr>
          <w:rFonts w:ascii="Arial" w:hAnsi="Arial" w:cs="Arial"/>
          <w:noProof/>
          <w:sz w:val="20"/>
          <w:szCs w:val="20"/>
        </w:rPr>
        <w:t>In the case of two successive supplies giving rise to only one intra-Community transport, only one of the two supplies can give rise to the intra-Community transport and be exempted from VAT</w:t>
      </w:r>
      <w:r>
        <w:rPr>
          <w:rStyle w:val="FootnoteReference"/>
          <w:rFonts w:ascii="Arial" w:hAnsi="Arial" w:cs="Arial"/>
          <w:noProof/>
          <w:sz w:val="20"/>
          <w:szCs w:val="20"/>
        </w:rPr>
        <w:footnoteReference w:id="104"/>
      </w:r>
      <w:r>
        <w:rPr>
          <w:rFonts w:ascii="Arial" w:hAnsi="Arial" w:cs="Arial"/>
          <w:noProof/>
          <w:sz w:val="20"/>
          <w:szCs w:val="20"/>
        </w:rPr>
        <w:t>.</w:t>
      </w:r>
    </w:p>
    <w:p>
      <w:pPr>
        <w:pStyle w:val="ListParagraph"/>
        <w:numPr>
          <w:ilvl w:val="0"/>
          <w:numId w:val="211"/>
        </w:numPr>
        <w:spacing w:after="120"/>
        <w:ind w:left="1418"/>
        <w:jc w:val="both"/>
        <w:rPr>
          <w:rFonts w:ascii="Arial" w:hAnsi="Arial" w:cs="Arial"/>
          <w:noProof/>
          <w:sz w:val="20"/>
        </w:rPr>
      </w:pPr>
      <w:r>
        <w:rPr>
          <w:rFonts w:ascii="Arial" w:hAnsi="Arial" w:cs="Arial"/>
          <w:noProof/>
          <w:sz w:val="20"/>
          <w:lang w:bidi="en-US"/>
        </w:rPr>
        <w:t>The owner of an internet connection used for copyright infringements through file-sharing cannot be held liable to pay damages if he can name at least one family member who might have had access to that connection, without providing further details as to when and how the internet was used by that family member</w:t>
      </w:r>
      <w:r>
        <w:rPr>
          <w:rStyle w:val="FootnoteReference"/>
          <w:rFonts w:ascii="Arial" w:hAnsi="Arial" w:cs="Arial"/>
          <w:noProof/>
          <w:sz w:val="20"/>
          <w:lang w:bidi="en-US"/>
        </w:rPr>
        <w:footnoteReference w:id="105"/>
      </w:r>
      <w:r>
        <w:rPr>
          <w:rFonts w:ascii="Arial" w:hAnsi="Arial" w:cs="Arial"/>
          <w:noProof/>
          <w:sz w:val="20"/>
          <w:lang w:bidi="en-US"/>
        </w:rPr>
        <w:t>.</w:t>
      </w:r>
    </w:p>
    <w:p>
      <w:pPr>
        <w:pStyle w:val="ListParagraph"/>
        <w:numPr>
          <w:ilvl w:val="0"/>
          <w:numId w:val="211"/>
        </w:numPr>
        <w:spacing w:after="120"/>
        <w:ind w:left="1418"/>
        <w:jc w:val="both"/>
        <w:rPr>
          <w:rFonts w:ascii="Arial" w:hAnsi="Arial" w:cs="Arial"/>
          <w:noProof/>
          <w:sz w:val="20"/>
        </w:rPr>
      </w:pPr>
      <w:r>
        <w:rPr>
          <w:rFonts w:ascii="Arial" w:hAnsi="Arial" w:cs="Arial"/>
          <w:noProof/>
          <w:sz w:val="20"/>
          <w:szCs w:val="20"/>
        </w:rPr>
        <w:t>A recipient of services can be ordered to suspend payments and pay a security to guarantee payment of a possible fine which might be imposed by the host Member State on a provider of services established in another Member State. The ruling concerned the application of the Services Directive in matters related to labour law</w:t>
      </w:r>
      <w:r>
        <w:rPr>
          <w:noProof/>
          <w:vertAlign w:val="superscript"/>
        </w:rPr>
        <w:footnoteReference w:id="106"/>
      </w:r>
      <w:r>
        <w:rPr>
          <w:rFonts w:ascii="Arial" w:hAnsi="Arial" w:cs="Arial"/>
          <w:noProof/>
          <w:sz w:val="20"/>
          <w:szCs w:val="20"/>
          <w:vertAlign w:val="superscript"/>
        </w:rPr>
        <w:t>.</w:t>
      </w:r>
    </w:p>
    <w:p>
      <w:pPr>
        <w:pStyle w:val="ListParagraph"/>
        <w:numPr>
          <w:ilvl w:val="0"/>
          <w:numId w:val="211"/>
        </w:numPr>
        <w:spacing w:after="120"/>
        <w:ind w:left="1418"/>
        <w:jc w:val="both"/>
        <w:rPr>
          <w:rFonts w:ascii="Arial" w:hAnsi="Arial" w:cs="Arial"/>
          <w:noProof/>
          <w:sz w:val="20"/>
        </w:rPr>
      </w:pPr>
      <w:r>
        <w:rPr>
          <w:rFonts w:ascii="Arial" w:hAnsi="Arial" w:cs="Arial"/>
          <w:noProof/>
          <w:sz w:val="20"/>
          <w:szCs w:val="20"/>
        </w:rPr>
        <w:t>national legislation which provides that refugees with a temporary right of residence in a Member State are to be granted social security benefits which are less than those received by nationals of that Member State and refugees who have a permanent right of residence in that Member State is contrary to EU legislation</w:t>
      </w:r>
      <w:r>
        <w:rPr>
          <w:rStyle w:val="FootnoteReference"/>
          <w:rFonts w:ascii="Arial" w:hAnsi="Arial" w:cs="Arial"/>
          <w:noProof/>
          <w:sz w:val="20"/>
          <w:szCs w:val="20"/>
        </w:rPr>
        <w:footnoteReference w:id="107"/>
      </w:r>
      <w:r>
        <w:rPr>
          <w:rFonts w:ascii="Arial" w:hAnsi="Arial" w:cs="Arial"/>
          <w:noProof/>
          <w:sz w:val="20"/>
          <w:szCs w:val="20"/>
        </w:rPr>
        <w:t>.</w:t>
      </w:r>
    </w:p>
    <w:p>
      <w:pPr>
        <w:keepNext/>
        <w:keepLines/>
        <w:outlineLvl w:val="0"/>
        <w:rPr>
          <w:rFonts w:ascii="Arial" w:eastAsia="SimSun" w:hAnsi="Arial" w:cs="Arial"/>
          <w:bCs/>
          <w:noProof/>
          <w:color w:val="A6A6A6"/>
          <w:szCs w:val="28"/>
        </w:rPr>
        <w:sectPr>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6" w:h="16838"/>
          <w:pgMar w:top="1843"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36" w:name="_Toc484622337"/>
      <w:bookmarkStart w:id="37" w:name="_Toc5728033"/>
      <w:r>
        <w:rPr>
          <w:rFonts w:ascii="Arial" w:eastAsia="SimSun" w:hAnsi="Arial"/>
          <w:bCs/>
          <w:noProof/>
          <w:color w:val="A6A6A6"/>
          <w:szCs w:val="28"/>
        </w:rPr>
        <w:t>Poland</w:t>
      </w:r>
      <w:bookmarkEnd w:id="33"/>
      <w:bookmarkEnd w:id="34"/>
      <w:bookmarkEnd w:id="35"/>
      <w:bookmarkEnd w:id="36"/>
      <w:bookmarkEnd w:id="37"/>
    </w:p>
    <w:p>
      <w:pPr>
        <w:pStyle w:val="AnnualReport1"/>
        <w:numPr>
          <w:ilvl w:val="2"/>
          <w:numId w:val="239"/>
        </w:numPr>
        <w:ind w:left="709"/>
        <w:rPr>
          <w:noProof/>
        </w:rPr>
      </w:pPr>
      <w:r>
        <w:rPr>
          <w:noProof/>
        </w:rPr>
        <w:t>COMPLAINTS</w:t>
      </w:r>
    </w:p>
    <w:p>
      <w:pPr>
        <w:numPr>
          <w:ilvl w:val="2"/>
          <w:numId w:val="1"/>
        </w:numPr>
        <w:spacing w:before="240"/>
        <w:ind w:left="709" w:hanging="425"/>
        <w:outlineLvl w:val="1"/>
        <w:rPr>
          <w:rFonts w:ascii="Arial" w:hAnsi="Arial"/>
          <w:noProof/>
          <w:color w:val="002060"/>
        </w:rPr>
      </w:pPr>
      <w:r>
        <w:rPr>
          <w:rFonts w:ascii="Arial" w:hAnsi="Arial"/>
          <w:noProof/>
          <w:color w:val="002060"/>
        </w:rPr>
        <w:t>New complaints made against Poland by members of the public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72000" cy="2210435"/>
            <wp:effectExtent l="0" t="0" r="0" b="18415"/>
            <wp:docPr id="22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Public complaints against Poland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170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237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243</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164</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2"/>
          <w:numId w:val="1"/>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27880" cy="2321560"/>
            <wp:effectExtent l="0" t="0" r="1270" b="2540"/>
            <wp:docPr id="22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Arial" w:hAnsi="Arial" w:cs="Arial"/>
          <w:noProof/>
          <w:sz w:val="20"/>
        </w:rPr>
        <w:br w:type="page"/>
      </w:r>
    </w:p>
    <w:p>
      <w:pPr>
        <w:pStyle w:val="AnnualReport1"/>
        <w:numPr>
          <w:ilvl w:val="2"/>
          <w:numId w:val="239"/>
        </w:numPr>
        <w:ind w:left="709"/>
        <w:rPr>
          <w:caps w:val="0"/>
          <w:noProof/>
        </w:rPr>
      </w:pPr>
      <w:r>
        <w:rPr>
          <w:caps w:val="0"/>
          <w:noProof/>
        </w:rPr>
        <w:t>EU PILOT</w:t>
      </w:r>
    </w:p>
    <w:p>
      <w:pPr>
        <w:numPr>
          <w:ilvl w:val="0"/>
          <w:numId w:val="273"/>
        </w:numPr>
        <w:spacing w:before="240"/>
        <w:ind w:left="709"/>
        <w:outlineLvl w:val="1"/>
        <w:rPr>
          <w:rFonts w:ascii="Arial" w:hAnsi="Arial"/>
          <w:noProof/>
          <w:color w:val="002060"/>
        </w:rPr>
      </w:pPr>
      <w:r>
        <w:rPr>
          <w:rFonts w:ascii="Arial" w:hAnsi="Arial"/>
          <w:noProof/>
          <w:color w:val="002060"/>
        </w:rPr>
        <w:t>New EU Pilot files opened against Poland (2014-2018)</w:t>
      </w:r>
    </w:p>
    <w:p>
      <w:pPr>
        <w:tabs>
          <w:tab w:val="left" w:pos="0"/>
        </w:tabs>
        <w:spacing w:before="360"/>
        <w:ind w:firstLine="709"/>
        <w:rPr>
          <w:rFonts w:ascii="Arial" w:hAnsi="Arial" w:cs="Arial"/>
          <w:noProof/>
          <w:sz w:val="20"/>
        </w:rPr>
      </w:pPr>
      <w:r>
        <w:rPr>
          <w:rFonts w:ascii="Arial" w:hAnsi="Arial" w:cs="Arial"/>
          <w:noProof/>
          <w:sz w:val="20"/>
          <w:lang w:eastAsia="en-GB"/>
        </w:rPr>
        <w:drawing>
          <wp:inline distT="0" distB="0" distL="0" distR="0">
            <wp:extent cx="4587875" cy="2258060"/>
            <wp:effectExtent l="0" t="0" r="3175" b="8890"/>
            <wp:docPr id="22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numPr>
          <w:ilvl w:val="0"/>
          <w:numId w:val="273"/>
        </w:numPr>
        <w:spacing w:before="240"/>
        <w:ind w:left="709"/>
        <w:outlineLvl w:val="1"/>
        <w:rPr>
          <w:rFonts w:ascii="Arial" w:hAnsi="Arial"/>
          <w:noProof/>
          <w:color w:val="002060"/>
        </w:rPr>
      </w:pPr>
      <w:r>
        <w:rPr>
          <w:rFonts w:ascii="Arial" w:hAnsi="Arial"/>
          <w:noProof/>
          <w:color w:val="002060"/>
        </w:rPr>
        <w:t>Files relating to Poland open in EU Pilot at year-end</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7875" cy="2258060"/>
            <wp:effectExtent l="0" t="0" r="0" b="0"/>
            <wp:docPr id="22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numPr>
          <w:ilvl w:val="0"/>
          <w:numId w:val="273"/>
        </w:numPr>
        <w:spacing w:before="240"/>
        <w:ind w:left="709"/>
        <w:outlineLvl w:val="1"/>
        <w:rPr>
          <w:rFonts w:ascii="Arial" w:hAnsi="Arial"/>
          <w:noProof/>
          <w:color w:val="002060"/>
        </w:rPr>
      </w:pPr>
      <w:r>
        <w:rPr>
          <w:rFonts w:ascii="Arial" w:hAnsi="Arial"/>
          <w:noProof/>
          <w:color w:val="002060"/>
        </w:rPr>
        <w:t>New EU Pilot files opened in 2018: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322195"/>
            <wp:effectExtent l="0" t="0" r="4445" b="1905"/>
            <wp:docPr id="226"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numPr>
          <w:ilvl w:val="0"/>
          <w:numId w:val="273"/>
        </w:numPr>
        <w:spacing w:before="240"/>
        <w:ind w:left="709"/>
        <w:outlineLvl w:val="1"/>
        <w:rPr>
          <w:rFonts w:ascii="Arial" w:hAnsi="Arial"/>
          <w:noProof/>
          <w:color w:val="002060"/>
        </w:rPr>
      </w:pPr>
      <w:r>
        <w:rPr>
          <w:rFonts w:ascii="Arial" w:hAnsi="Arial"/>
          <w:noProof/>
          <w:color w:val="002060"/>
        </w:rPr>
        <w:t>EU Pilot files: Poland’s resolution rate in 2014-2018</w:t>
      </w:r>
    </w:p>
    <w:p>
      <w:pPr>
        <w:spacing w:before="360"/>
        <w:ind w:firstLine="709"/>
        <w:rPr>
          <w:rFonts w:ascii="Arial" w:hAnsi="Arial" w:cs="Arial"/>
          <w:noProof/>
          <w:sz w:val="20"/>
        </w:rPr>
      </w:pPr>
      <w:r>
        <w:rPr>
          <w:rFonts w:ascii="Arial" w:hAnsi="Arial" w:cs="Arial"/>
          <w:i/>
          <w:noProof/>
          <w:sz w:val="20"/>
          <w:lang w:eastAsia="en-GB"/>
        </w:rPr>
        <w:drawing>
          <wp:inline distT="0" distB="0" distL="0" distR="0">
            <wp:extent cx="4610100" cy="2461260"/>
            <wp:effectExtent l="0" t="0" r="0" b="15240"/>
            <wp:docPr id="22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AnnualReport1"/>
        <w:numPr>
          <w:ilvl w:val="2"/>
          <w:numId w:val="239"/>
        </w:numPr>
        <w:ind w:left="709"/>
        <w:rPr>
          <w:caps w:val="0"/>
          <w:noProof/>
        </w:rPr>
      </w:pPr>
      <w:r>
        <w:rPr>
          <w:noProof/>
        </w:rPr>
        <w:t>INFRINGEMENT</w:t>
      </w:r>
      <w:r>
        <w:rPr>
          <w:caps w:val="0"/>
          <w:noProof/>
        </w:rPr>
        <w:t xml:space="preserve"> CASES</w:t>
      </w:r>
    </w:p>
    <w:p>
      <w:pPr>
        <w:numPr>
          <w:ilvl w:val="0"/>
          <w:numId w:val="240"/>
        </w:numPr>
        <w:spacing w:before="240"/>
        <w:ind w:left="709"/>
        <w:outlineLvl w:val="1"/>
        <w:rPr>
          <w:rFonts w:ascii="Arial" w:hAnsi="Arial"/>
          <w:noProof/>
          <w:color w:val="002060"/>
        </w:rPr>
      </w:pPr>
      <w:r>
        <w:rPr>
          <w:rFonts w:ascii="Arial" w:hAnsi="Arial"/>
          <w:noProof/>
          <w:color w:val="002060"/>
        </w:rPr>
        <w:t>Infringement cases against Poland open on 31 December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7240" cy="2065020"/>
            <wp:effectExtent l="0" t="0" r="22860" b="11430"/>
            <wp:docPr id="228"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numPr>
          <w:ilvl w:val="0"/>
          <w:numId w:val="240"/>
        </w:numPr>
        <w:spacing w:before="240"/>
        <w:ind w:left="709"/>
        <w:outlineLvl w:val="1"/>
        <w:rPr>
          <w:rFonts w:ascii="Arial" w:hAnsi="Arial"/>
          <w:noProof/>
          <w:color w:val="002060"/>
        </w:rPr>
      </w:pPr>
      <w:r>
        <w:rPr>
          <w:rFonts w:ascii="Arial" w:hAnsi="Arial"/>
          <w:noProof/>
          <w:color w:val="002060"/>
        </w:rPr>
        <w:t>New infringement cases opened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274820" cy="2232660"/>
            <wp:effectExtent l="0" t="0" r="11430" b="15240"/>
            <wp:docPr id="229" name="Object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numPr>
          <w:ilvl w:val="0"/>
          <w:numId w:val="240"/>
        </w:numPr>
        <w:spacing w:before="240"/>
        <w:ind w:left="709"/>
        <w:outlineLvl w:val="1"/>
        <w:rPr>
          <w:rFonts w:ascii="Arial" w:hAnsi="Arial"/>
          <w:noProof/>
          <w:color w:val="002060"/>
        </w:rPr>
      </w:pPr>
      <w:r>
        <w:rPr>
          <w:rFonts w:ascii="Arial" w:hAnsi="Arial"/>
          <w:noProof/>
          <w:color w:val="002060"/>
        </w:rPr>
        <w:t>Key infringement cases and referrals to the Court</w:t>
      </w:r>
    </w:p>
    <w:p>
      <w:pPr>
        <w:numPr>
          <w:ilvl w:val="0"/>
          <w:numId w:val="143"/>
        </w:numPr>
        <w:ind w:left="1276" w:hanging="425"/>
        <w:jc w:val="both"/>
        <w:rPr>
          <w:rFonts w:ascii="Arial" w:hAnsi="Arial" w:cs="Arial"/>
          <w:noProof/>
          <w:sz w:val="20"/>
          <w:szCs w:val="20"/>
        </w:rPr>
      </w:pPr>
      <w:r>
        <w:rPr>
          <w:rFonts w:ascii="Arial" w:hAnsi="Arial" w:cs="Arial"/>
          <w:noProof/>
          <w:sz w:val="20"/>
          <w:szCs w:val="20"/>
        </w:rPr>
        <w:t>The Commission opened 29 new infringement cases against Poland in 2018. These, and other major ongoing infringement cases, include:</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108"/>
      </w:r>
      <w:r>
        <w:rPr>
          <w:rFonts w:ascii="Arial" w:hAnsi="Arial" w:cs="Arial"/>
          <w:noProof/>
          <w:sz w:val="20"/>
          <w:szCs w:val="20"/>
        </w:rPr>
        <w:t>;</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failure to comply with the EU requirements on the security of gas supply</w:t>
      </w:r>
      <w:r>
        <w:rPr>
          <w:rStyle w:val="FootnoteReference"/>
          <w:rFonts w:ascii="Arial" w:hAnsi="Arial" w:cs="Arial"/>
          <w:noProof/>
          <w:sz w:val="20"/>
          <w:szCs w:val="20"/>
        </w:rPr>
        <w:footnoteReference w:id="109"/>
      </w:r>
      <w:r>
        <w:rPr>
          <w:rFonts w:ascii="Arial" w:hAnsi="Arial" w:cs="Arial"/>
          <w:noProof/>
          <w:sz w:val="20"/>
          <w:szCs w:val="20"/>
        </w:rPr>
        <w:t>;</w:t>
      </w:r>
    </w:p>
    <w:p>
      <w:pPr>
        <w:pStyle w:val="ListParagraph"/>
        <w:numPr>
          <w:ilvl w:val="0"/>
          <w:numId w:val="161"/>
        </w:numPr>
        <w:ind w:left="1701"/>
        <w:jc w:val="both"/>
        <w:rPr>
          <w:rFonts w:ascii="Arial" w:hAnsi="Arial" w:cs="Arial"/>
          <w:noProof/>
        </w:rPr>
      </w:pPr>
      <w:r>
        <w:rPr>
          <w:rFonts w:ascii="Arial" w:hAnsi="Arial" w:cs="Arial"/>
          <w:noProof/>
          <w:sz w:val="20"/>
          <w:szCs w:val="20"/>
        </w:rPr>
        <w:t>failure to adopt a national programme for the implementation of spent fuel and radioactive waste management policy compliant with the Radioactive Waste Directive</w:t>
      </w:r>
      <w:r>
        <w:rPr>
          <w:rStyle w:val="FootnoteReference"/>
          <w:rFonts w:ascii="Arial" w:hAnsi="Arial" w:cs="Arial"/>
          <w:noProof/>
          <w:sz w:val="20"/>
          <w:szCs w:val="20"/>
        </w:rPr>
        <w:footnoteReference w:id="110"/>
      </w:r>
      <w:r>
        <w:rPr>
          <w:rFonts w:ascii="Arial" w:hAnsi="Arial" w:cs="Arial"/>
          <w:noProof/>
        </w:rPr>
        <w:t>;</w:t>
      </w:r>
    </w:p>
    <w:p>
      <w:pPr>
        <w:pStyle w:val="ListParagraph"/>
        <w:numPr>
          <w:ilvl w:val="0"/>
          <w:numId w:val="161"/>
        </w:numPr>
        <w:ind w:left="1701"/>
        <w:jc w:val="both"/>
        <w:rPr>
          <w:rFonts w:ascii="Arial" w:hAnsi="Arial" w:cs="Arial"/>
          <w:noProof/>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rPr>
        <w:footnoteReference w:id="111"/>
      </w:r>
      <w:r>
        <w:rPr>
          <w:rFonts w:ascii="Arial" w:hAnsi="Arial" w:cs="Arial"/>
          <w:noProof/>
          <w:sz w:val="20"/>
          <w:szCs w:val="20"/>
        </w:rPr>
        <w:t>;</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failure to ensure that urban waste water is adequately treated</w:t>
      </w:r>
      <w:r>
        <w:rPr>
          <w:rStyle w:val="FootnoteReference"/>
          <w:rFonts w:ascii="Arial" w:hAnsi="Arial" w:cs="Arial"/>
          <w:noProof/>
          <w:sz w:val="20"/>
          <w:szCs w:val="20"/>
        </w:rPr>
        <w:footnoteReference w:id="112"/>
      </w:r>
      <w:r>
        <w:rPr>
          <w:rFonts w:ascii="Arial" w:hAnsi="Arial" w:cs="Arial"/>
          <w:noProof/>
          <w:sz w:val="20"/>
          <w:szCs w:val="20"/>
        </w:rPr>
        <w:t xml:space="preserve"> ;</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lang w:eastAsia="en-GB"/>
        </w:rPr>
        <w:t>direct award of a number of defence contracts to national suppliers in breach of the Defence Procurement Directive</w:t>
      </w:r>
      <w:r>
        <w:rPr>
          <w:rStyle w:val="FootnoteReference"/>
          <w:rFonts w:ascii="Arial" w:hAnsi="Arial" w:cs="Arial"/>
          <w:noProof/>
          <w:sz w:val="20"/>
          <w:szCs w:val="20"/>
          <w:lang w:eastAsia="en-GB"/>
        </w:rPr>
        <w:footnoteReference w:id="113"/>
      </w:r>
      <w:r>
        <w:rPr>
          <w:rFonts w:ascii="Arial" w:hAnsi="Arial" w:cs="Arial"/>
          <w:noProof/>
          <w:sz w:val="20"/>
          <w:szCs w:val="20"/>
          <w:lang w:eastAsia="en-GB"/>
        </w:rPr>
        <w:t>;</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non-compliance with the Consumer Rights Directive;</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failure to ensure that vehicles are dismantled and recycled in an environmentally friendly way when they reach the end of their useful life, in accordance with the Directive on end-of-life vehicles</w:t>
      </w:r>
      <w:r>
        <w:rPr>
          <w:rStyle w:val="FootnoteReference"/>
          <w:rFonts w:ascii="Arial" w:hAnsi="Arial" w:cs="Arial"/>
          <w:noProof/>
          <w:sz w:val="20"/>
          <w:szCs w:val="20"/>
        </w:rPr>
        <w:footnoteReference w:id="114"/>
      </w:r>
      <w:r>
        <w:rPr>
          <w:rFonts w:ascii="Arial" w:hAnsi="Arial" w:cs="Arial"/>
          <w:noProof/>
          <w:sz w:val="20"/>
          <w:szCs w:val="20"/>
        </w:rPr>
        <w:t>;</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failure to comply with the EU legislation on the environmental impact assessment of certain public and private projects</w:t>
      </w:r>
      <w:r>
        <w:rPr>
          <w:rStyle w:val="FootnoteReference"/>
          <w:rFonts w:ascii="Arial" w:hAnsi="Arial" w:cs="Arial"/>
          <w:noProof/>
          <w:sz w:val="20"/>
          <w:szCs w:val="20"/>
        </w:rPr>
        <w:footnoteReference w:id="115"/>
      </w:r>
      <w:r>
        <w:rPr>
          <w:rFonts w:ascii="Arial" w:hAnsi="Arial" w:cs="Arial"/>
          <w:noProof/>
          <w:sz w:val="20"/>
          <w:szCs w:val="20"/>
        </w:rPr>
        <w:t xml:space="preserve">; </w:t>
      </w:r>
    </w:p>
    <w:p>
      <w:pPr>
        <w:pStyle w:val="ListParagraph"/>
        <w:numPr>
          <w:ilvl w:val="0"/>
          <w:numId w:val="161"/>
        </w:numPr>
        <w:ind w:left="1701"/>
        <w:rPr>
          <w:rFonts w:ascii="Arial" w:hAnsi="Arial" w:cs="Arial"/>
          <w:noProof/>
          <w:sz w:val="20"/>
          <w:szCs w:val="20"/>
        </w:rPr>
      </w:pPr>
      <w:r>
        <w:rPr>
          <w:rFonts w:ascii="Arial" w:hAnsi="Arial" w:cs="Arial"/>
          <w:noProof/>
          <w:sz w:val="20"/>
          <w:szCs w:val="20"/>
        </w:rPr>
        <w:t>non-communication of national measures transposing the :</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Payment Services Directive</w:t>
      </w:r>
      <w:r>
        <w:rPr>
          <w:rStyle w:val="FootnoteReference"/>
          <w:rFonts w:ascii="Arial" w:hAnsi="Arial" w:cs="Arial"/>
          <w:noProof/>
          <w:sz w:val="20"/>
          <w:szCs w:val="20"/>
        </w:rPr>
        <w:footnoteReference w:id="116"/>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sz w:val="20"/>
          <w:szCs w:val="20"/>
        </w:rPr>
        <w:footnoteReference w:id="117"/>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rPr>
        <w:footnoteReference w:id="118"/>
      </w:r>
      <w:r>
        <w:rPr>
          <w:rFonts w:ascii="Arial" w:hAnsi="Arial" w:cs="Arial"/>
          <w:noProof/>
          <w:sz w:val="20"/>
          <w:szCs w:val="20"/>
        </w:rPr>
        <w:t xml:space="preserve">; </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the Nuclear Safety Directive</w:t>
      </w:r>
      <w:r>
        <w:rPr>
          <w:rStyle w:val="FootnoteReference"/>
          <w:rFonts w:ascii="Arial" w:hAnsi="Arial" w:cs="Arial"/>
          <w:noProof/>
          <w:sz w:val="20"/>
          <w:szCs w:val="20"/>
        </w:rPr>
        <w:footnoteReference w:id="119"/>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120"/>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121"/>
      </w:r>
      <w:r>
        <w:rPr>
          <w:rFonts w:ascii="Arial" w:hAnsi="Arial" w:cs="Arial"/>
          <w:noProof/>
          <w:sz w:val="20"/>
          <w:szCs w:val="20"/>
        </w:rPr>
        <w:t>;</w:t>
      </w:r>
    </w:p>
    <w:p>
      <w:pPr>
        <w:pStyle w:val="ListParagraph"/>
        <w:numPr>
          <w:ilvl w:val="0"/>
          <w:numId w:val="213"/>
        </w:numPr>
        <w:ind w:left="2410"/>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122"/>
      </w:r>
      <w:r>
        <w:rPr>
          <w:rFonts w:ascii="Arial" w:hAnsi="Arial" w:cs="Arial"/>
          <w:noProof/>
          <w:sz w:val="20"/>
          <w:szCs w:val="20"/>
        </w:rPr>
        <w:t>.</w:t>
      </w:r>
    </w:p>
    <w:p>
      <w:pPr>
        <w:spacing w:after="0" w:line="240" w:lineRule="auto"/>
        <w:rPr>
          <w:rFonts w:ascii="Arial" w:hAnsi="Arial" w:cs="Arial"/>
          <w:noProof/>
          <w:sz w:val="20"/>
          <w:szCs w:val="20"/>
        </w:rPr>
      </w:pPr>
      <w:r>
        <w:rPr>
          <w:rFonts w:ascii="Arial" w:hAnsi="Arial" w:cs="Arial"/>
          <w:noProof/>
          <w:sz w:val="20"/>
          <w:szCs w:val="20"/>
        </w:rPr>
        <w:br w:type="page"/>
      </w:r>
    </w:p>
    <w:p>
      <w:pPr>
        <w:numPr>
          <w:ilvl w:val="0"/>
          <w:numId w:val="143"/>
        </w:numPr>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pStyle w:val="Lijstje2"/>
        <w:numPr>
          <w:ilvl w:val="0"/>
          <w:numId w:val="2"/>
        </w:numPr>
        <w:spacing w:after="200" w:line="240" w:lineRule="auto"/>
        <w:ind w:left="1701" w:hanging="425"/>
        <w:jc w:val="both"/>
        <w:rPr>
          <w:rFonts w:ascii="Arial" w:hAnsi="Arial" w:cs="Arial"/>
          <w:noProof/>
          <w:lang w:val="en-GB"/>
        </w:rPr>
      </w:pPr>
      <w:r>
        <w:rPr>
          <w:rFonts w:ascii="Arial" w:hAnsi="Arial" w:cs="Arial"/>
          <w:noProof/>
          <w:lang w:val="en-GB"/>
        </w:rPr>
        <w:t>the adoption of provisions in the Ordinary Courts Organisation law adversely affecting the independence of the Polish judiciary and of provisions which are incompatible with the EU legislation on non-discrimination</w:t>
      </w:r>
      <w:r>
        <w:rPr>
          <w:rFonts w:ascii="Arial" w:hAnsi="Arial" w:cs="Arial"/>
          <w:noProof/>
          <w:szCs w:val="20"/>
          <w:vertAlign w:val="superscript"/>
          <w:lang w:val="en-GB"/>
        </w:rPr>
        <w:footnoteReference w:id="123"/>
      </w:r>
      <w:r>
        <w:rPr>
          <w:rFonts w:ascii="Arial" w:hAnsi="Arial" w:cs="Arial"/>
          <w:noProof/>
          <w:szCs w:val="20"/>
          <w:lang w:val="en-GB"/>
        </w:rPr>
        <w:t>;</w:t>
      </w:r>
    </w:p>
    <w:p>
      <w:pPr>
        <w:pStyle w:val="Lijstje2"/>
        <w:numPr>
          <w:ilvl w:val="0"/>
          <w:numId w:val="2"/>
        </w:numPr>
        <w:spacing w:after="200" w:line="240" w:lineRule="auto"/>
        <w:ind w:left="1701" w:hanging="425"/>
        <w:jc w:val="both"/>
        <w:rPr>
          <w:rFonts w:ascii="Arial" w:hAnsi="Arial" w:cs="Arial"/>
          <w:noProof/>
          <w:lang w:val="en-GB"/>
        </w:rPr>
      </w:pPr>
      <w:r>
        <w:rPr>
          <w:rFonts w:ascii="Arial" w:hAnsi="Arial" w:cs="Arial"/>
          <w:noProof/>
          <w:lang w:val="en-GB"/>
        </w:rPr>
        <w:t>the national law on the Supreme Court in relation in particular to the retirement regime, in breach of the principle of judicial independence, including the irremovability of judges</w:t>
      </w:r>
      <w:r>
        <w:rPr>
          <w:rFonts w:ascii="Arial" w:hAnsi="Arial" w:cs="Arial"/>
          <w:noProof/>
          <w:vertAlign w:val="superscript"/>
        </w:rPr>
        <w:footnoteReference w:id="124"/>
      </w:r>
      <w:r>
        <w:rPr>
          <w:rFonts w:ascii="Arial" w:hAnsi="Arial" w:cs="Arial"/>
          <w:noProof/>
          <w:lang w:val="en-GB"/>
        </w:rPr>
        <w:t>.</w:t>
      </w:r>
    </w:p>
    <w:p>
      <w:pPr>
        <w:numPr>
          <w:ilvl w:val="0"/>
          <w:numId w:val="143"/>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2"/>
          <w:numId w:val="239"/>
        </w:numPr>
        <w:ind w:left="709"/>
        <w:rPr>
          <w:caps w:val="0"/>
          <w:noProof/>
        </w:rPr>
      </w:pPr>
      <w:r>
        <w:rPr>
          <w:noProof/>
        </w:rPr>
        <w:t>TRANSPOSITION</w:t>
      </w:r>
      <w:r>
        <w:rPr>
          <w:caps w:val="0"/>
          <w:noProof/>
        </w:rPr>
        <w:t xml:space="preserve"> OF DIRECTIVES</w:t>
      </w:r>
    </w:p>
    <w:p>
      <w:pPr>
        <w:numPr>
          <w:ilvl w:val="0"/>
          <w:numId w:val="112"/>
        </w:numPr>
        <w:spacing w:before="240"/>
        <w:ind w:left="709" w:hanging="425"/>
        <w:outlineLvl w:val="1"/>
        <w:rPr>
          <w:rFonts w:ascii="Arial" w:hAnsi="Arial"/>
          <w:noProof/>
          <w:color w:val="002060"/>
        </w:rPr>
      </w:pPr>
      <w:r>
        <w:rPr>
          <w:rFonts w:ascii="Arial" w:hAnsi="Arial"/>
          <w:noProof/>
          <w:color w:val="002060"/>
        </w:rPr>
        <w:t>Late transposition infringement cases against Poland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46935"/>
            <wp:effectExtent l="0" t="0" r="3175" b="5715"/>
            <wp:docPr id="23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numPr>
          <w:ilvl w:val="0"/>
          <w:numId w:val="112"/>
        </w:numPr>
        <w:spacing w:before="240"/>
        <w:ind w:left="709" w:hanging="425"/>
        <w:outlineLvl w:val="1"/>
        <w:rPr>
          <w:rFonts w:ascii="Arial" w:hAnsi="Arial"/>
          <w:noProof/>
          <w:color w:val="002060"/>
        </w:rPr>
      </w:pPr>
      <w:r>
        <w:rPr>
          <w:rFonts w:ascii="Arial" w:hAnsi="Arial"/>
          <w:noProof/>
          <w:color w:val="002060"/>
        </w:rPr>
        <w:t>New late transposition infringement cases against Poland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46935"/>
            <wp:effectExtent l="0" t="0" r="22225" b="24765"/>
            <wp:docPr id="2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112"/>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417445"/>
            <wp:effectExtent l="0" t="0" r="3175" b="1905"/>
            <wp:docPr id="232" name="Object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numPr>
          <w:ilvl w:val="0"/>
          <w:numId w:val="112"/>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one case to the Court under Articles 258 and 260(3) TFEU. It concern</w:t>
      </w:r>
    </w:p>
    <w:p>
      <w:pPr>
        <w:pStyle w:val="ListParagraph"/>
        <w:numPr>
          <w:ilvl w:val="0"/>
          <w:numId w:val="246"/>
        </w:numPr>
        <w:spacing w:after="120"/>
        <w:ind w:left="1276"/>
        <w:jc w:val="both"/>
        <w:rPr>
          <w:rFonts w:ascii="Arial" w:eastAsia="Calibri" w:hAnsi="Arial" w:cs="Arial"/>
          <w:noProof/>
          <w:kern w:val="20"/>
          <w:sz w:val="20"/>
        </w:rPr>
      </w:pPr>
      <w:r>
        <w:rPr>
          <w:rFonts w:ascii="Arial" w:hAnsi="Arial" w:cs="Arial"/>
          <w:noProof/>
          <w:sz w:val="20"/>
          <w:szCs w:val="20"/>
          <w:lang w:bidi="en-US"/>
        </w:rPr>
        <w:t>non-communication of national measures transposing the Directive on collective management of copyright and related rights and multi-territorial licensing of rights in musical works for online use in the internal market</w:t>
      </w:r>
      <w:r>
        <w:rPr>
          <w:rStyle w:val="FootnoteReference"/>
          <w:rFonts w:ascii="Arial" w:hAnsi="Arial"/>
          <w:noProof/>
          <w:sz w:val="20"/>
        </w:rPr>
        <w:footnoteReference w:id="125"/>
      </w:r>
      <w:r>
        <w:rPr>
          <w:rFonts w:ascii="Arial" w:eastAsia="Calibri" w:hAnsi="Arial" w:cs="Arial"/>
          <w:noProof/>
          <w:kern w:val="20"/>
          <w:sz w:val="20"/>
        </w:rPr>
        <w:t>.</w:t>
      </w:r>
    </w:p>
    <w:p>
      <w:pPr>
        <w:pStyle w:val="AnnualReport1"/>
        <w:numPr>
          <w:ilvl w:val="2"/>
          <w:numId w:val="239"/>
        </w:numPr>
        <w:ind w:left="709"/>
        <w:rPr>
          <w:caps w:val="0"/>
          <w:noProof/>
        </w:rPr>
      </w:pPr>
      <w:r>
        <w:rPr>
          <w:noProof/>
        </w:rPr>
        <w:t>EARLY</w:t>
      </w:r>
      <w:r>
        <w:rPr>
          <w:caps w:val="0"/>
          <w:noProof/>
        </w:rPr>
        <w:t xml:space="preserve"> RESOLUTION OF INFRINGEMENT CASES</w:t>
      </w:r>
    </w:p>
    <w:p>
      <w:pPr>
        <w:spacing w:after="60"/>
        <w:ind w:firstLine="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2"/>
        </w:numPr>
        <w:autoSpaceDE w:val="0"/>
        <w:autoSpaceDN w:val="0"/>
        <w:adjustRightInd w:val="0"/>
        <w:spacing w:before="120" w:after="120"/>
        <w:ind w:left="1276"/>
        <w:contextualSpacing w:val="0"/>
        <w:jc w:val="both"/>
        <w:rPr>
          <w:rFonts w:ascii="Arial" w:hAnsi="Arial" w:cs="Arial"/>
          <w:noProof/>
          <w:sz w:val="20"/>
          <w:szCs w:val="20"/>
        </w:rPr>
      </w:pPr>
      <w:r>
        <w:rPr>
          <w:rFonts w:ascii="Arial" w:hAnsi="Arial" w:cs="Arial"/>
          <w:noProof/>
          <w:sz w:val="20"/>
          <w:szCs w:val="20"/>
        </w:rPr>
        <w:t>incorrect application of the Nitrates Directive through insufficient designation of nitrate vulnerable zones and shortcomings in the action plans</w:t>
      </w:r>
      <w:r>
        <w:rPr>
          <w:rStyle w:val="FootnoteReference"/>
          <w:rFonts w:ascii="Arial" w:hAnsi="Arial" w:cs="Arial"/>
          <w:noProof/>
          <w:sz w:val="20"/>
          <w:szCs w:val="20"/>
        </w:rPr>
        <w:footnoteReference w:id="126"/>
      </w:r>
      <w:r>
        <w:rPr>
          <w:rFonts w:ascii="Arial" w:hAnsi="Arial" w:cs="Arial"/>
          <w:noProof/>
          <w:sz w:val="20"/>
          <w:szCs w:val="20"/>
        </w:rPr>
        <w:t>;</w:t>
      </w:r>
    </w:p>
    <w:p>
      <w:pPr>
        <w:pStyle w:val="ListParagraph"/>
        <w:numPr>
          <w:ilvl w:val="0"/>
          <w:numId w:val="2"/>
        </w:numPr>
        <w:autoSpaceDE w:val="0"/>
        <w:autoSpaceDN w:val="0"/>
        <w:adjustRightInd w:val="0"/>
        <w:spacing w:before="120" w:after="120"/>
        <w:ind w:left="1276"/>
        <w:contextualSpacing w:val="0"/>
        <w:jc w:val="both"/>
        <w:rPr>
          <w:rFonts w:ascii="Arial" w:hAnsi="Arial" w:cs="Arial"/>
          <w:noProof/>
          <w:sz w:val="20"/>
          <w:szCs w:val="20"/>
        </w:rPr>
      </w:pPr>
      <w:r>
        <w:rPr>
          <w:rFonts w:ascii="Arial" w:hAnsi="Arial" w:cs="Arial"/>
          <w:noProof/>
          <w:sz w:val="20"/>
          <w:szCs w:val="20"/>
        </w:rPr>
        <w:t>parallel imports of medicines</w:t>
      </w:r>
      <w:r>
        <w:rPr>
          <w:rStyle w:val="FootnoteReference"/>
          <w:rFonts w:ascii="Arial" w:hAnsi="Arial" w:cs="Arial"/>
          <w:noProof/>
          <w:sz w:val="20"/>
          <w:szCs w:val="20"/>
        </w:rPr>
        <w:footnoteReference w:id="127"/>
      </w:r>
      <w:r>
        <w:rPr>
          <w:rFonts w:ascii="Arial" w:hAnsi="Arial" w:cs="Arial"/>
          <w:noProof/>
          <w:sz w:val="20"/>
          <w:szCs w:val="20"/>
        </w:rPr>
        <w:t>;</w:t>
      </w:r>
    </w:p>
    <w:p>
      <w:pPr>
        <w:pStyle w:val="ListParagraph"/>
        <w:numPr>
          <w:ilvl w:val="0"/>
          <w:numId w:val="2"/>
        </w:numPr>
        <w:spacing w:after="0"/>
        <w:ind w:left="1276"/>
        <w:rPr>
          <w:rFonts w:ascii="Arial" w:eastAsia="Calibri" w:hAnsi="Arial" w:cs="Arial"/>
          <w:noProof/>
          <w:kern w:val="20"/>
          <w:sz w:val="20"/>
          <w:lang w:eastAsia="en-GB"/>
        </w:rPr>
      </w:pPr>
      <w:r>
        <w:rPr>
          <w:rFonts w:ascii="Arial" w:hAnsi="Arial" w:cs="Arial"/>
          <w:noProof/>
          <w:sz w:val="20"/>
          <w:szCs w:val="20"/>
        </w:rPr>
        <w:t xml:space="preserve">failure to communicate national measures transposing the </w:t>
      </w:r>
    </w:p>
    <w:p>
      <w:pPr>
        <w:pStyle w:val="ListParagraph"/>
        <w:numPr>
          <w:ilvl w:val="1"/>
          <w:numId w:val="269"/>
        </w:numPr>
        <w:spacing w:after="0"/>
        <w:rPr>
          <w:rFonts w:ascii="Arial" w:eastAsia="Calibri" w:hAnsi="Arial" w:cs="Arial"/>
          <w:noProof/>
          <w:kern w:val="20"/>
          <w:sz w:val="20"/>
          <w:lang w:eastAsia="en-GB"/>
        </w:rPr>
      </w:pPr>
      <w:r>
        <w:rPr>
          <w:rFonts w:ascii="Arial" w:eastAsia="Times New Roman" w:hAnsi="Arial" w:cs="Arial"/>
          <w:noProof/>
          <w:sz w:val="20"/>
          <w:szCs w:val="20"/>
          <w:lang w:eastAsia="en-GB"/>
        </w:rPr>
        <w:t>Alternative Investment Fund Managers Directive</w:t>
      </w:r>
      <w:r>
        <w:rPr>
          <w:rStyle w:val="FootnoteReference"/>
          <w:rFonts w:ascii="Arial" w:eastAsia="Times New Roman" w:hAnsi="Arial" w:cs="Arial"/>
          <w:noProof/>
          <w:sz w:val="20"/>
          <w:szCs w:val="20"/>
          <w:lang w:eastAsia="en-GB"/>
        </w:rPr>
        <w:footnoteReference w:id="128"/>
      </w:r>
      <w:r>
        <w:rPr>
          <w:rFonts w:ascii="Arial" w:eastAsia="Times New Roman" w:hAnsi="Arial" w:cs="Arial"/>
          <w:noProof/>
          <w:sz w:val="20"/>
          <w:szCs w:val="20"/>
          <w:lang w:eastAsia="en-GB"/>
        </w:rPr>
        <w:t>;</w:t>
      </w:r>
    </w:p>
    <w:p>
      <w:pPr>
        <w:pStyle w:val="ListParagraph"/>
        <w:numPr>
          <w:ilvl w:val="1"/>
          <w:numId w:val="269"/>
        </w:numPr>
        <w:spacing w:after="0"/>
        <w:rPr>
          <w:rFonts w:ascii="Arial" w:eastAsia="Calibri" w:hAnsi="Arial" w:cs="Arial"/>
          <w:noProof/>
          <w:kern w:val="20"/>
          <w:sz w:val="20"/>
          <w:lang w:eastAsia="en-GB"/>
        </w:rPr>
      </w:pPr>
      <w:r>
        <w:rPr>
          <w:rFonts w:ascii="Arial" w:hAnsi="Arial" w:cs="Arial"/>
          <w:bCs/>
          <w:noProof/>
          <w:sz w:val="20"/>
        </w:rPr>
        <w:t>Directive on intra-corporate transfer</w:t>
      </w:r>
      <w:r>
        <w:rPr>
          <w:rFonts w:ascii="Arial" w:hAnsi="Arial" w:cs="Arial"/>
          <w:bCs/>
          <w:noProof/>
          <w:sz w:val="20"/>
          <w:vertAlign w:val="superscript"/>
        </w:rPr>
        <w:footnoteReference w:id="129"/>
      </w:r>
      <w:r>
        <w:rPr>
          <w:rFonts w:ascii="Arial" w:hAnsi="Arial" w:cs="Arial"/>
          <w:bCs/>
          <w:noProof/>
          <w:sz w:val="20"/>
        </w:rPr>
        <w:t>;</w:t>
      </w:r>
    </w:p>
    <w:p>
      <w:pPr>
        <w:pStyle w:val="ListParagraph"/>
        <w:numPr>
          <w:ilvl w:val="1"/>
          <w:numId w:val="269"/>
        </w:numPr>
        <w:spacing w:after="0"/>
        <w:rPr>
          <w:rFonts w:ascii="Arial" w:eastAsia="Calibri" w:hAnsi="Arial" w:cs="Arial"/>
          <w:noProof/>
          <w:kern w:val="20"/>
          <w:sz w:val="20"/>
          <w:lang w:eastAsia="en-GB"/>
        </w:rPr>
      </w:pPr>
      <w:r>
        <w:rPr>
          <w:rFonts w:ascii="Arial" w:eastAsia="Times New Roman" w:hAnsi="Arial" w:cs="Arial"/>
          <w:noProof/>
          <w:sz w:val="20"/>
          <w:szCs w:val="20"/>
          <w:lang w:eastAsia="en-GB"/>
        </w:rPr>
        <w:t>Directive concerning undertakings for collective investment in transferable securities</w:t>
      </w:r>
      <w:r>
        <w:rPr>
          <w:rStyle w:val="FootnoteReference"/>
          <w:rFonts w:ascii="Arial" w:eastAsia="Times New Roman" w:hAnsi="Arial" w:cs="Arial"/>
          <w:noProof/>
          <w:sz w:val="20"/>
          <w:szCs w:val="20"/>
          <w:lang w:eastAsia="en-GB"/>
        </w:rPr>
        <w:footnoteReference w:id="130"/>
      </w:r>
      <w:r>
        <w:rPr>
          <w:rFonts w:ascii="Arial" w:eastAsia="Times New Roman" w:hAnsi="Arial" w:cs="Arial"/>
          <w:noProof/>
          <w:sz w:val="20"/>
          <w:szCs w:val="20"/>
          <w:lang w:eastAsia="en-GB"/>
        </w:rPr>
        <w:t>;</w:t>
      </w:r>
    </w:p>
    <w:p>
      <w:pPr>
        <w:pStyle w:val="ListParagraph"/>
        <w:numPr>
          <w:ilvl w:val="1"/>
          <w:numId w:val="269"/>
        </w:numPr>
        <w:spacing w:after="0"/>
        <w:rPr>
          <w:rFonts w:ascii="Arial" w:eastAsia="Calibri" w:hAnsi="Arial" w:cs="Arial"/>
          <w:noProof/>
          <w:kern w:val="20"/>
          <w:sz w:val="20"/>
          <w:lang w:eastAsia="en-GB"/>
        </w:rPr>
      </w:pPr>
      <w:r>
        <w:rPr>
          <w:rFonts w:ascii="Arial" w:eastAsia="Calibri" w:hAnsi="Arial" w:cs="Arial"/>
          <w:noProof/>
          <w:kern w:val="20"/>
          <w:sz w:val="20"/>
          <w:lang w:eastAsia="en-GB"/>
        </w:rPr>
        <w:t>Directive on quality system standards and specifications for blood establishments</w:t>
      </w:r>
      <w:r>
        <w:rPr>
          <w:rFonts w:ascii="Arial" w:eastAsia="Calibri" w:hAnsi="Arial" w:cs="Arial"/>
          <w:noProof/>
          <w:kern w:val="20"/>
          <w:sz w:val="20"/>
          <w:vertAlign w:val="superscript"/>
          <w:lang w:val="nl-NL" w:eastAsia="en-GB"/>
        </w:rPr>
        <w:footnoteReference w:id="131"/>
      </w:r>
      <w:r>
        <w:rPr>
          <w:rFonts w:ascii="Arial" w:eastAsia="Calibri" w:hAnsi="Arial" w:cs="Arial"/>
          <w:noProof/>
          <w:kern w:val="20"/>
          <w:sz w:val="20"/>
          <w:lang w:eastAsia="en-GB"/>
        </w:rPr>
        <w:t>;</w:t>
      </w:r>
    </w:p>
    <w:p>
      <w:pPr>
        <w:pStyle w:val="ListParagraph"/>
        <w:numPr>
          <w:ilvl w:val="1"/>
          <w:numId w:val="269"/>
        </w:numPr>
        <w:spacing w:after="0"/>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132"/>
      </w:r>
      <w:r>
        <w:rPr>
          <w:rFonts w:ascii="Arial" w:eastAsia="Calibri" w:hAnsi="Arial" w:cs="Arial"/>
          <w:noProof/>
          <w:sz w:val="20"/>
          <w:szCs w:val="20"/>
          <w:lang w:eastAsia="en-GB"/>
        </w:rPr>
        <w:t>;</w:t>
      </w:r>
      <w:r>
        <w:rPr>
          <w:rFonts w:ascii="Arial" w:hAnsi="Arial" w:cs="Arial"/>
          <w:noProof/>
          <w:sz w:val="20"/>
        </w:rPr>
        <w:t xml:space="preserve"> </w:t>
      </w:r>
    </w:p>
    <w:p>
      <w:pPr>
        <w:pStyle w:val="ListParagraph"/>
        <w:numPr>
          <w:ilvl w:val="1"/>
          <w:numId w:val="269"/>
        </w:numPr>
        <w:spacing w:after="0"/>
        <w:rPr>
          <w:rFonts w:ascii="Arial" w:hAnsi="Arial" w:cs="Arial"/>
          <w:noProof/>
          <w:sz w:val="20"/>
        </w:rPr>
      </w:pPr>
      <w:r>
        <w:rPr>
          <w:rFonts w:ascii="Arial" w:hAnsi="Arial" w:cs="Arial"/>
          <w:noProof/>
          <w:sz w:val="20"/>
        </w:rPr>
        <w:t>Data Protection Law Enforcement Directive</w:t>
      </w:r>
      <w:r>
        <w:rPr>
          <w:rStyle w:val="FootnoteReference"/>
          <w:rFonts w:ascii="Arial" w:hAnsi="Arial" w:cs="Arial"/>
          <w:noProof/>
          <w:sz w:val="20"/>
        </w:rPr>
        <w:footnoteReference w:id="133"/>
      </w:r>
      <w:r>
        <w:rPr>
          <w:rFonts w:ascii="Arial" w:hAnsi="Arial" w:cs="Arial"/>
          <w:noProof/>
          <w:sz w:val="20"/>
        </w:rPr>
        <w:t>;.</w:t>
      </w:r>
    </w:p>
    <w:p>
      <w:pPr>
        <w:pStyle w:val="AnnualReport1"/>
        <w:numPr>
          <w:ilvl w:val="2"/>
          <w:numId w:val="239"/>
        </w:numPr>
        <w:ind w:left="709"/>
        <w:rPr>
          <w:caps w:val="0"/>
          <w:noProof/>
        </w:rPr>
      </w:pPr>
      <w:r>
        <w:rPr>
          <w:caps w:val="0"/>
          <w:noProof/>
        </w:rPr>
        <w:t>IMPORTANT JUDGMENTS</w:t>
      </w:r>
    </w:p>
    <w:p>
      <w:pPr>
        <w:numPr>
          <w:ilvl w:val="0"/>
          <w:numId w:val="113"/>
        </w:numPr>
        <w:spacing w:before="240"/>
        <w:ind w:left="709" w:hanging="425"/>
        <w:outlineLvl w:val="1"/>
        <w:rPr>
          <w:rFonts w:ascii="Arial" w:hAnsi="Arial"/>
          <w:noProof/>
          <w:color w:val="002060"/>
        </w:rPr>
      </w:pPr>
      <w:r>
        <w:rPr>
          <w:rFonts w:ascii="Arial" w:hAnsi="Arial"/>
          <w:noProof/>
          <w:color w:val="002060"/>
        </w:rPr>
        <w:t>Court rulings</w:t>
      </w:r>
      <w:r>
        <w:rPr>
          <w:rFonts w:ascii="Arial" w:hAnsi="Arial"/>
          <w:noProof/>
          <w:color w:val="002060"/>
          <w:vertAlign w:val="superscript"/>
        </w:rPr>
        <w:footnoteReference w:id="134"/>
      </w:r>
    </w:p>
    <w:p>
      <w:pPr>
        <w:spacing w:after="120"/>
        <w:ind w:firstLine="709"/>
        <w:jc w:val="both"/>
        <w:rPr>
          <w:rFonts w:ascii="Arial" w:hAnsi="Arial" w:cs="Arial"/>
          <w:noProof/>
          <w:sz w:val="20"/>
        </w:rPr>
      </w:pPr>
      <w:r>
        <w:rPr>
          <w:rFonts w:ascii="Arial" w:hAnsi="Arial" w:cs="Arial"/>
          <w:noProof/>
          <w:sz w:val="20"/>
        </w:rPr>
        <w:t xml:space="preserve">The Court gave the following rulings. </w:t>
      </w:r>
    </w:p>
    <w:p>
      <w:pPr>
        <w:pStyle w:val="ListParagraph"/>
        <w:numPr>
          <w:ilvl w:val="0"/>
          <w:numId w:val="166"/>
        </w:numPr>
        <w:spacing w:after="120"/>
        <w:ind w:left="1276"/>
        <w:jc w:val="both"/>
        <w:rPr>
          <w:rFonts w:ascii="Arial" w:hAnsi="Arial" w:cs="Arial"/>
          <w:noProof/>
          <w:sz w:val="20"/>
        </w:rPr>
      </w:pPr>
      <w:r>
        <w:rPr>
          <w:rFonts w:ascii="Arial" w:hAnsi="Arial" w:cs="Arial"/>
          <w:noProof/>
          <w:sz w:val="20"/>
          <w:szCs w:val="20"/>
        </w:rPr>
        <w:t>Poland failed to ensure that the investigating body is independent of railway undertakings and rail infrastructure managers controlled by the minister of transport</w:t>
      </w:r>
      <w:r>
        <w:rPr>
          <w:rStyle w:val="FootnoteReference"/>
          <w:rFonts w:ascii="Arial" w:hAnsi="Arial" w:cs="Arial"/>
          <w:noProof/>
          <w:sz w:val="20"/>
          <w:szCs w:val="20"/>
        </w:rPr>
        <w:footnoteReference w:id="135"/>
      </w:r>
      <w:r>
        <w:rPr>
          <w:rFonts w:ascii="Arial" w:hAnsi="Arial" w:cs="Arial"/>
          <w:noProof/>
          <w:sz w:val="20"/>
          <w:szCs w:val="20"/>
        </w:rPr>
        <w:t>.</w:t>
      </w:r>
    </w:p>
    <w:p>
      <w:pPr>
        <w:pStyle w:val="Basis"/>
        <w:numPr>
          <w:ilvl w:val="0"/>
          <w:numId w:val="166"/>
        </w:numPr>
        <w:spacing w:after="100" w:afterAutospacing="1" w:line="240" w:lineRule="auto"/>
        <w:ind w:left="1276"/>
        <w:jc w:val="both"/>
        <w:rPr>
          <w:rFonts w:ascii="Arial" w:hAnsi="Arial" w:cs="Arial"/>
          <w:noProof/>
          <w:lang w:val="en-GB"/>
        </w:rPr>
      </w:pPr>
      <w:r>
        <w:rPr>
          <w:rFonts w:ascii="Arial" w:hAnsi="Arial" w:cs="Arial"/>
          <w:noProof/>
          <w:lang w:val="en-GB"/>
        </w:rPr>
        <w:t>Poland has been persistently exceeding the EU air quality limit values for particulate matter (</w:t>
      </w:r>
      <w:r>
        <w:rPr>
          <w:rFonts w:ascii="Arial" w:hAnsi="Arial" w:cs="Arial"/>
          <w:noProof/>
          <w:szCs w:val="20"/>
        </w:rPr>
        <w:t>PM</w:t>
      </w:r>
      <w:r>
        <w:rPr>
          <w:rFonts w:ascii="Arial" w:hAnsi="Arial" w:cs="Arial"/>
          <w:noProof/>
          <w:szCs w:val="20"/>
          <w:vertAlign w:val="subscript"/>
        </w:rPr>
        <w:t>10</w:t>
      </w:r>
      <w:r>
        <w:rPr>
          <w:rStyle w:val="FootnoteReference"/>
          <w:rFonts w:ascii="Arial" w:hAnsi="Arial" w:cs="Arial"/>
          <w:noProof/>
          <w:szCs w:val="20"/>
        </w:rPr>
        <w:footnoteReference w:id="136"/>
      </w:r>
      <w:r>
        <w:rPr>
          <w:rFonts w:ascii="Arial" w:hAnsi="Arial" w:cs="Arial"/>
          <w:noProof/>
          <w:szCs w:val="20"/>
        </w:rPr>
        <w:t>)</w:t>
      </w:r>
      <w:r>
        <w:rPr>
          <w:rFonts w:ascii="Arial" w:hAnsi="Arial" w:cs="Arial"/>
          <w:noProof/>
          <w:szCs w:val="20"/>
          <w:vertAlign w:val="subscript"/>
        </w:rPr>
        <w:t xml:space="preserve"> </w:t>
      </w:r>
      <w:r>
        <w:rPr>
          <w:rFonts w:ascii="Arial" w:hAnsi="Arial" w:cs="Arial"/>
          <w:noProof/>
          <w:lang w:val="en-GB"/>
        </w:rPr>
        <w:t>in several zones and agglomerations throughout the whole country. Furthermore, Poland has failed to incorporate in its air quality programmes appropriate measures to ensure that the exceedance period is kept as short as possible</w:t>
      </w:r>
      <w:r>
        <w:rPr>
          <w:rStyle w:val="FootnoteReference"/>
          <w:rFonts w:ascii="Arial" w:hAnsi="Arial" w:cs="Arial"/>
          <w:noProof/>
          <w:lang w:val="en-GB"/>
        </w:rPr>
        <w:footnoteReference w:id="137"/>
      </w:r>
      <w:r>
        <w:rPr>
          <w:rFonts w:ascii="Arial" w:hAnsi="Arial" w:cs="Arial"/>
          <w:noProof/>
          <w:lang w:val="en-GB"/>
        </w:rPr>
        <w:t xml:space="preserve">. </w:t>
      </w:r>
    </w:p>
    <w:p>
      <w:pPr>
        <w:pStyle w:val="Basis"/>
        <w:numPr>
          <w:ilvl w:val="0"/>
          <w:numId w:val="166"/>
        </w:numPr>
        <w:spacing w:after="100" w:afterAutospacing="1" w:line="240" w:lineRule="auto"/>
        <w:ind w:left="1276"/>
        <w:jc w:val="both"/>
        <w:rPr>
          <w:rFonts w:ascii="Arial" w:hAnsi="Arial" w:cs="Arial"/>
          <w:noProof/>
          <w:lang w:val="en-GB"/>
        </w:rPr>
      </w:pPr>
      <w:r>
        <w:rPr>
          <w:rFonts w:ascii="Arial" w:hAnsi="Arial" w:cs="Arial"/>
          <w:noProof/>
          <w:lang w:val="en-GB"/>
        </w:rPr>
        <w:t xml:space="preserve">Poland has incorrectly transposed into national legislation </w:t>
      </w:r>
      <w:r>
        <w:rPr>
          <w:rFonts w:ascii="Arial" w:hAnsi="Arial" w:cs="Arial"/>
          <w:noProof/>
        </w:rPr>
        <w:t>the requirements of the Environmental Impact Assessment Directive on exploratory drilling. The national legislation found to be non-compliant excludes exploratory works for shale gas carried out  at a depth of up to 5 000 m, with the exception of drilling to a depth of at least 1 000 m for projects in 'sensitive' areas, such as nature protection zones or water protection zones</w:t>
      </w:r>
      <w:r>
        <w:rPr>
          <w:rStyle w:val="FootnoteReference"/>
          <w:rFonts w:ascii="Arial" w:hAnsi="Arial" w:cs="Arial"/>
          <w:noProof/>
          <w:lang w:val="en-GB"/>
        </w:rPr>
        <w:footnoteReference w:id="138"/>
      </w:r>
      <w:r>
        <w:rPr>
          <w:rFonts w:ascii="Arial" w:hAnsi="Arial" w:cs="Arial"/>
          <w:noProof/>
        </w:rPr>
        <w:t>.</w:t>
      </w:r>
    </w:p>
    <w:p>
      <w:pPr>
        <w:pStyle w:val="Basis"/>
        <w:numPr>
          <w:ilvl w:val="0"/>
          <w:numId w:val="166"/>
        </w:numPr>
        <w:spacing w:after="100" w:afterAutospacing="1" w:line="240" w:lineRule="auto"/>
        <w:ind w:left="1276"/>
        <w:jc w:val="both"/>
        <w:rPr>
          <w:rFonts w:ascii="Arial" w:hAnsi="Arial" w:cs="Arial"/>
          <w:noProof/>
          <w:lang w:val="en-GB"/>
        </w:rPr>
      </w:pPr>
      <w:r>
        <w:rPr>
          <w:rFonts w:ascii="Arial" w:hAnsi="Arial" w:cs="Arial"/>
          <w:noProof/>
          <w:lang w:val="en-GB"/>
        </w:rPr>
        <w:t>Poland h</w:t>
      </w:r>
      <w:r>
        <w:rPr>
          <w:rFonts w:ascii="Arial" w:hAnsi="Arial" w:cs="Arial"/>
          <w:noProof/>
        </w:rPr>
        <w:t>as failed to fulfil its obligations under the Habitats and Birds Directives regarding  management of the Białowieża Forest. The operations at issue resulted in the loss of a part of the respective Natura 2000 site</w:t>
      </w:r>
      <w:r>
        <w:rPr>
          <w:rStyle w:val="FootnoteReference"/>
          <w:rFonts w:ascii="Arial" w:hAnsi="Arial" w:cs="Arial"/>
          <w:noProof/>
        </w:rPr>
        <w:t xml:space="preserve"> </w:t>
      </w:r>
      <w:r>
        <w:rPr>
          <w:rFonts w:ascii="Arial" w:hAnsi="Arial" w:cs="Arial"/>
          <w:noProof/>
          <w:lang w:val="en-IE"/>
        </w:rPr>
        <w:t>and therefore could not constitute conservation measures</w:t>
      </w:r>
      <w:r>
        <w:rPr>
          <w:rStyle w:val="FootnoteReference"/>
          <w:rFonts w:ascii="Arial" w:hAnsi="Arial" w:cs="Arial"/>
          <w:noProof/>
          <w:lang w:val="en-GB"/>
        </w:rPr>
        <w:footnoteReference w:id="139"/>
      </w:r>
      <w:r>
        <w:rPr>
          <w:rFonts w:ascii="Arial" w:hAnsi="Arial" w:cs="Arial"/>
          <w:noProof/>
          <w:lang w:val="en-IE"/>
        </w:rPr>
        <w:t>.</w:t>
      </w:r>
    </w:p>
    <w:p>
      <w:pPr>
        <w:numPr>
          <w:ilvl w:val="0"/>
          <w:numId w:val="113"/>
        </w:numPr>
        <w:spacing w:before="240"/>
        <w:ind w:left="709" w:hanging="425"/>
        <w:outlineLvl w:val="1"/>
        <w:rPr>
          <w:rFonts w:ascii="Arial" w:hAnsi="Arial" w:cs="Arial"/>
          <w:noProof/>
          <w:color w:val="002060"/>
          <w:szCs w:val="20"/>
        </w:rPr>
      </w:pPr>
      <w:r>
        <w:rPr>
          <w:rFonts w:ascii="Arial" w:hAnsi="Arial" w:cs="Arial"/>
          <w:noProof/>
          <w:color w:val="002060"/>
          <w:szCs w:val="20"/>
        </w:rPr>
        <w:t>Preliminary rulings</w:t>
      </w:r>
    </w:p>
    <w:p>
      <w:pPr>
        <w:spacing w:after="120"/>
        <w:ind w:left="426" w:firstLine="294"/>
        <w:rPr>
          <w:rFonts w:ascii="Arial" w:hAnsi="Arial" w:cs="Arial"/>
          <w:noProof/>
          <w:sz w:val="20"/>
          <w:szCs w:val="20"/>
        </w:rPr>
      </w:pPr>
      <w:r>
        <w:rPr>
          <w:rFonts w:ascii="Arial" w:hAnsi="Arial" w:cs="Arial"/>
          <w:noProof/>
          <w:sz w:val="20"/>
          <w:szCs w:val="20"/>
        </w:rPr>
        <w:t>The Court addressed the following preliminary rulings to the Polish judiciary.</w:t>
      </w:r>
    </w:p>
    <w:p>
      <w:pPr>
        <w:pStyle w:val="ListParagraph"/>
        <w:numPr>
          <w:ilvl w:val="1"/>
          <w:numId w:val="2"/>
        </w:numPr>
        <w:spacing w:after="120"/>
        <w:ind w:left="1276"/>
        <w:jc w:val="both"/>
        <w:rPr>
          <w:rFonts w:ascii="Arial" w:hAnsi="Arial" w:cs="Arial"/>
          <w:noProof/>
          <w:sz w:val="20"/>
          <w:szCs w:val="20"/>
        </w:rPr>
      </w:pPr>
      <w:r>
        <w:rPr>
          <w:rFonts w:ascii="Arial" w:hAnsi="Arial" w:cs="Arial"/>
          <w:noProof/>
          <w:sz w:val="20"/>
          <w:szCs w:val="20"/>
        </w:rPr>
        <w:t>In Poland, to determine the basis for assessing flavoured beers according to the Plato scale, the dry extract of the finished product including aromatic substances and sugar syrup added after the completion of the fermentation process is taken into consideration. However, the Court decided that in such cases the dry extract of the original wort must be taken into consideration but not the aromatic substances or sugar syrup added after the completion of fermentation</w:t>
      </w:r>
      <w:r>
        <w:rPr>
          <w:rStyle w:val="FootnoteReference"/>
          <w:rFonts w:ascii="Arial" w:hAnsi="Arial" w:cs="Arial"/>
          <w:noProof/>
          <w:sz w:val="20"/>
          <w:szCs w:val="20"/>
        </w:rPr>
        <w:footnoteReference w:id="140"/>
      </w:r>
      <w:r>
        <w:rPr>
          <w:rStyle w:val="FootnoteReference"/>
          <w:rFonts w:ascii="Arial" w:hAnsi="Arial" w:cs="Arial"/>
          <w:noProof/>
          <w:sz w:val="20"/>
          <w:szCs w:val="20"/>
        </w:rPr>
        <w:t>.</w:t>
      </w:r>
    </w:p>
    <w:p>
      <w:pPr>
        <w:pStyle w:val="ListParagraph"/>
        <w:numPr>
          <w:ilvl w:val="1"/>
          <w:numId w:val="2"/>
        </w:numPr>
        <w:spacing w:after="120"/>
        <w:ind w:left="1276"/>
        <w:jc w:val="both"/>
        <w:rPr>
          <w:rFonts w:ascii="Arial" w:hAnsi="Arial" w:cs="Arial"/>
          <w:noProof/>
          <w:sz w:val="20"/>
          <w:szCs w:val="20"/>
        </w:rPr>
      </w:pPr>
      <w:r>
        <w:rPr>
          <w:rFonts w:ascii="Arial" w:hAnsi="Arial" w:cs="Arial"/>
          <w:noProof/>
          <w:sz w:val="20"/>
          <w:szCs w:val="20"/>
        </w:rPr>
        <w:t>The Court confirmed its case law on effective remedies against unfair contract terms. In relation to payment order proceedings, it found that national rules that prevent national courts from assessing of their own motion whether the relevant contract terms are unfair before issuing the payment order do not comply with the Directive on unfair terms in consumer contracts</w:t>
      </w:r>
      <w:r>
        <w:rPr>
          <w:rStyle w:val="FootnoteReference"/>
          <w:rFonts w:ascii="Arial" w:hAnsi="Arial" w:cs="Arial"/>
          <w:noProof/>
          <w:szCs w:val="20"/>
        </w:rPr>
        <w:footnoteReference w:id="141"/>
      </w:r>
      <w:r>
        <w:rPr>
          <w:rFonts w:ascii="Arial" w:hAnsi="Arial" w:cs="Arial"/>
          <w:noProof/>
          <w:szCs w:val="20"/>
        </w:rPr>
        <w:t xml:space="preserve">. </w:t>
      </w:r>
    </w:p>
    <w:p>
      <w:pPr>
        <w:spacing w:after="120"/>
        <w:ind w:left="1418"/>
        <w:contextualSpacing/>
        <w:rPr>
          <w:rFonts w:ascii="Arial" w:eastAsia="Calibri" w:hAnsi="Arial" w:cs="Arial"/>
          <w:noProof/>
          <w:kern w:val="20"/>
          <w:sz w:val="20"/>
        </w:rPr>
        <w:sectPr>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pgSz w:w="11906" w:h="16838"/>
          <w:pgMar w:top="1843"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38" w:name="_Toc475974659"/>
      <w:bookmarkStart w:id="39" w:name="_Toc475980155"/>
      <w:bookmarkStart w:id="40" w:name="_Toc475981404"/>
      <w:bookmarkStart w:id="41" w:name="_Toc484622338"/>
      <w:bookmarkStart w:id="42" w:name="_Toc5728034"/>
      <w:r>
        <w:rPr>
          <w:rFonts w:ascii="Arial" w:eastAsia="SimSun" w:hAnsi="Arial"/>
          <w:bCs/>
          <w:noProof/>
          <w:color w:val="A6A6A6"/>
          <w:szCs w:val="28"/>
        </w:rPr>
        <w:t>Portugal</w:t>
      </w:r>
      <w:bookmarkEnd w:id="38"/>
      <w:bookmarkEnd w:id="39"/>
      <w:bookmarkEnd w:id="40"/>
      <w:bookmarkEnd w:id="41"/>
      <w:bookmarkEnd w:id="42"/>
    </w:p>
    <w:p>
      <w:pPr>
        <w:pStyle w:val="AnnualReport1"/>
        <w:numPr>
          <w:ilvl w:val="0"/>
          <w:numId w:val="180"/>
        </w:numPr>
        <w:ind w:left="709" w:hanging="425"/>
        <w:rPr>
          <w:noProof/>
        </w:rPr>
      </w:pPr>
      <w:r>
        <w:rPr>
          <w:noProof/>
        </w:rPr>
        <w:t>COMPLAINTS</w:t>
      </w:r>
    </w:p>
    <w:p>
      <w:pPr>
        <w:numPr>
          <w:ilvl w:val="0"/>
          <w:numId w:val="241"/>
        </w:numPr>
        <w:spacing w:before="240"/>
        <w:ind w:left="709"/>
        <w:outlineLvl w:val="1"/>
        <w:rPr>
          <w:rFonts w:ascii="Arial" w:hAnsi="Arial"/>
          <w:noProof/>
          <w:color w:val="002060"/>
        </w:rPr>
      </w:pPr>
      <w:r>
        <w:rPr>
          <w:rFonts w:ascii="Arial" w:hAnsi="Arial"/>
          <w:noProof/>
          <w:color w:val="002060"/>
        </w:rPr>
        <w:t>New complaints made against Portugal by members of the public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7875" cy="2337435"/>
            <wp:effectExtent l="0" t="0" r="22225" b="24765"/>
            <wp:docPr id="23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numPr>
          <w:ilvl w:val="0"/>
          <w:numId w:val="241"/>
        </w:numPr>
        <w:spacing w:before="240"/>
        <w:ind w:left="851"/>
        <w:outlineLvl w:val="1"/>
        <w:rPr>
          <w:rFonts w:ascii="Arial" w:hAnsi="Arial"/>
          <w:noProof/>
          <w:color w:val="002060"/>
        </w:rPr>
      </w:pPr>
      <w:r>
        <w:rPr>
          <w:rFonts w:ascii="Arial" w:hAnsi="Arial"/>
          <w:noProof/>
          <w:color w:val="002060"/>
        </w:rPr>
        <w:t>Public complaints against Portugal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86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161</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169</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78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241"/>
        </w:numPr>
        <w:spacing w:before="240"/>
        <w:ind w:left="851"/>
        <w:outlineLvl w:val="1"/>
        <w:rPr>
          <w:rFonts w:ascii="Arial" w:hAnsi="Arial"/>
          <w:noProof/>
          <w:color w:val="002060"/>
        </w:rPr>
      </w:pPr>
      <w:r>
        <w:rPr>
          <w:rFonts w:ascii="Arial" w:hAnsi="Arial"/>
          <w:noProof/>
          <w:color w:val="002060"/>
        </w:rPr>
        <w:t>New complaints registered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27880" cy="2361565"/>
            <wp:effectExtent l="0" t="0" r="1270" b="635"/>
            <wp:docPr id="23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pStyle w:val="AnnualReport1"/>
        <w:numPr>
          <w:ilvl w:val="0"/>
          <w:numId w:val="180"/>
        </w:numPr>
        <w:ind w:left="709" w:hanging="425"/>
        <w:rPr>
          <w:noProof/>
        </w:rPr>
      </w:pPr>
      <w:r>
        <w:rPr>
          <w:noProof/>
        </w:rPr>
        <w:t>EU PILOT</w:t>
      </w:r>
    </w:p>
    <w:p>
      <w:pPr>
        <w:numPr>
          <w:ilvl w:val="0"/>
          <w:numId w:val="242"/>
        </w:numPr>
        <w:spacing w:before="240"/>
        <w:ind w:left="709"/>
        <w:outlineLvl w:val="1"/>
        <w:rPr>
          <w:rFonts w:ascii="Arial" w:hAnsi="Arial"/>
          <w:noProof/>
          <w:color w:val="002060"/>
        </w:rPr>
      </w:pPr>
      <w:r>
        <w:rPr>
          <w:rFonts w:ascii="Arial" w:hAnsi="Arial"/>
          <w:noProof/>
          <w:color w:val="002060"/>
        </w:rPr>
        <w:t>New EU Pilot files opened against Portugal (2014-2018)</w:t>
      </w:r>
    </w:p>
    <w:p>
      <w:pPr>
        <w:tabs>
          <w:tab w:val="left" w:pos="0"/>
        </w:tabs>
        <w:spacing w:before="360"/>
        <w:ind w:firstLine="709"/>
        <w:rPr>
          <w:rFonts w:ascii="Arial" w:hAnsi="Arial" w:cs="Arial"/>
          <w:noProof/>
          <w:sz w:val="20"/>
        </w:rPr>
      </w:pPr>
      <w:r>
        <w:rPr>
          <w:rFonts w:ascii="Arial" w:hAnsi="Arial" w:cs="Arial"/>
          <w:noProof/>
          <w:sz w:val="20"/>
          <w:lang w:eastAsia="en-GB"/>
        </w:rPr>
        <w:drawing>
          <wp:inline distT="0" distB="0" distL="0" distR="0">
            <wp:extent cx="4587875" cy="2266315"/>
            <wp:effectExtent l="0" t="0" r="0" b="0"/>
            <wp:docPr id="23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numPr>
          <w:ilvl w:val="0"/>
          <w:numId w:val="242"/>
        </w:numPr>
        <w:spacing w:before="240"/>
        <w:ind w:left="851" w:hanging="567"/>
        <w:outlineLvl w:val="1"/>
        <w:rPr>
          <w:rFonts w:ascii="Arial" w:hAnsi="Arial"/>
          <w:noProof/>
          <w:color w:val="002060"/>
        </w:rPr>
      </w:pPr>
      <w:r>
        <w:rPr>
          <w:rFonts w:ascii="Arial" w:hAnsi="Arial"/>
          <w:noProof/>
          <w:color w:val="002060"/>
        </w:rPr>
        <w:t>Files relating to Portugal open in EU Pilot at year-end</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7875" cy="2266315"/>
            <wp:effectExtent l="0" t="0" r="0" b="0"/>
            <wp:docPr id="23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numPr>
          <w:ilvl w:val="0"/>
          <w:numId w:val="242"/>
        </w:numPr>
        <w:spacing w:before="240"/>
        <w:ind w:left="709"/>
        <w:outlineLvl w:val="1"/>
        <w:rPr>
          <w:rFonts w:ascii="Arial" w:hAnsi="Arial"/>
          <w:noProof/>
          <w:color w:val="002060"/>
        </w:rPr>
      </w:pPr>
      <w:r>
        <w:rPr>
          <w:rFonts w:ascii="Arial" w:hAnsi="Arial"/>
          <w:noProof/>
          <w:color w:val="002060"/>
        </w:rPr>
        <w:t>New EU Pilot files opened in 2018: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43755" cy="2247900"/>
            <wp:effectExtent l="0" t="0" r="4445" b="0"/>
            <wp:docPr id="23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numPr>
          <w:ilvl w:val="0"/>
          <w:numId w:val="242"/>
        </w:numPr>
        <w:spacing w:before="240"/>
        <w:ind w:left="709"/>
        <w:outlineLvl w:val="1"/>
        <w:rPr>
          <w:rFonts w:ascii="Arial" w:hAnsi="Arial"/>
          <w:noProof/>
          <w:color w:val="002060"/>
        </w:rPr>
      </w:pPr>
      <w:r>
        <w:rPr>
          <w:rFonts w:ascii="Arial" w:hAnsi="Arial"/>
          <w:noProof/>
          <w:color w:val="002060"/>
        </w:rPr>
        <w:t>EU Pilot files: Portugal’s resolution rate in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27880" cy="2258060"/>
            <wp:effectExtent l="0" t="0" r="20320" b="27940"/>
            <wp:docPr id="23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AnnualReport1"/>
        <w:numPr>
          <w:ilvl w:val="0"/>
          <w:numId w:val="180"/>
        </w:numPr>
        <w:ind w:left="709" w:hanging="425"/>
        <w:rPr>
          <w:noProof/>
        </w:rPr>
      </w:pPr>
      <w:r>
        <w:rPr>
          <w:noProof/>
        </w:rPr>
        <w:t>INFRINGEMENT CASES</w:t>
      </w:r>
    </w:p>
    <w:p>
      <w:pPr>
        <w:numPr>
          <w:ilvl w:val="0"/>
          <w:numId w:val="243"/>
        </w:numPr>
        <w:spacing w:before="240"/>
        <w:ind w:left="709"/>
        <w:outlineLvl w:val="1"/>
        <w:rPr>
          <w:rFonts w:ascii="Arial" w:hAnsi="Arial"/>
          <w:noProof/>
          <w:color w:val="002060"/>
        </w:rPr>
      </w:pPr>
      <w:r>
        <w:rPr>
          <w:rFonts w:ascii="Arial" w:hAnsi="Arial"/>
          <w:noProof/>
          <w:color w:val="002060"/>
        </w:rPr>
        <w:t>Infringement cases against Portugal open on 31 December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10100" cy="2164080"/>
            <wp:effectExtent l="0" t="0" r="19050" b="26670"/>
            <wp:docPr id="239"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numPr>
          <w:ilvl w:val="0"/>
          <w:numId w:val="243"/>
        </w:numPr>
        <w:spacing w:before="240"/>
        <w:ind w:left="709" w:hanging="283"/>
        <w:outlineLvl w:val="1"/>
        <w:rPr>
          <w:rFonts w:ascii="Arial" w:hAnsi="Arial"/>
          <w:noProof/>
          <w:color w:val="002060"/>
        </w:rPr>
      </w:pPr>
      <w:r>
        <w:rPr>
          <w:rFonts w:ascii="Arial" w:hAnsi="Arial"/>
          <w:noProof/>
          <w:color w:val="002060"/>
        </w:rPr>
        <w:t>New infringement cases opened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277995" cy="2385695"/>
            <wp:effectExtent l="0" t="0" r="8255" b="14605"/>
            <wp:docPr id="240" name="Objec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numPr>
          <w:ilvl w:val="0"/>
          <w:numId w:val="243"/>
        </w:numPr>
        <w:spacing w:before="240"/>
        <w:ind w:left="709"/>
        <w:outlineLvl w:val="1"/>
        <w:rPr>
          <w:rFonts w:ascii="Arial" w:hAnsi="Arial"/>
          <w:noProof/>
          <w:color w:val="002060"/>
        </w:rPr>
      </w:pPr>
      <w:r>
        <w:rPr>
          <w:rFonts w:ascii="Arial" w:hAnsi="Arial"/>
          <w:noProof/>
          <w:color w:val="002060"/>
        </w:rPr>
        <w:t>Key infringement cases and referrals to the Court</w:t>
      </w:r>
    </w:p>
    <w:p>
      <w:pPr>
        <w:numPr>
          <w:ilvl w:val="0"/>
          <w:numId w:val="144"/>
        </w:numPr>
        <w:spacing w:after="120"/>
        <w:ind w:left="1276" w:hanging="425"/>
        <w:jc w:val="both"/>
        <w:rPr>
          <w:rFonts w:ascii="Arial" w:hAnsi="Arial" w:cs="Arial"/>
          <w:noProof/>
          <w:sz w:val="20"/>
          <w:szCs w:val="20"/>
        </w:rPr>
      </w:pPr>
      <w:r>
        <w:rPr>
          <w:rFonts w:ascii="Arial" w:hAnsi="Arial" w:cs="Arial"/>
          <w:noProof/>
          <w:sz w:val="20"/>
          <w:szCs w:val="20"/>
        </w:rPr>
        <w:t>The Commission opened 17 new infringement cases against Portugal in 2018. These, and other major ongoing infringement cases, include the following.</w:t>
      </w:r>
    </w:p>
    <w:p>
      <w:pPr>
        <w:pStyle w:val="ListParagraph"/>
        <w:numPr>
          <w:ilvl w:val="0"/>
          <w:numId w:val="161"/>
        </w:numPr>
        <w:ind w:left="1701"/>
        <w:jc w:val="both"/>
        <w:rPr>
          <w:noProof/>
          <w:sz w:val="20"/>
          <w:szCs w:val="20"/>
        </w:rPr>
      </w:pPr>
      <w:r>
        <w:rPr>
          <w:rFonts w:ascii="Arial" w:hAnsi="Arial" w:cs="Arial"/>
          <w:noProof/>
          <w:sz w:val="20"/>
          <w:szCs w:val="20"/>
        </w:rPr>
        <w:t>Incorrect transposition of the:</w:t>
      </w:r>
    </w:p>
    <w:p>
      <w:pPr>
        <w:pStyle w:val="ListParagraph"/>
        <w:numPr>
          <w:ilvl w:val="1"/>
          <w:numId w:val="161"/>
        </w:numPr>
        <w:ind w:left="2410" w:hanging="425"/>
        <w:jc w:val="both"/>
        <w:rPr>
          <w:noProof/>
          <w:sz w:val="20"/>
          <w:szCs w:val="20"/>
        </w:rPr>
      </w:pPr>
      <w:r>
        <w:rPr>
          <w:rFonts w:ascii="Arial" w:hAnsi="Arial" w:cs="Arial"/>
          <w:noProof/>
          <w:sz w:val="20"/>
          <w:szCs w:val="20"/>
        </w:rPr>
        <w:t>Directive on the protection of animals used for scientific purposes</w:t>
      </w:r>
      <w:r>
        <w:rPr>
          <w:rStyle w:val="FootnoteReference"/>
          <w:rFonts w:ascii="Arial" w:hAnsi="Arial" w:cs="Arial"/>
          <w:noProof/>
          <w:sz w:val="20"/>
          <w:szCs w:val="20"/>
        </w:rPr>
        <w:footnoteReference w:id="142"/>
      </w:r>
      <w:r>
        <w:rPr>
          <w:rFonts w:ascii="Arial" w:hAnsi="Arial" w:cs="Arial"/>
          <w:noProof/>
          <w:sz w:val="20"/>
          <w:szCs w:val="20"/>
        </w:rPr>
        <w:t>;</w:t>
      </w:r>
    </w:p>
    <w:p>
      <w:pPr>
        <w:pStyle w:val="ListParagraph"/>
        <w:numPr>
          <w:ilvl w:val="1"/>
          <w:numId w:val="161"/>
        </w:numPr>
        <w:ind w:left="2410" w:hanging="425"/>
        <w:jc w:val="both"/>
        <w:rPr>
          <w:noProof/>
          <w:sz w:val="20"/>
          <w:szCs w:val="20"/>
        </w:rPr>
      </w:pPr>
      <w:r>
        <w:rPr>
          <w:rFonts w:ascii="Arial" w:hAnsi="Arial" w:cs="Arial"/>
          <w:noProof/>
          <w:sz w:val="20"/>
          <w:szCs w:val="20"/>
        </w:rPr>
        <w:t>Radioactive Waste Directive</w:t>
      </w:r>
      <w:r>
        <w:rPr>
          <w:rStyle w:val="FootnoteReference"/>
          <w:rFonts w:ascii="Arial" w:hAnsi="Arial" w:cs="Arial"/>
          <w:noProof/>
          <w:sz w:val="20"/>
          <w:szCs w:val="20"/>
        </w:rPr>
        <w:footnoteReference w:id="143"/>
      </w:r>
      <w:r>
        <w:rPr>
          <w:rFonts w:ascii="Arial" w:hAnsi="Arial" w:cs="Arial"/>
          <w:noProof/>
          <w:sz w:val="20"/>
          <w:szCs w:val="20"/>
        </w:rPr>
        <w:t>.</w:t>
      </w:r>
    </w:p>
    <w:p>
      <w:pPr>
        <w:pStyle w:val="ListParagraph"/>
        <w:numPr>
          <w:ilvl w:val="0"/>
          <w:numId w:val="161"/>
        </w:numPr>
        <w:ind w:left="1701"/>
        <w:jc w:val="both"/>
        <w:rPr>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144"/>
      </w:r>
      <w:r>
        <w:rPr>
          <w:rFonts w:ascii="Arial" w:hAnsi="Arial" w:cs="Arial"/>
          <w:noProof/>
          <w:sz w:val="20"/>
          <w:szCs w:val="20"/>
        </w:rPr>
        <w:t>.</w:t>
      </w:r>
    </w:p>
    <w:p>
      <w:pPr>
        <w:pStyle w:val="ListParagraph"/>
        <w:numPr>
          <w:ilvl w:val="0"/>
          <w:numId w:val="161"/>
        </w:numPr>
        <w:ind w:left="1701"/>
        <w:jc w:val="both"/>
        <w:rPr>
          <w:noProof/>
          <w:sz w:val="20"/>
          <w:szCs w:val="20"/>
        </w:rPr>
      </w:pPr>
      <w:r>
        <w:rPr>
          <w:rFonts w:ascii="Arial" w:hAnsi="Arial" w:cs="Arial"/>
          <w:noProof/>
          <w:sz w:val="20"/>
          <w:szCs w:val="20"/>
          <w:lang w:eastAsia="en-GB"/>
        </w:rPr>
        <w:t>Direct award of a number of defence contracts to national suppliers in breach of the Defence Procurement Directive</w:t>
      </w:r>
      <w:r>
        <w:rPr>
          <w:rStyle w:val="FootnoteReference"/>
          <w:rFonts w:ascii="Arial" w:hAnsi="Arial" w:cs="Arial"/>
          <w:noProof/>
          <w:sz w:val="20"/>
          <w:szCs w:val="20"/>
          <w:lang w:eastAsia="en-GB"/>
        </w:rPr>
        <w:footnoteReference w:id="145"/>
      </w:r>
      <w:r>
        <w:rPr>
          <w:rFonts w:ascii="Arial" w:hAnsi="Arial" w:cs="Arial"/>
          <w:noProof/>
          <w:sz w:val="20"/>
          <w:szCs w:val="20"/>
          <w:lang w:eastAsia="en-GB"/>
        </w:rPr>
        <w:t>.</w:t>
      </w:r>
    </w:p>
    <w:p>
      <w:pPr>
        <w:pStyle w:val="ListParagraph"/>
        <w:numPr>
          <w:ilvl w:val="0"/>
          <w:numId w:val="161"/>
        </w:numPr>
        <w:ind w:left="1701"/>
        <w:jc w:val="both"/>
        <w:rPr>
          <w:rFonts w:ascii="Arial" w:hAnsi="Arial" w:cs="Arial"/>
          <w:noProof/>
          <w:sz w:val="20"/>
          <w:szCs w:val="20"/>
        </w:rPr>
      </w:pPr>
      <w:r>
        <w:rPr>
          <w:rFonts w:ascii="Arial" w:hAnsi="Arial" w:cs="Arial"/>
          <w:noProof/>
          <w:sz w:val="20"/>
          <w:szCs w:val="20"/>
        </w:rPr>
        <w:t>N</w:t>
      </w:r>
      <w:r>
        <w:rPr>
          <w:rFonts w:ascii="Arial" w:hAnsi="Arial"/>
          <w:noProof/>
          <w:sz w:val="20"/>
        </w:rPr>
        <w:t>on-respect of the EU's exclusive competence for the conservation of marine biological resources. Portugal undertook direct démarches towards the North East Atlantic Fisheries Commission (NEAFC) and the International Council for the Exploration of the Sea in the context of an ongoing process at NEAFC aiming to prevent significant impacts of bottom fishing activities on vulnerable marine ecosystems</w:t>
      </w:r>
      <w:r>
        <w:rPr>
          <w:rStyle w:val="FootnoteReference"/>
          <w:rFonts w:ascii="Arial" w:hAnsi="Arial"/>
          <w:noProof/>
          <w:sz w:val="20"/>
        </w:rPr>
        <w:footnoteReference w:id="146"/>
      </w:r>
      <w:r>
        <w:rPr>
          <w:rFonts w:ascii="Arial" w:hAnsi="Arial"/>
          <w:noProof/>
          <w:sz w:val="20"/>
        </w:rPr>
        <w:t>.</w:t>
      </w:r>
    </w:p>
    <w:p>
      <w:pPr>
        <w:pStyle w:val="ListParagraph"/>
        <w:numPr>
          <w:ilvl w:val="0"/>
          <w:numId w:val="161"/>
        </w:numPr>
        <w:spacing w:after="120"/>
        <w:ind w:left="1701" w:hanging="357"/>
        <w:jc w:val="both"/>
        <w:rPr>
          <w:rFonts w:ascii="Arial" w:hAnsi="Arial" w:cs="Arial"/>
          <w:noProof/>
          <w:sz w:val="20"/>
          <w:szCs w:val="20"/>
        </w:rPr>
      </w:pPr>
      <w:r>
        <w:rPr>
          <w:rFonts w:ascii="Arial" w:hAnsi="Arial" w:cs="Arial"/>
          <w:noProof/>
          <w:sz w:val="20"/>
          <w:szCs w:val="20"/>
        </w:rPr>
        <w:t>Non-communication of national measures transposing the</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Directive on working conditions of seafarers</w:t>
      </w:r>
      <w:r>
        <w:rPr>
          <w:rStyle w:val="FootnoteReference"/>
          <w:rFonts w:ascii="Arial" w:hAnsi="Arial" w:cs="Arial"/>
          <w:noProof/>
          <w:sz w:val="20"/>
          <w:szCs w:val="20"/>
        </w:rPr>
        <w:footnoteReference w:id="147"/>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Payment Services Directive</w:t>
      </w:r>
      <w:r>
        <w:rPr>
          <w:rStyle w:val="FootnoteReference"/>
          <w:rFonts w:ascii="Arial" w:hAnsi="Arial" w:cs="Arial"/>
          <w:noProof/>
          <w:sz w:val="20"/>
          <w:szCs w:val="20"/>
        </w:rPr>
        <w:footnoteReference w:id="148"/>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Insurance Distribution Directive</w:t>
      </w:r>
      <w:r>
        <w:rPr>
          <w:rStyle w:val="FootnoteReference"/>
          <w:rFonts w:ascii="Arial" w:hAnsi="Arial" w:cs="Arial"/>
          <w:noProof/>
          <w:sz w:val="20"/>
          <w:szCs w:val="20"/>
        </w:rPr>
        <w:footnoteReference w:id="149"/>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rPr>
        <w:footnoteReference w:id="150"/>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Basic Safety Standards Directive</w:t>
      </w:r>
      <w:r>
        <w:rPr>
          <w:rStyle w:val="FootnoteReference"/>
          <w:rFonts w:ascii="Arial" w:hAnsi="Arial" w:cs="Arial"/>
          <w:noProof/>
          <w:sz w:val="20"/>
          <w:szCs w:val="20"/>
        </w:rPr>
        <w:footnoteReference w:id="151"/>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152"/>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Directive on the reduction of national emissions of certain atmospheric pollutants</w:t>
      </w:r>
      <w:r>
        <w:rPr>
          <w:rStyle w:val="FootnoteReference"/>
          <w:rFonts w:ascii="Arial" w:hAnsi="Arial" w:cs="Arial"/>
          <w:noProof/>
          <w:sz w:val="20"/>
          <w:szCs w:val="20"/>
        </w:rPr>
        <w:footnoteReference w:id="153"/>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154"/>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155"/>
      </w:r>
      <w:r>
        <w:rPr>
          <w:rFonts w:ascii="Arial" w:hAnsi="Arial" w:cs="Arial"/>
          <w:noProof/>
          <w:sz w:val="20"/>
          <w:szCs w:val="20"/>
        </w:rPr>
        <w:t>;</w:t>
      </w:r>
    </w:p>
    <w:p>
      <w:pPr>
        <w:numPr>
          <w:ilvl w:val="2"/>
          <w:numId w:val="161"/>
        </w:numPr>
        <w:spacing w:after="0"/>
        <w:ind w:left="2410" w:hanging="425"/>
        <w:jc w:val="both"/>
        <w:rPr>
          <w:rFonts w:ascii="Arial" w:hAnsi="Arial" w:cs="Arial"/>
          <w:noProof/>
          <w:sz w:val="20"/>
          <w:szCs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156"/>
      </w:r>
      <w:r>
        <w:rPr>
          <w:rFonts w:ascii="Arial" w:hAnsi="Arial" w:cs="Arial"/>
          <w:noProof/>
          <w:sz w:val="20"/>
          <w:szCs w:val="20"/>
        </w:rPr>
        <w:t>.</w:t>
      </w:r>
    </w:p>
    <w:p>
      <w:pPr>
        <w:numPr>
          <w:ilvl w:val="0"/>
          <w:numId w:val="144"/>
        </w:numPr>
        <w:spacing w:after="120"/>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numPr>
          <w:ilvl w:val="0"/>
          <w:numId w:val="18"/>
        </w:numPr>
        <w:ind w:left="1701" w:hanging="425"/>
        <w:jc w:val="both"/>
        <w:rPr>
          <w:rFonts w:ascii="Arial" w:hAnsi="Arial" w:cs="Arial"/>
          <w:noProof/>
          <w:sz w:val="20"/>
          <w:szCs w:val="20"/>
        </w:rPr>
      </w:pPr>
      <w:r>
        <w:rPr>
          <w:rFonts w:ascii="Arial" w:hAnsi="Arial" w:cs="Arial"/>
          <w:noProof/>
          <w:sz w:val="20"/>
          <w:szCs w:val="20"/>
        </w:rPr>
        <w:t>failure to establish Special Areas of Conservation for the protection of natural habitats and species, and to establish the necessary conservation measures for these sites, as required by the Habitats Directive</w:t>
      </w:r>
      <w:r>
        <w:rPr>
          <w:rStyle w:val="FootnoteReference"/>
          <w:rFonts w:ascii="Arial" w:hAnsi="Arial" w:cs="Arial"/>
          <w:noProof/>
          <w:sz w:val="20"/>
          <w:szCs w:val="20"/>
        </w:rPr>
        <w:footnoteReference w:id="157"/>
      </w:r>
      <w:r>
        <w:rPr>
          <w:rFonts w:ascii="Arial" w:hAnsi="Arial" w:cs="Arial"/>
          <w:noProof/>
          <w:sz w:val="20"/>
          <w:szCs w:val="20"/>
        </w:rPr>
        <w:t>.</w:t>
      </w:r>
    </w:p>
    <w:p>
      <w:pPr>
        <w:numPr>
          <w:ilvl w:val="0"/>
          <w:numId w:val="144"/>
        </w:numPr>
        <w:ind w:left="1276" w:hanging="425"/>
        <w:jc w:val="both"/>
        <w:rPr>
          <w:rFonts w:ascii="Arial" w:hAnsi="Arial" w:cs="Arial"/>
          <w:noProof/>
          <w:sz w:val="20"/>
          <w:szCs w:val="20"/>
        </w:rPr>
      </w:pPr>
      <w:r>
        <w:rPr>
          <w:rFonts w:ascii="Arial" w:hAnsi="Arial" w:cs="Arial"/>
          <w:noProof/>
          <w:sz w:val="20"/>
          <w:szCs w:val="20"/>
        </w:rPr>
        <w:t xml:space="preserve">The Commission did not refer any cases to the Court under Article 260(2) TFEU. </w:t>
      </w:r>
    </w:p>
    <w:p>
      <w:pPr>
        <w:pStyle w:val="AnnualReport1"/>
        <w:numPr>
          <w:ilvl w:val="0"/>
          <w:numId w:val="180"/>
        </w:numPr>
        <w:ind w:left="709" w:hanging="425"/>
        <w:rPr>
          <w:noProof/>
        </w:rPr>
      </w:pPr>
      <w:r>
        <w:rPr>
          <w:noProof/>
        </w:rPr>
        <w:t>TRANSPOSITION OF DIRECTIVES</w:t>
      </w:r>
    </w:p>
    <w:p>
      <w:pPr>
        <w:numPr>
          <w:ilvl w:val="0"/>
          <w:numId w:val="114"/>
        </w:numPr>
        <w:spacing w:before="240"/>
        <w:ind w:left="709" w:hanging="425"/>
        <w:outlineLvl w:val="1"/>
        <w:rPr>
          <w:rFonts w:ascii="Arial" w:hAnsi="Arial"/>
          <w:noProof/>
          <w:color w:val="002060"/>
        </w:rPr>
      </w:pPr>
      <w:r>
        <w:rPr>
          <w:rFonts w:ascii="Arial" w:hAnsi="Arial"/>
          <w:noProof/>
          <w:color w:val="002060"/>
        </w:rPr>
        <w:t>Late transposition infringement cases against Portugal open on 31 December (2014-2018)</w:t>
      </w:r>
    </w:p>
    <w:p>
      <w:pPr>
        <w:spacing w:before="360"/>
        <w:ind w:left="425" w:firstLine="284"/>
        <w:rPr>
          <w:noProof/>
        </w:rPr>
      </w:pPr>
      <w:r>
        <w:rPr>
          <w:noProof/>
          <w:lang w:eastAsia="en-GB"/>
        </w:rPr>
        <w:drawing>
          <wp:inline distT="0" distB="0" distL="0" distR="0">
            <wp:extent cx="4594860" cy="2123440"/>
            <wp:effectExtent l="0" t="0" r="15240" b="10160"/>
            <wp:docPr id="24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numPr>
          <w:ilvl w:val="0"/>
          <w:numId w:val="114"/>
        </w:numPr>
        <w:spacing w:before="240"/>
        <w:ind w:left="709" w:hanging="425"/>
        <w:outlineLvl w:val="1"/>
        <w:rPr>
          <w:rFonts w:ascii="Arial" w:hAnsi="Arial"/>
          <w:noProof/>
          <w:color w:val="002060"/>
        </w:rPr>
      </w:pPr>
      <w:r>
        <w:rPr>
          <w:rFonts w:ascii="Arial" w:hAnsi="Arial"/>
          <w:noProof/>
          <w:color w:val="002060"/>
        </w:rPr>
        <w:t>New late transposition infringement cases against Portugal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94860" cy="2139950"/>
            <wp:effectExtent l="0" t="0" r="15240" b="12700"/>
            <wp:docPr id="2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numPr>
          <w:ilvl w:val="0"/>
          <w:numId w:val="114"/>
        </w:numPr>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0255" cy="2305050"/>
            <wp:effectExtent l="0" t="0" r="10795" b="0"/>
            <wp:docPr id="243" name="Object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numPr>
          <w:ilvl w:val="0"/>
          <w:numId w:val="114"/>
        </w:numPr>
        <w:spacing w:before="240" w:after="12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80"/>
        </w:numPr>
        <w:ind w:left="709" w:hanging="425"/>
        <w:rPr>
          <w:noProof/>
        </w:rPr>
      </w:pPr>
      <w:r>
        <w:rPr>
          <w:noProof/>
        </w:rPr>
        <w:t>EARLY RESOLUTION OF INFRINGEMENT CASES</w:t>
      </w:r>
    </w:p>
    <w:p>
      <w:pPr>
        <w:spacing w:after="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szCs w:val="20"/>
        </w:rPr>
      </w:pPr>
      <w:r>
        <w:rPr>
          <w:rFonts w:ascii="Arial" w:hAnsi="Arial" w:cs="Arial"/>
          <w:noProof/>
          <w:sz w:val="20"/>
          <w:szCs w:val="20"/>
        </w:rPr>
        <w:t>These concerned:</w:t>
      </w:r>
    </w:p>
    <w:p>
      <w:pPr>
        <w:pStyle w:val="ListParagraph"/>
        <w:numPr>
          <w:ilvl w:val="0"/>
          <w:numId w:val="18"/>
        </w:numPr>
        <w:spacing w:after="120"/>
        <w:jc w:val="both"/>
        <w:rPr>
          <w:rFonts w:ascii="Arial" w:hAnsi="Arial" w:cs="Arial"/>
          <w:noProof/>
          <w:sz w:val="20"/>
          <w:szCs w:val="20"/>
        </w:rPr>
      </w:pPr>
      <w:r>
        <w:rPr>
          <w:rFonts w:ascii="Arial" w:hAnsi="Arial" w:cs="Arial"/>
          <w:noProof/>
          <w:sz w:val="20"/>
          <w:szCs w:val="20"/>
        </w:rPr>
        <w:t>operation of the Port State Control system</w:t>
      </w:r>
      <w:r>
        <w:rPr>
          <w:rStyle w:val="FootnoteReference"/>
          <w:rFonts w:ascii="Arial" w:hAnsi="Arial" w:cs="Arial"/>
          <w:noProof/>
          <w:sz w:val="20"/>
          <w:szCs w:val="20"/>
        </w:rPr>
        <w:footnoteReference w:id="158"/>
      </w:r>
      <w:r>
        <w:rPr>
          <w:rFonts w:ascii="Arial" w:hAnsi="Arial" w:cs="Arial"/>
          <w:noProof/>
          <w:sz w:val="20"/>
          <w:szCs w:val="20"/>
        </w:rPr>
        <w:t>;</w:t>
      </w:r>
    </w:p>
    <w:p>
      <w:pPr>
        <w:pStyle w:val="ListParagraph"/>
        <w:numPr>
          <w:ilvl w:val="0"/>
          <w:numId w:val="18"/>
        </w:numPr>
        <w:spacing w:after="120"/>
        <w:jc w:val="both"/>
        <w:rPr>
          <w:rFonts w:ascii="Arial" w:hAnsi="Arial" w:cs="Arial"/>
          <w:noProof/>
          <w:sz w:val="20"/>
          <w:szCs w:val="20"/>
        </w:rPr>
      </w:pPr>
      <w:r>
        <w:rPr>
          <w:rFonts w:ascii="Arial" w:hAnsi="Arial" w:cs="Arial"/>
          <w:noProof/>
          <w:sz w:val="20"/>
          <w:szCs w:val="20"/>
        </w:rPr>
        <w:t>restricted access to the groundhandling market at Porto, Lisbon and Faro airports</w:t>
      </w:r>
      <w:r>
        <w:rPr>
          <w:rStyle w:val="FootnoteReference"/>
          <w:rFonts w:ascii="Arial" w:hAnsi="Arial" w:cs="Arial"/>
          <w:noProof/>
          <w:sz w:val="20"/>
          <w:szCs w:val="20"/>
        </w:rPr>
        <w:footnoteReference w:id="159"/>
      </w:r>
      <w:r>
        <w:rPr>
          <w:rFonts w:ascii="Arial" w:hAnsi="Arial" w:cs="Arial"/>
          <w:noProof/>
          <w:sz w:val="20"/>
          <w:szCs w:val="20"/>
        </w:rPr>
        <w:t>;</w:t>
      </w:r>
    </w:p>
    <w:p>
      <w:pPr>
        <w:pStyle w:val="ListParagraph"/>
        <w:numPr>
          <w:ilvl w:val="0"/>
          <w:numId w:val="18"/>
        </w:numPr>
        <w:spacing w:after="120"/>
        <w:jc w:val="both"/>
        <w:rPr>
          <w:rFonts w:ascii="Arial" w:hAnsi="Arial" w:cs="Arial"/>
          <w:noProof/>
        </w:rPr>
      </w:pPr>
      <w:r>
        <w:rPr>
          <w:rFonts w:ascii="Arial" w:hAnsi="Arial" w:cs="Arial"/>
          <w:noProof/>
          <w:sz w:val="20"/>
          <w:szCs w:val="20"/>
        </w:rPr>
        <w:t>lack of a quality management system for the maritime administration’s Flag States-related activities</w:t>
      </w:r>
      <w:r>
        <w:rPr>
          <w:rStyle w:val="FootnoteReference"/>
          <w:rFonts w:ascii="Arial" w:hAnsi="Arial" w:cs="Arial"/>
          <w:noProof/>
          <w:sz w:val="20"/>
          <w:szCs w:val="20"/>
        </w:rPr>
        <w:footnoteReference w:id="160"/>
      </w:r>
      <w:r>
        <w:rPr>
          <w:rFonts w:ascii="Arial" w:hAnsi="Arial" w:cs="Arial"/>
          <w:noProof/>
          <w:sz w:val="20"/>
          <w:szCs w:val="20"/>
        </w:rPr>
        <w:t>;</w:t>
      </w:r>
    </w:p>
    <w:p>
      <w:pPr>
        <w:pStyle w:val="ListParagraph"/>
        <w:numPr>
          <w:ilvl w:val="0"/>
          <w:numId w:val="18"/>
        </w:numPr>
        <w:spacing w:after="120"/>
        <w:jc w:val="both"/>
        <w:rPr>
          <w:rFonts w:ascii="Arial" w:hAnsi="Arial" w:cs="Arial"/>
          <w:noProof/>
          <w:sz w:val="20"/>
          <w:szCs w:val="20"/>
        </w:rPr>
      </w:pPr>
      <w:r>
        <w:rPr>
          <w:rFonts w:ascii="Arial" w:hAnsi="Arial" w:cs="Arial"/>
          <w:noProof/>
          <w:sz w:val="20"/>
          <w:szCs w:val="20"/>
        </w:rPr>
        <w:t>incorrect transposition of the Third Energy Package Directives</w:t>
      </w:r>
      <w:r>
        <w:rPr>
          <w:rStyle w:val="FootnoteReference"/>
          <w:rFonts w:ascii="Arial" w:hAnsi="Arial" w:cs="Arial"/>
          <w:noProof/>
          <w:sz w:val="20"/>
          <w:szCs w:val="20"/>
        </w:rPr>
        <w:footnoteReference w:id="161"/>
      </w:r>
      <w:r>
        <w:rPr>
          <w:rFonts w:ascii="Arial" w:hAnsi="Arial" w:cs="Arial"/>
          <w:noProof/>
          <w:sz w:val="20"/>
          <w:szCs w:val="20"/>
        </w:rPr>
        <w:t>;</w:t>
      </w:r>
    </w:p>
    <w:p>
      <w:pPr>
        <w:pStyle w:val="ListParagraph"/>
        <w:numPr>
          <w:ilvl w:val="0"/>
          <w:numId w:val="18"/>
        </w:numPr>
        <w:spacing w:before="120" w:after="0" w:line="240" w:lineRule="auto"/>
        <w:ind w:hanging="357"/>
        <w:contextualSpacing w:val="0"/>
        <w:jc w:val="both"/>
        <w:rPr>
          <w:rFonts w:ascii="Arial" w:hAnsi="Arial" w:cs="Arial"/>
          <w:noProof/>
          <w:sz w:val="20"/>
          <w:szCs w:val="20"/>
        </w:rPr>
      </w:pPr>
      <w:r>
        <w:rPr>
          <w:rFonts w:ascii="Arial" w:hAnsi="Arial" w:cs="Arial"/>
          <w:noProof/>
          <w:sz w:val="20"/>
          <w:szCs w:val="20"/>
        </w:rPr>
        <w:t>obligation to notify the export of medicines;</w:t>
      </w:r>
    </w:p>
    <w:p>
      <w:pPr>
        <w:pStyle w:val="ListParagraph"/>
        <w:numPr>
          <w:ilvl w:val="0"/>
          <w:numId w:val="18"/>
        </w:numPr>
        <w:spacing w:after="120"/>
        <w:rPr>
          <w:rFonts w:ascii="Arial" w:hAnsi="Arial" w:cs="Arial"/>
          <w:noProof/>
          <w:sz w:val="20"/>
          <w:szCs w:val="20"/>
        </w:rPr>
      </w:pPr>
      <w:r>
        <w:rPr>
          <w:rFonts w:ascii="Arial" w:hAnsi="Arial" w:cs="Arial"/>
          <w:noProof/>
          <w:sz w:val="20"/>
          <w:szCs w:val="20"/>
        </w:rPr>
        <w:t>failure to communicate national measures transposing the:</w:t>
      </w:r>
      <w:r>
        <w:rPr>
          <w:rFonts w:ascii="Arial" w:eastAsia="Times New Roman" w:hAnsi="Arial" w:cs="Arial"/>
          <w:noProof/>
          <w:sz w:val="20"/>
          <w:szCs w:val="20"/>
          <w:lang w:eastAsia="en-GB"/>
        </w:rPr>
        <w:t xml:space="preserve"> </w:t>
      </w:r>
    </w:p>
    <w:p>
      <w:pPr>
        <w:pStyle w:val="ListParagraph"/>
        <w:numPr>
          <w:ilvl w:val="1"/>
          <w:numId w:val="18"/>
        </w:numPr>
        <w:spacing w:after="120"/>
        <w:jc w:val="both"/>
        <w:rPr>
          <w:rFonts w:ascii="Arial" w:hAnsi="Arial" w:cs="Arial"/>
          <w:noProof/>
          <w:sz w:val="20"/>
          <w:szCs w:val="20"/>
        </w:rPr>
      </w:pPr>
      <w:r>
        <w:rPr>
          <w:rFonts w:ascii="Arial" w:eastAsia="Times New Roman" w:hAnsi="Arial" w:cs="Arial"/>
          <w:noProof/>
          <w:sz w:val="20"/>
          <w:szCs w:val="20"/>
          <w:lang w:eastAsia="en-GB"/>
        </w:rPr>
        <w:t>Solvency II Directive</w:t>
      </w:r>
      <w:r>
        <w:rPr>
          <w:rStyle w:val="FootnoteReference"/>
          <w:rFonts w:ascii="Arial" w:eastAsia="Times New Roman" w:hAnsi="Arial" w:cs="Arial"/>
          <w:noProof/>
          <w:sz w:val="20"/>
          <w:szCs w:val="20"/>
          <w:lang w:eastAsia="en-GB"/>
        </w:rPr>
        <w:footnoteReference w:id="162"/>
      </w:r>
      <w:r>
        <w:rPr>
          <w:rFonts w:ascii="Arial" w:eastAsia="Times New Roman" w:hAnsi="Arial" w:cs="Arial"/>
          <w:noProof/>
          <w:sz w:val="20"/>
          <w:szCs w:val="20"/>
          <w:lang w:eastAsia="en-GB"/>
        </w:rPr>
        <w:t>;</w:t>
      </w:r>
    </w:p>
    <w:p>
      <w:pPr>
        <w:pStyle w:val="ListParagraph"/>
        <w:numPr>
          <w:ilvl w:val="1"/>
          <w:numId w:val="18"/>
        </w:numPr>
        <w:spacing w:after="120"/>
        <w:jc w:val="both"/>
        <w:rPr>
          <w:rFonts w:ascii="Arial" w:hAnsi="Arial" w:cs="Arial"/>
          <w:noProof/>
          <w:sz w:val="20"/>
          <w:szCs w:val="20"/>
        </w:rPr>
      </w:pPr>
      <w:r>
        <w:rPr>
          <w:rFonts w:ascii="Arial" w:hAnsi="Arial" w:cs="Arial"/>
          <w:bCs/>
          <w:noProof/>
          <w:sz w:val="20"/>
        </w:rPr>
        <w:t>Directive on intra-corporate transfer</w:t>
      </w:r>
      <w:r>
        <w:rPr>
          <w:rFonts w:ascii="Arial" w:hAnsi="Arial" w:cs="Arial"/>
          <w:bCs/>
          <w:noProof/>
          <w:sz w:val="20"/>
          <w:vertAlign w:val="superscript"/>
        </w:rPr>
        <w:footnoteReference w:id="163"/>
      </w:r>
      <w:r>
        <w:rPr>
          <w:rFonts w:ascii="Arial" w:hAnsi="Arial" w:cs="Arial"/>
          <w:bCs/>
          <w:noProof/>
          <w:sz w:val="20"/>
        </w:rPr>
        <w:t>;</w:t>
      </w:r>
    </w:p>
    <w:p>
      <w:pPr>
        <w:pStyle w:val="ListParagraph"/>
        <w:numPr>
          <w:ilvl w:val="1"/>
          <w:numId w:val="18"/>
        </w:numPr>
        <w:spacing w:after="120"/>
        <w:jc w:val="both"/>
        <w:rPr>
          <w:rFonts w:ascii="Arial" w:hAnsi="Arial" w:cs="Arial"/>
          <w:noProof/>
          <w:sz w:val="20"/>
          <w:szCs w:val="20"/>
        </w:rPr>
      </w:pPr>
      <w:r>
        <w:rPr>
          <w:rFonts w:ascii="Arial" w:eastAsia="Times New Roman" w:hAnsi="Arial" w:cs="Arial"/>
          <w:noProof/>
          <w:sz w:val="20"/>
          <w:szCs w:val="20"/>
          <w:lang w:eastAsia="en-GB"/>
        </w:rPr>
        <w:t>Directive concerning undertakings for collective investment in transferable securities</w:t>
      </w:r>
      <w:r>
        <w:rPr>
          <w:rStyle w:val="FootnoteReference"/>
          <w:rFonts w:ascii="Arial" w:eastAsia="Times New Roman" w:hAnsi="Arial" w:cs="Arial"/>
          <w:noProof/>
          <w:sz w:val="20"/>
          <w:szCs w:val="20"/>
          <w:lang w:eastAsia="en-GB"/>
        </w:rPr>
        <w:footnoteReference w:id="164"/>
      </w:r>
      <w:r>
        <w:rPr>
          <w:rFonts w:ascii="Arial" w:eastAsia="Times New Roman" w:hAnsi="Arial" w:cs="Arial"/>
          <w:noProof/>
          <w:sz w:val="20"/>
          <w:szCs w:val="20"/>
          <w:lang w:eastAsia="en-GB"/>
        </w:rPr>
        <w:t>;</w:t>
      </w:r>
    </w:p>
    <w:p>
      <w:pPr>
        <w:pStyle w:val="ListParagraph"/>
        <w:numPr>
          <w:ilvl w:val="1"/>
          <w:numId w:val="18"/>
        </w:numPr>
        <w:spacing w:after="120"/>
        <w:jc w:val="both"/>
        <w:rPr>
          <w:rFonts w:ascii="Arial" w:hAnsi="Arial" w:cs="Arial"/>
          <w:noProof/>
          <w:sz w:val="20"/>
          <w:szCs w:val="20"/>
        </w:rPr>
      </w:pPr>
      <w:r>
        <w:rPr>
          <w:rFonts w:ascii="Arial" w:hAnsi="Arial" w:cs="Arial"/>
          <w:noProof/>
          <w:sz w:val="20"/>
          <w:szCs w:val="20"/>
        </w:rPr>
        <w:t>Directive on reducing the consumption of lightweight plastic carrier bags</w:t>
      </w:r>
      <w:r>
        <w:rPr>
          <w:rStyle w:val="FootnoteReference"/>
          <w:rFonts w:ascii="Arial" w:hAnsi="Arial" w:cs="Arial"/>
          <w:noProof/>
          <w:sz w:val="20"/>
          <w:szCs w:val="20"/>
        </w:rPr>
        <w:footnoteReference w:id="165"/>
      </w:r>
      <w:r>
        <w:rPr>
          <w:rFonts w:ascii="Arial" w:hAnsi="Arial" w:cs="Arial"/>
          <w:noProof/>
          <w:sz w:val="20"/>
          <w:szCs w:val="20"/>
        </w:rPr>
        <w:t>;</w:t>
      </w:r>
    </w:p>
    <w:p>
      <w:pPr>
        <w:pStyle w:val="ListParagraph"/>
        <w:numPr>
          <w:ilvl w:val="1"/>
          <w:numId w:val="18"/>
        </w:numPr>
        <w:spacing w:after="120"/>
        <w:jc w:val="both"/>
        <w:rPr>
          <w:rFonts w:ascii="Arial" w:hAnsi="Arial" w:cs="Arial"/>
          <w:noProof/>
          <w:sz w:val="20"/>
          <w:szCs w:val="20"/>
        </w:rPr>
      </w:pPr>
      <w:r>
        <w:rPr>
          <w:rFonts w:ascii="Arial" w:hAnsi="Arial" w:cs="Arial"/>
          <w:noProof/>
          <w:sz w:val="20"/>
          <w:szCs w:val="20"/>
        </w:rPr>
        <w:t>revised Environmental Impact Assessment Directive</w:t>
      </w:r>
      <w:r>
        <w:rPr>
          <w:rStyle w:val="FootnoteReference"/>
          <w:rFonts w:ascii="Arial" w:hAnsi="Arial" w:cs="Arial"/>
          <w:noProof/>
          <w:sz w:val="20"/>
          <w:szCs w:val="20"/>
        </w:rPr>
        <w:footnoteReference w:id="166"/>
      </w:r>
      <w:r>
        <w:rPr>
          <w:rFonts w:ascii="Arial" w:hAnsi="Arial" w:cs="Arial"/>
          <w:noProof/>
          <w:sz w:val="20"/>
          <w:szCs w:val="20"/>
        </w:rPr>
        <w:t>;</w:t>
      </w:r>
    </w:p>
    <w:p>
      <w:pPr>
        <w:pStyle w:val="ListParagraph"/>
        <w:numPr>
          <w:ilvl w:val="1"/>
          <w:numId w:val="18"/>
        </w:numPr>
        <w:spacing w:after="120"/>
        <w:jc w:val="both"/>
        <w:rPr>
          <w:rFonts w:ascii="Arial" w:hAnsi="Arial" w:cs="Arial"/>
          <w:noProof/>
          <w:sz w:val="20"/>
          <w:szCs w:val="20"/>
        </w:rPr>
      </w:pPr>
      <w:r>
        <w:rPr>
          <w:rFonts w:ascii="Arial" w:hAnsi="Arial" w:cs="Arial"/>
          <w:noProof/>
          <w:sz w:val="20"/>
          <w:szCs w:val="20"/>
        </w:rPr>
        <w:t>Commission Directive</w:t>
      </w:r>
      <w:r>
        <w:rPr>
          <w:rStyle w:val="FootnoteReference"/>
          <w:rFonts w:ascii="Arial" w:hAnsi="Arial" w:cs="Arial"/>
          <w:noProof/>
          <w:sz w:val="20"/>
          <w:szCs w:val="20"/>
        </w:rPr>
        <w:footnoteReference w:id="167"/>
      </w:r>
      <w:r>
        <w:rPr>
          <w:rFonts w:ascii="Arial" w:hAnsi="Arial" w:cs="Arial"/>
          <w:noProof/>
          <w:sz w:val="20"/>
          <w:szCs w:val="20"/>
        </w:rPr>
        <w:t xml:space="preserve"> amending the Drinking Water Directive</w:t>
      </w:r>
      <w:r>
        <w:rPr>
          <w:rStyle w:val="FootnoteReference"/>
          <w:rFonts w:ascii="Arial" w:hAnsi="Arial" w:cs="Arial"/>
          <w:noProof/>
          <w:sz w:val="20"/>
          <w:szCs w:val="20"/>
        </w:rPr>
        <w:footnoteReference w:id="168"/>
      </w:r>
      <w:r>
        <w:rPr>
          <w:rFonts w:ascii="Arial" w:hAnsi="Arial" w:cs="Arial"/>
          <w:noProof/>
          <w:sz w:val="20"/>
          <w:szCs w:val="20"/>
        </w:rPr>
        <w:t>.</w:t>
      </w:r>
    </w:p>
    <w:p>
      <w:pPr>
        <w:pStyle w:val="AnnualReport1"/>
        <w:numPr>
          <w:ilvl w:val="0"/>
          <w:numId w:val="180"/>
        </w:numPr>
        <w:ind w:left="709" w:hanging="425"/>
        <w:rPr>
          <w:noProof/>
        </w:rPr>
      </w:pPr>
      <w:r>
        <w:rPr>
          <w:noProof/>
        </w:rPr>
        <w:t>IMPORTANT JUDGMENTS</w:t>
      </w:r>
    </w:p>
    <w:p>
      <w:pPr>
        <w:numPr>
          <w:ilvl w:val="0"/>
          <w:numId w:val="115"/>
        </w:numPr>
        <w:spacing w:before="240"/>
        <w:ind w:left="709"/>
        <w:outlineLvl w:val="1"/>
        <w:rPr>
          <w:rFonts w:ascii="Arial" w:hAnsi="Arial"/>
          <w:noProof/>
          <w:color w:val="002060"/>
        </w:rPr>
      </w:pPr>
      <w:r>
        <w:rPr>
          <w:rFonts w:ascii="Arial" w:hAnsi="Arial"/>
          <w:noProof/>
          <w:color w:val="002060"/>
        </w:rPr>
        <w:t>Court rulings</w:t>
      </w:r>
    </w:p>
    <w:p>
      <w:pPr>
        <w:spacing w:after="120"/>
        <w:ind w:firstLine="709"/>
        <w:jc w:val="both"/>
        <w:rPr>
          <w:rFonts w:ascii="Arial" w:hAnsi="Arial" w:cs="Arial"/>
          <w:noProof/>
          <w:sz w:val="20"/>
        </w:rPr>
      </w:pPr>
      <w:r>
        <w:rPr>
          <w:rFonts w:ascii="Arial" w:hAnsi="Arial" w:cs="Arial"/>
          <w:noProof/>
          <w:sz w:val="20"/>
        </w:rPr>
        <w:t>There were no major Court rulings in 2018.</w:t>
      </w:r>
    </w:p>
    <w:p>
      <w:pPr>
        <w:numPr>
          <w:ilvl w:val="0"/>
          <w:numId w:val="115"/>
        </w:numPr>
        <w:spacing w:before="240"/>
        <w:ind w:left="709" w:hanging="425"/>
        <w:outlineLvl w:val="1"/>
        <w:rPr>
          <w:rFonts w:ascii="Arial" w:hAnsi="Arial"/>
          <w:noProof/>
          <w:color w:val="002060"/>
        </w:rPr>
      </w:pPr>
      <w:r>
        <w:rPr>
          <w:rFonts w:ascii="Arial" w:hAnsi="Arial"/>
          <w:noProof/>
          <w:color w:val="002060"/>
        </w:rPr>
        <w:t>Preliminary rulings</w:t>
      </w:r>
    </w:p>
    <w:p>
      <w:pPr>
        <w:ind w:left="1070" w:hanging="360"/>
        <w:rPr>
          <w:rFonts w:ascii="Arial" w:hAnsi="Arial" w:cs="Arial"/>
          <w:noProof/>
          <w:sz w:val="20"/>
        </w:rPr>
        <w:sectPr>
          <w:headerReference w:type="even" r:id="rId121"/>
          <w:headerReference w:type="default" r:id="rId122"/>
          <w:footerReference w:type="even" r:id="rId123"/>
          <w:footerReference w:type="default" r:id="rId124"/>
          <w:headerReference w:type="first" r:id="rId125"/>
          <w:footerReference w:type="first" r:id="rId126"/>
          <w:footnotePr>
            <w:numRestart w:val="eachSect"/>
          </w:footnotePr>
          <w:pgSz w:w="11906" w:h="16838"/>
          <w:pgMar w:top="1809" w:right="1417" w:bottom="1134" w:left="1417" w:header="567" w:footer="351" w:gutter="0"/>
          <w:cols w:space="708"/>
          <w:titlePg/>
          <w:docGrid w:linePitch="360"/>
        </w:sectPr>
      </w:pPr>
      <w:r>
        <w:rPr>
          <w:rFonts w:ascii="Arial" w:hAnsi="Arial" w:cs="Arial"/>
          <w:noProof/>
          <w:sz w:val="20"/>
          <w:szCs w:val="20"/>
        </w:rPr>
        <w:t>No major preliminary rulings were addressed to the Portuguese judiciary in 2018.</w:t>
      </w:r>
    </w:p>
    <w:p>
      <w:pPr>
        <w:keepNext/>
        <w:keepLines/>
        <w:jc w:val="center"/>
        <w:outlineLvl w:val="0"/>
        <w:rPr>
          <w:rFonts w:ascii="Arial" w:eastAsia="SimSun" w:hAnsi="Arial"/>
          <w:bCs/>
          <w:noProof/>
          <w:color w:val="A6A6A6"/>
          <w:szCs w:val="28"/>
        </w:rPr>
      </w:pPr>
      <w:bookmarkStart w:id="43" w:name="_Toc475974660"/>
      <w:bookmarkStart w:id="44" w:name="_Toc475980156"/>
      <w:bookmarkStart w:id="45" w:name="_Toc475981405"/>
      <w:bookmarkStart w:id="46" w:name="_Toc484622339"/>
      <w:bookmarkStart w:id="47" w:name="_Toc5728035"/>
      <w:r>
        <w:rPr>
          <w:rFonts w:ascii="Arial" w:eastAsia="SimSun" w:hAnsi="Arial"/>
          <w:bCs/>
          <w:noProof/>
          <w:color w:val="A6A6A6"/>
          <w:szCs w:val="28"/>
        </w:rPr>
        <w:t>Romania</w:t>
      </w:r>
      <w:bookmarkEnd w:id="43"/>
      <w:bookmarkEnd w:id="44"/>
      <w:bookmarkEnd w:id="45"/>
      <w:bookmarkEnd w:id="46"/>
      <w:bookmarkEnd w:id="47"/>
    </w:p>
    <w:p>
      <w:pPr>
        <w:pStyle w:val="AnnualReport1"/>
        <w:numPr>
          <w:ilvl w:val="0"/>
          <w:numId w:val="181"/>
        </w:numPr>
        <w:ind w:left="709"/>
        <w:rPr>
          <w:noProof/>
        </w:rPr>
      </w:pPr>
      <w:r>
        <w:rPr>
          <w:noProof/>
        </w:rPr>
        <w:t>COMPLAINTS</w:t>
      </w:r>
    </w:p>
    <w:p>
      <w:pPr>
        <w:numPr>
          <w:ilvl w:val="0"/>
          <w:numId w:val="116"/>
        </w:numPr>
        <w:spacing w:before="240"/>
        <w:ind w:left="709" w:hanging="425"/>
        <w:outlineLvl w:val="1"/>
        <w:rPr>
          <w:rFonts w:ascii="Arial" w:hAnsi="Arial"/>
          <w:noProof/>
          <w:color w:val="002060"/>
        </w:rPr>
      </w:pPr>
      <w:r>
        <w:rPr>
          <w:rFonts w:ascii="Arial" w:hAnsi="Arial"/>
          <w:noProof/>
          <w:color w:val="002060"/>
        </w:rPr>
        <w:t>New complaints made against Romania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234565"/>
            <wp:effectExtent l="0" t="0" r="0" b="0"/>
            <wp:docPr id="24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numPr>
          <w:ilvl w:val="0"/>
          <w:numId w:val="116"/>
        </w:numPr>
        <w:spacing w:before="240"/>
        <w:ind w:left="709" w:hanging="425"/>
        <w:outlineLvl w:val="1"/>
        <w:rPr>
          <w:rFonts w:ascii="Arial" w:hAnsi="Arial"/>
          <w:noProof/>
          <w:color w:val="002060"/>
        </w:rPr>
      </w:pPr>
      <w:r>
        <w:rPr>
          <w:rFonts w:ascii="Arial" w:hAnsi="Arial"/>
          <w:noProof/>
          <w:color w:val="002060"/>
        </w:rPr>
        <w:t>Public complaints against Romania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114</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198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172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140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116"/>
        </w:numPr>
        <w:spacing w:before="240"/>
        <w:ind w:left="782" w:hanging="357"/>
        <w:outlineLvl w:val="1"/>
        <w:rPr>
          <w:rFonts w:ascii="Arial" w:hAnsi="Arial"/>
          <w:noProof/>
          <w:color w:val="002060"/>
        </w:rPr>
      </w:pPr>
      <w:r>
        <w:rPr>
          <w:rFonts w:ascii="Arial" w:hAnsi="Arial"/>
          <w:noProof/>
          <w:color w:val="002060"/>
        </w:rPr>
        <w:t>New complaints registered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27880" cy="2251710"/>
            <wp:effectExtent l="0" t="0" r="1270" b="15240"/>
            <wp:docPr id="245"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spacing w:after="200" w:line="276" w:lineRule="auto"/>
        <w:rPr>
          <w:rFonts w:ascii="Arial" w:hAnsi="Arial" w:cs="Arial"/>
          <w:noProof/>
          <w:sz w:val="20"/>
        </w:rPr>
      </w:pPr>
      <w:r>
        <w:rPr>
          <w:noProof/>
        </w:rPr>
        <w:br w:type="page"/>
      </w:r>
    </w:p>
    <w:p>
      <w:pPr>
        <w:pStyle w:val="AnnualReport1"/>
        <w:numPr>
          <w:ilvl w:val="0"/>
          <w:numId w:val="181"/>
        </w:numPr>
        <w:ind w:left="709"/>
        <w:rPr>
          <w:noProof/>
        </w:rPr>
      </w:pPr>
      <w:r>
        <w:rPr>
          <w:noProof/>
        </w:rPr>
        <w:t>EU PILOT</w:t>
      </w:r>
    </w:p>
    <w:p>
      <w:pPr>
        <w:numPr>
          <w:ilvl w:val="0"/>
          <w:numId w:val="117"/>
        </w:numPr>
        <w:spacing w:before="240"/>
        <w:ind w:left="709" w:hanging="425"/>
        <w:outlineLvl w:val="1"/>
        <w:rPr>
          <w:rFonts w:ascii="Arial" w:hAnsi="Arial"/>
          <w:noProof/>
          <w:color w:val="002060"/>
        </w:rPr>
      </w:pPr>
      <w:r>
        <w:rPr>
          <w:rFonts w:ascii="Arial" w:hAnsi="Arial"/>
          <w:noProof/>
          <w:color w:val="002060"/>
        </w:rPr>
        <w:t>New EU Pilot files opened against Romania (2014-2018)</w:t>
      </w:r>
    </w:p>
    <w:p>
      <w:pPr>
        <w:tabs>
          <w:tab w:val="left" w:pos="0"/>
        </w:tabs>
        <w:spacing w:before="360"/>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0" b="0"/>
            <wp:docPr id="24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numPr>
          <w:ilvl w:val="0"/>
          <w:numId w:val="117"/>
        </w:numPr>
        <w:spacing w:before="240"/>
        <w:ind w:left="709" w:hanging="425"/>
        <w:outlineLvl w:val="1"/>
        <w:rPr>
          <w:rFonts w:ascii="Arial" w:hAnsi="Arial"/>
          <w:noProof/>
          <w:color w:val="002060"/>
        </w:rPr>
      </w:pPr>
      <w:r>
        <w:rPr>
          <w:rFonts w:ascii="Arial" w:hAnsi="Arial"/>
          <w:noProof/>
          <w:color w:val="002060"/>
        </w:rPr>
        <w:t>Files relating to Romania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0" b="0"/>
            <wp:docPr id="24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numPr>
          <w:ilvl w:val="0"/>
          <w:numId w:val="117"/>
        </w:numPr>
        <w:spacing w:before="240"/>
        <w:ind w:left="851" w:hanging="567"/>
        <w:outlineLvl w:val="1"/>
        <w:rPr>
          <w:rFonts w:ascii="Arial" w:hAnsi="Arial"/>
          <w:noProof/>
          <w:color w:val="002060"/>
        </w:rPr>
      </w:pPr>
      <w:r>
        <w:rPr>
          <w:rFonts w:ascii="Arial" w:hAnsi="Arial"/>
          <w:noProof/>
          <w:color w:val="002060"/>
        </w:rPr>
        <w:t>New EU Pilot files opened in 2018: policy areas</w:t>
      </w:r>
    </w:p>
    <w:p>
      <w:pPr>
        <w:spacing w:after="200" w:line="276" w:lineRule="auto"/>
        <w:ind w:firstLine="709"/>
        <w:rPr>
          <w:noProof/>
        </w:rPr>
      </w:pPr>
      <w:r>
        <w:rPr>
          <w:noProof/>
          <w:lang w:eastAsia="en-GB"/>
        </w:rPr>
        <w:drawing>
          <wp:inline distT="0" distB="0" distL="0" distR="0">
            <wp:extent cx="4643755" cy="2371090"/>
            <wp:effectExtent l="0" t="0" r="4445" b="10160"/>
            <wp:docPr id="248"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117"/>
        </w:numPr>
        <w:spacing w:before="240"/>
        <w:ind w:left="851" w:hanging="567"/>
        <w:outlineLvl w:val="1"/>
        <w:rPr>
          <w:rFonts w:ascii="Arial" w:hAnsi="Arial"/>
          <w:noProof/>
          <w:color w:val="002060"/>
        </w:rPr>
      </w:pPr>
      <w:r>
        <w:rPr>
          <w:rFonts w:ascii="Arial" w:hAnsi="Arial"/>
          <w:noProof/>
          <w:color w:val="002060"/>
        </w:rPr>
        <w:t>EU Pilot files: Romania’s resolution rate in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96130" cy="2194560"/>
            <wp:effectExtent l="0" t="0" r="13970" b="15240"/>
            <wp:docPr id="2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AnnualReport1"/>
        <w:numPr>
          <w:ilvl w:val="0"/>
          <w:numId w:val="181"/>
        </w:numPr>
        <w:ind w:left="709"/>
        <w:rPr>
          <w:noProof/>
        </w:rPr>
      </w:pPr>
      <w:r>
        <w:rPr>
          <w:noProof/>
        </w:rPr>
        <w:t>INFRINGEMENT CASES</w:t>
      </w:r>
    </w:p>
    <w:p>
      <w:pPr>
        <w:numPr>
          <w:ilvl w:val="0"/>
          <w:numId w:val="182"/>
        </w:numPr>
        <w:spacing w:before="240"/>
        <w:outlineLvl w:val="1"/>
        <w:rPr>
          <w:rFonts w:ascii="Arial" w:hAnsi="Arial"/>
          <w:noProof/>
          <w:color w:val="002060"/>
        </w:rPr>
      </w:pPr>
      <w:r>
        <w:rPr>
          <w:rFonts w:ascii="Arial" w:hAnsi="Arial"/>
          <w:noProof/>
          <w:color w:val="002060"/>
        </w:rPr>
        <w:t>Infringement cases against Romania open on 31 December (2014-2018)</w:t>
      </w:r>
    </w:p>
    <w:p>
      <w:pPr>
        <w:spacing w:before="360"/>
        <w:ind w:firstLine="709"/>
        <w:rPr>
          <w:rFonts w:ascii="Arial" w:hAnsi="Arial"/>
          <w:noProof/>
          <w:sz w:val="20"/>
        </w:rPr>
      </w:pPr>
      <w:r>
        <w:rPr>
          <w:rFonts w:ascii="Arial" w:hAnsi="Arial" w:cs="Arial"/>
          <w:noProof/>
          <w:sz w:val="20"/>
          <w:lang w:eastAsia="en-GB"/>
        </w:rPr>
        <w:drawing>
          <wp:inline distT="0" distB="0" distL="0" distR="0">
            <wp:extent cx="4617720" cy="2186940"/>
            <wp:effectExtent l="0" t="0" r="11430" b="22860"/>
            <wp:docPr id="250"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numPr>
          <w:ilvl w:val="0"/>
          <w:numId w:val="182"/>
        </w:numPr>
        <w:spacing w:before="240"/>
        <w:outlineLvl w:val="1"/>
        <w:rPr>
          <w:rFonts w:ascii="Arial" w:hAnsi="Arial"/>
          <w:noProof/>
          <w:color w:val="002060"/>
        </w:rPr>
      </w:pPr>
      <w:r>
        <w:rPr>
          <w:rFonts w:ascii="Arial" w:hAnsi="Arial"/>
          <w:noProof/>
          <w:color w:val="002060"/>
        </w:rPr>
        <w:t>New infringement cases opened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56760" cy="2499360"/>
            <wp:effectExtent l="0" t="0" r="15240" b="15240"/>
            <wp:docPr id="251" name="Object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numPr>
          <w:ilvl w:val="0"/>
          <w:numId w:val="182"/>
        </w:numPr>
        <w:spacing w:before="240"/>
        <w:outlineLvl w:val="1"/>
        <w:rPr>
          <w:rFonts w:ascii="Arial" w:hAnsi="Arial"/>
          <w:noProof/>
          <w:color w:val="002060"/>
        </w:rPr>
      </w:pPr>
      <w:r>
        <w:rPr>
          <w:rFonts w:ascii="Arial" w:hAnsi="Arial"/>
          <w:noProof/>
          <w:color w:val="002060"/>
        </w:rPr>
        <w:t>Key infringement cases and referrals to the Court</w:t>
      </w:r>
    </w:p>
    <w:p>
      <w:pPr>
        <w:numPr>
          <w:ilvl w:val="0"/>
          <w:numId w:val="145"/>
        </w:numPr>
        <w:ind w:left="1276" w:hanging="425"/>
        <w:jc w:val="both"/>
        <w:rPr>
          <w:rFonts w:ascii="Arial" w:hAnsi="Arial" w:cs="Arial"/>
          <w:noProof/>
          <w:sz w:val="20"/>
          <w:szCs w:val="20"/>
        </w:rPr>
      </w:pPr>
      <w:r>
        <w:rPr>
          <w:rFonts w:ascii="Arial" w:hAnsi="Arial" w:cs="Arial"/>
          <w:noProof/>
          <w:sz w:val="20"/>
          <w:szCs w:val="20"/>
        </w:rPr>
        <w:t>The Commission opened 31 new infringement cases against Romania in 2018. These, and other major ongoing infringement cases, include:</w:t>
      </w:r>
    </w:p>
    <w:p>
      <w:pPr>
        <w:pStyle w:val="ListParagraph"/>
        <w:numPr>
          <w:ilvl w:val="0"/>
          <w:numId w:val="205"/>
        </w:numPr>
        <w:spacing w:after="200"/>
        <w:ind w:left="1701"/>
        <w:jc w:val="both"/>
        <w:rPr>
          <w:rFonts w:ascii="Arial" w:hAnsi="Arial" w:cs="Arial"/>
          <w:noProof/>
          <w:sz w:val="20"/>
          <w:szCs w:val="20"/>
          <w:lang w:eastAsia="en-GB"/>
        </w:rPr>
      </w:pPr>
      <w:r>
        <w:rPr>
          <w:rFonts w:ascii="Arial" w:hAnsi="Arial" w:cs="Arial"/>
          <w:noProof/>
          <w:sz w:val="20"/>
          <w:szCs w:val="20"/>
          <w:lang w:eastAsia="en-GB"/>
        </w:rPr>
        <w:t>application of a split-payment mechanism for VAT in breach of EU rules</w:t>
      </w:r>
      <w:r>
        <w:rPr>
          <w:rStyle w:val="FootnoteReference"/>
          <w:rFonts w:ascii="Arial" w:hAnsi="Arial" w:cs="Arial"/>
          <w:noProof/>
          <w:sz w:val="20"/>
          <w:szCs w:val="20"/>
          <w:lang w:eastAsia="en-GB"/>
        </w:rPr>
        <w:footnoteReference w:id="169"/>
      </w:r>
      <w:r>
        <w:rPr>
          <w:rFonts w:ascii="Arial" w:hAnsi="Arial" w:cs="Arial"/>
          <w:noProof/>
          <w:sz w:val="20"/>
          <w:szCs w:val="20"/>
          <w:lang w:eastAsia="en-GB"/>
        </w:rPr>
        <w:t>;</w:t>
      </w:r>
    </w:p>
    <w:p>
      <w:pPr>
        <w:pStyle w:val="ListParagraph"/>
        <w:numPr>
          <w:ilvl w:val="0"/>
          <w:numId w:val="205"/>
        </w:numPr>
        <w:spacing w:after="200"/>
        <w:ind w:left="1701"/>
        <w:jc w:val="both"/>
        <w:rPr>
          <w:rFonts w:ascii="Arial" w:hAnsi="Arial" w:cs="Arial"/>
          <w:noProof/>
          <w:sz w:val="20"/>
          <w:szCs w:val="20"/>
          <w:lang w:eastAsia="en-GB"/>
        </w:rPr>
      </w:pPr>
      <w:r>
        <w:rPr>
          <w:rFonts w:ascii="Arial" w:hAnsi="Arial" w:cs="Arial"/>
          <w:noProof/>
          <w:sz w:val="20"/>
          <w:szCs w:val="20"/>
          <w:lang w:eastAsia="en-GB"/>
        </w:rPr>
        <w:t>failure to control emissions of sulphur dioxide from two large combustion plants</w:t>
      </w:r>
      <w:r>
        <w:rPr>
          <w:rStyle w:val="FootnoteReference"/>
          <w:rFonts w:ascii="Arial" w:hAnsi="Arial" w:cs="Arial"/>
          <w:noProof/>
          <w:sz w:val="20"/>
          <w:szCs w:val="20"/>
          <w:lang w:eastAsia="en-GB"/>
        </w:rPr>
        <w:footnoteReference w:id="170"/>
      </w:r>
      <w:r>
        <w:rPr>
          <w:rFonts w:ascii="Arial" w:hAnsi="Arial" w:cs="Arial"/>
          <w:noProof/>
          <w:sz w:val="20"/>
          <w:szCs w:val="20"/>
          <w:lang w:eastAsia="en-GB"/>
        </w:rPr>
        <w:t>;</w:t>
      </w:r>
    </w:p>
    <w:p>
      <w:pPr>
        <w:pStyle w:val="ListParagraph"/>
        <w:numPr>
          <w:ilvl w:val="0"/>
          <w:numId w:val="205"/>
        </w:numPr>
        <w:ind w:left="1701"/>
        <w:jc w:val="both"/>
        <w:rPr>
          <w:rFonts w:ascii="Arial" w:hAnsi="Arial" w:cs="Arial"/>
          <w:noProof/>
          <w:sz w:val="20"/>
          <w:szCs w:val="20"/>
        </w:rPr>
      </w:pPr>
      <w:r>
        <w:rPr>
          <w:rFonts w:ascii="Arial" w:hAnsi="Arial" w:cs="Arial"/>
          <w:noProof/>
          <w:sz w:val="20"/>
          <w:szCs w:val="20"/>
        </w:rPr>
        <w:t>failure to ensure that urban waste water is adequately treated</w:t>
      </w:r>
      <w:r>
        <w:rPr>
          <w:rStyle w:val="FootnoteReference"/>
          <w:rFonts w:ascii="Arial" w:hAnsi="Arial" w:cs="Arial"/>
          <w:noProof/>
          <w:sz w:val="20"/>
          <w:szCs w:val="20"/>
        </w:rPr>
        <w:footnoteReference w:id="171"/>
      </w:r>
      <w:r>
        <w:rPr>
          <w:rFonts w:ascii="Arial" w:hAnsi="Arial" w:cs="Arial"/>
          <w:noProof/>
          <w:sz w:val="20"/>
          <w:szCs w:val="20"/>
        </w:rPr>
        <w:t>;</w:t>
      </w:r>
    </w:p>
    <w:p>
      <w:pPr>
        <w:pStyle w:val="ListParagraph"/>
        <w:numPr>
          <w:ilvl w:val="0"/>
          <w:numId w:val="205"/>
        </w:numPr>
        <w:spacing w:after="200"/>
        <w:ind w:left="1701"/>
        <w:jc w:val="both"/>
        <w:rPr>
          <w:rFonts w:ascii="Arial" w:hAnsi="Arial" w:cs="Arial"/>
          <w:noProof/>
          <w:sz w:val="20"/>
          <w:szCs w:val="20"/>
          <w:lang w:eastAsia="en-GB"/>
        </w:rPr>
      </w:pPr>
      <w:r>
        <w:rPr>
          <w:rFonts w:ascii="Arial" w:hAnsi="Arial" w:cs="Arial"/>
          <w:noProof/>
          <w:sz w:val="20"/>
          <w:szCs w:val="20"/>
        </w:rPr>
        <w:t>non-conformity of certain provisions of domestic legislation on motor third-party liability insurance with the provisions of the Solvency II and Motor Insurance Directives</w:t>
      </w:r>
      <w:r>
        <w:rPr>
          <w:rStyle w:val="FootnoteReference"/>
          <w:rFonts w:ascii="Arial" w:hAnsi="Arial" w:cs="Arial"/>
          <w:noProof/>
        </w:rPr>
        <w:footnoteReference w:id="172"/>
      </w:r>
      <w:r>
        <w:rPr>
          <w:rFonts w:ascii="Arial" w:hAnsi="Arial" w:cs="Arial"/>
          <w:noProof/>
        </w:rPr>
        <w:t>;</w:t>
      </w:r>
    </w:p>
    <w:p>
      <w:pPr>
        <w:pStyle w:val="ListParagraph"/>
        <w:numPr>
          <w:ilvl w:val="0"/>
          <w:numId w:val="205"/>
        </w:numPr>
        <w:spacing w:after="200"/>
        <w:ind w:left="1701"/>
        <w:jc w:val="both"/>
        <w:rPr>
          <w:rFonts w:ascii="Arial" w:hAnsi="Arial" w:cs="Arial"/>
          <w:noProof/>
          <w:sz w:val="20"/>
          <w:szCs w:val="20"/>
          <w:lang w:eastAsia="en-GB"/>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173"/>
      </w:r>
      <w:r>
        <w:rPr>
          <w:rFonts w:ascii="Arial" w:hAnsi="Arial" w:cs="Arial"/>
          <w:noProof/>
          <w:sz w:val="20"/>
          <w:szCs w:val="20"/>
        </w:rPr>
        <w:t>;</w:t>
      </w:r>
    </w:p>
    <w:p>
      <w:pPr>
        <w:pStyle w:val="ListParagraph"/>
        <w:numPr>
          <w:ilvl w:val="0"/>
          <w:numId w:val="205"/>
        </w:numPr>
        <w:spacing w:after="200"/>
        <w:ind w:left="1701"/>
        <w:jc w:val="both"/>
        <w:rPr>
          <w:rFonts w:ascii="Arial" w:hAnsi="Arial" w:cs="Arial"/>
          <w:noProof/>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174"/>
      </w:r>
      <w:r>
        <w:rPr>
          <w:rFonts w:ascii="Arial" w:hAnsi="Arial" w:cs="Arial"/>
          <w:noProof/>
          <w:sz w:val="20"/>
          <w:szCs w:val="20"/>
        </w:rPr>
        <w:t>;</w:t>
      </w:r>
    </w:p>
    <w:p>
      <w:pPr>
        <w:pStyle w:val="ListParagraph"/>
        <w:numPr>
          <w:ilvl w:val="0"/>
          <w:numId w:val="205"/>
        </w:numPr>
        <w:spacing w:after="200"/>
        <w:ind w:left="1701"/>
        <w:jc w:val="both"/>
        <w:rPr>
          <w:rFonts w:ascii="Arial" w:hAnsi="Arial" w:cs="Arial"/>
          <w:noProof/>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rPr>
        <w:footnoteReference w:id="175"/>
      </w:r>
      <w:r>
        <w:rPr>
          <w:rFonts w:ascii="Arial" w:hAnsi="Arial" w:cs="Arial"/>
          <w:noProof/>
          <w:sz w:val="20"/>
          <w:szCs w:val="20"/>
        </w:rPr>
        <w:t>;</w:t>
      </w:r>
    </w:p>
    <w:p>
      <w:pPr>
        <w:pStyle w:val="ListParagraph"/>
        <w:numPr>
          <w:ilvl w:val="0"/>
          <w:numId w:val="205"/>
        </w:numPr>
        <w:spacing w:after="200"/>
        <w:ind w:left="1701"/>
        <w:jc w:val="both"/>
        <w:rPr>
          <w:rFonts w:ascii="Arial" w:hAnsi="Arial" w:cs="Arial"/>
          <w:noProof/>
          <w:sz w:val="20"/>
          <w:szCs w:val="20"/>
          <w:lang w:eastAsia="en-GB"/>
        </w:rPr>
      </w:pPr>
      <w:r>
        <w:rPr>
          <w:rFonts w:ascii="Arial" w:hAnsi="Arial" w:cs="Arial"/>
          <w:noProof/>
          <w:sz w:val="20"/>
          <w:szCs w:val="20"/>
        </w:rPr>
        <w:t xml:space="preserve">non-compliance with the requirements of the </w:t>
      </w:r>
    </w:p>
    <w:p>
      <w:pPr>
        <w:pStyle w:val="ListParagraph"/>
        <w:numPr>
          <w:ilvl w:val="1"/>
          <w:numId w:val="205"/>
        </w:numPr>
        <w:spacing w:after="200"/>
        <w:ind w:left="2410"/>
        <w:jc w:val="both"/>
        <w:rPr>
          <w:rFonts w:ascii="Arial" w:hAnsi="Arial" w:cs="Arial"/>
          <w:noProof/>
          <w:sz w:val="20"/>
          <w:szCs w:val="20"/>
          <w:lang w:eastAsia="en-GB"/>
        </w:rPr>
      </w:pPr>
      <w:r>
        <w:rPr>
          <w:rFonts w:ascii="Arial" w:hAnsi="Arial" w:cs="Arial"/>
          <w:noProof/>
          <w:sz w:val="20"/>
          <w:szCs w:val="20"/>
        </w:rPr>
        <w:t>Energy Efficiency Directive</w:t>
      </w:r>
      <w:r>
        <w:rPr>
          <w:rStyle w:val="FootnoteReference"/>
          <w:rFonts w:ascii="Arial" w:hAnsi="Arial" w:cs="Arial"/>
          <w:noProof/>
          <w:sz w:val="20"/>
          <w:szCs w:val="20"/>
        </w:rPr>
        <w:footnoteReference w:id="176"/>
      </w:r>
      <w:r>
        <w:rPr>
          <w:rFonts w:ascii="Arial" w:hAnsi="Arial" w:cs="Arial"/>
          <w:noProof/>
          <w:sz w:val="20"/>
          <w:szCs w:val="20"/>
        </w:rPr>
        <w:t>;</w:t>
      </w:r>
    </w:p>
    <w:p>
      <w:pPr>
        <w:pStyle w:val="ListParagraph"/>
        <w:numPr>
          <w:ilvl w:val="1"/>
          <w:numId w:val="205"/>
        </w:numPr>
        <w:spacing w:after="200"/>
        <w:ind w:left="2410"/>
        <w:jc w:val="both"/>
        <w:rPr>
          <w:rFonts w:ascii="Arial" w:hAnsi="Arial" w:cs="Arial"/>
          <w:noProof/>
          <w:sz w:val="20"/>
          <w:szCs w:val="20"/>
          <w:lang w:eastAsia="en-GB"/>
        </w:rPr>
      </w:pPr>
      <w:r>
        <w:rPr>
          <w:rFonts w:ascii="Arial" w:hAnsi="Arial" w:cs="Arial"/>
          <w:noProof/>
          <w:sz w:val="20"/>
          <w:szCs w:val="20"/>
        </w:rPr>
        <w:t>Oil Stocks Directive</w:t>
      </w:r>
      <w:r>
        <w:rPr>
          <w:rStyle w:val="FootnoteReference"/>
          <w:rFonts w:ascii="Arial" w:hAnsi="Arial" w:cs="Arial"/>
          <w:noProof/>
          <w:sz w:val="20"/>
          <w:szCs w:val="20"/>
        </w:rPr>
        <w:footnoteReference w:id="177"/>
      </w:r>
      <w:r>
        <w:rPr>
          <w:rFonts w:ascii="Arial" w:hAnsi="Arial" w:cs="Arial"/>
          <w:noProof/>
          <w:sz w:val="20"/>
          <w:szCs w:val="20"/>
        </w:rPr>
        <w:t>;</w:t>
      </w:r>
    </w:p>
    <w:p>
      <w:pPr>
        <w:pStyle w:val="ListParagraph"/>
        <w:numPr>
          <w:ilvl w:val="0"/>
          <w:numId w:val="204"/>
        </w:numPr>
        <w:spacing w:after="200"/>
        <w:ind w:left="1701"/>
        <w:jc w:val="both"/>
        <w:rPr>
          <w:rFonts w:ascii="Arial" w:hAnsi="Arial" w:cs="Arial"/>
          <w:noProof/>
          <w:sz w:val="20"/>
          <w:szCs w:val="20"/>
          <w:lang w:eastAsia="en-GB"/>
        </w:rPr>
      </w:pPr>
      <w:r>
        <w:rPr>
          <w:rFonts w:ascii="Arial" w:hAnsi="Arial" w:cs="Arial"/>
          <w:noProof/>
          <w:sz w:val="20"/>
          <w:szCs w:val="20"/>
        </w:rPr>
        <w:t>incorrect transposition of the Directive on the protection of animals used for scientific purposes</w:t>
      </w:r>
      <w:r>
        <w:rPr>
          <w:rStyle w:val="FootnoteReference"/>
          <w:rFonts w:ascii="Arial" w:hAnsi="Arial" w:cs="Arial"/>
          <w:noProof/>
          <w:sz w:val="20"/>
          <w:szCs w:val="20"/>
        </w:rPr>
        <w:footnoteReference w:id="178"/>
      </w:r>
      <w:r>
        <w:rPr>
          <w:rFonts w:ascii="Arial" w:hAnsi="Arial" w:cs="Arial"/>
          <w:noProof/>
          <w:sz w:val="20"/>
          <w:szCs w:val="20"/>
        </w:rPr>
        <w:t>;</w:t>
      </w:r>
    </w:p>
    <w:p>
      <w:pPr>
        <w:pStyle w:val="ListParagraph"/>
        <w:numPr>
          <w:ilvl w:val="0"/>
          <w:numId w:val="204"/>
        </w:numPr>
        <w:spacing w:after="200"/>
        <w:ind w:left="1701"/>
        <w:rPr>
          <w:rFonts w:ascii="Arial" w:hAnsi="Arial" w:cs="Arial"/>
          <w:noProof/>
          <w:sz w:val="20"/>
          <w:szCs w:val="20"/>
          <w:lang w:eastAsia="en-GB"/>
        </w:rPr>
      </w:pPr>
      <w:r>
        <w:rPr>
          <w:rFonts w:ascii="Arial" w:hAnsi="Arial" w:cs="Arial"/>
          <w:noProof/>
          <w:sz w:val="20"/>
          <w:szCs w:val="20"/>
          <w:lang w:eastAsia="en-GB"/>
        </w:rPr>
        <w:t>non-communication of national measures transposing the:</w:t>
      </w:r>
    </w:p>
    <w:p>
      <w:pPr>
        <w:pStyle w:val="ListParagraph"/>
        <w:numPr>
          <w:ilvl w:val="1"/>
          <w:numId w:val="204"/>
        </w:numPr>
        <w:ind w:left="2410"/>
        <w:jc w:val="both"/>
        <w:rPr>
          <w:rFonts w:ascii="Arial" w:hAnsi="Arial" w:cs="Arial"/>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179"/>
      </w:r>
    </w:p>
    <w:p>
      <w:pPr>
        <w:pStyle w:val="ListParagraph"/>
        <w:numPr>
          <w:ilvl w:val="1"/>
          <w:numId w:val="204"/>
        </w:numPr>
        <w:ind w:left="2410"/>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180"/>
      </w:r>
    </w:p>
    <w:p>
      <w:pPr>
        <w:pStyle w:val="ListParagraph"/>
        <w:numPr>
          <w:ilvl w:val="1"/>
          <w:numId w:val="204"/>
        </w:numPr>
        <w:spacing w:after="200"/>
        <w:ind w:left="2410"/>
        <w:rPr>
          <w:rFonts w:ascii="Arial" w:hAnsi="Arial" w:cs="Arial"/>
          <w:noProof/>
          <w:sz w:val="20"/>
          <w:szCs w:val="20"/>
          <w:lang w:eastAsia="en-GB"/>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181"/>
      </w:r>
      <w:r>
        <w:rPr>
          <w:rFonts w:ascii="Arial" w:hAnsi="Arial" w:cs="Arial"/>
          <w:noProof/>
          <w:sz w:val="20"/>
          <w:szCs w:val="20"/>
        </w:rPr>
        <w:t>;</w:t>
      </w:r>
    </w:p>
    <w:p>
      <w:pPr>
        <w:pStyle w:val="ListParagraph"/>
        <w:numPr>
          <w:ilvl w:val="1"/>
          <w:numId w:val="204"/>
        </w:numPr>
        <w:spacing w:after="200"/>
        <w:ind w:left="2410"/>
        <w:rPr>
          <w:rFonts w:ascii="Arial" w:hAnsi="Arial" w:cs="Arial"/>
          <w:noProof/>
          <w:sz w:val="20"/>
          <w:szCs w:val="20"/>
          <w:lang w:eastAsia="en-GB"/>
        </w:rPr>
      </w:pPr>
      <w:r>
        <w:rPr>
          <w:rFonts w:ascii="Arial" w:hAnsi="Arial" w:cs="Arial"/>
          <w:noProof/>
          <w:sz w:val="20"/>
          <w:szCs w:val="20"/>
        </w:rPr>
        <w:t>Directive as regards quality system standards and specifications for blood establishments;</w:t>
      </w:r>
      <w:r>
        <w:rPr>
          <w:rFonts w:ascii="Arial" w:hAnsi="Arial" w:cs="Arial"/>
          <w:noProof/>
          <w:sz w:val="20"/>
          <w:szCs w:val="20"/>
          <w:vertAlign w:val="superscript"/>
        </w:rPr>
        <w:footnoteReference w:id="182"/>
      </w:r>
    </w:p>
    <w:p>
      <w:pPr>
        <w:pStyle w:val="ListParagraph"/>
        <w:numPr>
          <w:ilvl w:val="1"/>
          <w:numId w:val="204"/>
        </w:numPr>
        <w:spacing w:after="200"/>
        <w:ind w:left="2410"/>
        <w:rPr>
          <w:rFonts w:ascii="Arial" w:hAnsi="Arial" w:cs="Arial"/>
          <w:noProof/>
          <w:sz w:val="20"/>
          <w:szCs w:val="20"/>
          <w:lang w:eastAsia="en-GB"/>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183"/>
      </w:r>
    </w:p>
    <w:p>
      <w:pPr>
        <w:pStyle w:val="ListParagraph"/>
        <w:numPr>
          <w:ilvl w:val="1"/>
          <w:numId w:val="204"/>
        </w:numPr>
        <w:spacing w:after="200"/>
        <w:ind w:left="2410"/>
        <w:rPr>
          <w:rFonts w:ascii="Arial" w:hAnsi="Arial" w:cs="Arial"/>
          <w:noProof/>
          <w:sz w:val="20"/>
          <w:szCs w:val="20"/>
          <w:lang w:eastAsia="en-GB"/>
        </w:rPr>
      </w:pPr>
      <w:r>
        <w:rPr>
          <w:rFonts w:ascii="Arial" w:hAnsi="Arial" w:cs="Arial"/>
          <w:noProof/>
          <w:sz w:val="20"/>
          <w:szCs w:val="20"/>
        </w:rPr>
        <w:t>Payment Services Directive</w:t>
      </w:r>
      <w:r>
        <w:rPr>
          <w:rFonts w:ascii="Arial" w:hAnsi="Arial" w:cs="Arial"/>
          <w:noProof/>
          <w:sz w:val="20"/>
          <w:szCs w:val="20"/>
          <w:vertAlign w:val="superscript"/>
        </w:rPr>
        <w:footnoteReference w:id="184"/>
      </w:r>
      <w:r>
        <w:rPr>
          <w:rFonts w:ascii="Arial" w:hAnsi="Arial" w:cs="Arial"/>
          <w:noProof/>
          <w:sz w:val="20"/>
          <w:szCs w:val="20"/>
        </w:rPr>
        <w:t>;</w:t>
      </w:r>
    </w:p>
    <w:p>
      <w:pPr>
        <w:pStyle w:val="ListParagraph"/>
        <w:numPr>
          <w:ilvl w:val="1"/>
          <w:numId w:val="204"/>
        </w:numPr>
        <w:spacing w:after="200"/>
        <w:ind w:left="2410"/>
        <w:rPr>
          <w:rFonts w:ascii="Arial" w:hAnsi="Arial" w:cs="Arial"/>
          <w:noProof/>
          <w:sz w:val="20"/>
          <w:szCs w:val="20"/>
          <w:lang w:eastAsia="en-GB"/>
        </w:rPr>
      </w:pPr>
      <w:r>
        <w:rPr>
          <w:rFonts w:ascii="Arial" w:hAnsi="Arial" w:cs="Arial"/>
          <w:noProof/>
          <w:sz w:val="20"/>
          <w:szCs w:val="20"/>
        </w:rPr>
        <w:t>Insurance Distribution Directive</w:t>
      </w:r>
      <w:r>
        <w:rPr>
          <w:rFonts w:ascii="Arial" w:hAnsi="Arial" w:cs="Arial"/>
          <w:noProof/>
          <w:sz w:val="20"/>
          <w:szCs w:val="20"/>
          <w:vertAlign w:val="superscript"/>
        </w:rPr>
        <w:footnoteReference w:id="185"/>
      </w:r>
      <w:r>
        <w:rPr>
          <w:rFonts w:ascii="Arial" w:hAnsi="Arial" w:cs="Arial"/>
          <w:noProof/>
          <w:sz w:val="20"/>
          <w:szCs w:val="20"/>
        </w:rPr>
        <w:t>;</w:t>
      </w:r>
    </w:p>
    <w:p>
      <w:pPr>
        <w:pStyle w:val="ListParagraph"/>
        <w:numPr>
          <w:ilvl w:val="1"/>
          <w:numId w:val="204"/>
        </w:numPr>
        <w:spacing w:after="200"/>
        <w:ind w:left="2410"/>
        <w:rPr>
          <w:rFonts w:ascii="Arial" w:hAnsi="Arial" w:cs="Arial"/>
          <w:noProof/>
          <w:sz w:val="20"/>
          <w:szCs w:val="20"/>
          <w:lang w:eastAsia="en-GB"/>
        </w:rPr>
      </w:pPr>
      <w:r>
        <w:rPr>
          <w:rFonts w:ascii="Arial" w:hAnsi="Arial" w:cs="Arial"/>
          <w:noProof/>
          <w:sz w:val="20"/>
          <w:szCs w:val="20"/>
        </w:rPr>
        <w:t>revised Markets in Financial Instruments Directive;</w:t>
      </w:r>
      <w:r>
        <w:rPr>
          <w:rStyle w:val="FootnoteReference"/>
          <w:rFonts w:ascii="Arial" w:hAnsi="Arial" w:cs="Arial"/>
          <w:noProof/>
        </w:rPr>
        <w:footnoteReference w:id="186"/>
      </w:r>
    </w:p>
    <w:p>
      <w:pPr>
        <w:pStyle w:val="ListParagraph"/>
        <w:numPr>
          <w:ilvl w:val="1"/>
          <w:numId w:val="204"/>
        </w:numPr>
        <w:spacing w:after="200"/>
        <w:ind w:left="2410"/>
        <w:jc w:val="both"/>
        <w:rPr>
          <w:rFonts w:ascii="Arial" w:hAnsi="Arial" w:cs="Arial"/>
          <w:noProof/>
          <w:sz w:val="20"/>
          <w:szCs w:val="20"/>
          <w:lang w:eastAsia="en-GB"/>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187"/>
      </w:r>
      <w:r>
        <w:rPr>
          <w:rFonts w:ascii="Arial" w:hAnsi="Arial" w:cs="Arial"/>
          <w:noProof/>
          <w:sz w:val="20"/>
          <w:szCs w:val="20"/>
        </w:rPr>
        <w:t>;</w:t>
      </w:r>
    </w:p>
    <w:p>
      <w:pPr>
        <w:pStyle w:val="ListParagraph"/>
        <w:numPr>
          <w:ilvl w:val="1"/>
          <w:numId w:val="204"/>
        </w:numPr>
        <w:spacing w:after="200"/>
        <w:ind w:left="2410"/>
        <w:jc w:val="both"/>
        <w:rPr>
          <w:rFonts w:ascii="Arial" w:hAnsi="Arial" w:cs="Arial"/>
          <w:noProof/>
          <w:sz w:val="20"/>
          <w:szCs w:val="20"/>
          <w:lang w:eastAsia="en-GB"/>
        </w:rPr>
      </w:pPr>
      <w:r>
        <w:rPr>
          <w:rFonts w:ascii="Arial" w:hAnsi="Arial" w:cs="Arial"/>
          <w:noProof/>
          <w:sz w:val="20"/>
          <w:szCs w:val="20"/>
        </w:rPr>
        <w:t>Directive on the freezing and confiscation of instrumentalities and proceeds of crime</w:t>
      </w:r>
      <w:r>
        <w:rPr>
          <w:rStyle w:val="FootnoteReference"/>
          <w:rFonts w:ascii="Arial" w:hAnsi="Arial" w:cs="Arial"/>
          <w:noProof/>
          <w:sz w:val="20"/>
          <w:szCs w:val="20"/>
        </w:rPr>
        <w:footnoteReference w:id="188"/>
      </w:r>
      <w:r>
        <w:rPr>
          <w:rFonts w:ascii="Arial" w:hAnsi="Arial" w:cs="Arial"/>
          <w:noProof/>
          <w:sz w:val="20"/>
          <w:szCs w:val="20"/>
        </w:rPr>
        <w:t>;</w:t>
      </w:r>
    </w:p>
    <w:p>
      <w:pPr>
        <w:pStyle w:val="ListParagraph"/>
        <w:numPr>
          <w:ilvl w:val="1"/>
          <w:numId w:val="204"/>
        </w:numPr>
        <w:spacing w:after="120"/>
        <w:ind w:left="2410" w:hanging="357"/>
        <w:jc w:val="both"/>
        <w:rPr>
          <w:rFonts w:ascii="Arial" w:hAnsi="Arial" w:cs="Arial"/>
          <w:noProof/>
          <w:sz w:val="20"/>
          <w:szCs w:val="20"/>
          <w:lang w:eastAsia="en-GB"/>
        </w:rPr>
      </w:pPr>
      <w:r>
        <w:rPr>
          <w:rFonts w:ascii="Arial" w:hAnsi="Arial" w:cs="Arial"/>
          <w:noProof/>
          <w:sz w:val="20"/>
          <w:szCs w:val="20"/>
          <w:lang w:eastAsia="en-GB"/>
        </w:rPr>
        <w:t>Package Travel Directive.</w:t>
      </w:r>
      <w:r>
        <w:rPr>
          <w:rStyle w:val="FootnoteReference"/>
          <w:rFonts w:ascii="Arial" w:hAnsi="Arial" w:cs="Arial"/>
          <w:noProof/>
          <w:sz w:val="20"/>
          <w:szCs w:val="20"/>
          <w:lang w:eastAsia="en-GB"/>
        </w:rPr>
        <w:footnoteReference w:id="189"/>
      </w:r>
    </w:p>
    <w:p>
      <w:pPr>
        <w:numPr>
          <w:ilvl w:val="0"/>
          <w:numId w:val="145"/>
        </w:numPr>
        <w:spacing w:after="120"/>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pStyle w:val="ListParagraph"/>
        <w:numPr>
          <w:ilvl w:val="0"/>
          <w:numId w:val="18"/>
        </w:numPr>
        <w:spacing w:after="120"/>
        <w:ind w:left="1701"/>
        <w:jc w:val="both"/>
        <w:rPr>
          <w:rFonts w:ascii="Arial" w:hAnsi="Arial" w:cs="Arial"/>
          <w:noProof/>
          <w:sz w:val="20"/>
          <w:szCs w:val="20"/>
        </w:rPr>
      </w:pPr>
      <w:r>
        <w:rPr>
          <w:rFonts w:ascii="Arial" w:hAnsi="Arial" w:cs="Arial"/>
          <w:noProof/>
          <w:sz w:val="20"/>
          <w:szCs w:val="20"/>
        </w:rPr>
        <w:t>exceedance of the PM</w:t>
      </w:r>
      <w:r>
        <w:rPr>
          <w:rFonts w:ascii="Arial" w:hAnsi="Arial" w:cs="Arial"/>
          <w:noProof/>
          <w:sz w:val="20"/>
          <w:szCs w:val="20"/>
          <w:vertAlign w:val="subscript"/>
        </w:rPr>
        <w:t>10</w:t>
      </w:r>
      <w:r>
        <w:rPr>
          <w:rStyle w:val="FootnoteReference"/>
          <w:rFonts w:ascii="Arial" w:hAnsi="Arial" w:cs="Arial"/>
          <w:noProof/>
          <w:sz w:val="20"/>
          <w:szCs w:val="20"/>
        </w:rPr>
        <w:footnoteReference w:id="190"/>
      </w:r>
      <w:r>
        <w:rPr>
          <w:rFonts w:ascii="Arial" w:hAnsi="Arial" w:cs="Arial"/>
          <w:noProof/>
          <w:sz w:val="20"/>
          <w:szCs w:val="20"/>
        </w:rPr>
        <w:t xml:space="preserve"> limit values set by the Air Quality Directive</w:t>
      </w:r>
      <w:r>
        <w:rPr>
          <w:rStyle w:val="FootnoteReference"/>
          <w:rFonts w:ascii="Arial" w:hAnsi="Arial" w:cs="Arial"/>
          <w:noProof/>
          <w:sz w:val="20"/>
          <w:szCs w:val="20"/>
        </w:rPr>
        <w:footnoteReference w:id="191"/>
      </w:r>
      <w:r>
        <w:rPr>
          <w:rFonts w:ascii="Arial" w:hAnsi="Arial" w:cs="Arial"/>
          <w:noProof/>
          <w:sz w:val="20"/>
          <w:szCs w:val="20"/>
        </w:rPr>
        <w:t>.</w:t>
      </w:r>
    </w:p>
    <w:p>
      <w:pPr>
        <w:numPr>
          <w:ilvl w:val="0"/>
          <w:numId w:val="145"/>
        </w:numPr>
        <w:spacing w:after="120"/>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81"/>
        </w:numPr>
        <w:spacing w:before="240"/>
        <w:ind w:left="709" w:hanging="357"/>
        <w:rPr>
          <w:noProof/>
        </w:rPr>
      </w:pPr>
      <w:r>
        <w:rPr>
          <w:noProof/>
        </w:rPr>
        <w:t>TRANSPOSITION OF DIRECTIVES</w:t>
      </w:r>
    </w:p>
    <w:p>
      <w:pPr>
        <w:numPr>
          <w:ilvl w:val="0"/>
          <w:numId w:val="118"/>
        </w:numPr>
        <w:spacing w:before="240" w:after="120"/>
        <w:ind w:left="709" w:hanging="425"/>
        <w:outlineLvl w:val="1"/>
        <w:rPr>
          <w:rFonts w:ascii="Arial" w:hAnsi="Arial"/>
          <w:noProof/>
          <w:color w:val="002060"/>
        </w:rPr>
      </w:pPr>
      <w:r>
        <w:rPr>
          <w:rFonts w:ascii="Arial" w:hAnsi="Arial"/>
          <w:noProof/>
          <w:color w:val="002060"/>
        </w:rPr>
        <w:t>Late transposition infringement cases against Romania open on 31 December (2014-2018)</w:t>
      </w:r>
    </w:p>
    <w:p>
      <w:pPr>
        <w:spacing w:before="360"/>
        <w:ind w:left="425" w:firstLine="284"/>
        <w:rPr>
          <w:noProof/>
        </w:rPr>
      </w:pPr>
      <w:r>
        <w:rPr>
          <w:noProof/>
          <w:lang w:eastAsia="en-GB"/>
        </w:rPr>
        <w:drawing>
          <wp:inline distT="0" distB="0" distL="0" distR="0">
            <wp:extent cx="4612005" cy="2127250"/>
            <wp:effectExtent l="0" t="0" r="17145" b="6350"/>
            <wp:docPr id="25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numPr>
          <w:ilvl w:val="0"/>
          <w:numId w:val="118"/>
        </w:numPr>
        <w:spacing w:before="240" w:after="120"/>
        <w:ind w:left="709" w:hanging="425"/>
        <w:outlineLvl w:val="1"/>
        <w:rPr>
          <w:rFonts w:ascii="Arial" w:hAnsi="Arial"/>
          <w:noProof/>
          <w:color w:val="002060"/>
        </w:rPr>
      </w:pPr>
      <w:r>
        <w:rPr>
          <w:rFonts w:ascii="Arial" w:hAnsi="Arial"/>
          <w:noProof/>
          <w:color w:val="002060"/>
        </w:rPr>
        <w:t xml:space="preserve"> New late transposition infringement cases against Romania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03750" cy="2067560"/>
            <wp:effectExtent l="0" t="0" r="25400" b="27940"/>
            <wp:docPr id="25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numPr>
          <w:ilvl w:val="0"/>
          <w:numId w:val="118"/>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7875" cy="2504440"/>
            <wp:effectExtent l="0" t="0" r="3175" b="10160"/>
            <wp:docPr id="254" name="Object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numPr>
          <w:ilvl w:val="0"/>
          <w:numId w:val="118"/>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two cases to the Court under Articles 258 and 260(3) TFEU. They concern</w:t>
      </w:r>
    </w:p>
    <w:p>
      <w:pPr>
        <w:pStyle w:val="ListParagraph"/>
        <w:numPr>
          <w:ilvl w:val="0"/>
          <w:numId w:val="17"/>
        </w:numPr>
        <w:spacing w:after="120"/>
        <w:ind w:left="1418"/>
        <w:jc w:val="both"/>
        <w:rPr>
          <w:rFonts w:ascii="Arial" w:eastAsia="Calibri" w:hAnsi="Arial" w:cs="Arial"/>
          <w:noProof/>
          <w:kern w:val="20"/>
          <w:sz w:val="20"/>
        </w:rPr>
      </w:pPr>
      <w:r>
        <w:rPr>
          <w:rFonts w:ascii="Arial" w:eastAsia="Calibri" w:hAnsi="Arial" w:cs="Arial"/>
          <w:noProof/>
          <w:kern w:val="20"/>
          <w:sz w:val="20"/>
        </w:rPr>
        <w:t>failure to communicate national measures transposing the Directive on collective management of copyright and related rights and multi-territorial licensing of rights in musical works for online use</w:t>
      </w:r>
      <w:r>
        <w:rPr>
          <w:rStyle w:val="FootnoteReference"/>
          <w:rFonts w:ascii="Arial" w:eastAsia="Calibri" w:hAnsi="Arial" w:cs="Arial"/>
          <w:noProof/>
          <w:kern w:val="20"/>
          <w:sz w:val="20"/>
        </w:rPr>
        <w:footnoteReference w:id="192"/>
      </w:r>
      <w:r>
        <w:rPr>
          <w:rFonts w:ascii="Arial" w:eastAsia="Calibri" w:hAnsi="Arial" w:cs="Arial"/>
          <w:noProof/>
          <w:kern w:val="20"/>
          <w:sz w:val="20"/>
        </w:rPr>
        <w:t>;</w:t>
      </w:r>
    </w:p>
    <w:p>
      <w:pPr>
        <w:pStyle w:val="ListParagraph"/>
        <w:numPr>
          <w:ilvl w:val="0"/>
          <w:numId w:val="17"/>
        </w:numPr>
        <w:spacing w:after="120"/>
        <w:ind w:left="1418"/>
        <w:jc w:val="both"/>
        <w:rPr>
          <w:rFonts w:ascii="Arial" w:eastAsia="Calibri" w:hAnsi="Arial" w:cs="Arial"/>
          <w:noProof/>
          <w:kern w:val="20"/>
          <w:sz w:val="20"/>
        </w:rPr>
      </w:pPr>
      <w:r>
        <w:rPr>
          <w:rFonts w:ascii="Arial" w:eastAsia="Calibri" w:hAnsi="Arial" w:cs="Arial"/>
          <w:noProof/>
          <w:kern w:val="20"/>
          <w:sz w:val="20"/>
        </w:rPr>
        <w:t>failure to communicate national measures transposing the F</w:t>
      </w:r>
      <w:r>
        <w:rPr>
          <w:rFonts w:ascii="Arial" w:hAnsi="Arial" w:cs="Arial"/>
          <w:noProof/>
          <w:sz w:val="20"/>
          <w:szCs w:val="20"/>
        </w:rPr>
        <w:t>ourth Anti-Money Laundering Directive</w:t>
      </w:r>
      <w:r>
        <w:rPr>
          <w:rStyle w:val="FootnoteReference"/>
          <w:rFonts w:ascii="Arial" w:eastAsia="Calibri" w:hAnsi="Arial" w:cs="Arial"/>
          <w:noProof/>
          <w:kern w:val="20"/>
          <w:sz w:val="20"/>
        </w:rPr>
        <w:t xml:space="preserve"> </w:t>
      </w:r>
      <w:r>
        <w:rPr>
          <w:rStyle w:val="FootnoteReference"/>
          <w:rFonts w:ascii="Arial" w:eastAsia="Calibri" w:hAnsi="Arial" w:cs="Arial"/>
          <w:noProof/>
          <w:kern w:val="20"/>
          <w:sz w:val="20"/>
        </w:rPr>
        <w:footnoteReference w:id="193"/>
      </w:r>
      <w:r>
        <w:rPr>
          <w:rFonts w:ascii="Arial" w:eastAsia="Calibri" w:hAnsi="Arial" w:cs="Arial"/>
          <w:noProof/>
          <w:kern w:val="20"/>
          <w:sz w:val="20"/>
        </w:rPr>
        <w:t>.</w:t>
      </w:r>
    </w:p>
    <w:p>
      <w:pPr>
        <w:pStyle w:val="AnnualReport1"/>
        <w:numPr>
          <w:ilvl w:val="0"/>
          <w:numId w:val="181"/>
        </w:numPr>
        <w:ind w:left="709"/>
        <w:rPr>
          <w:noProof/>
        </w:rPr>
      </w:pPr>
      <w:r>
        <w:rPr>
          <w:noProof/>
        </w:rPr>
        <w:t>EARLY RESOLUTION OF INFRINGEMENT CASES</w:t>
      </w:r>
    </w:p>
    <w:p>
      <w:pPr>
        <w:spacing w:after="60"/>
        <w:ind w:left="284" w:firstLine="425"/>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szCs w:val="20"/>
        </w:rPr>
      </w:pPr>
      <w:r>
        <w:rPr>
          <w:rFonts w:ascii="Arial" w:hAnsi="Arial" w:cs="Arial"/>
          <w:noProof/>
          <w:sz w:val="20"/>
          <w:szCs w:val="20"/>
        </w:rPr>
        <w:t xml:space="preserve">These concerned the following: </w:t>
      </w:r>
    </w:p>
    <w:p>
      <w:pPr>
        <w:pStyle w:val="ListParagraph"/>
        <w:numPr>
          <w:ilvl w:val="0"/>
          <w:numId w:val="207"/>
        </w:numPr>
        <w:ind w:left="1418"/>
        <w:jc w:val="both"/>
        <w:rPr>
          <w:rFonts w:ascii="Arial" w:hAnsi="Arial" w:cs="Arial"/>
          <w:noProof/>
          <w:sz w:val="20"/>
          <w:szCs w:val="20"/>
        </w:rPr>
      </w:pPr>
      <w:r>
        <w:rPr>
          <w:rFonts w:ascii="Arial" w:hAnsi="Arial" w:cs="Arial"/>
          <w:noProof/>
          <w:sz w:val="20"/>
          <w:szCs w:val="20"/>
        </w:rPr>
        <w:t>failure to comply with the Waste Framework Directive regarding the adoption of waste management plans and waste prevention programmes</w:t>
      </w:r>
      <w:r>
        <w:rPr>
          <w:rStyle w:val="FootnoteReference"/>
          <w:rFonts w:ascii="Arial" w:hAnsi="Arial" w:cs="Arial"/>
          <w:noProof/>
          <w:sz w:val="20"/>
          <w:szCs w:val="20"/>
        </w:rPr>
        <w:footnoteReference w:id="194"/>
      </w:r>
      <w:r>
        <w:rPr>
          <w:rFonts w:ascii="Arial" w:hAnsi="Arial" w:cs="Arial"/>
          <w:noProof/>
          <w:sz w:val="20"/>
          <w:szCs w:val="20"/>
        </w:rPr>
        <w:t>;</w:t>
      </w:r>
    </w:p>
    <w:p>
      <w:pPr>
        <w:pStyle w:val="ListParagraph"/>
        <w:numPr>
          <w:ilvl w:val="0"/>
          <w:numId w:val="207"/>
        </w:numPr>
        <w:ind w:left="1418"/>
        <w:rPr>
          <w:rFonts w:ascii="Arial" w:hAnsi="Arial" w:cs="Arial"/>
          <w:noProof/>
          <w:sz w:val="20"/>
          <w:szCs w:val="20"/>
        </w:rPr>
      </w:pPr>
      <w:r>
        <w:rPr>
          <w:rFonts w:ascii="Arial" w:hAnsi="Arial" w:cs="Arial"/>
          <w:noProof/>
          <w:sz w:val="20"/>
          <w:szCs w:val="20"/>
          <w:shd w:val="clear" w:color="auto" w:fill="FFFFFF" w:themeFill="background1"/>
        </w:rPr>
        <w:t>failure to notify the national policy framework as required by EU legislation on the deployment of alternative fuels infrastructure</w:t>
      </w:r>
      <w:r>
        <w:rPr>
          <w:rStyle w:val="Ancredenotedebasdepage"/>
          <w:rFonts w:ascii="Arial" w:hAnsi="Arial" w:cs="Arial"/>
          <w:noProof/>
          <w:sz w:val="20"/>
          <w:szCs w:val="20"/>
          <w:shd w:val="clear" w:color="auto" w:fill="FFFFFF" w:themeFill="background1"/>
        </w:rPr>
        <w:footnoteReference w:id="195"/>
      </w:r>
      <w:r>
        <w:rPr>
          <w:rFonts w:ascii="Arial" w:hAnsi="Arial" w:cs="Arial"/>
          <w:noProof/>
          <w:sz w:val="20"/>
          <w:szCs w:val="20"/>
          <w:shd w:val="clear" w:color="auto" w:fill="FFFFFF" w:themeFill="background1"/>
        </w:rPr>
        <w:t>;</w:t>
      </w:r>
    </w:p>
    <w:p>
      <w:pPr>
        <w:pStyle w:val="ListParagraph"/>
        <w:numPr>
          <w:ilvl w:val="0"/>
          <w:numId w:val="207"/>
        </w:numPr>
        <w:spacing w:after="120"/>
        <w:ind w:left="1418"/>
        <w:rPr>
          <w:rFonts w:ascii="Arial" w:hAnsi="Arial" w:cs="Arial"/>
          <w:noProof/>
          <w:sz w:val="20"/>
          <w:szCs w:val="20"/>
        </w:rPr>
      </w:pPr>
      <w:r>
        <w:rPr>
          <w:rFonts w:ascii="Arial" w:hAnsi="Arial" w:cs="Arial"/>
          <w:noProof/>
          <w:sz w:val="20"/>
          <w:szCs w:val="20"/>
        </w:rPr>
        <w:t>unjustified restrictions on veterinary pharmacies;</w:t>
      </w:r>
    </w:p>
    <w:p>
      <w:pPr>
        <w:pStyle w:val="ListParagraph"/>
        <w:numPr>
          <w:ilvl w:val="0"/>
          <w:numId w:val="207"/>
        </w:numPr>
        <w:spacing w:after="120"/>
        <w:ind w:left="1418"/>
        <w:rPr>
          <w:rFonts w:ascii="Arial" w:hAnsi="Arial" w:cs="Arial"/>
          <w:noProof/>
          <w:sz w:val="20"/>
          <w:szCs w:val="20"/>
        </w:rPr>
      </w:pPr>
      <w:r>
        <w:rPr>
          <w:rFonts w:ascii="Arial" w:hAnsi="Arial" w:cs="Arial"/>
          <w:noProof/>
          <w:sz w:val="20"/>
          <w:szCs w:val="20"/>
        </w:rPr>
        <w:t>obstacles to the marketing of LPG fuel stations;</w:t>
      </w:r>
    </w:p>
    <w:p>
      <w:pPr>
        <w:pStyle w:val="ListParagraph"/>
        <w:numPr>
          <w:ilvl w:val="0"/>
          <w:numId w:val="207"/>
        </w:numPr>
        <w:spacing w:after="120"/>
        <w:ind w:left="1418"/>
        <w:rPr>
          <w:rFonts w:ascii="Arial" w:hAnsi="Arial" w:cs="Arial"/>
          <w:noProof/>
          <w:sz w:val="20"/>
          <w:szCs w:val="20"/>
        </w:rPr>
      </w:pPr>
      <w:r>
        <w:rPr>
          <w:rFonts w:ascii="Arial" w:hAnsi="Arial" w:cs="Arial"/>
          <w:noProof/>
          <w:sz w:val="20"/>
          <w:szCs w:val="20"/>
        </w:rPr>
        <w:t>parallel imports of medicines</w:t>
      </w:r>
      <w:r>
        <w:rPr>
          <w:rStyle w:val="FootnoteReference"/>
          <w:rFonts w:ascii="Arial" w:hAnsi="Arial" w:cs="Arial"/>
          <w:noProof/>
          <w:sz w:val="20"/>
          <w:szCs w:val="20"/>
        </w:rPr>
        <w:footnoteReference w:id="196"/>
      </w:r>
      <w:r>
        <w:rPr>
          <w:rFonts w:ascii="Arial" w:hAnsi="Arial" w:cs="Arial"/>
          <w:noProof/>
          <w:sz w:val="20"/>
          <w:szCs w:val="20"/>
        </w:rPr>
        <w:t>;</w:t>
      </w:r>
    </w:p>
    <w:p>
      <w:pPr>
        <w:pStyle w:val="ListParagraph"/>
        <w:numPr>
          <w:ilvl w:val="0"/>
          <w:numId w:val="207"/>
        </w:numPr>
        <w:spacing w:after="120"/>
        <w:ind w:left="1418"/>
        <w:jc w:val="both"/>
        <w:rPr>
          <w:rFonts w:ascii="Arial" w:hAnsi="Arial" w:cs="Arial"/>
          <w:noProof/>
          <w:sz w:val="20"/>
          <w:szCs w:val="20"/>
        </w:rPr>
      </w:pPr>
      <w:r>
        <w:rPr>
          <w:rFonts w:ascii="Arial" w:hAnsi="Arial" w:cs="Arial"/>
          <w:noProof/>
          <w:sz w:val="20"/>
          <w:szCs w:val="20"/>
        </w:rPr>
        <w:t xml:space="preserve">failure to communicate national measures transposing the </w:t>
      </w:r>
    </w:p>
    <w:p>
      <w:pPr>
        <w:pStyle w:val="ListParagraph"/>
        <w:numPr>
          <w:ilvl w:val="1"/>
          <w:numId w:val="206"/>
        </w:numPr>
        <w:spacing w:after="120"/>
        <w:ind w:left="1985"/>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197"/>
      </w:r>
      <w:r>
        <w:rPr>
          <w:rFonts w:ascii="Arial" w:eastAsia="Calibri" w:hAnsi="Arial" w:cs="Arial"/>
          <w:noProof/>
          <w:sz w:val="20"/>
          <w:szCs w:val="20"/>
          <w:lang w:eastAsia="en-GB"/>
        </w:rPr>
        <w:t>;</w:t>
      </w:r>
    </w:p>
    <w:p>
      <w:pPr>
        <w:pStyle w:val="ListParagraph"/>
        <w:numPr>
          <w:ilvl w:val="1"/>
          <w:numId w:val="206"/>
        </w:numPr>
        <w:spacing w:after="120"/>
        <w:ind w:left="1985"/>
        <w:jc w:val="both"/>
        <w:rPr>
          <w:rFonts w:ascii="Arial" w:hAnsi="Arial" w:cs="Arial"/>
          <w:noProof/>
          <w:sz w:val="20"/>
          <w:szCs w:val="20"/>
        </w:rPr>
      </w:pPr>
      <w:r>
        <w:rPr>
          <w:rFonts w:ascii="Arial" w:hAnsi="Arial" w:cs="Arial"/>
          <w:noProof/>
          <w:sz w:val="20"/>
          <w:szCs w:val="20"/>
        </w:rPr>
        <w:t>Directive on Stage II petrol vapour recovery during refuelling of motor vehicles at service stations</w:t>
      </w:r>
      <w:r>
        <w:rPr>
          <w:rStyle w:val="FootnoteReference"/>
          <w:rFonts w:ascii="Arial" w:hAnsi="Arial" w:cs="Arial"/>
          <w:noProof/>
          <w:sz w:val="20"/>
          <w:szCs w:val="20"/>
        </w:rPr>
        <w:footnoteReference w:id="198"/>
      </w:r>
      <w:r>
        <w:rPr>
          <w:rFonts w:ascii="Arial" w:hAnsi="Arial" w:cs="Arial"/>
          <w:noProof/>
          <w:sz w:val="20"/>
          <w:szCs w:val="20"/>
        </w:rPr>
        <w:t>;</w:t>
      </w:r>
    </w:p>
    <w:p>
      <w:pPr>
        <w:pStyle w:val="ListParagraph"/>
        <w:numPr>
          <w:ilvl w:val="1"/>
          <w:numId w:val="206"/>
        </w:numPr>
        <w:spacing w:after="120"/>
        <w:ind w:left="1985"/>
        <w:jc w:val="both"/>
        <w:rPr>
          <w:rFonts w:ascii="Arial" w:hAnsi="Arial" w:cs="Arial"/>
          <w:noProof/>
          <w:sz w:val="20"/>
        </w:rPr>
      </w:pPr>
      <w:r>
        <w:rPr>
          <w:rFonts w:ascii="Arial" w:hAnsi="Arial"/>
          <w:noProof/>
          <w:sz w:val="20"/>
          <w:szCs w:val="20"/>
        </w:rPr>
        <w:t>Directive on quality system standards and specifications for blood establishments</w:t>
      </w:r>
      <w:r>
        <w:rPr>
          <w:rFonts w:ascii="Arial" w:hAnsi="Arial"/>
          <w:noProof/>
          <w:sz w:val="20"/>
          <w:szCs w:val="20"/>
          <w:vertAlign w:val="superscript"/>
          <w:lang w:val="nl-NL"/>
        </w:rPr>
        <w:footnoteReference w:id="199"/>
      </w:r>
      <w:r>
        <w:rPr>
          <w:rFonts w:ascii="Arial" w:hAnsi="Arial"/>
          <w:noProof/>
          <w:sz w:val="20"/>
          <w:szCs w:val="20"/>
        </w:rPr>
        <w:t>;</w:t>
      </w:r>
    </w:p>
    <w:p>
      <w:pPr>
        <w:pStyle w:val="ListParagraph"/>
        <w:numPr>
          <w:ilvl w:val="1"/>
          <w:numId w:val="206"/>
        </w:numPr>
        <w:spacing w:after="120"/>
        <w:ind w:left="1985"/>
        <w:jc w:val="both"/>
        <w:rPr>
          <w:rFonts w:ascii="Arial" w:hAnsi="Arial" w:cs="Arial"/>
          <w:noProof/>
          <w:sz w:val="20"/>
        </w:rPr>
      </w:pPr>
      <w:r>
        <w:rPr>
          <w:rFonts w:ascii="Arial" w:hAnsi="Arial"/>
          <w:noProof/>
          <w:sz w:val="20"/>
          <w:szCs w:val="20"/>
        </w:rPr>
        <w:t>Directive on protective measures against the introduction into the Community of organisms harmful to plants</w:t>
      </w:r>
      <w:r>
        <w:rPr>
          <w:rFonts w:ascii="Arial" w:hAnsi="Arial"/>
          <w:noProof/>
          <w:sz w:val="20"/>
          <w:szCs w:val="20"/>
          <w:vertAlign w:val="superscript"/>
          <w:lang w:val="nl-NL"/>
        </w:rPr>
        <w:footnoteReference w:id="200"/>
      </w:r>
      <w:r>
        <w:rPr>
          <w:rFonts w:ascii="Arial" w:hAnsi="Arial"/>
          <w:noProof/>
          <w:sz w:val="20"/>
          <w:szCs w:val="20"/>
        </w:rPr>
        <w:t>;</w:t>
      </w:r>
    </w:p>
    <w:p>
      <w:pPr>
        <w:pStyle w:val="ListParagraph"/>
        <w:numPr>
          <w:ilvl w:val="1"/>
          <w:numId w:val="206"/>
        </w:numPr>
        <w:spacing w:after="120"/>
        <w:ind w:left="1985"/>
        <w:jc w:val="both"/>
        <w:rPr>
          <w:rFonts w:ascii="Arial" w:hAnsi="Arial" w:cs="Arial"/>
          <w:noProof/>
          <w:sz w:val="20"/>
        </w:rPr>
      </w:pPr>
      <w:r>
        <w:rPr>
          <w:rFonts w:ascii="Arial" w:eastAsia="Times New Roman" w:hAnsi="Arial" w:cs="Arial"/>
          <w:noProof/>
          <w:sz w:val="20"/>
          <w:szCs w:val="20"/>
          <w:lang w:eastAsia="en-GB"/>
        </w:rPr>
        <w:t>Directive concerning undertakings for collective investment in transferable securities</w:t>
      </w:r>
      <w:r>
        <w:rPr>
          <w:rFonts w:ascii="Arial" w:eastAsia="Times New Roman" w:hAnsi="Arial" w:cs="Arial"/>
          <w:noProof/>
          <w:sz w:val="20"/>
          <w:szCs w:val="20"/>
          <w:vertAlign w:val="superscript"/>
          <w:lang w:eastAsia="en-GB"/>
        </w:rPr>
        <w:footnoteReference w:id="201"/>
      </w:r>
      <w:r>
        <w:rPr>
          <w:rFonts w:ascii="Arial" w:eastAsia="Times New Roman" w:hAnsi="Arial" w:cs="Arial"/>
          <w:noProof/>
          <w:sz w:val="20"/>
          <w:szCs w:val="20"/>
          <w:lang w:eastAsia="en-GB"/>
        </w:rPr>
        <w:t>;</w:t>
      </w:r>
    </w:p>
    <w:p>
      <w:pPr>
        <w:pStyle w:val="ListParagraph"/>
        <w:numPr>
          <w:ilvl w:val="1"/>
          <w:numId w:val="206"/>
        </w:numPr>
        <w:spacing w:after="120"/>
        <w:ind w:left="1985"/>
        <w:jc w:val="both"/>
        <w:rPr>
          <w:rFonts w:ascii="Arial" w:hAnsi="Arial" w:cs="Arial"/>
          <w:noProof/>
          <w:sz w:val="20"/>
        </w:rPr>
      </w:pPr>
      <w:r>
        <w:rPr>
          <w:rFonts w:ascii="Arial" w:hAnsi="Arial" w:cs="Arial"/>
          <w:noProof/>
          <w:sz w:val="20"/>
          <w:szCs w:val="20"/>
        </w:rPr>
        <w:t>Offshore Safety Directive</w:t>
      </w:r>
      <w:r>
        <w:rPr>
          <w:rStyle w:val="FootnoteReference"/>
          <w:rFonts w:ascii="Arial" w:hAnsi="Arial" w:cs="Arial"/>
          <w:noProof/>
          <w:sz w:val="20"/>
          <w:szCs w:val="20"/>
        </w:rPr>
        <w:footnoteReference w:id="202"/>
      </w:r>
      <w:r>
        <w:rPr>
          <w:rFonts w:ascii="Arial" w:hAnsi="Arial" w:cs="Arial"/>
          <w:noProof/>
          <w:sz w:val="20"/>
          <w:szCs w:val="20"/>
        </w:rPr>
        <w:t>.</w:t>
      </w:r>
    </w:p>
    <w:p>
      <w:pPr>
        <w:pStyle w:val="AnnualReport1"/>
        <w:numPr>
          <w:ilvl w:val="0"/>
          <w:numId w:val="181"/>
        </w:numPr>
        <w:ind w:left="709"/>
        <w:rPr>
          <w:noProof/>
        </w:rPr>
      </w:pPr>
      <w:r>
        <w:rPr>
          <w:noProof/>
        </w:rPr>
        <w:t>IMPORTANT JUDGMENTS</w:t>
      </w:r>
    </w:p>
    <w:p>
      <w:pPr>
        <w:numPr>
          <w:ilvl w:val="0"/>
          <w:numId w:val="119"/>
        </w:numPr>
        <w:spacing w:before="240"/>
        <w:ind w:left="709" w:hanging="425"/>
        <w:outlineLvl w:val="1"/>
        <w:rPr>
          <w:rFonts w:ascii="Arial" w:hAnsi="Arial"/>
          <w:noProof/>
          <w:color w:val="002060"/>
        </w:rPr>
      </w:pPr>
      <w:r>
        <w:rPr>
          <w:rFonts w:ascii="Arial" w:hAnsi="Arial"/>
          <w:noProof/>
          <w:color w:val="002060"/>
        </w:rPr>
        <w:t>Court rulings</w:t>
      </w:r>
      <w:r>
        <w:rPr>
          <w:rStyle w:val="FootnoteReference"/>
          <w:rFonts w:ascii="Arial" w:hAnsi="Arial"/>
          <w:noProof/>
          <w:color w:val="002060"/>
        </w:rPr>
        <w:footnoteReference w:id="203"/>
      </w:r>
    </w:p>
    <w:p>
      <w:pPr>
        <w:spacing w:after="120"/>
        <w:ind w:firstLine="709"/>
        <w:rPr>
          <w:rFonts w:ascii="Arial" w:hAnsi="Arial" w:cs="Arial"/>
          <w:noProof/>
          <w:sz w:val="20"/>
          <w:szCs w:val="20"/>
        </w:rPr>
      </w:pPr>
      <w:r>
        <w:rPr>
          <w:rFonts w:ascii="Arial" w:hAnsi="Arial" w:cs="Arial"/>
          <w:noProof/>
          <w:sz w:val="20"/>
          <w:szCs w:val="20"/>
        </w:rPr>
        <w:t>The Court ruled that:</w:t>
      </w:r>
    </w:p>
    <w:p>
      <w:pPr>
        <w:pStyle w:val="Basis"/>
        <w:numPr>
          <w:ilvl w:val="0"/>
          <w:numId w:val="207"/>
        </w:numPr>
        <w:spacing w:after="100" w:afterAutospacing="1" w:line="240" w:lineRule="auto"/>
        <w:ind w:left="1418"/>
        <w:jc w:val="both"/>
        <w:rPr>
          <w:rFonts w:ascii="Arial" w:hAnsi="Arial" w:cs="Arial"/>
          <w:noProof/>
          <w:lang w:val="en-GB"/>
        </w:rPr>
      </w:pPr>
      <w:r>
        <w:rPr>
          <w:rFonts w:ascii="Arial" w:hAnsi="Arial" w:cs="Arial"/>
          <w:noProof/>
        </w:rPr>
        <w:t>Romania</w:t>
      </w:r>
      <w:r>
        <w:rPr>
          <w:rFonts w:ascii="Arial" w:hAnsi="Arial" w:cs="Arial"/>
          <w:noProof/>
          <w:lang w:val="en-GB"/>
        </w:rPr>
        <w:t xml:space="preserve"> has breached the Landfill Directive by failing t</w:t>
      </w:r>
      <w:r>
        <w:rPr>
          <w:rFonts w:ascii="Arial" w:hAnsi="Arial" w:cs="Arial"/>
          <w:noProof/>
        </w:rPr>
        <w:t>o close down 68 landfills which had not received authorisation to continue operating</w:t>
      </w:r>
      <w:r>
        <w:rPr>
          <w:rStyle w:val="FootnoteReference"/>
          <w:rFonts w:ascii="Arial" w:hAnsi="Arial" w:cs="Arial"/>
          <w:noProof/>
        </w:rPr>
        <w:footnoteReference w:id="204"/>
      </w:r>
      <w:r>
        <w:rPr>
          <w:rFonts w:ascii="Arial" w:hAnsi="Arial" w:cs="Arial"/>
          <w:noProof/>
        </w:rPr>
        <w:t>.</w:t>
      </w:r>
    </w:p>
    <w:p>
      <w:pPr>
        <w:numPr>
          <w:ilvl w:val="0"/>
          <w:numId w:val="119"/>
        </w:numPr>
        <w:spacing w:before="240"/>
        <w:ind w:left="709" w:hanging="425"/>
        <w:outlineLvl w:val="1"/>
        <w:rPr>
          <w:rFonts w:ascii="Arial" w:hAnsi="Arial"/>
          <w:noProof/>
          <w:color w:val="002060"/>
        </w:rPr>
      </w:pPr>
      <w:r>
        <w:rPr>
          <w:rFonts w:ascii="Arial" w:hAnsi="Arial"/>
          <w:noProof/>
          <w:color w:val="002060"/>
        </w:rPr>
        <w:t>Preliminary rulings</w:t>
      </w:r>
    </w:p>
    <w:p>
      <w:pPr>
        <w:spacing w:after="120"/>
        <w:ind w:left="426" w:firstLine="294"/>
        <w:jc w:val="both"/>
        <w:rPr>
          <w:rFonts w:ascii="Arial" w:hAnsi="Arial" w:cs="Arial"/>
          <w:noProof/>
          <w:sz w:val="20"/>
        </w:rPr>
      </w:pPr>
      <w:r>
        <w:rPr>
          <w:rFonts w:ascii="Arial" w:hAnsi="Arial" w:cs="Arial"/>
          <w:noProof/>
          <w:sz w:val="20"/>
        </w:rPr>
        <w:t xml:space="preserve">The Court addressed the following preliminary rulings to the Romanian judiciary. </w:t>
      </w:r>
    </w:p>
    <w:p>
      <w:pPr>
        <w:pStyle w:val="ListParagraph"/>
        <w:numPr>
          <w:ilvl w:val="0"/>
          <w:numId w:val="207"/>
        </w:numPr>
        <w:spacing w:after="120"/>
        <w:ind w:left="1418"/>
        <w:jc w:val="both"/>
        <w:rPr>
          <w:rFonts w:ascii="Arial" w:hAnsi="Arial" w:cs="Arial"/>
          <w:noProof/>
          <w:sz w:val="20"/>
        </w:rPr>
      </w:pPr>
      <w:r>
        <w:rPr>
          <w:rFonts w:ascii="Arial" w:hAnsi="Arial" w:cs="Arial"/>
          <w:noProof/>
          <w:sz w:val="20"/>
          <w:szCs w:val="20"/>
        </w:rPr>
        <w:t>The work performed by a foster parent under an employment contract with a public authority is not covered by the provisions of the Working Time Directive</w:t>
      </w:r>
      <w:r>
        <w:rPr>
          <w:rStyle w:val="FootnoteReference"/>
          <w:rFonts w:ascii="Arial" w:hAnsi="Arial" w:cs="Arial"/>
          <w:noProof/>
          <w:sz w:val="20"/>
          <w:szCs w:val="20"/>
        </w:rPr>
        <w:footnoteReference w:id="205"/>
      </w:r>
      <w:r>
        <w:rPr>
          <w:rFonts w:ascii="Arial" w:hAnsi="Arial" w:cs="Arial"/>
          <w:noProof/>
          <w:sz w:val="20"/>
          <w:szCs w:val="20"/>
        </w:rPr>
        <w:t>.</w:t>
      </w:r>
    </w:p>
    <w:p>
      <w:pPr>
        <w:pStyle w:val="ListParagraph"/>
        <w:numPr>
          <w:ilvl w:val="0"/>
          <w:numId w:val="207"/>
        </w:numPr>
        <w:spacing w:after="120"/>
        <w:ind w:left="1418"/>
        <w:jc w:val="both"/>
        <w:rPr>
          <w:rFonts w:ascii="Arial" w:hAnsi="Arial" w:cs="Arial"/>
          <w:noProof/>
        </w:rPr>
      </w:pPr>
      <w:r>
        <w:rPr>
          <w:rFonts w:ascii="Arial" w:hAnsi="Arial" w:cs="Arial"/>
          <w:noProof/>
          <w:sz w:val="20"/>
          <w:szCs w:val="20"/>
        </w:rPr>
        <w:t>The term ‘spouse’ in the Free Movement Directive also applies to a person of the same sex as the EU citizen to whom he or she is married. The obligation for a Member State to recognise a same-sex marriage concluded in another Member State, for the sole purpose of granting a right of residence to a non-EU national, does not undermine the institution of marriage in the first Member State</w:t>
      </w:r>
      <w:r>
        <w:rPr>
          <w:rStyle w:val="FootnoteReference"/>
          <w:rFonts w:ascii="Arial" w:hAnsi="Arial" w:cs="Arial"/>
          <w:noProof/>
        </w:rPr>
        <w:footnoteReference w:id="206"/>
      </w:r>
      <w:r>
        <w:rPr>
          <w:rFonts w:ascii="Arial" w:hAnsi="Arial" w:cs="Arial"/>
          <w:noProof/>
        </w:rPr>
        <w:t>.</w:t>
      </w:r>
    </w:p>
    <w:p>
      <w:pPr>
        <w:pStyle w:val="ListParagraph"/>
        <w:numPr>
          <w:ilvl w:val="0"/>
          <w:numId w:val="207"/>
        </w:numPr>
        <w:spacing w:after="120" w:line="256" w:lineRule="auto"/>
        <w:ind w:left="1418"/>
        <w:jc w:val="both"/>
        <w:rPr>
          <w:rFonts w:ascii="Arial" w:hAnsi="Arial" w:cs="Arial"/>
          <w:noProof/>
          <w:sz w:val="20"/>
        </w:rPr>
      </w:pPr>
      <w:r>
        <w:rPr>
          <w:rFonts w:ascii="Arial" w:hAnsi="Arial" w:cs="Arial"/>
          <w:noProof/>
          <w:sz w:val="20"/>
          <w:szCs w:val="20"/>
        </w:rPr>
        <w:t>A worker on parental leave does not accrue the right to paid annual leave under the provisions of the Working Time Directive</w:t>
      </w:r>
      <w:r>
        <w:rPr>
          <w:rStyle w:val="FootnoteReference"/>
          <w:rFonts w:cs="Arial"/>
          <w:noProof/>
          <w:sz w:val="20"/>
          <w:szCs w:val="20"/>
        </w:rPr>
        <w:footnoteReference w:id="207"/>
      </w:r>
      <w:r>
        <w:rPr>
          <w:rFonts w:ascii="Arial" w:hAnsi="Arial" w:cs="Arial"/>
          <w:noProof/>
          <w:sz w:val="20"/>
          <w:szCs w:val="20"/>
        </w:rPr>
        <w:t>.</w:t>
      </w:r>
    </w:p>
    <w:p>
      <w:pPr>
        <w:spacing w:after="0"/>
        <w:rPr>
          <w:noProof/>
        </w:rPr>
      </w:pPr>
    </w:p>
    <w:p>
      <w:pPr>
        <w:spacing w:after="0"/>
        <w:rPr>
          <w:noProof/>
        </w:rPr>
        <w:sectPr>
          <w:headerReference w:type="even" r:id="rId138"/>
          <w:headerReference w:type="default" r:id="rId139"/>
          <w:footerReference w:type="even" r:id="rId140"/>
          <w:footerReference w:type="default" r:id="rId141"/>
          <w:headerReference w:type="first" r:id="rId142"/>
          <w:footerReference w:type="first" r:id="rId143"/>
          <w:footnotePr>
            <w:numRestart w:val="eachSect"/>
          </w:footnotePr>
          <w:pgSz w:w="11906" w:h="16838"/>
          <w:pgMar w:top="1701"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48" w:name="_Toc475974662"/>
      <w:bookmarkStart w:id="49" w:name="_Toc475980158"/>
      <w:bookmarkStart w:id="50" w:name="_Toc475981407"/>
      <w:bookmarkStart w:id="51" w:name="_Toc484622340"/>
      <w:bookmarkStart w:id="52" w:name="_Toc5728036"/>
      <w:bookmarkStart w:id="53" w:name="_Toc475974661"/>
      <w:bookmarkStart w:id="54" w:name="_Toc475980157"/>
      <w:bookmarkStart w:id="55" w:name="_Toc475981406"/>
      <w:r>
        <w:rPr>
          <w:rFonts w:ascii="Arial" w:eastAsia="SimSun" w:hAnsi="Arial"/>
          <w:bCs/>
          <w:noProof/>
          <w:color w:val="A6A6A6"/>
          <w:szCs w:val="28"/>
        </w:rPr>
        <w:t>Slovenia</w:t>
      </w:r>
      <w:bookmarkEnd w:id="48"/>
      <w:bookmarkEnd w:id="49"/>
      <w:bookmarkEnd w:id="50"/>
      <w:bookmarkEnd w:id="51"/>
      <w:bookmarkEnd w:id="52"/>
    </w:p>
    <w:p>
      <w:pPr>
        <w:pStyle w:val="AnnualReport1"/>
        <w:numPr>
          <w:ilvl w:val="0"/>
          <w:numId w:val="183"/>
        </w:numPr>
        <w:ind w:left="709"/>
        <w:rPr>
          <w:noProof/>
        </w:rPr>
      </w:pPr>
      <w:r>
        <w:rPr>
          <w:noProof/>
        </w:rPr>
        <w:t>COMPLAINTS</w:t>
      </w:r>
    </w:p>
    <w:p>
      <w:pPr>
        <w:numPr>
          <w:ilvl w:val="0"/>
          <w:numId w:val="120"/>
        </w:numPr>
        <w:spacing w:before="240"/>
        <w:ind w:left="709" w:hanging="425"/>
        <w:outlineLvl w:val="1"/>
        <w:rPr>
          <w:rFonts w:ascii="Arial" w:hAnsi="Arial"/>
          <w:noProof/>
          <w:color w:val="002060"/>
        </w:rPr>
      </w:pPr>
      <w:r>
        <w:rPr>
          <w:rFonts w:ascii="Arial" w:hAnsi="Arial"/>
          <w:noProof/>
          <w:color w:val="002060"/>
        </w:rPr>
        <w:t>New complaints made against Slovenia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154555"/>
            <wp:effectExtent l="0" t="0" r="0" b="0"/>
            <wp:docPr id="25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numPr>
          <w:ilvl w:val="0"/>
          <w:numId w:val="120"/>
        </w:numPr>
        <w:spacing w:before="240"/>
        <w:ind w:left="709" w:hanging="425"/>
        <w:outlineLvl w:val="1"/>
        <w:rPr>
          <w:rFonts w:ascii="Arial" w:hAnsi="Arial"/>
          <w:noProof/>
          <w:color w:val="002060"/>
        </w:rPr>
      </w:pPr>
      <w:r>
        <w:rPr>
          <w:rFonts w:ascii="Arial" w:hAnsi="Arial"/>
          <w:noProof/>
          <w:color w:val="002060"/>
        </w:rPr>
        <w:t>Public complaints against Slovenia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47</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49</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51</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45</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120"/>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5096510" cy="2600325"/>
            <wp:effectExtent l="0" t="0" r="8890" b="9525"/>
            <wp:docPr id="256"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spacing w:after="200" w:line="276" w:lineRule="auto"/>
        <w:rPr>
          <w:rFonts w:ascii="Arial" w:hAnsi="Arial" w:cs="Arial"/>
          <w:noProof/>
          <w:sz w:val="20"/>
        </w:rPr>
      </w:pPr>
      <w:r>
        <w:rPr>
          <w:noProof/>
        </w:rPr>
        <w:br w:type="page"/>
      </w:r>
    </w:p>
    <w:p>
      <w:pPr>
        <w:pStyle w:val="AnnualReport1"/>
        <w:numPr>
          <w:ilvl w:val="0"/>
          <w:numId w:val="183"/>
        </w:numPr>
        <w:ind w:left="709"/>
        <w:rPr>
          <w:noProof/>
        </w:rPr>
      </w:pPr>
      <w:r>
        <w:rPr>
          <w:noProof/>
        </w:rPr>
        <w:t>EU PILOT</w:t>
      </w:r>
    </w:p>
    <w:p>
      <w:pPr>
        <w:numPr>
          <w:ilvl w:val="0"/>
          <w:numId w:val="121"/>
        </w:numPr>
        <w:spacing w:before="240"/>
        <w:ind w:left="709" w:hanging="425"/>
        <w:outlineLvl w:val="1"/>
        <w:rPr>
          <w:rFonts w:ascii="Arial" w:hAnsi="Arial"/>
          <w:noProof/>
          <w:color w:val="002060"/>
        </w:rPr>
      </w:pPr>
      <w:r>
        <w:rPr>
          <w:rFonts w:ascii="Arial" w:hAnsi="Arial"/>
          <w:noProof/>
          <w:color w:val="002060"/>
        </w:rPr>
        <w:t>New EU Pilot files opened against Slovenia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7875" cy="2353310"/>
            <wp:effectExtent l="0" t="0" r="0" b="0"/>
            <wp:docPr id="25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numPr>
          <w:ilvl w:val="0"/>
          <w:numId w:val="121"/>
        </w:numPr>
        <w:spacing w:before="240"/>
        <w:ind w:left="709" w:hanging="425"/>
        <w:outlineLvl w:val="1"/>
        <w:rPr>
          <w:rFonts w:ascii="Arial" w:hAnsi="Arial"/>
          <w:noProof/>
          <w:color w:val="002060"/>
        </w:rPr>
      </w:pPr>
      <w:r>
        <w:rPr>
          <w:rFonts w:ascii="Arial" w:hAnsi="Arial"/>
          <w:noProof/>
          <w:color w:val="002060"/>
        </w:rPr>
        <w:t>Files relating to Slovenia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353310"/>
            <wp:effectExtent l="0" t="0" r="0" b="0"/>
            <wp:docPr id="2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numPr>
          <w:ilvl w:val="0"/>
          <w:numId w:val="121"/>
        </w:numPr>
        <w:spacing w:before="240"/>
        <w:ind w:left="709" w:hanging="425"/>
        <w:outlineLvl w:val="1"/>
        <w:rPr>
          <w:rFonts w:ascii="Arial" w:hAnsi="Arial"/>
          <w:noProof/>
          <w:color w:val="002060"/>
        </w:rPr>
      </w:pPr>
      <w:r>
        <w:rPr>
          <w:rFonts w:ascii="Arial" w:hAnsi="Arial"/>
          <w:noProof/>
          <w:color w:val="002060"/>
        </w:rPr>
        <w:t>New EU Pilot files opened in 2018: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43755" cy="2095500"/>
            <wp:effectExtent l="0" t="0" r="4445" b="0"/>
            <wp:docPr id="259"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121"/>
        </w:numPr>
        <w:spacing w:before="240"/>
        <w:ind w:left="709" w:hanging="425"/>
        <w:outlineLvl w:val="1"/>
        <w:rPr>
          <w:rFonts w:ascii="Arial" w:hAnsi="Arial"/>
          <w:noProof/>
          <w:color w:val="002060"/>
        </w:rPr>
      </w:pPr>
      <w:r>
        <w:rPr>
          <w:rFonts w:ascii="Arial" w:hAnsi="Arial"/>
          <w:noProof/>
          <w:color w:val="002060"/>
        </w:rPr>
        <w:t>EU Pilot files: Slovenia’s resolution rate in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602480" cy="2095500"/>
            <wp:effectExtent l="0" t="0" r="7620" b="0"/>
            <wp:docPr id="26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AnnualReport1"/>
        <w:numPr>
          <w:ilvl w:val="0"/>
          <w:numId w:val="183"/>
        </w:numPr>
        <w:ind w:left="709"/>
        <w:rPr>
          <w:noProof/>
        </w:rPr>
      </w:pPr>
      <w:r>
        <w:rPr>
          <w:noProof/>
        </w:rPr>
        <w:t>INFRINGEMENT CASES</w:t>
      </w:r>
    </w:p>
    <w:p>
      <w:pPr>
        <w:numPr>
          <w:ilvl w:val="0"/>
          <w:numId w:val="184"/>
        </w:numPr>
        <w:spacing w:before="240"/>
        <w:outlineLvl w:val="1"/>
        <w:rPr>
          <w:rFonts w:ascii="Arial" w:hAnsi="Arial"/>
          <w:noProof/>
          <w:color w:val="002060"/>
        </w:rPr>
      </w:pPr>
      <w:r>
        <w:rPr>
          <w:rFonts w:ascii="Arial" w:hAnsi="Arial"/>
          <w:noProof/>
          <w:color w:val="002060"/>
        </w:rPr>
        <w:t>Infringement cases against Slovenia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1932305"/>
            <wp:effectExtent l="0" t="0" r="0" b="0"/>
            <wp:docPr id="261"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numPr>
          <w:ilvl w:val="0"/>
          <w:numId w:val="184"/>
        </w:numPr>
        <w:spacing w:before="240"/>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4860" cy="2476500"/>
            <wp:effectExtent l="0" t="0" r="15240" b="0"/>
            <wp:docPr id="262" name="Object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spacing w:after="0"/>
        <w:rPr>
          <w:rFonts w:ascii="Arial" w:hAnsi="Arial" w:cs="Arial"/>
          <w:noProof/>
          <w:sz w:val="20"/>
        </w:rPr>
      </w:pPr>
      <w:r>
        <w:rPr>
          <w:rFonts w:ascii="Arial" w:hAnsi="Arial" w:cs="Arial"/>
          <w:noProof/>
          <w:sz w:val="20"/>
        </w:rPr>
        <w:br w:type="page"/>
      </w:r>
    </w:p>
    <w:p>
      <w:pPr>
        <w:numPr>
          <w:ilvl w:val="0"/>
          <w:numId w:val="184"/>
        </w:numPr>
        <w:spacing w:before="240"/>
        <w:outlineLvl w:val="1"/>
        <w:rPr>
          <w:rFonts w:ascii="Arial" w:hAnsi="Arial"/>
          <w:noProof/>
          <w:color w:val="002060"/>
        </w:rPr>
      </w:pPr>
      <w:r>
        <w:rPr>
          <w:rFonts w:ascii="Arial" w:hAnsi="Arial"/>
          <w:noProof/>
          <w:color w:val="002060"/>
        </w:rPr>
        <w:t>Key infringement cases and referrals to the Court</w:t>
      </w:r>
    </w:p>
    <w:p>
      <w:pPr>
        <w:numPr>
          <w:ilvl w:val="0"/>
          <w:numId w:val="146"/>
        </w:numPr>
        <w:ind w:left="1276" w:hanging="425"/>
        <w:jc w:val="both"/>
        <w:rPr>
          <w:rFonts w:ascii="Arial" w:hAnsi="Arial" w:cs="Arial"/>
          <w:noProof/>
          <w:sz w:val="20"/>
          <w:szCs w:val="20"/>
        </w:rPr>
      </w:pPr>
      <w:r>
        <w:rPr>
          <w:rFonts w:ascii="Arial" w:hAnsi="Arial" w:cs="Arial"/>
          <w:noProof/>
          <w:sz w:val="20"/>
          <w:szCs w:val="20"/>
        </w:rPr>
        <w:t>The Commission opened 22 new infringement cases against Slovenia in 2018. These, and other major ongoing infringement cases, include:</w:t>
      </w:r>
    </w:p>
    <w:p>
      <w:pPr>
        <w:pStyle w:val="ListParagraph"/>
        <w:numPr>
          <w:ilvl w:val="0"/>
          <w:numId w:val="215"/>
        </w:numPr>
        <w:ind w:left="1701"/>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1"/>
          <w:numId w:val="215"/>
        </w:numPr>
        <w:ind w:left="2268"/>
        <w:jc w:val="both"/>
        <w:rPr>
          <w:rFonts w:ascii="Arial" w:hAnsi="Arial" w:cs="Arial"/>
          <w:noProof/>
          <w:sz w:val="20"/>
          <w:szCs w:val="20"/>
        </w:rPr>
      </w:pPr>
      <w:r>
        <w:rPr>
          <w:rFonts w:ascii="Arial" w:hAnsi="Arial" w:cs="Arial"/>
          <w:noProof/>
          <w:sz w:val="20"/>
          <w:szCs w:val="20"/>
        </w:rPr>
        <w:t>Insurance Distribution Directive</w:t>
      </w:r>
      <w:r>
        <w:rPr>
          <w:rFonts w:ascii="Arial" w:hAnsi="Arial" w:cs="Arial"/>
          <w:noProof/>
          <w:sz w:val="20"/>
          <w:szCs w:val="20"/>
          <w:vertAlign w:val="superscript"/>
        </w:rPr>
        <w:footnoteReference w:id="208"/>
      </w:r>
      <w:r>
        <w:rPr>
          <w:rFonts w:ascii="Arial" w:hAnsi="Arial" w:cs="Arial"/>
          <w:noProof/>
          <w:sz w:val="20"/>
          <w:szCs w:val="20"/>
        </w:rPr>
        <w:t>;</w:t>
      </w:r>
    </w:p>
    <w:p>
      <w:pPr>
        <w:pStyle w:val="ListParagraph"/>
        <w:numPr>
          <w:ilvl w:val="1"/>
          <w:numId w:val="215"/>
        </w:numPr>
        <w:ind w:left="2268"/>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rPr>
        <w:footnoteReference w:id="209"/>
      </w:r>
      <w:r>
        <w:rPr>
          <w:rFonts w:ascii="Arial" w:hAnsi="Arial" w:cs="Arial"/>
          <w:noProof/>
          <w:sz w:val="20"/>
          <w:szCs w:val="20"/>
        </w:rPr>
        <w:t>;</w:t>
      </w:r>
    </w:p>
    <w:p>
      <w:pPr>
        <w:pStyle w:val="ListParagraph"/>
        <w:numPr>
          <w:ilvl w:val="1"/>
          <w:numId w:val="215"/>
        </w:numPr>
        <w:ind w:left="2268"/>
        <w:jc w:val="both"/>
        <w:rPr>
          <w:rFonts w:ascii="Arial" w:hAnsi="Arial" w:cs="Arial"/>
          <w:noProof/>
          <w:sz w:val="20"/>
          <w:szCs w:val="20"/>
        </w:rPr>
      </w:pPr>
      <w:r>
        <w:rPr>
          <w:rFonts w:ascii="Arial" w:hAnsi="Arial" w:cs="Arial"/>
          <w:noProof/>
          <w:sz w:val="20"/>
          <w:szCs w:val="20"/>
          <w:lang w:eastAsia="en-GB"/>
        </w:rPr>
        <w:t>Commission Directive amending the Directive on quality system standards and specifications for blood establishments</w:t>
      </w:r>
      <w:r>
        <w:rPr>
          <w:rFonts w:ascii="Arial" w:hAnsi="Arial" w:cs="Arial"/>
          <w:noProof/>
          <w:sz w:val="20"/>
          <w:szCs w:val="20"/>
          <w:vertAlign w:val="superscript"/>
          <w:lang w:eastAsia="en-GB"/>
        </w:rPr>
        <w:footnoteReference w:id="210"/>
      </w:r>
      <w:r>
        <w:rPr>
          <w:rFonts w:ascii="Arial" w:hAnsi="Arial" w:cs="Arial"/>
          <w:noProof/>
          <w:sz w:val="20"/>
          <w:szCs w:val="20"/>
          <w:lang w:eastAsia="en-GB"/>
        </w:rPr>
        <w:t>;</w:t>
      </w:r>
    </w:p>
    <w:p>
      <w:pPr>
        <w:pStyle w:val="ListParagraph"/>
        <w:numPr>
          <w:ilvl w:val="1"/>
          <w:numId w:val="215"/>
        </w:numPr>
        <w:ind w:left="2268"/>
        <w:jc w:val="both"/>
        <w:rPr>
          <w:rFonts w:ascii="Arial" w:hAnsi="Arial" w:cs="Arial"/>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211"/>
      </w:r>
      <w:r>
        <w:rPr>
          <w:rFonts w:ascii="Arial" w:hAnsi="Arial" w:cs="Arial"/>
          <w:noProof/>
          <w:sz w:val="20"/>
          <w:szCs w:val="20"/>
        </w:rPr>
        <w:t>;</w:t>
      </w:r>
    </w:p>
    <w:p>
      <w:pPr>
        <w:pStyle w:val="ListParagraph"/>
        <w:numPr>
          <w:ilvl w:val="1"/>
          <w:numId w:val="215"/>
        </w:numPr>
        <w:ind w:left="2268"/>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212"/>
      </w:r>
      <w:r>
        <w:rPr>
          <w:rFonts w:ascii="Arial" w:hAnsi="Arial" w:cs="Arial"/>
          <w:noProof/>
          <w:sz w:val="20"/>
          <w:szCs w:val="20"/>
        </w:rPr>
        <w:t>;</w:t>
      </w:r>
    </w:p>
    <w:p>
      <w:pPr>
        <w:pStyle w:val="ListParagraph"/>
        <w:numPr>
          <w:ilvl w:val="1"/>
          <w:numId w:val="215"/>
        </w:numPr>
        <w:ind w:left="2268"/>
        <w:jc w:val="both"/>
        <w:rPr>
          <w:rFonts w:ascii="Arial" w:hAnsi="Arial" w:cs="Arial"/>
          <w:noProof/>
          <w:sz w:val="20"/>
          <w:szCs w:val="20"/>
        </w:rPr>
      </w:pPr>
      <w:r>
        <w:rPr>
          <w:rFonts w:ascii="Arial" w:hAnsi="Arial" w:cs="Arial"/>
          <w:noProof/>
          <w:sz w:val="20"/>
          <w:szCs w:val="20"/>
          <w:lang w:val="fr-BE"/>
        </w:rPr>
        <w:t>Package Travel Directive</w:t>
      </w:r>
      <w:r>
        <w:rPr>
          <w:rStyle w:val="FootnoteReference"/>
          <w:rFonts w:ascii="Arial" w:hAnsi="Arial" w:cs="Arial"/>
          <w:noProof/>
          <w:sz w:val="20"/>
          <w:szCs w:val="20"/>
        </w:rPr>
        <w:footnoteReference w:id="213"/>
      </w:r>
      <w:r>
        <w:rPr>
          <w:rFonts w:ascii="Arial" w:hAnsi="Arial" w:cs="Arial"/>
          <w:noProof/>
          <w:sz w:val="20"/>
          <w:szCs w:val="20"/>
        </w:rPr>
        <w:t>;</w:t>
      </w:r>
    </w:p>
    <w:p>
      <w:pPr>
        <w:pStyle w:val="ListParagraph"/>
        <w:numPr>
          <w:ilvl w:val="1"/>
          <w:numId w:val="215"/>
        </w:numPr>
        <w:ind w:left="2268"/>
        <w:jc w:val="both"/>
        <w:rPr>
          <w:rFonts w:ascii="Arial" w:hAnsi="Arial" w:cs="Arial"/>
          <w:noProof/>
          <w:sz w:val="20"/>
          <w:szCs w:val="20"/>
        </w:rPr>
      </w:pPr>
      <w:r>
        <w:rPr>
          <w:rFonts w:ascii="Arial" w:hAnsi="Arial" w:cs="Arial"/>
          <w:noProof/>
          <w:sz w:val="20"/>
        </w:rPr>
        <w:t>Data Protection Law Enforcement Directive</w:t>
      </w:r>
      <w:r>
        <w:rPr>
          <w:rStyle w:val="FootnoteReference"/>
          <w:rFonts w:ascii="Arial" w:hAnsi="Arial" w:cs="Arial"/>
          <w:noProof/>
          <w:sz w:val="20"/>
        </w:rPr>
        <w:footnoteReference w:id="214"/>
      </w:r>
      <w:r>
        <w:rPr>
          <w:rFonts w:ascii="Arial" w:hAnsi="Arial" w:cs="Arial"/>
          <w:noProof/>
          <w:sz w:val="20"/>
        </w:rPr>
        <w:t>.</w:t>
      </w:r>
    </w:p>
    <w:p>
      <w:pPr>
        <w:pStyle w:val="ListParagraph"/>
        <w:numPr>
          <w:ilvl w:val="0"/>
          <w:numId w:val="215"/>
        </w:numPr>
        <w:ind w:left="1701"/>
        <w:jc w:val="both"/>
        <w:rPr>
          <w:rFonts w:ascii="Arial" w:hAnsi="Arial" w:cs="Arial"/>
          <w:noProof/>
          <w:sz w:val="20"/>
          <w:szCs w:val="20"/>
        </w:rPr>
      </w:pPr>
      <w:r>
        <w:rPr>
          <w:rFonts w:ascii="Arial" w:hAnsi="Arial" w:cs="Arial"/>
          <w:noProof/>
          <w:sz w:val="20"/>
          <w:szCs w:val="20"/>
        </w:rPr>
        <w:t>failure to comply with the judgment of the Court of Justice and rehabilitate an illegal landfill in Bukovžlak, Celje</w:t>
      </w:r>
      <w:r>
        <w:rPr>
          <w:rStyle w:val="FootnoteReference"/>
          <w:rFonts w:ascii="Arial" w:hAnsi="Arial" w:cs="Arial"/>
          <w:noProof/>
          <w:sz w:val="20"/>
          <w:szCs w:val="20"/>
        </w:rPr>
        <w:footnoteReference w:id="215"/>
      </w:r>
      <w:r>
        <w:rPr>
          <w:rFonts w:ascii="Arial" w:hAnsi="Arial" w:cs="Arial"/>
          <w:noProof/>
          <w:sz w:val="20"/>
          <w:szCs w:val="20"/>
        </w:rPr>
        <w:t>;</w:t>
      </w:r>
    </w:p>
    <w:p>
      <w:pPr>
        <w:pStyle w:val="ListParagraph"/>
        <w:numPr>
          <w:ilvl w:val="0"/>
          <w:numId w:val="215"/>
        </w:numPr>
        <w:ind w:left="1701"/>
        <w:jc w:val="both"/>
        <w:rPr>
          <w:rFonts w:ascii="Arial" w:hAnsi="Arial" w:cs="Arial"/>
          <w:noProof/>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216"/>
      </w:r>
      <w:r>
        <w:rPr>
          <w:rFonts w:ascii="Arial" w:hAnsi="Arial" w:cs="Arial"/>
          <w:noProof/>
          <w:sz w:val="20"/>
          <w:szCs w:val="20"/>
        </w:rPr>
        <w:t>;</w:t>
      </w:r>
    </w:p>
    <w:p>
      <w:pPr>
        <w:pStyle w:val="ListParagraph"/>
        <w:numPr>
          <w:ilvl w:val="0"/>
          <w:numId w:val="215"/>
        </w:numPr>
        <w:ind w:left="1701"/>
        <w:jc w:val="both"/>
        <w:rPr>
          <w:rFonts w:ascii="Arial" w:hAnsi="Arial" w:cs="Arial"/>
          <w:noProof/>
          <w:sz w:val="20"/>
          <w:szCs w:val="20"/>
        </w:rPr>
      </w:pPr>
      <w:r>
        <w:rPr>
          <w:rFonts w:ascii="Arial" w:hAnsi="Arial" w:cs="Arial"/>
          <w:noProof/>
          <w:sz w:val="20"/>
          <w:szCs w:val="20"/>
        </w:rPr>
        <w:t xml:space="preserve">non-compliance with the requirements of the </w:t>
      </w:r>
    </w:p>
    <w:p>
      <w:pPr>
        <w:pStyle w:val="ListParagraph"/>
        <w:numPr>
          <w:ilvl w:val="1"/>
          <w:numId w:val="215"/>
        </w:numPr>
        <w:jc w:val="both"/>
        <w:rPr>
          <w:rFonts w:ascii="Arial" w:hAnsi="Arial" w:cs="Arial"/>
          <w:noProof/>
          <w:sz w:val="20"/>
          <w:szCs w:val="20"/>
        </w:rPr>
      </w:pPr>
      <w:r>
        <w:rPr>
          <w:rFonts w:ascii="Arial" w:hAnsi="Arial" w:cs="Arial"/>
          <w:noProof/>
          <w:sz w:val="20"/>
          <w:szCs w:val="20"/>
        </w:rPr>
        <w:t>Energy Efficiency Directive</w:t>
      </w:r>
      <w:r>
        <w:rPr>
          <w:rStyle w:val="FootnoteReference"/>
          <w:rFonts w:ascii="Arial" w:hAnsi="Arial" w:cs="Arial"/>
          <w:noProof/>
          <w:sz w:val="20"/>
          <w:szCs w:val="20"/>
        </w:rPr>
        <w:footnoteReference w:id="217"/>
      </w:r>
      <w:r>
        <w:rPr>
          <w:rFonts w:ascii="Arial" w:hAnsi="Arial" w:cs="Arial"/>
          <w:noProof/>
          <w:sz w:val="20"/>
          <w:szCs w:val="20"/>
        </w:rPr>
        <w:t>;</w:t>
      </w:r>
    </w:p>
    <w:p>
      <w:pPr>
        <w:pStyle w:val="ListParagraph"/>
        <w:numPr>
          <w:ilvl w:val="1"/>
          <w:numId w:val="215"/>
        </w:numPr>
        <w:jc w:val="both"/>
        <w:rPr>
          <w:rFonts w:ascii="Arial" w:hAnsi="Arial" w:cs="Arial"/>
          <w:noProof/>
          <w:szCs w:val="20"/>
        </w:rPr>
      </w:pPr>
      <w:r>
        <w:rPr>
          <w:rFonts w:ascii="Arial" w:hAnsi="Arial" w:cs="Arial"/>
          <w:noProof/>
          <w:sz w:val="20"/>
          <w:szCs w:val="20"/>
        </w:rPr>
        <w:t>Energy Performance of Buildings Directive</w:t>
      </w:r>
      <w:r>
        <w:rPr>
          <w:rStyle w:val="FootnoteReference"/>
          <w:rFonts w:ascii="Arial" w:hAnsi="Arial" w:cs="Arial"/>
          <w:noProof/>
          <w:szCs w:val="20"/>
        </w:rPr>
        <w:footnoteReference w:id="218"/>
      </w:r>
      <w:r>
        <w:rPr>
          <w:rFonts w:ascii="Arial" w:hAnsi="Arial" w:cs="Arial"/>
          <w:noProof/>
          <w:sz w:val="20"/>
          <w:szCs w:val="20"/>
        </w:rPr>
        <w:t>;</w:t>
      </w:r>
    </w:p>
    <w:p>
      <w:pPr>
        <w:pStyle w:val="ListParagraph"/>
        <w:numPr>
          <w:ilvl w:val="0"/>
          <w:numId w:val="234"/>
        </w:numPr>
        <w:ind w:left="1701"/>
        <w:jc w:val="both"/>
        <w:rPr>
          <w:rFonts w:ascii="Arial" w:hAnsi="Arial" w:cs="Arial"/>
          <w:noProof/>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219"/>
      </w:r>
      <w:r>
        <w:rPr>
          <w:rFonts w:ascii="Arial" w:hAnsi="Arial" w:cs="Arial"/>
          <w:noProof/>
          <w:sz w:val="20"/>
          <w:szCs w:val="20"/>
        </w:rPr>
        <w:t>.</w:t>
      </w:r>
    </w:p>
    <w:p>
      <w:pPr>
        <w:numPr>
          <w:ilvl w:val="0"/>
          <w:numId w:val="146"/>
        </w:numPr>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pStyle w:val="ListParagraph"/>
        <w:numPr>
          <w:ilvl w:val="0"/>
          <w:numId w:val="278"/>
        </w:numPr>
        <w:spacing w:after="0" w:line="240" w:lineRule="auto"/>
        <w:ind w:left="1701"/>
        <w:jc w:val="both"/>
        <w:rPr>
          <w:rFonts w:ascii="Times New Roman" w:hAnsi="Times New Roman" w:cs="Times New Roman"/>
          <w:noProof/>
          <w:sz w:val="24"/>
          <w:szCs w:val="24"/>
          <w:lang w:val="en-IE" w:eastAsia="en-IE"/>
        </w:rPr>
      </w:pPr>
      <w:r>
        <w:rPr>
          <w:rFonts w:ascii="Arial" w:hAnsi="Arial" w:cs="Arial"/>
          <w:noProof/>
          <w:sz w:val="20"/>
          <w:szCs w:val="20"/>
        </w:rPr>
        <w:t>failure to communicate national measures transposing the Delegated Directive implementing the Markets in Financial Instruments Directive</w:t>
      </w:r>
      <w:r>
        <w:rPr>
          <w:rStyle w:val="FootnoteReference"/>
          <w:rFonts w:ascii="Arial" w:hAnsi="Arial" w:cs="Arial"/>
          <w:noProof/>
        </w:rPr>
        <w:footnoteReference w:id="220"/>
      </w:r>
      <w:r>
        <w:rPr>
          <w:rFonts w:ascii="Arial" w:hAnsi="Arial" w:cs="Arial"/>
          <w:noProof/>
          <w:sz w:val="20"/>
          <w:szCs w:val="20"/>
        </w:rPr>
        <w:t>.</w:t>
      </w:r>
    </w:p>
    <w:p>
      <w:pPr>
        <w:numPr>
          <w:ilvl w:val="0"/>
          <w:numId w:val="146"/>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noProof/>
        </w:rPr>
        <w:br w:type="page"/>
      </w:r>
    </w:p>
    <w:p>
      <w:pPr>
        <w:pStyle w:val="AnnualReport1"/>
        <w:numPr>
          <w:ilvl w:val="0"/>
          <w:numId w:val="183"/>
        </w:numPr>
        <w:ind w:left="709"/>
        <w:rPr>
          <w:noProof/>
        </w:rPr>
      </w:pPr>
      <w:r>
        <w:rPr>
          <w:noProof/>
        </w:rPr>
        <w:t>TRANSPOSITION OF DIRECTIVES</w:t>
      </w:r>
    </w:p>
    <w:p>
      <w:pPr>
        <w:numPr>
          <w:ilvl w:val="0"/>
          <w:numId w:val="122"/>
        </w:numPr>
        <w:spacing w:before="240"/>
        <w:ind w:left="709"/>
        <w:outlineLvl w:val="1"/>
        <w:rPr>
          <w:rFonts w:ascii="Arial" w:hAnsi="Arial"/>
          <w:noProof/>
          <w:color w:val="002060"/>
        </w:rPr>
      </w:pPr>
      <w:r>
        <w:rPr>
          <w:rFonts w:ascii="Arial" w:hAnsi="Arial"/>
          <w:noProof/>
          <w:color w:val="002060"/>
        </w:rPr>
        <w:t>Late transposition infringement cases against Slovenia open on 31 December (2014-2018)</w:t>
      </w:r>
    </w:p>
    <w:p>
      <w:pPr>
        <w:ind w:left="426" w:firstLine="283"/>
        <w:rPr>
          <w:noProof/>
        </w:rPr>
      </w:pPr>
      <w:r>
        <w:rPr>
          <w:noProof/>
          <w:lang w:eastAsia="en-GB"/>
        </w:rPr>
        <w:drawing>
          <wp:inline distT="0" distB="0" distL="0" distR="0">
            <wp:extent cx="4556125" cy="2289810"/>
            <wp:effectExtent l="0" t="0" r="0" b="0"/>
            <wp:docPr id="26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numPr>
          <w:ilvl w:val="0"/>
          <w:numId w:val="122"/>
        </w:numPr>
        <w:spacing w:before="240"/>
        <w:ind w:left="709" w:hanging="425"/>
        <w:outlineLvl w:val="1"/>
        <w:rPr>
          <w:rFonts w:ascii="Arial" w:hAnsi="Arial"/>
          <w:noProof/>
          <w:color w:val="002060"/>
        </w:rPr>
      </w:pPr>
      <w:r>
        <w:rPr>
          <w:rFonts w:ascii="Arial" w:hAnsi="Arial"/>
          <w:noProof/>
          <w:color w:val="002060"/>
        </w:rPr>
        <w:t>New late transposition infringement cases against Slovenia (2014-2018)</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56760" cy="2110740"/>
            <wp:effectExtent l="0" t="0" r="15240" b="22860"/>
            <wp:docPr id="26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numPr>
          <w:ilvl w:val="0"/>
          <w:numId w:val="122"/>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before="360"/>
        <w:ind w:firstLine="709"/>
        <w:rPr>
          <w:rFonts w:ascii="Arial" w:hAnsi="Arial" w:cs="Arial"/>
          <w:noProof/>
          <w:sz w:val="20"/>
        </w:rPr>
      </w:pPr>
      <w:r>
        <w:rPr>
          <w:rFonts w:ascii="Arial" w:hAnsi="Arial" w:cs="Arial"/>
          <w:noProof/>
          <w:sz w:val="20"/>
          <w:lang w:eastAsia="en-GB"/>
        </w:rPr>
        <w:drawing>
          <wp:inline distT="0" distB="0" distL="0" distR="0">
            <wp:extent cx="4580255" cy="2451100"/>
            <wp:effectExtent l="0" t="0" r="10795" b="6350"/>
            <wp:docPr id="265" name="Object 2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numPr>
          <w:ilvl w:val="0"/>
          <w:numId w:val="122"/>
        </w:numPr>
        <w:spacing w:before="240"/>
        <w:ind w:left="709" w:hanging="425"/>
        <w:outlineLvl w:val="1"/>
        <w:rPr>
          <w:rFonts w:ascii="Arial" w:hAnsi="Arial"/>
          <w:noProof/>
          <w:color w:val="002060"/>
        </w:rPr>
      </w:pPr>
      <w:r>
        <w:rPr>
          <w:rFonts w:ascii="Arial" w:hAnsi="Arial"/>
          <w:noProof/>
          <w:color w:val="002060"/>
        </w:rPr>
        <w:t>Referral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referred three cases to the Court under Articles 258 and 260(3) TFEU. They concern failure to communicate national measures transposing the</w:t>
      </w:r>
    </w:p>
    <w:p>
      <w:pPr>
        <w:pStyle w:val="ListParagraph"/>
        <w:numPr>
          <w:ilvl w:val="1"/>
          <w:numId w:val="17"/>
        </w:numPr>
        <w:spacing w:after="120"/>
        <w:ind w:left="1418"/>
        <w:jc w:val="both"/>
        <w:rPr>
          <w:rFonts w:ascii="Arial" w:eastAsia="Calibri" w:hAnsi="Arial" w:cs="Arial"/>
          <w:noProof/>
          <w:kern w:val="20"/>
          <w:sz w:val="20"/>
          <w:szCs w:val="20"/>
        </w:rPr>
      </w:pPr>
      <w:r>
        <w:rPr>
          <w:rFonts w:ascii="Arial" w:hAnsi="Arial" w:cs="Arial"/>
          <w:noProof/>
          <w:sz w:val="20"/>
          <w:szCs w:val="20"/>
        </w:rPr>
        <w:t>revised Markets in Financial Instruments Directive</w:t>
      </w:r>
      <w:r>
        <w:rPr>
          <w:rStyle w:val="FootnoteReference"/>
          <w:rFonts w:ascii="Arial" w:hAnsi="Arial" w:cs="Arial"/>
          <w:noProof/>
        </w:rPr>
        <w:footnoteReference w:id="221"/>
      </w:r>
      <w:r>
        <w:rPr>
          <w:rFonts w:ascii="Arial" w:hAnsi="Arial" w:cs="Arial"/>
          <w:noProof/>
          <w:sz w:val="20"/>
          <w:szCs w:val="20"/>
        </w:rPr>
        <w:t>;</w:t>
      </w:r>
    </w:p>
    <w:p>
      <w:pPr>
        <w:pStyle w:val="ListParagraph"/>
        <w:numPr>
          <w:ilvl w:val="1"/>
          <w:numId w:val="17"/>
        </w:numPr>
        <w:spacing w:after="120"/>
        <w:ind w:left="1418"/>
        <w:jc w:val="both"/>
        <w:rPr>
          <w:rFonts w:ascii="Arial" w:eastAsia="Calibri" w:hAnsi="Arial" w:cs="Arial"/>
          <w:noProof/>
          <w:kern w:val="20"/>
          <w:sz w:val="20"/>
          <w:szCs w:val="20"/>
        </w:rPr>
      </w:pPr>
      <w:r>
        <w:rPr>
          <w:rFonts w:ascii="Arial" w:eastAsia="Calibri" w:hAnsi="Arial" w:cs="Arial"/>
          <w:noProof/>
          <w:kern w:val="20"/>
          <w:sz w:val="20"/>
          <w:szCs w:val="20"/>
          <w:lang w:eastAsia="en-GB"/>
        </w:rPr>
        <w:t>Audit Directive</w:t>
      </w:r>
      <w:r>
        <w:rPr>
          <w:rStyle w:val="FootnoteReference"/>
          <w:rFonts w:ascii="Arial" w:hAnsi="Arial" w:cs="Arial"/>
          <w:noProof/>
          <w:sz w:val="20"/>
          <w:szCs w:val="20"/>
        </w:rPr>
        <w:footnoteReference w:id="222"/>
      </w:r>
      <w:r>
        <w:rPr>
          <w:rFonts w:ascii="Arial" w:hAnsi="Arial" w:cs="Arial"/>
          <w:noProof/>
          <w:sz w:val="20"/>
          <w:szCs w:val="20"/>
        </w:rPr>
        <w:t>;</w:t>
      </w:r>
    </w:p>
    <w:p>
      <w:pPr>
        <w:pStyle w:val="ListParagraph"/>
        <w:numPr>
          <w:ilvl w:val="1"/>
          <w:numId w:val="17"/>
        </w:numPr>
        <w:spacing w:after="120"/>
        <w:ind w:left="1418"/>
        <w:jc w:val="both"/>
        <w:rPr>
          <w:rFonts w:ascii="Arial" w:eastAsia="Calibri" w:hAnsi="Arial" w:cs="Arial"/>
          <w:noProof/>
          <w:kern w:val="20"/>
          <w:sz w:val="20"/>
          <w:szCs w:val="20"/>
        </w:rPr>
      </w:pPr>
      <w:r>
        <w:rPr>
          <w:rFonts w:ascii="Arial" w:hAnsi="Arial" w:cs="Arial"/>
          <w:noProof/>
          <w:sz w:val="20"/>
          <w:szCs w:val="20"/>
        </w:rPr>
        <w:t>Directive on the award of concession contracts</w:t>
      </w:r>
      <w:r>
        <w:rPr>
          <w:rStyle w:val="FootnoteReference"/>
          <w:rFonts w:ascii="Arial" w:eastAsia="Calibri" w:hAnsi="Arial" w:cs="Arial"/>
          <w:noProof/>
          <w:kern w:val="20"/>
          <w:sz w:val="20"/>
        </w:rPr>
        <w:footnoteReference w:id="223"/>
      </w:r>
      <w:r>
        <w:rPr>
          <w:rFonts w:ascii="Arial" w:hAnsi="Arial" w:cs="Arial"/>
          <w:noProof/>
          <w:sz w:val="20"/>
          <w:szCs w:val="20"/>
        </w:rPr>
        <w:t>.</w:t>
      </w:r>
    </w:p>
    <w:p>
      <w:pPr>
        <w:pStyle w:val="AnnualReport1"/>
        <w:numPr>
          <w:ilvl w:val="0"/>
          <w:numId w:val="183"/>
        </w:numPr>
        <w:ind w:left="709"/>
        <w:rPr>
          <w:noProof/>
        </w:rPr>
      </w:pPr>
      <w:r>
        <w:rPr>
          <w:noProof/>
        </w:rPr>
        <w:t>EARLY RESOLUTION OF INFRINGEMENT CASES</w:t>
      </w:r>
    </w:p>
    <w:p>
      <w:pPr>
        <w:spacing w:after="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225"/>
        </w:numPr>
        <w:spacing w:after="120"/>
        <w:jc w:val="both"/>
        <w:rPr>
          <w:rFonts w:ascii="Arial" w:hAnsi="Arial" w:cs="Arial"/>
          <w:noProof/>
          <w:sz w:val="20"/>
        </w:rPr>
      </w:pPr>
      <w:r>
        <w:rPr>
          <w:rFonts w:ascii="Arial" w:hAnsi="Arial" w:cs="Arial"/>
          <w:noProof/>
          <w:sz w:val="20"/>
        </w:rPr>
        <w:t>incorrect application of the Directive on environmental noise due to the lack of noise action plans</w:t>
      </w:r>
      <w:r>
        <w:rPr>
          <w:rStyle w:val="FootnoteReference"/>
          <w:rFonts w:ascii="Arial" w:hAnsi="Arial" w:cs="Arial"/>
          <w:noProof/>
          <w:sz w:val="20"/>
        </w:rPr>
        <w:footnoteReference w:id="224"/>
      </w:r>
      <w:r>
        <w:rPr>
          <w:rFonts w:ascii="Arial" w:hAnsi="Arial" w:cs="Arial"/>
          <w:noProof/>
          <w:sz w:val="20"/>
        </w:rPr>
        <w:t>;</w:t>
      </w:r>
    </w:p>
    <w:p>
      <w:pPr>
        <w:pStyle w:val="ListParagraph"/>
        <w:numPr>
          <w:ilvl w:val="0"/>
          <w:numId w:val="225"/>
        </w:numPr>
        <w:spacing w:after="120"/>
        <w:jc w:val="both"/>
        <w:rPr>
          <w:rFonts w:ascii="Arial" w:hAnsi="Arial" w:cs="Arial"/>
          <w:noProof/>
          <w:sz w:val="20"/>
        </w:rPr>
      </w:pPr>
      <w:r>
        <w:rPr>
          <w:rFonts w:ascii="Arial" w:hAnsi="Arial" w:cs="Arial"/>
          <w:noProof/>
          <w:sz w:val="20"/>
          <w:szCs w:val="20"/>
        </w:rPr>
        <w:t>incorrect transposition of the Strategic Environmental Assessment Directive and the Environmental Impact Assessment Directive as regards public participation and access to justice in spatial planning</w:t>
      </w:r>
      <w:r>
        <w:rPr>
          <w:rStyle w:val="FootnoteReference"/>
          <w:rFonts w:ascii="Arial" w:hAnsi="Arial" w:cs="Arial"/>
          <w:noProof/>
          <w:sz w:val="20"/>
          <w:szCs w:val="20"/>
        </w:rPr>
        <w:footnoteReference w:id="225"/>
      </w:r>
      <w:r>
        <w:rPr>
          <w:rFonts w:ascii="Arial" w:hAnsi="Arial" w:cs="Arial"/>
          <w:noProof/>
          <w:sz w:val="20"/>
          <w:szCs w:val="20"/>
        </w:rPr>
        <w:t>;</w:t>
      </w:r>
    </w:p>
    <w:p>
      <w:pPr>
        <w:pStyle w:val="ListParagraph"/>
        <w:numPr>
          <w:ilvl w:val="0"/>
          <w:numId w:val="225"/>
        </w:numPr>
        <w:spacing w:after="120"/>
        <w:jc w:val="both"/>
        <w:rPr>
          <w:rFonts w:ascii="Arial" w:hAnsi="Arial" w:cs="Arial"/>
          <w:noProof/>
          <w:sz w:val="20"/>
        </w:rPr>
      </w:pPr>
      <w:r>
        <w:rPr>
          <w:rFonts w:ascii="Arial" w:eastAsia="Calibri" w:hAnsi="Arial" w:cs="Arial"/>
          <w:noProof/>
          <w:kern w:val="20"/>
          <w:sz w:val="20"/>
          <w:szCs w:val="20"/>
          <w:lang w:eastAsia="en-GB"/>
        </w:rPr>
        <w:t xml:space="preserve">non-communication of national measures transposing the </w:t>
      </w:r>
    </w:p>
    <w:p>
      <w:pPr>
        <w:pStyle w:val="ListParagraph"/>
        <w:numPr>
          <w:ilvl w:val="1"/>
          <w:numId w:val="225"/>
        </w:numPr>
        <w:spacing w:after="120"/>
        <w:ind w:left="2127"/>
        <w:jc w:val="both"/>
        <w:rPr>
          <w:rFonts w:ascii="Arial" w:hAnsi="Arial" w:cs="Arial"/>
          <w:noProof/>
          <w:sz w:val="20"/>
        </w:rPr>
      </w:pPr>
      <w:r>
        <w:rPr>
          <w:rFonts w:ascii="Arial" w:eastAsia="Calibri" w:hAnsi="Arial" w:cs="Arial"/>
          <w:noProof/>
          <w:kern w:val="20"/>
          <w:sz w:val="20"/>
          <w:szCs w:val="20"/>
          <w:lang w:eastAsia="en-GB"/>
        </w:rPr>
        <w:t>Commission Directive amending the Directive on quality system standards and specifications for blood establishments</w:t>
      </w:r>
      <w:r>
        <w:rPr>
          <w:noProof/>
          <w:vertAlign w:val="superscript"/>
          <w:lang w:val="nl-NL" w:eastAsia="en-GB"/>
        </w:rPr>
        <w:footnoteReference w:id="226"/>
      </w:r>
      <w:r>
        <w:rPr>
          <w:rFonts w:ascii="Arial" w:eastAsia="Calibri" w:hAnsi="Arial" w:cs="Arial"/>
          <w:noProof/>
          <w:kern w:val="20"/>
          <w:sz w:val="20"/>
          <w:szCs w:val="20"/>
          <w:lang w:eastAsia="en-GB"/>
        </w:rPr>
        <w:t>;</w:t>
      </w:r>
    </w:p>
    <w:p>
      <w:pPr>
        <w:pStyle w:val="ListParagraph"/>
        <w:numPr>
          <w:ilvl w:val="1"/>
          <w:numId w:val="225"/>
        </w:numPr>
        <w:spacing w:after="120"/>
        <w:ind w:left="2127"/>
        <w:jc w:val="both"/>
        <w:rPr>
          <w:rFonts w:ascii="Arial" w:hAnsi="Arial" w:cs="Arial"/>
          <w:noProof/>
          <w:sz w:val="20"/>
        </w:rPr>
      </w:pPr>
      <w:r>
        <w:rPr>
          <w:rFonts w:ascii="Arial" w:hAnsi="Arial" w:cs="Arial"/>
          <w:bCs/>
          <w:noProof/>
          <w:sz w:val="20"/>
        </w:rPr>
        <w:t>Directive on the freezing and confiscation of instrumentalities and proceeds of crime</w:t>
      </w:r>
      <w:r>
        <w:rPr>
          <w:rStyle w:val="FootnoteReference"/>
          <w:rFonts w:ascii="Arial" w:hAnsi="Arial" w:cs="Arial"/>
          <w:bCs/>
          <w:noProof/>
          <w:sz w:val="20"/>
        </w:rPr>
        <w:footnoteReference w:id="227"/>
      </w:r>
      <w:r>
        <w:rPr>
          <w:rFonts w:ascii="Arial" w:hAnsi="Arial" w:cs="Arial"/>
          <w:bCs/>
          <w:noProof/>
          <w:sz w:val="20"/>
        </w:rPr>
        <w:t>;</w:t>
      </w:r>
    </w:p>
    <w:p>
      <w:pPr>
        <w:pStyle w:val="ListParagraph"/>
        <w:numPr>
          <w:ilvl w:val="1"/>
          <w:numId w:val="225"/>
        </w:numPr>
        <w:spacing w:after="120"/>
        <w:ind w:left="2127"/>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228"/>
      </w:r>
      <w:r>
        <w:rPr>
          <w:rFonts w:ascii="Arial" w:eastAsia="Calibri" w:hAnsi="Arial" w:cs="Arial"/>
          <w:noProof/>
          <w:sz w:val="20"/>
          <w:szCs w:val="20"/>
          <w:lang w:eastAsia="en-GB"/>
        </w:rPr>
        <w:t>;</w:t>
      </w:r>
    </w:p>
    <w:p>
      <w:pPr>
        <w:pStyle w:val="ListParagraph"/>
        <w:numPr>
          <w:ilvl w:val="1"/>
          <w:numId w:val="225"/>
        </w:numPr>
        <w:spacing w:after="120"/>
        <w:ind w:left="2127"/>
        <w:jc w:val="both"/>
        <w:rPr>
          <w:rFonts w:ascii="Arial" w:hAnsi="Arial" w:cs="Arial"/>
          <w:noProof/>
          <w:sz w:val="20"/>
        </w:rPr>
      </w:pPr>
      <w:r>
        <w:rPr>
          <w:rFonts w:ascii="Arial" w:eastAsia="Calibri" w:hAnsi="Arial" w:cs="Arial"/>
          <w:noProof/>
          <w:sz w:val="20"/>
          <w:szCs w:val="20"/>
        </w:rPr>
        <w:t>Directive on the limitation of emissions of certain pollutants into the air from medium combustion plants</w:t>
      </w:r>
      <w:r>
        <w:rPr>
          <w:rStyle w:val="FootnoteReference"/>
          <w:rFonts w:ascii="Arial" w:eastAsia="Calibri" w:hAnsi="Arial" w:cs="Arial"/>
          <w:noProof/>
          <w:sz w:val="20"/>
          <w:szCs w:val="20"/>
        </w:rPr>
        <w:footnoteReference w:id="229"/>
      </w:r>
      <w:r>
        <w:rPr>
          <w:rFonts w:ascii="Arial" w:eastAsia="Calibri" w:hAnsi="Arial" w:cs="Arial"/>
          <w:noProof/>
          <w:sz w:val="20"/>
          <w:szCs w:val="20"/>
        </w:rPr>
        <w:t>;</w:t>
      </w:r>
    </w:p>
    <w:p>
      <w:pPr>
        <w:pStyle w:val="ListParagraph"/>
        <w:numPr>
          <w:ilvl w:val="1"/>
          <w:numId w:val="225"/>
        </w:numPr>
        <w:spacing w:after="120"/>
        <w:ind w:left="2127"/>
        <w:jc w:val="both"/>
        <w:rPr>
          <w:rFonts w:ascii="Arial" w:hAnsi="Arial" w:cs="Arial"/>
          <w:noProof/>
          <w:sz w:val="20"/>
        </w:rPr>
      </w:pPr>
      <w:r>
        <w:rPr>
          <w:rFonts w:ascii="Arial" w:eastAsia="Calibri" w:hAnsi="Arial" w:cs="Arial"/>
          <w:noProof/>
          <w:sz w:val="20"/>
          <w:szCs w:val="20"/>
        </w:rPr>
        <w:t>Directive</w:t>
      </w:r>
      <w:r>
        <w:rPr>
          <w:rStyle w:val="FootnoteReference"/>
          <w:rFonts w:ascii="Arial" w:eastAsia="Calibri" w:hAnsi="Arial" w:cs="Arial"/>
          <w:noProof/>
          <w:sz w:val="20"/>
          <w:szCs w:val="20"/>
        </w:rPr>
        <w:footnoteReference w:id="230"/>
      </w:r>
      <w:r>
        <w:rPr>
          <w:rFonts w:ascii="Arial" w:eastAsia="Calibri" w:hAnsi="Arial" w:cs="Arial"/>
          <w:noProof/>
          <w:sz w:val="20"/>
          <w:szCs w:val="20"/>
        </w:rPr>
        <w:t xml:space="preserve"> amending the Environmental Impact Assessment Directive;  </w:t>
      </w:r>
    </w:p>
    <w:p>
      <w:pPr>
        <w:pStyle w:val="ListParagraph"/>
        <w:numPr>
          <w:ilvl w:val="1"/>
          <w:numId w:val="225"/>
        </w:numPr>
        <w:spacing w:after="120"/>
        <w:ind w:left="2127"/>
        <w:jc w:val="both"/>
        <w:rPr>
          <w:rFonts w:ascii="Arial" w:hAnsi="Arial" w:cs="Arial"/>
          <w:noProof/>
          <w:sz w:val="20"/>
        </w:rPr>
      </w:pPr>
      <w:r>
        <w:rPr>
          <w:rFonts w:ascii="Arial" w:eastAsia="Calibri" w:hAnsi="Arial" w:cs="Arial"/>
          <w:noProof/>
          <w:sz w:val="20"/>
          <w:szCs w:val="20"/>
        </w:rPr>
        <w:t>Directive on requirements for budgetary frameworks of the Member States</w:t>
      </w:r>
      <w:r>
        <w:rPr>
          <w:rStyle w:val="FootnoteReference"/>
          <w:rFonts w:ascii="Arial" w:eastAsia="Calibri" w:hAnsi="Arial" w:cs="Arial"/>
          <w:noProof/>
          <w:sz w:val="20"/>
          <w:szCs w:val="20"/>
        </w:rPr>
        <w:footnoteReference w:id="231"/>
      </w:r>
      <w:r>
        <w:rPr>
          <w:rFonts w:ascii="Arial" w:eastAsia="Calibri" w:hAnsi="Arial" w:cs="Arial"/>
          <w:noProof/>
          <w:sz w:val="20"/>
          <w:szCs w:val="20"/>
        </w:rPr>
        <w:t>;</w:t>
      </w:r>
    </w:p>
    <w:p>
      <w:pPr>
        <w:pStyle w:val="ListParagraph"/>
        <w:numPr>
          <w:ilvl w:val="1"/>
          <w:numId w:val="225"/>
        </w:numPr>
        <w:spacing w:after="120"/>
        <w:ind w:left="2127"/>
        <w:jc w:val="both"/>
        <w:rPr>
          <w:rFonts w:ascii="Arial" w:hAnsi="Arial" w:cs="Arial"/>
          <w:noProof/>
          <w:sz w:val="20"/>
        </w:rPr>
      </w:pPr>
      <w:r>
        <w:rPr>
          <w:rFonts w:ascii="Arial" w:hAnsi="Arial" w:cs="Arial"/>
          <w:bCs/>
          <w:noProof/>
          <w:sz w:val="20"/>
        </w:rPr>
        <w:t>Directive on intra-corporate transfer</w:t>
      </w:r>
      <w:r>
        <w:rPr>
          <w:rFonts w:ascii="Arial" w:hAnsi="Arial" w:cs="Arial"/>
          <w:bCs/>
          <w:noProof/>
          <w:sz w:val="20"/>
          <w:vertAlign w:val="superscript"/>
        </w:rPr>
        <w:footnoteReference w:id="232"/>
      </w:r>
      <w:r>
        <w:rPr>
          <w:rFonts w:ascii="Arial" w:hAnsi="Arial" w:cs="Arial"/>
          <w:bCs/>
          <w:noProof/>
          <w:sz w:val="20"/>
        </w:rPr>
        <w:t>;</w:t>
      </w:r>
    </w:p>
    <w:p>
      <w:pPr>
        <w:pStyle w:val="ListParagraph"/>
        <w:numPr>
          <w:ilvl w:val="1"/>
          <w:numId w:val="225"/>
        </w:numPr>
        <w:spacing w:after="120"/>
        <w:jc w:val="both"/>
        <w:rPr>
          <w:rFonts w:ascii="Arial" w:hAnsi="Arial" w:cs="Arial"/>
          <w:noProof/>
          <w:sz w:val="20"/>
        </w:rPr>
      </w:pPr>
      <w:r>
        <w:rPr>
          <w:rFonts w:ascii="Arial" w:hAnsi="Arial" w:cs="Arial"/>
          <w:bCs/>
          <w:noProof/>
          <w:sz w:val="20"/>
        </w:rPr>
        <w:t>Nuclear Safety Directive</w:t>
      </w:r>
      <w:r>
        <w:rPr>
          <w:rStyle w:val="FootnoteReference"/>
          <w:rFonts w:ascii="Arial" w:hAnsi="Arial" w:cs="Arial"/>
          <w:bCs/>
          <w:noProof/>
          <w:sz w:val="20"/>
        </w:rPr>
        <w:footnoteReference w:id="233"/>
      </w:r>
      <w:r>
        <w:rPr>
          <w:rFonts w:ascii="Arial" w:hAnsi="Arial" w:cs="Arial"/>
          <w:bCs/>
          <w:noProof/>
          <w:sz w:val="20"/>
        </w:rPr>
        <w:t>.</w:t>
      </w:r>
    </w:p>
    <w:p>
      <w:pPr>
        <w:pStyle w:val="AnnualReport1"/>
        <w:numPr>
          <w:ilvl w:val="0"/>
          <w:numId w:val="183"/>
        </w:numPr>
        <w:ind w:left="709"/>
        <w:rPr>
          <w:noProof/>
        </w:rPr>
      </w:pPr>
      <w:r>
        <w:rPr>
          <w:noProof/>
        </w:rPr>
        <w:t>IMPORTANT JUDGMENTS</w:t>
      </w:r>
    </w:p>
    <w:p>
      <w:pPr>
        <w:pStyle w:val="ListParagraph"/>
        <w:numPr>
          <w:ilvl w:val="0"/>
          <w:numId w:val="244"/>
        </w:numPr>
        <w:spacing w:before="240"/>
        <w:ind w:left="851"/>
        <w:outlineLvl w:val="1"/>
        <w:rPr>
          <w:rFonts w:ascii="Arial" w:hAnsi="Arial"/>
          <w:noProof/>
          <w:color w:val="002060"/>
        </w:rPr>
      </w:pPr>
      <w:r>
        <w:rPr>
          <w:rFonts w:ascii="Arial" w:hAnsi="Arial"/>
          <w:noProof/>
          <w:color w:val="002060"/>
        </w:rPr>
        <w:t>Court ruling</w:t>
      </w:r>
      <w:r>
        <w:rPr>
          <w:noProof/>
          <w:vertAlign w:val="superscript"/>
        </w:rPr>
        <w:footnoteReference w:id="234"/>
      </w:r>
    </w:p>
    <w:p>
      <w:pPr>
        <w:spacing w:after="120"/>
        <w:ind w:firstLine="709"/>
        <w:rPr>
          <w:rFonts w:ascii="Arial" w:hAnsi="Arial" w:cs="Arial"/>
          <w:noProof/>
          <w:sz w:val="20"/>
        </w:rPr>
      </w:pPr>
      <w:r>
        <w:rPr>
          <w:rFonts w:ascii="Arial" w:hAnsi="Arial" w:cs="Arial"/>
          <w:noProof/>
          <w:sz w:val="20"/>
        </w:rPr>
        <w:t>The Court ruled that</w:t>
      </w:r>
    </w:p>
    <w:p>
      <w:pPr>
        <w:pStyle w:val="Basis"/>
        <w:numPr>
          <w:ilvl w:val="0"/>
          <w:numId w:val="229"/>
        </w:numPr>
        <w:spacing w:after="100" w:afterAutospacing="1" w:line="240" w:lineRule="auto"/>
        <w:jc w:val="both"/>
        <w:rPr>
          <w:rFonts w:ascii="Arial" w:hAnsi="Arial" w:cs="Arial"/>
          <w:noProof/>
        </w:rPr>
      </w:pPr>
      <w:r>
        <w:rPr>
          <w:rFonts w:ascii="Arial" w:hAnsi="Arial" w:cs="Arial"/>
          <w:noProof/>
          <w:lang w:val="en-GB"/>
        </w:rPr>
        <w:t>Slovenia</w:t>
      </w:r>
      <w:r>
        <w:rPr>
          <w:rFonts w:ascii="Arial" w:hAnsi="Arial" w:cs="Arial"/>
          <w:i/>
          <w:noProof/>
          <w:lang w:val="en-GB"/>
        </w:rPr>
        <w:t xml:space="preserve"> </w:t>
      </w:r>
      <w:r>
        <w:rPr>
          <w:rFonts w:ascii="Arial" w:hAnsi="Arial" w:cs="Arial"/>
          <w:noProof/>
          <w:lang w:val="en-GB"/>
        </w:rPr>
        <w:t>has failed to fulfil its obligations under the Landfill Directive. Twenty</w:t>
      </w:r>
      <w:r>
        <w:rPr>
          <w:rFonts w:ascii="Arial" w:hAnsi="Arial" w:cs="Arial"/>
          <w:noProof/>
        </w:rPr>
        <w:t xml:space="preserve"> landfills which had not been granted authorisation to continue operation have not been closed and rehabilitated, and another landfill has not been brought into compliance with the requirements of the Directive</w:t>
      </w:r>
      <w:r>
        <w:rPr>
          <w:rStyle w:val="FootnoteReference"/>
          <w:rFonts w:ascii="Arial" w:hAnsi="Arial" w:cs="Arial"/>
          <w:noProof/>
        </w:rPr>
        <w:footnoteReference w:id="235"/>
      </w:r>
      <w:r>
        <w:rPr>
          <w:rFonts w:ascii="Arial" w:hAnsi="Arial" w:cs="Arial"/>
          <w:noProof/>
        </w:rPr>
        <w:t xml:space="preserve">. </w:t>
      </w:r>
    </w:p>
    <w:p>
      <w:pPr>
        <w:pStyle w:val="ListParagraph"/>
        <w:numPr>
          <w:ilvl w:val="0"/>
          <w:numId w:val="244"/>
        </w:numPr>
        <w:spacing w:before="240"/>
        <w:ind w:left="851"/>
        <w:outlineLvl w:val="1"/>
        <w:rPr>
          <w:rFonts w:ascii="Arial" w:hAnsi="Arial"/>
          <w:noProof/>
          <w:color w:val="002060"/>
        </w:rPr>
      </w:pPr>
      <w:r>
        <w:rPr>
          <w:rFonts w:ascii="Arial" w:hAnsi="Arial"/>
          <w:noProof/>
          <w:color w:val="002060"/>
        </w:rPr>
        <w:t>Preliminary rulings</w:t>
      </w:r>
    </w:p>
    <w:p>
      <w:pPr>
        <w:spacing w:after="120"/>
        <w:ind w:left="426" w:firstLine="294"/>
        <w:jc w:val="both"/>
        <w:rPr>
          <w:rFonts w:ascii="Arial" w:hAnsi="Arial" w:cs="Arial"/>
          <w:noProof/>
          <w:sz w:val="20"/>
          <w:szCs w:val="20"/>
        </w:rPr>
      </w:pPr>
      <w:r>
        <w:rPr>
          <w:rFonts w:ascii="Arial" w:hAnsi="Arial" w:cs="Arial"/>
          <w:noProof/>
          <w:sz w:val="20"/>
          <w:szCs w:val="20"/>
        </w:rPr>
        <w:t xml:space="preserve">The Court addressed the following preliminary ruling to the Slovenian judiciary. </w:t>
      </w:r>
    </w:p>
    <w:p>
      <w:pPr>
        <w:pStyle w:val="ListParagraph"/>
        <w:numPr>
          <w:ilvl w:val="0"/>
          <w:numId w:val="229"/>
        </w:numPr>
        <w:spacing w:after="120"/>
        <w:jc w:val="both"/>
        <w:rPr>
          <w:rFonts w:ascii="Arial" w:hAnsi="Arial" w:cs="Arial"/>
          <w:noProof/>
          <w:sz w:val="20"/>
          <w:szCs w:val="20"/>
        </w:rPr>
      </w:pPr>
      <w:r>
        <w:rPr>
          <w:rFonts w:ascii="Arial" w:hAnsi="Arial" w:cs="Arial"/>
          <w:noProof/>
          <w:sz w:val="20"/>
          <w:szCs w:val="20"/>
        </w:rPr>
        <w:t>Subsidiary protection status, granted under the legislation of a Member State, does not offer the ‘same rights and benefits as those offered by the refugee status under Union and national law’</w:t>
      </w:r>
      <w:r>
        <w:rPr>
          <w:rStyle w:val="FootnoteReference"/>
          <w:rFonts w:ascii="Arial" w:hAnsi="Arial" w:cs="Arial"/>
          <w:noProof/>
          <w:sz w:val="20"/>
          <w:szCs w:val="20"/>
        </w:rPr>
        <w:footnoteReference w:id="236"/>
      </w:r>
      <w:r>
        <w:rPr>
          <w:rFonts w:ascii="Arial" w:hAnsi="Arial" w:cs="Arial"/>
          <w:noProof/>
          <w:sz w:val="20"/>
          <w:szCs w:val="20"/>
        </w:rPr>
        <w:t>.</w:t>
      </w:r>
    </w:p>
    <w:p>
      <w:pPr>
        <w:spacing w:after="120"/>
        <w:contextualSpacing/>
        <w:rPr>
          <w:rFonts w:ascii="Arial" w:hAnsi="Arial" w:cs="Arial"/>
          <w:noProof/>
          <w:sz w:val="20"/>
        </w:rPr>
      </w:pPr>
    </w:p>
    <w:p>
      <w:pPr>
        <w:spacing w:after="120"/>
        <w:ind w:firstLine="709"/>
        <w:rPr>
          <w:rFonts w:ascii="Arial" w:hAnsi="Arial" w:cs="Arial"/>
          <w:noProof/>
          <w:sz w:val="20"/>
        </w:rPr>
        <w:sectPr>
          <w:headerReference w:type="even" r:id="rId155"/>
          <w:headerReference w:type="default" r:id="rId156"/>
          <w:footerReference w:type="even" r:id="rId157"/>
          <w:footerReference w:type="default" r:id="rId158"/>
          <w:headerReference w:type="first" r:id="rId159"/>
          <w:footerReference w:type="first" r:id="rId160"/>
          <w:footnotePr>
            <w:numRestart w:val="eachSect"/>
          </w:footnotePr>
          <w:pgSz w:w="11906" w:h="16838"/>
          <w:pgMar w:top="1701"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56" w:name="_Toc484622341"/>
      <w:bookmarkStart w:id="57" w:name="_Toc5728037"/>
      <w:r>
        <w:rPr>
          <w:rFonts w:ascii="Arial" w:eastAsia="SimSun" w:hAnsi="Arial"/>
          <w:bCs/>
          <w:noProof/>
          <w:color w:val="A6A6A6"/>
          <w:szCs w:val="28"/>
        </w:rPr>
        <w:t>Slovakia</w:t>
      </w:r>
      <w:bookmarkEnd w:id="53"/>
      <w:bookmarkEnd w:id="54"/>
      <w:bookmarkEnd w:id="55"/>
      <w:bookmarkEnd w:id="56"/>
      <w:bookmarkEnd w:id="57"/>
    </w:p>
    <w:p>
      <w:pPr>
        <w:pStyle w:val="AnnualReport1"/>
        <w:numPr>
          <w:ilvl w:val="0"/>
          <w:numId w:val="123"/>
        </w:numPr>
        <w:ind w:left="709"/>
        <w:rPr>
          <w:noProof/>
        </w:rPr>
      </w:pPr>
      <w:r>
        <w:rPr>
          <w:noProof/>
        </w:rPr>
        <w:t>COMPLAINTS</w:t>
      </w:r>
    </w:p>
    <w:p>
      <w:pPr>
        <w:numPr>
          <w:ilvl w:val="0"/>
          <w:numId w:val="185"/>
        </w:numPr>
        <w:spacing w:before="240"/>
        <w:outlineLvl w:val="1"/>
        <w:rPr>
          <w:rFonts w:ascii="Arial" w:hAnsi="Arial"/>
          <w:noProof/>
          <w:color w:val="002060"/>
        </w:rPr>
      </w:pPr>
      <w:r>
        <w:rPr>
          <w:rFonts w:ascii="Arial" w:hAnsi="Arial"/>
          <w:noProof/>
          <w:color w:val="002060"/>
        </w:rPr>
        <w:t>New complaints made against Slovakia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385695"/>
            <wp:effectExtent l="0" t="0" r="0" b="0"/>
            <wp:docPr id="26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numPr>
          <w:ilvl w:val="0"/>
          <w:numId w:val="185"/>
        </w:numPr>
        <w:spacing w:before="240"/>
        <w:outlineLvl w:val="1"/>
        <w:rPr>
          <w:rFonts w:ascii="Arial" w:hAnsi="Arial"/>
          <w:noProof/>
          <w:color w:val="002060"/>
        </w:rPr>
      </w:pPr>
      <w:r>
        <w:rPr>
          <w:rFonts w:ascii="Arial" w:hAnsi="Arial"/>
          <w:noProof/>
          <w:color w:val="002060"/>
        </w:rPr>
        <w:t>Public complaints against Slovakia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49</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52</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56</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45</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185"/>
        </w:numPr>
        <w:spacing w:before="240"/>
        <w:outlineLvl w:val="1"/>
        <w:rPr>
          <w:rFonts w:ascii="Arial" w:hAnsi="Arial"/>
          <w:noProof/>
          <w:color w:val="002060"/>
        </w:rPr>
      </w:pPr>
      <w:r>
        <w:rPr>
          <w:rFonts w:ascii="Arial" w:hAnsi="Arial"/>
          <w:noProof/>
          <w:color w:val="002060"/>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353310"/>
            <wp:effectExtent l="0" t="0" r="1270" b="8890"/>
            <wp:docPr id="26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spacing w:after="200" w:line="276" w:lineRule="auto"/>
        <w:rPr>
          <w:rFonts w:ascii="Arial" w:hAnsi="Arial" w:cs="Arial"/>
          <w:noProof/>
          <w:sz w:val="20"/>
        </w:rPr>
      </w:pPr>
      <w:r>
        <w:rPr>
          <w:noProof/>
        </w:rPr>
        <w:br w:type="page"/>
      </w:r>
    </w:p>
    <w:p>
      <w:pPr>
        <w:pStyle w:val="AnnualReport1"/>
        <w:numPr>
          <w:ilvl w:val="0"/>
          <w:numId w:val="123"/>
        </w:numPr>
        <w:ind w:left="709"/>
        <w:rPr>
          <w:noProof/>
        </w:rPr>
      </w:pPr>
      <w:r>
        <w:rPr>
          <w:noProof/>
        </w:rPr>
        <w:t>EU PILOT</w:t>
      </w:r>
    </w:p>
    <w:p>
      <w:pPr>
        <w:numPr>
          <w:ilvl w:val="0"/>
          <w:numId w:val="31"/>
        </w:numPr>
        <w:spacing w:before="240"/>
        <w:ind w:left="709" w:hanging="425"/>
        <w:outlineLvl w:val="1"/>
        <w:rPr>
          <w:rFonts w:ascii="Arial" w:hAnsi="Arial"/>
          <w:noProof/>
          <w:color w:val="002060"/>
        </w:rPr>
      </w:pPr>
      <w:r>
        <w:rPr>
          <w:rFonts w:ascii="Arial" w:hAnsi="Arial"/>
          <w:noProof/>
          <w:color w:val="002060"/>
        </w:rPr>
        <w:t>New EU Pilot files opened against Slovakia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19625" cy="2259965"/>
            <wp:effectExtent l="0" t="0" r="9525" b="6985"/>
            <wp:docPr id="2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numPr>
          <w:ilvl w:val="0"/>
          <w:numId w:val="31"/>
        </w:numPr>
        <w:spacing w:before="240"/>
        <w:ind w:left="709" w:hanging="425"/>
        <w:outlineLvl w:val="1"/>
        <w:rPr>
          <w:rFonts w:ascii="Arial" w:hAnsi="Arial"/>
          <w:noProof/>
          <w:color w:val="002060"/>
        </w:rPr>
      </w:pPr>
      <w:r>
        <w:rPr>
          <w:rFonts w:ascii="Arial" w:hAnsi="Arial"/>
          <w:noProof/>
          <w:color w:val="002060"/>
        </w:rPr>
        <w:t>Files relating to Slovakia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9625" cy="2069465"/>
            <wp:effectExtent l="0" t="0" r="9525" b="6985"/>
            <wp:docPr id="2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numPr>
          <w:ilvl w:val="0"/>
          <w:numId w:val="31"/>
        </w:numPr>
        <w:spacing w:before="240"/>
        <w:ind w:left="709" w:hanging="425"/>
        <w:outlineLvl w:val="1"/>
        <w:rPr>
          <w:rFonts w:ascii="Arial" w:hAnsi="Arial"/>
          <w:noProof/>
          <w:color w:val="002060"/>
        </w:rPr>
      </w:pPr>
      <w:r>
        <w:rPr>
          <w:rFonts w:ascii="Arial" w:hAnsi="Arial"/>
          <w:noProof/>
          <w:color w:val="002060"/>
        </w:rPr>
        <w:t>New EU Pilot files opened in 2018: main policy areas</w:t>
      </w:r>
    </w:p>
    <w:p>
      <w:pPr>
        <w:pStyle w:val="Body"/>
        <w:ind w:left="786" w:firstLine="0"/>
        <w:jc w:val="both"/>
        <w:rPr>
          <w:noProof/>
        </w:rPr>
      </w:pPr>
      <w:r>
        <w:rPr>
          <w:noProof/>
        </w:rPr>
        <w:t>In 2018, the Commission opened two EU Pilot files against Slovakia: one in the area of environment and one in the area of migration and home affairs.</w:t>
      </w:r>
    </w:p>
    <w:p>
      <w:pPr>
        <w:numPr>
          <w:ilvl w:val="0"/>
          <w:numId w:val="31"/>
        </w:numPr>
        <w:spacing w:before="240"/>
        <w:ind w:left="709" w:hanging="425"/>
        <w:outlineLvl w:val="1"/>
        <w:rPr>
          <w:rFonts w:ascii="Arial" w:hAnsi="Arial"/>
          <w:noProof/>
          <w:color w:val="002060"/>
        </w:rPr>
      </w:pPr>
      <w:r>
        <w:rPr>
          <w:rFonts w:ascii="Arial" w:hAnsi="Arial"/>
          <w:noProof/>
          <w:color w:val="002060"/>
        </w:rPr>
        <w:t>EU Pilot files: Slovakia’s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90115"/>
            <wp:effectExtent l="0" t="0" r="3175" b="635"/>
            <wp:docPr id="27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AnnualReport1"/>
        <w:numPr>
          <w:ilvl w:val="0"/>
          <w:numId w:val="123"/>
        </w:numPr>
        <w:ind w:left="709"/>
        <w:rPr>
          <w:noProof/>
        </w:rPr>
      </w:pPr>
      <w:r>
        <w:rPr>
          <w:noProof/>
        </w:rPr>
        <w:t>INFRINGEMENT CASES</w:t>
      </w:r>
    </w:p>
    <w:p>
      <w:pPr>
        <w:numPr>
          <w:ilvl w:val="0"/>
          <w:numId w:val="186"/>
        </w:numPr>
        <w:spacing w:before="240"/>
        <w:outlineLvl w:val="1"/>
        <w:rPr>
          <w:rFonts w:ascii="Arial" w:hAnsi="Arial"/>
          <w:noProof/>
          <w:color w:val="002060"/>
        </w:rPr>
      </w:pPr>
      <w:r>
        <w:rPr>
          <w:rFonts w:ascii="Arial" w:hAnsi="Arial"/>
          <w:noProof/>
          <w:color w:val="002060"/>
        </w:rPr>
        <w:t>Infringement cases against Slovakia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72000" cy="2369185"/>
            <wp:effectExtent l="0" t="0" r="0" b="0"/>
            <wp:docPr id="27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numPr>
          <w:ilvl w:val="0"/>
          <w:numId w:val="186"/>
        </w:numPr>
        <w:spacing w:before="240"/>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16780" cy="2263140"/>
            <wp:effectExtent l="0" t="0" r="7620" b="3810"/>
            <wp:docPr id="273" name="Object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numPr>
          <w:ilvl w:val="0"/>
          <w:numId w:val="186"/>
        </w:numPr>
        <w:spacing w:before="240"/>
        <w:outlineLvl w:val="1"/>
        <w:rPr>
          <w:rFonts w:ascii="Arial" w:hAnsi="Arial"/>
          <w:noProof/>
          <w:color w:val="002060"/>
        </w:rPr>
      </w:pPr>
      <w:r>
        <w:rPr>
          <w:rFonts w:ascii="Arial" w:hAnsi="Arial"/>
          <w:noProof/>
          <w:color w:val="002060"/>
        </w:rPr>
        <w:t>Key infringement cases and referrals to the Court</w:t>
      </w:r>
    </w:p>
    <w:p>
      <w:pPr>
        <w:numPr>
          <w:ilvl w:val="0"/>
          <w:numId w:val="147"/>
        </w:numPr>
        <w:ind w:left="1276" w:hanging="425"/>
        <w:jc w:val="both"/>
        <w:rPr>
          <w:rFonts w:ascii="Arial" w:hAnsi="Arial" w:cs="Arial"/>
          <w:noProof/>
          <w:sz w:val="20"/>
          <w:szCs w:val="20"/>
        </w:rPr>
      </w:pPr>
      <w:r>
        <w:rPr>
          <w:rFonts w:ascii="Arial" w:hAnsi="Arial" w:cs="Arial"/>
          <w:noProof/>
          <w:sz w:val="20"/>
          <w:szCs w:val="20"/>
        </w:rPr>
        <w:t>The Commission opened 17 new infringement cases against Slovakia in 2018. These, and other major ongoing infringement cases, include:</w:t>
      </w:r>
    </w:p>
    <w:p>
      <w:pPr>
        <w:pStyle w:val="ListParagraph"/>
        <w:numPr>
          <w:ilvl w:val="0"/>
          <w:numId w:val="221"/>
        </w:numPr>
        <w:ind w:left="1701"/>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237"/>
      </w:r>
      <w:r>
        <w:rPr>
          <w:rFonts w:ascii="Arial" w:hAnsi="Arial" w:cs="Arial"/>
          <w:noProof/>
          <w:sz w:val="20"/>
          <w:szCs w:val="20"/>
        </w:rPr>
        <w:t>;</w:t>
      </w:r>
    </w:p>
    <w:p>
      <w:pPr>
        <w:pStyle w:val="ListParagraph"/>
        <w:numPr>
          <w:ilvl w:val="0"/>
          <w:numId w:val="221"/>
        </w:numPr>
        <w:ind w:left="1701"/>
        <w:jc w:val="both"/>
        <w:rPr>
          <w:rFonts w:ascii="Arial" w:hAnsi="Arial" w:cs="Arial"/>
          <w:noProof/>
          <w:szCs w:val="20"/>
        </w:rPr>
      </w:pPr>
      <w:r>
        <w:rPr>
          <w:rFonts w:ascii="Arial" w:eastAsia="Calibri" w:hAnsi="Arial" w:cs="Arial"/>
          <w:noProof/>
          <w:kern w:val="20"/>
          <w:sz w:val="20"/>
          <w:szCs w:val="20"/>
          <w:lang w:eastAsia="en-GB"/>
        </w:rPr>
        <w:t>non</w:t>
      </w:r>
      <w:r>
        <w:rPr>
          <w:rFonts w:ascii="Arial" w:hAnsi="Arial" w:cs="Arial"/>
          <w:noProof/>
          <w:sz w:val="20"/>
          <w:szCs w:val="20"/>
        </w:rPr>
        <w:t>-</w:t>
      </w:r>
      <w:r>
        <w:rPr>
          <w:rFonts w:ascii="Arial" w:eastAsia="Calibri" w:hAnsi="Arial" w:cs="Arial"/>
          <w:noProof/>
          <w:kern w:val="20"/>
          <w:sz w:val="20"/>
          <w:szCs w:val="20"/>
          <w:lang w:eastAsia="en-GB"/>
        </w:rPr>
        <w:t>compliance</w:t>
      </w:r>
      <w:r>
        <w:rPr>
          <w:rFonts w:ascii="Arial" w:hAnsi="Arial" w:cs="Arial"/>
          <w:noProof/>
          <w:sz w:val="20"/>
          <w:szCs w:val="20"/>
        </w:rPr>
        <w:t xml:space="preserve"> with the requirements of the Energy Efficiency Directive</w:t>
      </w:r>
      <w:r>
        <w:rPr>
          <w:rStyle w:val="FootnoteReference"/>
          <w:rFonts w:ascii="Arial" w:hAnsi="Arial" w:cs="Arial"/>
          <w:noProof/>
          <w:sz w:val="20"/>
          <w:szCs w:val="20"/>
        </w:rPr>
        <w:footnoteReference w:id="238"/>
      </w:r>
      <w:r>
        <w:rPr>
          <w:rFonts w:ascii="Arial" w:hAnsi="Arial" w:cs="Arial"/>
          <w:noProof/>
          <w:sz w:val="20"/>
          <w:szCs w:val="20"/>
        </w:rPr>
        <w:t>;</w:t>
      </w:r>
    </w:p>
    <w:p>
      <w:pPr>
        <w:pStyle w:val="ListParagraph"/>
        <w:numPr>
          <w:ilvl w:val="0"/>
          <w:numId w:val="221"/>
        </w:numPr>
        <w:ind w:left="1701"/>
        <w:jc w:val="both"/>
        <w:rPr>
          <w:rFonts w:ascii="Arial" w:hAnsi="Arial" w:cs="Arial"/>
          <w:noProof/>
          <w:szCs w:val="20"/>
        </w:rPr>
      </w:pPr>
      <w:r>
        <w:rPr>
          <w:rFonts w:ascii="Arial" w:hAnsi="Arial" w:cs="Arial"/>
          <w:noProof/>
          <w:sz w:val="20"/>
          <w:szCs w:val="20"/>
        </w:rPr>
        <w:t>incorrect transposition of the Directive on the protection of animals used for scientific purposes</w:t>
      </w:r>
      <w:r>
        <w:rPr>
          <w:rStyle w:val="FootnoteReference"/>
          <w:rFonts w:ascii="Arial" w:hAnsi="Arial" w:cs="Arial"/>
          <w:noProof/>
          <w:sz w:val="20"/>
          <w:szCs w:val="20"/>
        </w:rPr>
        <w:footnoteReference w:id="239"/>
      </w:r>
      <w:r>
        <w:rPr>
          <w:rFonts w:ascii="Arial" w:hAnsi="Arial" w:cs="Arial"/>
          <w:noProof/>
          <w:sz w:val="20"/>
          <w:szCs w:val="20"/>
        </w:rPr>
        <w:t>;</w:t>
      </w:r>
    </w:p>
    <w:p>
      <w:pPr>
        <w:pStyle w:val="ListParagraph"/>
        <w:numPr>
          <w:ilvl w:val="0"/>
          <w:numId w:val="221"/>
        </w:numPr>
        <w:ind w:left="1701"/>
        <w:jc w:val="both"/>
        <w:rPr>
          <w:rFonts w:ascii="Arial" w:hAnsi="Arial" w:cs="Arial"/>
          <w:noProof/>
          <w:szCs w:val="20"/>
        </w:rPr>
      </w:pPr>
      <w:r>
        <w:rPr>
          <w:rFonts w:ascii="Arial" w:hAnsi="Arial" w:cs="Arial"/>
          <w:noProof/>
          <w:sz w:val="20"/>
          <w:szCs w:val="20"/>
        </w:rPr>
        <w:t>non-conformity of domestic legislation with the Habitats Directive and incorrect application of the Habitats Directive and the Birds Directive</w:t>
      </w:r>
      <w:r>
        <w:rPr>
          <w:rStyle w:val="FootnoteReference"/>
          <w:rFonts w:ascii="Arial" w:hAnsi="Arial" w:cs="Arial"/>
          <w:noProof/>
          <w:sz w:val="20"/>
          <w:szCs w:val="20"/>
        </w:rPr>
        <w:footnoteReference w:id="240"/>
      </w:r>
      <w:r>
        <w:rPr>
          <w:rFonts w:ascii="Arial" w:hAnsi="Arial" w:cs="Arial"/>
          <w:noProof/>
          <w:sz w:val="20"/>
          <w:szCs w:val="20"/>
        </w:rPr>
        <w:t>;</w:t>
      </w:r>
    </w:p>
    <w:p>
      <w:pPr>
        <w:pStyle w:val="ListParagraph"/>
        <w:numPr>
          <w:ilvl w:val="0"/>
          <w:numId w:val="221"/>
        </w:numPr>
        <w:ind w:left="1701"/>
        <w:jc w:val="both"/>
        <w:rPr>
          <w:rFonts w:ascii="Arial" w:hAnsi="Arial" w:cs="Arial"/>
          <w:noProof/>
          <w:sz w:val="20"/>
          <w:szCs w:val="20"/>
        </w:rPr>
      </w:pPr>
      <w:r>
        <w:rPr>
          <w:rFonts w:ascii="Arial" w:eastAsia="Calibri" w:hAnsi="Arial" w:cs="Arial"/>
          <w:noProof/>
          <w:kern w:val="20"/>
          <w:sz w:val="20"/>
          <w:lang w:eastAsia="en-GB"/>
        </w:rPr>
        <w:t xml:space="preserve">non-communication of national measures transposing the </w:t>
      </w:r>
    </w:p>
    <w:p>
      <w:pPr>
        <w:pStyle w:val="ListParagraph"/>
        <w:numPr>
          <w:ilvl w:val="1"/>
          <w:numId w:val="221"/>
        </w:numPr>
        <w:ind w:left="2268"/>
        <w:jc w:val="both"/>
        <w:rPr>
          <w:rFonts w:ascii="Arial" w:hAnsi="Arial" w:cs="Arial"/>
          <w:noProof/>
          <w:sz w:val="20"/>
          <w:szCs w:val="20"/>
        </w:rPr>
      </w:pPr>
      <w:r>
        <w:rPr>
          <w:rFonts w:ascii="Arial" w:eastAsia="Calibri" w:hAnsi="Arial" w:cs="Arial"/>
          <w:noProof/>
          <w:kern w:val="20"/>
          <w:sz w:val="20"/>
          <w:lang w:eastAsia="en-GB"/>
        </w:rPr>
        <w:t>Directive on the characteristics to be covered as a minimum by the examination and the minimum conditions for examining certain varieties of agricultural plant species and vegetable species</w:t>
      </w:r>
      <w:r>
        <w:rPr>
          <w:rStyle w:val="FootnoteReference"/>
          <w:rFonts w:ascii="Arial" w:eastAsia="Calibri" w:hAnsi="Arial" w:cs="Arial"/>
          <w:noProof/>
          <w:kern w:val="20"/>
          <w:sz w:val="20"/>
          <w:lang w:eastAsia="en-GB"/>
        </w:rPr>
        <w:footnoteReference w:id="241"/>
      </w:r>
      <w:r>
        <w:rPr>
          <w:rFonts w:ascii="Arial" w:eastAsia="Calibri" w:hAnsi="Arial" w:cs="Arial"/>
          <w:noProof/>
          <w:kern w:val="20"/>
          <w:sz w:val="20"/>
          <w:lang w:eastAsia="en-GB"/>
        </w:rPr>
        <w:t>;</w:t>
      </w:r>
    </w:p>
    <w:p>
      <w:pPr>
        <w:pStyle w:val="ListParagraph"/>
        <w:numPr>
          <w:ilvl w:val="1"/>
          <w:numId w:val="221"/>
        </w:numPr>
        <w:ind w:left="2268"/>
        <w:jc w:val="both"/>
        <w:rPr>
          <w:rFonts w:ascii="Arial" w:hAnsi="Arial" w:cs="Arial"/>
          <w:noProof/>
          <w:sz w:val="20"/>
          <w:szCs w:val="20"/>
        </w:rPr>
      </w:pPr>
      <w:r>
        <w:rPr>
          <w:rFonts w:ascii="Arial" w:hAnsi="Arial" w:cs="Arial"/>
          <w:noProof/>
          <w:sz w:val="20"/>
          <w:szCs w:val="20"/>
          <w:lang w:eastAsia="en-GB"/>
        </w:rPr>
        <w:t>Directive on protective measures against the introduction into the Community of organisms harmful to plants</w:t>
      </w:r>
      <w:r>
        <w:rPr>
          <w:rFonts w:ascii="Arial" w:hAnsi="Arial" w:cs="Arial"/>
          <w:noProof/>
          <w:sz w:val="20"/>
          <w:szCs w:val="20"/>
          <w:vertAlign w:val="superscript"/>
          <w:lang w:eastAsia="en-GB"/>
        </w:rPr>
        <w:footnoteReference w:id="242"/>
      </w:r>
      <w:r>
        <w:rPr>
          <w:rFonts w:ascii="Arial" w:hAnsi="Arial" w:cs="Arial"/>
          <w:noProof/>
          <w:sz w:val="20"/>
          <w:szCs w:val="20"/>
          <w:lang w:eastAsia="en-GB"/>
        </w:rPr>
        <w:t>;</w:t>
      </w:r>
    </w:p>
    <w:p>
      <w:pPr>
        <w:pStyle w:val="ListParagraph"/>
        <w:numPr>
          <w:ilvl w:val="1"/>
          <w:numId w:val="221"/>
        </w:numPr>
        <w:ind w:left="2268"/>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243"/>
      </w:r>
      <w:r>
        <w:rPr>
          <w:rFonts w:ascii="Arial" w:hAnsi="Arial" w:cs="Arial"/>
          <w:noProof/>
          <w:sz w:val="20"/>
          <w:szCs w:val="20"/>
        </w:rPr>
        <w:t>;</w:t>
      </w:r>
    </w:p>
    <w:p>
      <w:pPr>
        <w:pStyle w:val="ListParagraph"/>
        <w:numPr>
          <w:ilvl w:val="1"/>
          <w:numId w:val="221"/>
        </w:numPr>
        <w:ind w:left="2268"/>
        <w:jc w:val="both"/>
        <w:rPr>
          <w:rFonts w:ascii="Arial" w:hAnsi="Arial" w:cs="Arial"/>
          <w:noProof/>
          <w:sz w:val="20"/>
          <w:szCs w:val="20"/>
        </w:rPr>
      </w:pPr>
      <w:r>
        <w:rPr>
          <w:rFonts w:ascii="Arial" w:hAnsi="Arial" w:cs="Arial"/>
          <w:noProof/>
          <w:sz w:val="20"/>
          <w:szCs w:val="20"/>
        </w:rPr>
        <w:t>Package Travel Directive</w:t>
      </w:r>
      <w:r>
        <w:rPr>
          <w:rStyle w:val="FootnoteReference"/>
          <w:rFonts w:ascii="Arial" w:hAnsi="Arial" w:cs="Arial"/>
          <w:noProof/>
          <w:sz w:val="20"/>
          <w:szCs w:val="20"/>
        </w:rPr>
        <w:footnoteReference w:id="244"/>
      </w:r>
      <w:r>
        <w:rPr>
          <w:rFonts w:ascii="Arial" w:hAnsi="Arial" w:cs="Arial"/>
          <w:noProof/>
          <w:sz w:val="20"/>
          <w:szCs w:val="20"/>
        </w:rPr>
        <w:t>;</w:t>
      </w:r>
    </w:p>
    <w:p>
      <w:pPr>
        <w:pStyle w:val="ListParagraph"/>
        <w:numPr>
          <w:ilvl w:val="1"/>
          <w:numId w:val="221"/>
        </w:numPr>
        <w:ind w:left="2268"/>
        <w:jc w:val="both"/>
        <w:rPr>
          <w:rFonts w:ascii="Arial" w:hAnsi="Arial" w:cs="Arial"/>
          <w:noProof/>
          <w:sz w:val="20"/>
          <w:szCs w:val="20"/>
        </w:rPr>
      </w:pPr>
      <w:r>
        <w:rPr>
          <w:rFonts w:ascii="Arial" w:hAnsi="Arial" w:cs="Arial"/>
          <w:noProof/>
          <w:sz w:val="20"/>
          <w:szCs w:val="20"/>
        </w:rPr>
        <w:t>Directive on the presumption of innocence</w:t>
      </w:r>
      <w:r>
        <w:rPr>
          <w:rStyle w:val="FootnoteReference"/>
          <w:rFonts w:ascii="Arial" w:hAnsi="Arial" w:cs="Arial"/>
          <w:noProof/>
          <w:sz w:val="20"/>
          <w:szCs w:val="20"/>
        </w:rPr>
        <w:footnoteReference w:id="245"/>
      </w:r>
      <w:r>
        <w:rPr>
          <w:rFonts w:ascii="Arial" w:hAnsi="Arial" w:cs="Arial"/>
          <w:noProof/>
          <w:sz w:val="20"/>
          <w:szCs w:val="20"/>
        </w:rPr>
        <w:t>.</w:t>
      </w:r>
    </w:p>
    <w:p>
      <w:pPr>
        <w:numPr>
          <w:ilvl w:val="0"/>
          <w:numId w:val="147"/>
        </w:numPr>
        <w:spacing w:after="120"/>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pStyle w:val="ListParagraph"/>
        <w:numPr>
          <w:ilvl w:val="0"/>
          <w:numId w:val="18"/>
        </w:numPr>
        <w:ind w:left="1701"/>
        <w:jc w:val="both"/>
        <w:rPr>
          <w:rFonts w:ascii="Arial" w:hAnsi="Arial" w:cs="Arial"/>
          <w:noProof/>
          <w:sz w:val="20"/>
          <w:szCs w:val="20"/>
        </w:rPr>
      </w:pPr>
      <w:r>
        <w:rPr>
          <w:rFonts w:ascii="Arial" w:hAnsi="Arial" w:cs="Arial"/>
          <w:noProof/>
          <w:sz w:val="20"/>
          <w:szCs w:val="20"/>
        </w:rPr>
        <w:t>lack of proper judicial remedies against refusals, annulments or revocation of visas</w:t>
      </w:r>
      <w:r>
        <w:rPr>
          <w:rStyle w:val="FootnoteReference"/>
          <w:rFonts w:ascii="Arial" w:hAnsi="Arial" w:cs="Arial"/>
          <w:noProof/>
          <w:sz w:val="20"/>
          <w:szCs w:val="20"/>
        </w:rPr>
        <w:footnoteReference w:id="246"/>
      </w:r>
      <w:r>
        <w:rPr>
          <w:rFonts w:ascii="Arial" w:hAnsi="Arial" w:cs="Arial"/>
          <w:noProof/>
          <w:sz w:val="20"/>
          <w:szCs w:val="20"/>
        </w:rPr>
        <w:t>.</w:t>
      </w:r>
    </w:p>
    <w:p>
      <w:pPr>
        <w:numPr>
          <w:ilvl w:val="0"/>
          <w:numId w:val="147"/>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23"/>
        </w:numPr>
        <w:ind w:left="709"/>
        <w:rPr>
          <w:noProof/>
        </w:rPr>
      </w:pPr>
      <w:r>
        <w:rPr>
          <w:noProof/>
        </w:rPr>
        <w:t>TRANSPOSITION OF DIRECTIVES</w:t>
      </w:r>
    </w:p>
    <w:p>
      <w:pPr>
        <w:numPr>
          <w:ilvl w:val="0"/>
          <w:numId w:val="91"/>
        </w:numPr>
        <w:spacing w:before="240"/>
        <w:ind w:left="709" w:hanging="425"/>
        <w:outlineLvl w:val="1"/>
        <w:rPr>
          <w:rFonts w:ascii="Arial" w:hAnsi="Arial"/>
          <w:noProof/>
          <w:color w:val="002060"/>
        </w:rPr>
      </w:pPr>
      <w:r>
        <w:rPr>
          <w:rFonts w:ascii="Arial" w:hAnsi="Arial"/>
          <w:noProof/>
          <w:color w:val="002060"/>
        </w:rPr>
        <w:t>Late transposition infringement cases against Slovakia open on 31 December (2014-2018)</w:t>
      </w:r>
    </w:p>
    <w:p>
      <w:pPr>
        <w:ind w:left="426" w:firstLine="283"/>
        <w:rPr>
          <w:noProof/>
        </w:rPr>
      </w:pPr>
      <w:r>
        <w:rPr>
          <w:noProof/>
          <w:lang w:eastAsia="en-GB"/>
        </w:rPr>
        <w:drawing>
          <wp:inline distT="0" distB="0" distL="0" distR="0">
            <wp:extent cx="4619625" cy="2186305"/>
            <wp:effectExtent l="0" t="0" r="0" b="0"/>
            <wp:docPr id="27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91"/>
        </w:numPr>
        <w:spacing w:before="240"/>
        <w:ind w:left="709" w:hanging="425"/>
        <w:outlineLvl w:val="1"/>
        <w:rPr>
          <w:rFonts w:ascii="Arial" w:hAnsi="Arial"/>
          <w:noProof/>
          <w:color w:val="002060"/>
        </w:rPr>
      </w:pPr>
      <w:r>
        <w:rPr>
          <w:rFonts w:ascii="Arial" w:hAnsi="Arial"/>
          <w:noProof/>
          <w:color w:val="002060"/>
        </w:rPr>
        <w:t>New late transposition infringement cases against Slovakia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9625" cy="2178685"/>
            <wp:effectExtent l="0" t="0" r="0" b="0"/>
            <wp:docPr id="27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numPr>
          <w:ilvl w:val="0"/>
          <w:numId w:val="91"/>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250440"/>
            <wp:effectExtent l="0" t="0" r="10795" b="16510"/>
            <wp:docPr id="276" name="Object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numPr>
          <w:ilvl w:val="0"/>
          <w:numId w:val="91"/>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23"/>
        </w:numPr>
        <w:ind w:left="709"/>
        <w:rPr>
          <w:noProof/>
        </w:rPr>
      </w:pPr>
      <w:r>
        <w:rPr>
          <w:noProof/>
        </w:rPr>
        <w:t>EARLY RESOLUTION OF INFRINGEMENT CASES</w:t>
      </w:r>
    </w:p>
    <w:p>
      <w:pPr>
        <w:spacing w:before="24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226"/>
        </w:numPr>
        <w:spacing w:after="120"/>
        <w:ind w:left="1276"/>
        <w:jc w:val="both"/>
        <w:rPr>
          <w:rFonts w:ascii="Arial" w:hAnsi="Arial" w:cs="Arial"/>
          <w:noProof/>
          <w:sz w:val="20"/>
        </w:rPr>
      </w:pPr>
      <w:r>
        <w:rPr>
          <w:rFonts w:ascii="Arial" w:hAnsi="Arial" w:cs="Arial"/>
          <w:noProof/>
          <w:sz w:val="20"/>
          <w:szCs w:val="20"/>
        </w:rPr>
        <w:t>parallel imports of medicines</w:t>
      </w:r>
      <w:r>
        <w:rPr>
          <w:rStyle w:val="FootnoteReference"/>
          <w:rFonts w:ascii="Arial" w:hAnsi="Arial" w:cs="Arial"/>
          <w:noProof/>
          <w:sz w:val="20"/>
          <w:szCs w:val="20"/>
        </w:rPr>
        <w:footnoteReference w:id="247"/>
      </w:r>
      <w:r>
        <w:rPr>
          <w:rFonts w:ascii="Arial" w:hAnsi="Arial" w:cs="Arial"/>
          <w:noProof/>
          <w:sz w:val="20"/>
          <w:szCs w:val="20"/>
        </w:rPr>
        <w:t>;</w:t>
      </w:r>
    </w:p>
    <w:p>
      <w:pPr>
        <w:pStyle w:val="ListParagraph"/>
        <w:numPr>
          <w:ilvl w:val="0"/>
          <w:numId w:val="226"/>
        </w:numPr>
        <w:spacing w:after="120"/>
        <w:ind w:left="1276"/>
        <w:rPr>
          <w:rFonts w:ascii="Arial" w:hAnsi="Arial" w:cs="Arial"/>
          <w:noProof/>
          <w:sz w:val="20"/>
        </w:rPr>
      </w:pPr>
      <w:r>
        <w:rPr>
          <w:rFonts w:ascii="Arial" w:hAnsi="Arial" w:cs="Arial"/>
          <w:noProof/>
          <w:sz w:val="20"/>
          <w:szCs w:val="20"/>
        </w:rPr>
        <w:t>registration of right-hand drive vehicles;</w:t>
      </w:r>
    </w:p>
    <w:p>
      <w:pPr>
        <w:pStyle w:val="ListParagraph"/>
        <w:numPr>
          <w:ilvl w:val="0"/>
          <w:numId w:val="226"/>
        </w:numPr>
        <w:spacing w:after="120"/>
        <w:ind w:left="1276"/>
        <w:rPr>
          <w:rFonts w:ascii="Arial" w:hAnsi="Arial" w:cs="Arial"/>
          <w:noProof/>
          <w:sz w:val="20"/>
        </w:rPr>
      </w:pPr>
      <w:r>
        <w:rPr>
          <w:rFonts w:ascii="Arial" w:eastAsia="Calibri" w:hAnsi="Arial"/>
          <w:noProof/>
          <w:kern w:val="20"/>
          <w:sz w:val="20"/>
          <w:lang w:eastAsia="en-GB"/>
        </w:rPr>
        <w:t xml:space="preserve">non-communication of national measures transposing the Directives on </w:t>
      </w:r>
    </w:p>
    <w:p>
      <w:pPr>
        <w:pStyle w:val="ListParagraph"/>
        <w:numPr>
          <w:ilvl w:val="1"/>
          <w:numId w:val="226"/>
        </w:numPr>
        <w:spacing w:after="120"/>
        <w:ind w:left="2127"/>
        <w:jc w:val="both"/>
        <w:rPr>
          <w:rFonts w:ascii="Arial" w:hAnsi="Arial" w:cs="Arial"/>
          <w:bCs/>
          <w:noProof/>
          <w:sz w:val="20"/>
        </w:rPr>
      </w:pPr>
      <w:r>
        <w:rPr>
          <w:rFonts w:ascii="Arial" w:eastAsia="Calibri" w:hAnsi="Arial"/>
          <w:noProof/>
          <w:kern w:val="20"/>
          <w:sz w:val="20"/>
          <w:lang w:eastAsia="en-GB"/>
        </w:rPr>
        <w:t>protective measures against the introduction into the Community of organisms harmful to plants</w:t>
      </w:r>
      <w:r>
        <w:rPr>
          <w:rFonts w:ascii="Arial" w:eastAsia="Calibri" w:hAnsi="Arial"/>
          <w:noProof/>
          <w:kern w:val="20"/>
          <w:sz w:val="20"/>
          <w:vertAlign w:val="superscript"/>
          <w:lang w:val="nl-NL" w:eastAsia="en-GB"/>
        </w:rPr>
        <w:footnoteReference w:id="248"/>
      </w:r>
      <w:r>
        <w:rPr>
          <w:rFonts w:ascii="Arial" w:eastAsia="Calibri" w:hAnsi="Arial"/>
          <w:noProof/>
          <w:kern w:val="20"/>
          <w:sz w:val="20"/>
          <w:lang w:eastAsia="en-GB"/>
        </w:rPr>
        <w:t>;</w:t>
      </w:r>
    </w:p>
    <w:p>
      <w:pPr>
        <w:pStyle w:val="ListParagraph"/>
        <w:numPr>
          <w:ilvl w:val="1"/>
          <w:numId w:val="226"/>
        </w:numPr>
        <w:spacing w:after="120"/>
        <w:ind w:left="2127"/>
        <w:rPr>
          <w:rFonts w:ascii="Arial" w:hAnsi="Arial" w:cs="Arial"/>
          <w:bCs/>
          <w:noProof/>
          <w:sz w:val="20"/>
        </w:rPr>
      </w:pPr>
      <w:r>
        <w:rPr>
          <w:rFonts w:ascii="Arial" w:hAnsi="Arial" w:cs="Arial"/>
          <w:bCs/>
          <w:noProof/>
          <w:sz w:val="20"/>
        </w:rPr>
        <w:t>the freezing and confiscation of instrumentalities and proceeds of crime</w:t>
      </w:r>
      <w:r>
        <w:rPr>
          <w:rStyle w:val="FootnoteReference"/>
          <w:rFonts w:ascii="Arial" w:hAnsi="Arial" w:cs="Arial"/>
          <w:bCs/>
          <w:noProof/>
          <w:sz w:val="20"/>
        </w:rPr>
        <w:footnoteReference w:id="249"/>
      </w:r>
      <w:r>
        <w:rPr>
          <w:rFonts w:ascii="Arial" w:hAnsi="Arial" w:cs="Arial"/>
          <w:bCs/>
          <w:noProof/>
          <w:sz w:val="20"/>
        </w:rPr>
        <w:t>.</w:t>
      </w:r>
    </w:p>
    <w:p>
      <w:pPr>
        <w:pStyle w:val="AnnualReport1"/>
        <w:numPr>
          <w:ilvl w:val="0"/>
          <w:numId w:val="123"/>
        </w:numPr>
        <w:ind w:left="709"/>
        <w:rPr>
          <w:noProof/>
        </w:rPr>
      </w:pPr>
      <w:r>
        <w:rPr>
          <w:noProof/>
        </w:rPr>
        <w:t>IMPORTANT JUDGMENTS</w:t>
      </w:r>
    </w:p>
    <w:p>
      <w:pPr>
        <w:numPr>
          <w:ilvl w:val="0"/>
          <w:numId w:val="32"/>
        </w:numPr>
        <w:spacing w:before="240"/>
        <w:ind w:left="709" w:hanging="425"/>
        <w:outlineLvl w:val="1"/>
        <w:rPr>
          <w:rFonts w:ascii="Arial" w:hAnsi="Arial"/>
          <w:noProof/>
          <w:color w:val="002060"/>
        </w:rPr>
      </w:pPr>
      <w:r>
        <w:rPr>
          <w:rFonts w:ascii="Arial" w:hAnsi="Arial"/>
          <w:noProof/>
          <w:color w:val="002060"/>
        </w:rPr>
        <w:t>Court rulings</w:t>
      </w:r>
      <w:r>
        <w:rPr>
          <w:rFonts w:ascii="Arial" w:hAnsi="Arial"/>
          <w:noProof/>
          <w:color w:val="002060"/>
          <w:vertAlign w:val="superscript"/>
        </w:rPr>
        <w:footnoteReference w:id="250"/>
      </w:r>
    </w:p>
    <w:p>
      <w:pPr>
        <w:spacing w:after="120"/>
        <w:ind w:firstLine="709"/>
        <w:jc w:val="both"/>
        <w:rPr>
          <w:rFonts w:ascii="Arial" w:hAnsi="Arial" w:cs="Arial"/>
          <w:noProof/>
          <w:sz w:val="20"/>
          <w:szCs w:val="20"/>
        </w:rPr>
      </w:pPr>
      <w:r>
        <w:rPr>
          <w:rFonts w:ascii="Arial" w:hAnsi="Arial" w:cs="Arial"/>
          <w:noProof/>
          <w:sz w:val="20"/>
          <w:szCs w:val="20"/>
        </w:rPr>
        <w:t>The Court ruled that</w:t>
      </w:r>
    </w:p>
    <w:p>
      <w:pPr>
        <w:pStyle w:val="Basis"/>
        <w:numPr>
          <w:ilvl w:val="0"/>
          <w:numId w:val="231"/>
        </w:numPr>
        <w:spacing w:after="100" w:afterAutospacing="1" w:line="240" w:lineRule="auto"/>
        <w:ind w:left="1276" w:hanging="425"/>
        <w:jc w:val="both"/>
        <w:rPr>
          <w:rFonts w:ascii="Arial" w:hAnsi="Arial" w:cs="Arial"/>
          <w:noProof/>
          <w:lang w:val="en-GB"/>
        </w:rPr>
      </w:pPr>
      <w:r>
        <w:rPr>
          <w:rFonts w:ascii="Arial" w:hAnsi="Arial" w:cs="Arial"/>
          <w:i/>
          <w:noProof/>
          <w:lang w:val="en-GB"/>
        </w:rPr>
        <w:t>Slovakia</w:t>
      </w:r>
      <w:r>
        <w:rPr>
          <w:rFonts w:ascii="Arial" w:hAnsi="Arial" w:cs="Arial"/>
          <w:noProof/>
          <w:lang w:val="en-GB"/>
        </w:rPr>
        <w:t xml:space="preserve"> has failed to comply with an earlier Court judgment</w:t>
      </w:r>
      <w:r>
        <w:rPr>
          <w:rStyle w:val="FootnoteReference"/>
          <w:rFonts w:ascii="Arial" w:hAnsi="Arial" w:cs="Arial"/>
          <w:noProof/>
          <w:lang w:val="en-GB"/>
        </w:rPr>
        <w:footnoteReference w:id="251"/>
      </w:r>
      <w:r>
        <w:rPr>
          <w:rFonts w:ascii="Arial" w:hAnsi="Arial" w:cs="Arial"/>
          <w:noProof/>
          <w:lang w:val="en-GB"/>
        </w:rPr>
        <w:t xml:space="preserve"> that it had failed to fulfil its obligations under the Landfill Directive by authorising the operation of the Žilina-Považský Chlmec landfill site without a site-conditioning plan and in the absence of a definite decision on its continued operation on the basis of an approved site-conditioning plan. The Court ordered Slovakia to pay a lump sum of EUR 1 000 000 and a daily penalty of EUR 5 000 until full compliance is achieved</w:t>
      </w:r>
      <w:r>
        <w:rPr>
          <w:rStyle w:val="FootnoteReference"/>
          <w:rFonts w:ascii="Arial" w:hAnsi="Arial" w:cs="Arial"/>
          <w:noProof/>
          <w:lang w:val="en-GB"/>
        </w:rPr>
        <w:footnoteReference w:id="252"/>
      </w:r>
      <w:r>
        <w:rPr>
          <w:rFonts w:ascii="Arial" w:hAnsi="Arial" w:cs="Arial"/>
          <w:noProof/>
          <w:lang w:val="en-GB"/>
        </w:rPr>
        <w:t>.</w:t>
      </w:r>
    </w:p>
    <w:p>
      <w:pPr>
        <w:numPr>
          <w:ilvl w:val="0"/>
          <w:numId w:val="32"/>
        </w:numPr>
        <w:spacing w:before="240"/>
        <w:ind w:left="709" w:hanging="425"/>
        <w:outlineLvl w:val="1"/>
        <w:rPr>
          <w:rFonts w:ascii="Arial" w:hAnsi="Arial"/>
          <w:noProof/>
          <w:color w:val="002060"/>
        </w:rPr>
      </w:pPr>
      <w:r>
        <w:rPr>
          <w:rFonts w:ascii="Arial" w:hAnsi="Arial"/>
          <w:noProof/>
          <w:color w:val="002060"/>
        </w:rPr>
        <w:t>Preliminary rulings</w:t>
      </w:r>
    </w:p>
    <w:p>
      <w:pPr>
        <w:spacing w:after="120"/>
        <w:ind w:left="426" w:firstLine="294"/>
        <w:jc w:val="both"/>
        <w:rPr>
          <w:rFonts w:ascii="Arial" w:hAnsi="Arial" w:cs="Arial"/>
          <w:noProof/>
          <w:sz w:val="20"/>
        </w:rPr>
      </w:pPr>
      <w:r>
        <w:rPr>
          <w:rFonts w:ascii="Arial" w:hAnsi="Arial" w:cs="Arial"/>
          <w:noProof/>
          <w:sz w:val="20"/>
        </w:rPr>
        <w:t xml:space="preserve">The Court addressed the following preliminary ruling to the Slovak judiciary. </w:t>
      </w:r>
    </w:p>
    <w:p>
      <w:pPr>
        <w:pStyle w:val="Lijstje2"/>
        <w:numPr>
          <w:ilvl w:val="0"/>
          <w:numId w:val="226"/>
        </w:numPr>
        <w:spacing w:after="0" w:line="240" w:lineRule="auto"/>
        <w:ind w:left="1418"/>
        <w:contextualSpacing w:val="0"/>
        <w:rPr>
          <w:noProof/>
          <w:lang w:val="en-US"/>
        </w:rPr>
      </w:pPr>
      <w:r>
        <w:rPr>
          <w:rFonts w:ascii="Arial" w:hAnsi="Arial" w:cs="Arial"/>
          <w:noProof/>
          <w:lang w:val="en-GB"/>
        </w:rPr>
        <w:t>Member States may not impose a charge on the export of electricity generated in their own territory</w:t>
      </w:r>
      <w:r>
        <w:rPr>
          <w:rStyle w:val="FootnoteReference"/>
          <w:rFonts w:ascii="Arial" w:hAnsi="Arial" w:cs="Arial"/>
          <w:noProof/>
          <w:lang w:val="en-GB"/>
        </w:rPr>
        <w:footnoteReference w:id="253"/>
      </w:r>
      <w:r>
        <w:rPr>
          <w:rFonts w:ascii="Arial" w:hAnsi="Arial" w:cs="Arial"/>
          <w:noProof/>
          <w:lang w:val="en-GB"/>
        </w:rPr>
        <w:t>.</w:t>
      </w:r>
    </w:p>
    <w:p>
      <w:pPr>
        <w:spacing w:after="0"/>
        <w:rPr>
          <w:noProof/>
        </w:rPr>
        <w:sectPr>
          <w:headerReference w:type="even" r:id="rId171"/>
          <w:headerReference w:type="default" r:id="rId172"/>
          <w:footerReference w:type="even" r:id="rId173"/>
          <w:footerReference w:type="default" r:id="rId174"/>
          <w:headerReference w:type="first" r:id="rId175"/>
          <w:footerReference w:type="first" r:id="rId176"/>
          <w:footnotePr>
            <w:numRestart w:val="eachSect"/>
          </w:footnotePr>
          <w:pgSz w:w="11906" w:h="16838"/>
          <w:pgMar w:top="1843"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58" w:name="_Toc484622342"/>
      <w:bookmarkStart w:id="59" w:name="_Toc5728038"/>
      <w:bookmarkStart w:id="60" w:name="_Toc475974664"/>
      <w:bookmarkStart w:id="61" w:name="_Toc475980160"/>
      <w:bookmarkStart w:id="62" w:name="_Toc475981409"/>
      <w:r>
        <w:rPr>
          <w:rFonts w:ascii="Arial" w:eastAsia="SimSun" w:hAnsi="Arial"/>
          <w:bCs/>
          <w:noProof/>
          <w:color w:val="A6A6A6"/>
          <w:szCs w:val="28"/>
        </w:rPr>
        <w:t>Finland</w:t>
      </w:r>
      <w:bookmarkEnd w:id="58"/>
      <w:bookmarkEnd w:id="59"/>
    </w:p>
    <w:p>
      <w:pPr>
        <w:pStyle w:val="AnnualReport1"/>
        <w:numPr>
          <w:ilvl w:val="0"/>
          <w:numId w:val="187"/>
        </w:numPr>
        <w:ind w:left="709"/>
        <w:rPr>
          <w:noProof/>
        </w:rPr>
      </w:pPr>
      <w:r>
        <w:rPr>
          <w:noProof/>
        </w:rPr>
        <w:t>COMPLAINTS</w:t>
      </w:r>
    </w:p>
    <w:p>
      <w:pPr>
        <w:numPr>
          <w:ilvl w:val="0"/>
          <w:numId w:val="89"/>
        </w:numPr>
        <w:spacing w:before="240"/>
        <w:ind w:left="709" w:hanging="425"/>
        <w:outlineLvl w:val="1"/>
        <w:rPr>
          <w:rFonts w:ascii="Arial" w:hAnsi="Arial"/>
          <w:noProof/>
          <w:color w:val="002060"/>
        </w:rPr>
      </w:pPr>
      <w:r>
        <w:rPr>
          <w:rFonts w:ascii="Arial" w:hAnsi="Arial"/>
          <w:noProof/>
          <w:color w:val="002060"/>
        </w:rPr>
        <w:t>New complaints made against Finland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091055"/>
            <wp:effectExtent l="0" t="0" r="3175" b="4445"/>
            <wp:docPr id="2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numPr>
          <w:ilvl w:val="0"/>
          <w:numId w:val="89"/>
        </w:numPr>
        <w:spacing w:before="240"/>
        <w:ind w:left="709" w:hanging="425"/>
        <w:outlineLvl w:val="1"/>
        <w:rPr>
          <w:rFonts w:ascii="Arial" w:hAnsi="Arial"/>
          <w:noProof/>
          <w:color w:val="002060"/>
        </w:rPr>
      </w:pPr>
      <w:r>
        <w:rPr>
          <w:rFonts w:ascii="Arial" w:hAnsi="Arial"/>
          <w:noProof/>
          <w:color w:val="002060"/>
        </w:rPr>
        <w:t>Public complaints against Finland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41</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51</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40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89"/>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818380" cy="2234565"/>
            <wp:effectExtent l="0" t="0" r="1270" b="13335"/>
            <wp:docPr id="27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spacing w:after="200" w:line="276" w:lineRule="auto"/>
        <w:rPr>
          <w:noProof/>
        </w:rPr>
      </w:pPr>
      <w:r>
        <w:rPr>
          <w:noProof/>
        </w:rPr>
        <w:br w:type="page"/>
      </w:r>
    </w:p>
    <w:p>
      <w:pPr>
        <w:pStyle w:val="AnnualReport1"/>
        <w:numPr>
          <w:ilvl w:val="0"/>
          <w:numId w:val="187"/>
        </w:numPr>
        <w:ind w:left="709"/>
        <w:rPr>
          <w:noProof/>
        </w:rPr>
      </w:pPr>
      <w:r>
        <w:rPr>
          <w:noProof/>
        </w:rPr>
        <w:t>EU PILOT</w:t>
      </w:r>
    </w:p>
    <w:p>
      <w:pPr>
        <w:numPr>
          <w:ilvl w:val="0"/>
          <w:numId w:val="40"/>
        </w:numPr>
        <w:spacing w:before="240"/>
        <w:ind w:left="709" w:hanging="425"/>
        <w:outlineLvl w:val="1"/>
        <w:rPr>
          <w:rFonts w:ascii="Arial" w:hAnsi="Arial"/>
          <w:noProof/>
          <w:color w:val="002060"/>
        </w:rPr>
      </w:pPr>
      <w:r>
        <w:rPr>
          <w:rFonts w:ascii="Arial" w:hAnsi="Arial"/>
          <w:noProof/>
          <w:color w:val="002060"/>
        </w:rPr>
        <w:t>New EU Pilot files opened against Finland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12005" cy="2146935"/>
            <wp:effectExtent l="0" t="0" r="0" b="0"/>
            <wp:docPr id="27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numPr>
          <w:ilvl w:val="0"/>
          <w:numId w:val="40"/>
        </w:numPr>
        <w:spacing w:before="240"/>
        <w:ind w:left="709" w:hanging="425"/>
        <w:outlineLvl w:val="1"/>
        <w:rPr>
          <w:rFonts w:ascii="Arial" w:hAnsi="Arial"/>
          <w:noProof/>
          <w:color w:val="002060"/>
        </w:rPr>
      </w:pPr>
      <w:r>
        <w:rPr>
          <w:rFonts w:ascii="Arial" w:hAnsi="Arial"/>
          <w:noProof/>
          <w:color w:val="002060"/>
        </w:rPr>
        <w:t>Files relating to Finland open in EU Pilot at year-end</w:t>
      </w:r>
    </w:p>
    <w:p>
      <w:pPr>
        <w:spacing w:after="200" w:line="276" w:lineRule="auto"/>
        <w:ind w:firstLine="709"/>
        <w:rPr>
          <w:rFonts w:cs="Arial"/>
          <w:noProof/>
          <w:sz w:val="20"/>
        </w:rPr>
      </w:pPr>
      <w:r>
        <w:rPr>
          <w:noProof/>
          <w:sz w:val="20"/>
          <w:lang w:eastAsia="en-GB"/>
        </w:rPr>
        <w:drawing>
          <wp:inline distT="0" distB="0" distL="0" distR="0">
            <wp:extent cx="4612005" cy="2146935"/>
            <wp:effectExtent l="0" t="0" r="0" b="0"/>
            <wp:docPr id="28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numPr>
          <w:ilvl w:val="0"/>
          <w:numId w:val="40"/>
        </w:numPr>
        <w:spacing w:before="240"/>
        <w:ind w:left="709" w:hanging="425"/>
        <w:outlineLvl w:val="1"/>
        <w:rPr>
          <w:rFonts w:ascii="Arial" w:hAnsi="Arial"/>
          <w:noProof/>
          <w:color w:val="002060"/>
        </w:rPr>
      </w:pPr>
      <w:r>
        <w:rPr>
          <w:rFonts w:ascii="Arial" w:hAnsi="Arial"/>
          <w:noProof/>
          <w:color w:val="002060"/>
        </w:rPr>
        <w:t>New EU Pilot files opened in 2018: policy areas</w:t>
      </w:r>
    </w:p>
    <w:p>
      <w:pPr>
        <w:pStyle w:val="Body"/>
        <w:ind w:left="786" w:firstLine="0"/>
        <w:jc w:val="both"/>
        <w:rPr>
          <w:noProof/>
        </w:rPr>
      </w:pPr>
      <w:r>
        <w:rPr>
          <w:noProof/>
        </w:rPr>
        <w:t>In 2018, the Commission opened one EU Pilot files against Finland in the area of energy.</w:t>
      </w:r>
    </w:p>
    <w:p>
      <w:pPr>
        <w:numPr>
          <w:ilvl w:val="0"/>
          <w:numId w:val="40"/>
        </w:numPr>
        <w:spacing w:before="240"/>
        <w:ind w:left="709" w:hanging="425"/>
        <w:outlineLvl w:val="1"/>
        <w:rPr>
          <w:rFonts w:ascii="Arial" w:hAnsi="Arial"/>
          <w:noProof/>
          <w:color w:val="002060"/>
        </w:rPr>
      </w:pPr>
      <w:r>
        <w:rPr>
          <w:rFonts w:ascii="Arial" w:hAnsi="Arial"/>
          <w:noProof/>
          <w:color w:val="002060"/>
        </w:rPr>
        <w:t>EU Pilot files: Finland’s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240" cy="1912620"/>
            <wp:effectExtent l="0" t="0" r="3810" b="11430"/>
            <wp:docPr id="28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AnnualReport1"/>
        <w:numPr>
          <w:ilvl w:val="0"/>
          <w:numId w:val="187"/>
        </w:numPr>
        <w:ind w:left="709"/>
        <w:rPr>
          <w:noProof/>
        </w:rPr>
      </w:pPr>
      <w:r>
        <w:rPr>
          <w:noProof/>
        </w:rPr>
        <w:t>INFRINGEMENT CASES</w:t>
      </w:r>
    </w:p>
    <w:p>
      <w:pPr>
        <w:numPr>
          <w:ilvl w:val="0"/>
          <w:numId w:val="41"/>
        </w:numPr>
        <w:spacing w:before="240"/>
        <w:ind w:left="709" w:hanging="425"/>
        <w:outlineLvl w:val="1"/>
        <w:rPr>
          <w:rFonts w:ascii="Arial" w:hAnsi="Arial"/>
          <w:noProof/>
          <w:color w:val="002060"/>
        </w:rPr>
      </w:pPr>
      <w:r>
        <w:rPr>
          <w:rFonts w:ascii="Arial" w:hAnsi="Arial"/>
          <w:noProof/>
          <w:color w:val="002060"/>
        </w:rPr>
        <w:t>Infringement cases against Finland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240" cy="2042160"/>
            <wp:effectExtent l="0" t="0" r="3810" b="15240"/>
            <wp:docPr id="28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numPr>
          <w:ilvl w:val="0"/>
          <w:numId w:val="41"/>
        </w:numPr>
        <w:spacing w:before="240"/>
        <w:ind w:left="709" w:hanging="425"/>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79620" cy="2404110"/>
            <wp:effectExtent l="0" t="0" r="11430" b="15240"/>
            <wp:docPr id="284" name="Object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numPr>
          <w:ilvl w:val="0"/>
          <w:numId w:val="41"/>
        </w:numPr>
        <w:spacing w:before="360"/>
        <w:ind w:left="709" w:hanging="425"/>
        <w:outlineLvl w:val="1"/>
        <w:rPr>
          <w:rFonts w:ascii="Arial" w:hAnsi="Arial"/>
          <w:noProof/>
          <w:color w:val="002060"/>
        </w:rPr>
      </w:pPr>
      <w:r>
        <w:rPr>
          <w:rFonts w:ascii="Arial" w:hAnsi="Arial"/>
          <w:noProof/>
          <w:color w:val="002060"/>
        </w:rPr>
        <w:t>Key infringement cases and referrals to the Court</w:t>
      </w:r>
    </w:p>
    <w:p>
      <w:pPr>
        <w:pStyle w:val="ListParagraph"/>
        <w:numPr>
          <w:ilvl w:val="0"/>
          <w:numId w:val="188"/>
        </w:numPr>
        <w:jc w:val="both"/>
        <w:rPr>
          <w:rFonts w:ascii="Arial" w:hAnsi="Arial" w:cs="Arial"/>
          <w:noProof/>
          <w:sz w:val="20"/>
          <w:szCs w:val="20"/>
        </w:rPr>
      </w:pPr>
      <w:r>
        <w:rPr>
          <w:rFonts w:ascii="Arial" w:hAnsi="Arial" w:cs="Arial"/>
          <w:noProof/>
          <w:sz w:val="20"/>
          <w:szCs w:val="20"/>
        </w:rPr>
        <w:t>The Commission opened 14 new infringement cases against Finland in 2018. These, and other major ongoing infringement cases, include:</w:t>
      </w:r>
    </w:p>
    <w:p>
      <w:pPr>
        <w:pStyle w:val="Lijstje2"/>
        <w:numPr>
          <w:ilvl w:val="0"/>
          <w:numId w:val="2"/>
        </w:numPr>
        <w:spacing w:after="200" w:line="240" w:lineRule="auto"/>
        <w:ind w:left="1418"/>
        <w:jc w:val="both"/>
        <w:rPr>
          <w:rFonts w:ascii="Arial" w:hAnsi="Arial" w:cs="Arial"/>
          <w:noProof/>
          <w:szCs w:val="20"/>
          <w:lang w:val="en-US"/>
        </w:rPr>
      </w:pPr>
      <w:r>
        <w:rPr>
          <w:rFonts w:ascii="Arial" w:hAnsi="Arial" w:cs="Arial"/>
          <w:noProof/>
          <w:szCs w:val="20"/>
          <w:lang w:val="en-US"/>
        </w:rPr>
        <w:t>non-</w:t>
      </w:r>
      <w:r>
        <w:rPr>
          <w:rFonts w:ascii="Arial" w:hAnsi="Arial" w:cs="Arial"/>
          <w:noProof/>
          <w:szCs w:val="20"/>
          <w:lang w:val="en-GB"/>
        </w:rPr>
        <w:t>compliance</w:t>
      </w:r>
      <w:r>
        <w:rPr>
          <w:rFonts w:ascii="Arial" w:hAnsi="Arial" w:cs="Arial"/>
          <w:noProof/>
          <w:szCs w:val="20"/>
          <w:lang w:val="en-US"/>
        </w:rPr>
        <w:t xml:space="preserve"> with the requirements of the Energy Efficiency Directive</w:t>
      </w:r>
      <w:r>
        <w:rPr>
          <w:rStyle w:val="FootnoteReference"/>
          <w:rFonts w:ascii="Arial" w:hAnsi="Arial" w:cs="Arial"/>
          <w:noProof/>
          <w:szCs w:val="20"/>
        </w:rPr>
        <w:footnoteReference w:id="254"/>
      </w:r>
      <w:r>
        <w:rPr>
          <w:rFonts w:ascii="Arial" w:hAnsi="Arial" w:cs="Arial"/>
          <w:noProof/>
          <w:szCs w:val="20"/>
          <w:lang w:val="en-US"/>
        </w:rPr>
        <w:t>;</w:t>
      </w:r>
    </w:p>
    <w:p>
      <w:pPr>
        <w:pStyle w:val="Lijstje2"/>
        <w:numPr>
          <w:ilvl w:val="0"/>
          <w:numId w:val="2"/>
        </w:numPr>
        <w:spacing w:after="200" w:line="240" w:lineRule="auto"/>
        <w:ind w:left="1418"/>
        <w:jc w:val="both"/>
        <w:rPr>
          <w:rFonts w:ascii="Arial" w:hAnsi="Arial" w:cs="Arial"/>
          <w:noProof/>
          <w:szCs w:val="20"/>
          <w:lang w:val="en-US"/>
        </w:rPr>
      </w:pPr>
      <w:r>
        <w:rPr>
          <w:rFonts w:ascii="Arial" w:hAnsi="Arial" w:cs="Arial"/>
          <w:noProof/>
          <w:szCs w:val="20"/>
          <w:lang w:val="en-US"/>
        </w:rPr>
        <w:t>hunting of wild birds in breach of the Birds Directive</w:t>
      </w:r>
      <w:r>
        <w:rPr>
          <w:rStyle w:val="FootnoteReference"/>
          <w:rFonts w:ascii="Arial" w:hAnsi="Arial" w:cs="Arial"/>
          <w:noProof/>
          <w:szCs w:val="20"/>
        </w:rPr>
        <w:footnoteReference w:id="255"/>
      </w:r>
      <w:r>
        <w:rPr>
          <w:rFonts w:ascii="Arial" w:hAnsi="Arial" w:cs="Arial"/>
          <w:noProof/>
          <w:szCs w:val="20"/>
          <w:lang w:val="en-US"/>
        </w:rPr>
        <w:t>;</w:t>
      </w:r>
    </w:p>
    <w:p>
      <w:pPr>
        <w:pStyle w:val="Lijstje2"/>
        <w:numPr>
          <w:ilvl w:val="0"/>
          <w:numId w:val="2"/>
        </w:numPr>
        <w:spacing w:after="200" w:line="240" w:lineRule="auto"/>
        <w:ind w:left="1418"/>
        <w:jc w:val="both"/>
        <w:rPr>
          <w:rFonts w:ascii="Arial" w:hAnsi="Arial" w:cs="Arial"/>
          <w:noProof/>
          <w:szCs w:val="20"/>
          <w:lang w:val="en-US"/>
        </w:rPr>
      </w:pPr>
      <w:r>
        <w:rPr>
          <w:rFonts w:ascii="Arial" w:hAnsi="Arial" w:cs="Arial"/>
          <w:noProof/>
          <w:szCs w:val="20"/>
          <w:lang w:val="en-GB"/>
        </w:rPr>
        <w:t>non-compliance with the Consumer Rights Directive</w:t>
      </w:r>
      <w:r>
        <w:rPr>
          <w:rStyle w:val="FootnoteReference"/>
          <w:rFonts w:ascii="Arial" w:hAnsi="Arial" w:cs="Arial"/>
          <w:noProof/>
          <w:szCs w:val="20"/>
          <w:lang w:val="en-GB"/>
        </w:rPr>
        <w:footnoteReference w:id="256"/>
      </w:r>
      <w:r>
        <w:rPr>
          <w:rFonts w:ascii="Arial" w:hAnsi="Arial" w:cs="Arial"/>
          <w:noProof/>
          <w:szCs w:val="20"/>
          <w:lang w:val="en-GB"/>
        </w:rPr>
        <w:t>;</w:t>
      </w:r>
    </w:p>
    <w:p>
      <w:pPr>
        <w:pStyle w:val="Lijstje2"/>
        <w:numPr>
          <w:ilvl w:val="0"/>
          <w:numId w:val="2"/>
        </w:numPr>
        <w:spacing w:after="200" w:line="240" w:lineRule="auto"/>
        <w:ind w:left="1418"/>
        <w:jc w:val="both"/>
        <w:rPr>
          <w:rFonts w:ascii="Arial" w:hAnsi="Arial" w:cs="Arial"/>
          <w:noProof/>
          <w:szCs w:val="20"/>
          <w:lang w:val="en-US"/>
        </w:rPr>
      </w:pPr>
      <w:r>
        <w:rPr>
          <w:rFonts w:ascii="Arial" w:hAnsi="Arial" w:cs="Arial"/>
          <w:noProof/>
          <w:szCs w:val="20"/>
          <w:lang w:val="en-US"/>
        </w:rPr>
        <w:t>non-conformity of national transposition measures with the Directive on the recognition of professional qualifications</w:t>
      </w:r>
      <w:r>
        <w:rPr>
          <w:rStyle w:val="FootnoteReference"/>
          <w:rFonts w:ascii="Arial" w:hAnsi="Arial" w:cs="Arial"/>
          <w:noProof/>
          <w:szCs w:val="20"/>
        </w:rPr>
        <w:footnoteReference w:id="257"/>
      </w:r>
      <w:r>
        <w:rPr>
          <w:rFonts w:ascii="Arial" w:hAnsi="Arial" w:cs="Arial"/>
          <w:noProof/>
          <w:szCs w:val="20"/>
          <w:lang w:val="en-US"/>
        </w:rPr>
        <w:t>;</w:t>
      </w:r>
    </w:p>
    <w:p>
      <w:pPr>
        <w:pStyle w:val="Lijstje2"/>
        <w:numPr>
          <w:ilvl w:val="0"/>
          <w:numId w:val="2"/>
        </w:numPr>
        <w:spacing w:after="200" w:line="240" w:lineRule="auto"/>
        <w:ind w:left="1418"/>
        <w:jc w:val="both"/>
        <w:rPr>
          <w:rFonts w:ascii="Arial" w:hAnsi="Arial" w:cs="Arial"/>
          <w:noProof/>
          <w:szCs w:val="20"/>
          <w:lang w:val="en-US"/>
        </w:rPr>
      </w:pPr>
      <w:r>
        <w:rPr>
          <w:rFonts w:ascii="Arial" w:hAnsi="Arial" w:cs="Arial"/>
          <w:bCs/>
          <w:noProof/>
          <w:lang w:val="en-GB"/>
        </w:rPr>
        <w:t>non-communication of national measures transposing the:</w:t>
      </w:r>
    </w:p>
    <w:p>
      <w:pPr>
        <w:pStyle w:val="Lijstje2"/>
        <w:numPr>
          <w:ilvl w:val="0"/>
          <w:numId w:val="245"/>
        </w:numPr>
        <w:spacing w:after="200" w:line="240" w:lineRule="auto"/>
        <w:ind w:left="2127"/>
        <w:jc w:val="both"/>
        <w:rPr>
          <w:rFonts w:ascii="Arial" w:hAnsi="Arial" w:cs="Arial"/>
          <w:noProof/>
          <w:szCs w:val="20"/>
        </w:rPr>
      </w:pPr>
      <w:r>
        <w:rPr>
          <w:rFonts w:ascii="Arial" w:hAnsi="Arial" w:cs="Arial"/>
          <w:noProof/>
          <w:lang w:val="en-GB"/>
        </w:rPr>
        <w:t>Basic Safety Standards Directive</w:t>
      </w:r>
      <w:r>
        <w:rPr>
          <w:rStyle w:val="FootnoteReference"/>
          <w:rFonts w:ascii="Arial" w:hAnsi="Arial" w:cs="Arial"/>
          <w:noProof/>
          <w:lang w:val="en-GB"/>
        </w:rPr>
        <w:footnoteReference w:id="258"/>
      </w:r>
      <w:r>
        <w:rPr>
          <w:rFonts w:ascii="Arial" w:hAnsi="Arial" w:cs="Arial"/>
          <w:noProof/>
          <w:lang w:val="en-GB"/>
        </w:rPr>
        <w:t>;</w:t>
      </w:r>
    </w:p>
    <w:p>
      <w:pPr>
        <w:pStyle w:val="Lijstje2"/>
        <w:numPr>
          <w:ilvl w:val="0"/>
          <w:numId w:val="245"/>
        </w:numPr>
        <w:spacing w:after="200" w:line="240" w:lineRule="auto"/>
        <w:ind w:left="2127"/>
        <w:jc w:val="both"/>
        <w:rPr>
          <w:rFonts w:ascii="Arial" w:hAnsi="Arial" w:cs="Arial"/>
          <w:noProof/>
          <w:szCs w:val="20"/>
          <w:lang w:val="en-US"/>
        </w:rPr>
      </w:pPr>
      <w:r>
        <w:rPr>
          <w:rFonts w:ascii="Arial" w:hAnsi="Arial" w:cs="Arial"/>
          <w:noProof/>
          <w:szCs w:val="20"/>
          <w:lang w:val="en-US"/>
        </w:rPr>
        <w:t>Directive on the reduction of national emissions of certain atmospheric pollutants</w:t>
      </w:r>
      <w:r>
        <w:rPr>
          <w:rStyle w:val="FootnoteReference"/>
          <w:rFonts w:ascii="Arial" w:hAnsi="Arial" w:cs="Arial"/>
          <w:noProof/>
          <w:szCs w:val="20"/>
        </w:rPr>
        <w:footnoteReference w:id="259"/>
      </w:r>
      <w:r>
        <w:rPr>
          <w:rFonts w:ascii="Arial" w:hAnsi="Arial" w:cs="Arial"/>
          <w:noProof/>
          <w:szCs w:val="20"/>
          <w:lang w:val="en-US"/>
        </w:rPr>
        <w:t>;</w:t>
      </w:r>
    </w:p>
    <w:p>
      <w:pPr>
        <w:pStyle w:val="Lijstje2"/>
        <w:numPr>
          <w:ilvl w:val="0"/>
          <w:numId w:val="245"/>
        </w:numPr>
        <w:spacing w:after="200" w:line="240" w:lineRule="auto"/>
        <w:ind w:left="2127"/>
        <w:jc w:val="both"/>
        <w:rPr>
          <w:rFonts w:ascii="Arial" w:hAnsi="Arial" w:cs="Arial"/>
          <w:noProof/>
          <w:szCs w:val="20"/>
          <w:lang w:val="en-US"/>
        </w:rPr>
      </w:pPr>
      <w:r>
        <w:rPr>
          <w:rFonts w:ascii="Arial" w:hAnsi="Arial" w:cs="Arial"/>
          <w:noProof/>
          <w:szCs w:val="20"/>
          <w:lang w:val="en-US"/>
        </w:rPr>
        <w:t>Directive on the accessibility of the websites and mobile applications of public sector bodies</w:t>
      </w:r>
      <w:r>
        <w:rPr>
          <w:rStyle w:val="FootnoteReference"/>
          <w:rFonts w:ascii="Arial" w:hAnsi="Arial" w:cs="Arial"/>
          <w:noProof/>
          <w:szCs w:val="20"/>
        </w:rPr>
        <w:footnoteReference w:id="260"/>
      </w:r>
      <w:r>
        <w:rPr>
          <w:rFonts w:ascii="Arial" w:hAnsi="Arial" w:cs="Arial"/>
          <w:noProof/>
          <w:szCs w:val="20"/>
          <w:lang w:val="en-US"/>
        </w:rPr>
        <w:t>;</w:t>
      </w:r>
    </w:p>
    <w:p>
      <w:pPr>
        <w:pStyle w:val="Lijstje2"/>
        <w:numPr>
          <w:ilvl w:val="0"/>
          <w:numId w:val="245"/>
        </w:numPr>
        <w:spacing w:after="200" w:line="240" w:lineRule="auto"/>
        <w:ind w:left="2127"/>
        <w:jc w:val="both"/>
        <w:rPr>
          <w:rFonts w:ascii="Arial" w:hAnsi="Arial" w:cs="Arial"/>
          <w:noProof/>
          <w:szCs w:val="20"/>
          <w:lang w:val="en-US"/>
        </w:rPr>
      </w:pPr>
      <w:r>
        <w:rPr>
          <w:rFonts w:ascii="Arial" w:hAnsi="Arial" w:cs="Arial"/>
          <w:noProof/>
          <w:szCs w:val="20"/>
          <w:lang w:val="en-US"/>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Cs w:val="20"/>
        </w:rPr>
        <w:footnoteReference w:id="261"/>
      </w:r>
      <w:r>
        <w:rPr>
          <w:rFonts w:ascii="Arial" w:hAnsi="Arial" w:cs="Arial"/>
          <w:noProof/>
          <w:szCs w:val="20"/>
          <w:lang w:val="en-US"/>
        </w:rPr>
        <w:t>;</w:t>
      </w:r>
    </w:p>
    <w:p>
      <w:pPr>
        <w:pStyle w:val="Lijstje2"/>
        <w:numPr>
          <w:ilvl w:val="0"/>
          <w:numId w:val="245"/>
        </w:numPr>
        <w:spacing w:after="200" w:line="240" w:lineRule="auto"/>
        <w:ind w:left="2127"/>
        <w:jc w:val="both"/>
        <w:rPr>
          <w:rFonts w:ascii="Arial" w:hAnsi="Arial" w:cs="Arial"/>
          <w:noProof/>
          <w:szCs w:val="20"/>
        </w:rPr>
      </w:pPr>
      <w:r>
        <w:rPr>
          <w:rFonts w:ascii="Arial" w:hAnsi="Arial" w:cs="Arial"/>
          <w:noProof/>
          <w:szCs w:val="20"/>
        </w:rPr>
        <w:t>Data Protection Law Enforcement Directive</w:t>
      </w:r>
      <w:r>
        <w:rPr>
          <w:rStyle w:val="FootnoteReference"/>
          <w:rFonts w:ascii="Arial" w:hAnsi="Arial" w:cs="Arial"/>
          <w:noProof/>
          <w:szCs w:val="20"/>
        </w:rPr>
        <w:footnoteReference w:id="262"/>
      </w:r>
      <w:r>
        <w:rPr>
          <w:rFonts w:ascii="Arial" w:hAnsi="Arial" w:cs="Arial"/>
          <w:noProof/>
          <w:szCs w:val="20"/>
        </w:rPr>
        <w:t>.</w:t>
      </w:r>
    </w:p>
    <w:p>
      <w:pPr>
        <w:pStyle w:val="ListParagraph"/>
        <w:numPr>
          <w:ilvl w:val="0"/>
          <w:numId w:val="188"/>
        </w:numPr>
        <w:ind w:left="782" w:hanging="357"/>
        <w:contextualSpacing w:val="0"/>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pStyle w:val="ListParagraph"/>
        <w:numPr>
          <w:ilvl w:val="0"/>
          <w:numId w:val="188"/>
        </w:numPr>
        <w:ind w:left="782" w:hanging="357"/>
        <w:contextualSpacing w:val="0"/>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87"/>
        </w:numPr>
        <w:ind w:left="709"/>
        <w:rPr>
          <w:noProof/>
        </w:rPr>
      </w:pPr>
      <w:r>
        <w:rPr>
          <w:noProof/>
        </w:rPr>
        <w:t>TRANSPOSITION OF DIRECTIVES</w:t>
      </w:r>
    </w:p>
    <w:p>
      <w:pPr>
        <w:numPr>
          <w:ilvl w:val="0"/>
          <w:numId w:val="42"/>
        </w:numPr>
        <w:spacing w:before="360"/>
        <w:ind w:left="709" w:hanging="425"/>
        <w:outlineLvl w:val="1"/>
        <w:rPr>
          <w:rFonts w:ascii="Arial" w:hAnsi="Arial"/>
          <w:noProof/>
          <w:color w:val="002060"/>
        </w:rPr>
      </w:pPr>
      <w:r>
        <w:rPr>
          <w:rFonts w:ascii="Arial" w:hAnsi="Arial"/>
          <w:noProof/>
          <w:color w:val="002060"/>
        </w:rPr>
        <w:t>Late transposition infringement cases against Finland open on 31 December (2014-2018)</w:t>
      </w:r>
    </w:p>
    <w:p>
      <w:pPr>
        <w:ind w:left="426" w:firstLine="283"/>
        <w:rPr>
          <w:noProof/>
        </w:rPr>
      </w:pPr>
      <w:r>
        <w:rPr>
          <w:noProof/>
          <w:lang w:eastAsia="en-GB"/>
        </w:rPr>
        <w:drawing>
          <wp:inline distT="0" distB="0" distL="0" distR="0">
            <wp:extent cx="4619625" cy="2146935"/>
            <wp:effectExtent l="0" t="0" r="9525" b="24765"/>
            <wp:docPr id="28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numPr>
          <w:ilvl w:val="0"/>
          <w:numId w:val="42"/>
        </w:numPr>
        <w:spacing w:before="360"/>
        <w:ind w:left="709" w:hanging="425"/>
        <w:outlineLvl w:val="1"/>
        <w:rPr>
          <w:rFonts w:ascii="Arial" w:hAnsi="Arial"/>
          <w:noProof/>
          <w:color w:val="002060"/>
        </w:rPr>
      </w:pPr>
      <w:r>
        <w:rPr>
          <w:rFonts w:ascii="Arial" w:hAnsi="Arial"/>
          <w:noProof/>
          <w:color w:val="002060"/>
        </w:rPr>
        <w:t>New late transposition infringement cases against Finland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9625" cy="2091055"/>
            <wp:effectExtent l="0" t="0" r="0" b="0"/>
            <wp:docPr id="28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42"/>
        </w:numPr>
        <w:spacing w:before="36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440940"/>
            <wp:effectExtent l="0" t="0" r="10795" b="16510"/>
            <wp:docPr id="287" name="Object 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numPr>
          <w:ilvl w:val="0"/>
          <w:numId w:val="42"/>
        </w:numPr>
        <w:spacing w:before="36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87"/>
        </w:numPr>
        <w:ind w:left="709"/>
        <w:rPr>
          <w:noProof/>
        </w:rPr>
      </w:pPr>
      <w:r>
        <w:rPr>
          <w:noProof/>
        </w:rPr>
        <w:t>EARLY RESOLUTION OF INFRINGEMENT CASES</w:t>
      </w:r>
    </w:p>
    <w:p>
      <w:pPr>
        <w:spacing w:before="24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217"/>
        </w:numPr>
        <w:spacing w:after="0"/>
        <w:ind w:hanging="357"/>
        <w:jc w:val="both"/>
        <w:rPr>
          <w:rFonts w:ascii="Arial" w:hAnsi="Arial" w:cs="Arial"/>
          <w:noProof/>
          <w:sz w:val="20"/>
          <w:szCs w:val="20"/>
        </w:rPr>
      </w:pPr>
      <w:r>
        <w:rPr>
          <w:rFonts w:ascii="Arial" w:hAnsi="Arial" w:cs="Arial"/>
          <w:noProof/>
          <w:sz w:val="20"/>
          <w:szCs w:val="20"/>
        </w:rPr>
        <w:t xml:space="preserve">non-compliant transposition of the </w:t>
      </w:r>
    </w:p>
    <w:p>
      <w:pPr>
        <w:pStyle w:val="ListParagraph"/>
        <w:numPr>
          <w:ilvl w:val="1"/>
          <w:numId w:val="217"/>
        </w:numPr>
        <w:spacing w:after="0"/>
        <w:jc w:val="both"/>
        <w:rPr>
          <w:rFonts w:ascii="Arial" w:hAnsi="Arial" w:cs="Arial"/>
          <w:noProof/>
          <w:sz w:val="20"/>
          <w:szCs w:val="20"/>
        </w:rPr>
      </w:pPr>
      <w:r>
        <w:rPr>
          <w:rFonts w:ascii="Arial" w:hAnsi="Arial" w:cs="Arial"/>
          <w:noProof/>
          <w:sz w:val="20"/>
          <w:szCs w:val="20"/>
        </w:rPr>
        <w:t>Directive on public access to environmental information</w:t>
      </w:r>
      <w:r>
        <w:rPr>
          <w:rStyle w:val="FootnoteReference"/>
          <w:rFonts w:ascii="Arial" w:hAnsi="Arial" w:cs="Arial"/>
          <w:noProof/>
          <w:sz w:val="20"/>
          <w:szCs w:val="20"/>
        </w:rPr>
        <w:footnoteReference w:id="263"/>
      </w:r>
      <w:r>
        <w:rPr>
          <w:rFonts w:ascii="Arial" w:hAnsi="Arial" w:cs="Arial"/>
          <w:noProof/>
          <w:sz w:val="20"/>
          <w:szCs w:val="20"/>
        </w:rPr>
        <w:t>;</w:t>
      </w:r>
    </w:p>
    <w:p>
      <w:pPr>
        <w:pStyle w:val="ListParagraph"/>
        <w:numPr>
          <w:ilvl w:val="1"/>
          <w:numId w:val="217"/>
        </w:numPr>
        <w:spacing w:after="0"/>
        <w:jc w:val="both"/>
        <w:rPr>
          <w:rFonts w:ascii="Arial" w:hAnsi="Arial" w:cs="Arial"/>
          <w:noProof/>
          <w:sz w:val="20"/>
          <w:szCs w:val="20"/>
        </w:rPr>
      </w:pPr>
      <w:r>
        <w:rPr>
          <w:rFonts w:ascii="Arial" w:hAnsi="Arial" w:cs="Arial"/>
          <w:noProof/>
          <w:sz w:val="20"/>
          <w:szCs w:val="20"/>
        </w:rPr>
        <w:t>Unfair Commercial Practices Directive</w:t>
      </w:r>
      <w:r>
        <w:rPr>
          <w:rStyle w:val="FootnoteReference"/>
          <w:rFonts w:ascii="Arial" w:hAnsi="Arial" w:cs="Arial"/>
          <w:noProof/>
          <w:sz w:val="20"/>
          <w:szCs w:val="20"/>
        </w:rPr>
        <w:footnoteReference w:id="264"/>
      </w:r>
      <w:r>
        <w:rPr>
          <w:rFonts w:ascii="Arial" w:hAnsi="Arial" w:cs="Arial"/>
          <w:noProof/>
          <w:sz w:val="20"/>
          <w:szCs w:val="20"/>
        </w:rPr>
        <w:t>;</w:t>
      </w:r>
    </w:p>
    <w:p>
      <w:pPr>
        <w:numPr>
          <w:ilvl w:val="0"/>
          <w:numId w:val="217"/>
        </w:numPr>
        <w:suppressAutoHyphens/>
        <w:spacing w:after="0" w:line="276" w:lineRule="auto"/>
        <w:ind w:hanging="357"/>
        <w:jc w:val="both"/>
        <w:rPr>
          <w:rFonts w:ascii="Arial" w:hAnsi="Arial" w:cs="Arial"/>
          <w:i/>
          <w:noProof/>
          <w:sz w:val="20"/>
          <w:szCs w:val="20"/>
        </w:rPr>
      </w:pPr>
      <w:r>
        <w:rPr>
          <w:rFonts w:ascii="Arial" w:hAnsi="Arial" w:cs="Arial"/>
          <w:noProof/>
          <w:sz w:val="20"/>
          <w:szCs w:val="20"/>
        </w:rPr>
        <w:t>incorrect application of the Airport Charges Directive</w:t>
      </w:r>
      <w:r>
        <w:rPr>
          <w:rFonts w:ascii="Arial" w:eastAsia="Calibri" w:hAnsi="Arial" w:cs="Arial"/>
          <w:noProof/>
          <w:color w:val="00000A"/>
          <w:kern w:val="2"/>
          <w:sz w:val="20"/>
          <w:szCs w:val="20"/>
          <w:vertAlign w:val="superscript"/>
          <w:lang w:eastAsia="zh-CN"/>
        </w:rPr>
        <w:footnoteReference w:id="265"/>
      </w:r>
      <w:r>
        <w:rPr>
          <w:rFonts w:ascii="Arial" w:hAnsi="Arial" w:cs="Arial"/>
          <w:noProof/>
          <w:sz w:val="20"/>
          <w:szCs w:val="20"/>
        </w:rPr>
        <w:t>;</w:t>
      </w:r>
    </w:p>
    <w:p>
      <w:pPr>
        <w:pStyle w:val="ListParagraph"/>
        <w:numPr>
          <w:ilvl w:val="0"/>
          <w:numId w:val="217"/>
        </w:numPr>
        <w:spacing w:after="120"/>
        <w:rPr>
          <w:rFonts w:ascii="Arial" w:hAnsi="Arial" w:cs="Arial"/>
          <w:noProof/>
          <w:sz w:val="20"/>
        </w:rPr>
      </w:pPr>
      <w:r>
        <w:rPr>
          <w:rFonts w:ascii="Arial" w:hAnsi="Arial" w:cs="Arial"/>
          <w:noProof/>
          <w:sz w:val="20"/>
          <w:szCs w:val="20"/>
        </w:rPr>
        <w:t>failure to communicate national measures transposing the:</w:t>
      </w:r>
    </w:p>
    <w:p>
      <w:pPr>
        <w:pStyle w:val="ListParagraph"/>
        <w:numPr>
          <w:ilvl w:val="1"/>
          <w:numId w:val="217"/>
        </w:numPr>
        <w:spacing w:after="120"/>
        <w:jc w:val="both"/>
        <w:rPr>
          <w:rFonts w:ascii="Arial" w:hAnsi="Arial" w:cs="Arial"/>
          <w:noProof/>
          <w:sz w:val="20"/>
        </w:rPr>
      </w:pPr>
      <w:r>
        <w:rPr>
          <w:rFonts w:ascii="Arial" w:eastAsia="Times New Roman" w:hAnsi="Arial" w:cs="Arial"/>
          <w:noProof/>
          <w:sz w:val="20"/>
          <w:szCs w:val="20"/>
          <w:lang w:eastAsia="en-GB"/>
        </w:rPr>
        <w:t>Mortgage Credit Directive;</w:t>
      </w:r>
      <w:r>
        <w:rPr>
          <w:rStyle w:val="FootnoteReference"/>
          <w:rFonts w:ascii="Arial" w:eastAsia="Times New Roman" w:hAnsi="Arial" w:cs="Arial"/>
          <w:noProof/>
          <w:sz w:val="20"/>
          <w:szCs w:val="20"/>
          <w:lang w:eastAsia="en-GB"/>
        </w:rPr>
        <w:footnoteReference w:id="266"/>
      </w:r>
    </w:p>
    <w:p>
      <w:pPr>
        <w:pStyle w:val="ListParagraph"/>
        <w:numPr>
          <w:ilvl w:val="1"/>
          <w:numId w:val="217"/>
        </w:numPr>
        <w:spacing w:after="120"/>
        <w:rPr>
          <w:rFonts w:ascii="Arial" w:eastAsia="Calibri" w:hAnsi="Arial" w:cs="Arial"/>
          <w:noProof/>
          <w:kern w:val="20"/>
          <w:sz w:val="20"/>
          <w:lang w:eastAsia="en-GB"/>
        </w:rPr>
      </w:pPr>
      <w:r>
        <w:rPr>
          <w:rFonts w:ascii="Arial" w:eastAsia="Calibri" w:hAnsi="Arial" w:cs="Arial"/>
          <w:noProof/>
          <w:kern w:val="20"/>
          <w:sz w:val="20"/>
          <w:lang w:eastAsia="en-GB"/>
        </w:rPr>
        <w:t>Directive on tobacco products;</w:t>
      </w:r>
      <w:r>
        <w:rPr>
          <w:rFonts w:ascii="Arial" w:eastAsia="Calibri" w:hAnsi="Arial" w:cs="Arial"/>
          <w:noProof/>
          <w:kern w:val="20"/>
          <w:sz w:val="20"/>
          <w:vertAlign w:val="superscript"/>
          <w:lang w:val="nl-NL" w:eastAsia="en-GB"/>
        </w:rPr>
        <w:footnoteReference w:id="267"/>
      </w:r>
      <w:r>
        <w:rPr>
          <w:rFonts w:ascii="Arial" w:hAnsi="Arial" w:cs="Arial"/>
          <w:bCs/>
          <w:noProof/>
          <w:sz w:val="20"/>
        </w:rPr>
        <w:t xml:space="preserve"> </w:t>
      </w:r>
    </w:p>
    <w:p>
      <w:pPr>
        <w:pStyle w:val="ListParagraph"/>
        <w:numPr>
          <w:ilvl w:val="1"/>
          <w:numId w:val="217"/>
        </w:numPr>
        <w:spacing w:after="120"/>
        <w:rPr>
          <w:rFonts w:ascii="Arial" w:eastAsia="Calibri" w:hAnsi="Arial" w:cs="Arial"/>
          <w:noProof/>
          <w:kern w:val="20"/>
          <w:sz w:val="20"/>
          <w:lang w:eastAsia="en-GB"/>
        </w:rPr>
      </w:pPr>
      <w:r>
        <w:rPr>
          <w:rFonts w:ascii="Arial" w:eastAsia="Calibri" w:hAnsi="Arial" w:cs="Arial"/>
          <w:bCs/>
          <w:noProof/>
          <w:kern w:val="20"/>
          <w:sz w:val="20"/>
          <w:lang w:eastAsia="en-GB"/>
        </w:rPr>
        <w:t>Directive on seasonal workers</w:t>
      </w:r>
      <w:r>
        <w:rPr>
          <w:rFonts w:ascii="Arial" w:eastAsia="Calibri" w:hAnsi="Arial" w:cs="Arial"/>
          <w:bCs/>
          <w:noProof/>
          <w:kern w:val="20"/>
          <w:sz w:val="20"/>
          <w:vertAlign w:val="superscript"/>
          <w:lang w:eastAsia="en-GB"/>
        </w:rPr>
        <w:footnoteReference w:id="268"/>
      </w:r>
      <w:r>
        <w:rPr>
          <w:rFonts w:ascii="Arial" w:eastAsia="Calibri" w:hAnsi="Arial" w:cs="Arial"/>
          <w:bCs/>
          <w:noProof/>
          <w:kern w:val="20"/>
          <w:sz w:val="20"/>
          <w:lang w:eastAsia="en-GB"/>
        </w:rPr>
        <w:t>;</w:t>
      </w:r>
    </w:p>
    <w:p>
      <w:pPr>
        <w:pStyle w:val="ListParagraph"/>
        <w:numPr>
          <w:ilvl w:val="1"/>
          <w:numId w:val="217"/>
        </w:numPr>
        <w:spacing w:after="120"/>
        <w:rPr>
          <w:rFonts w:ascii="Arial" w:hAnsi="Arial" w:cs="Arial"/>
          <w:noProof/>
          <w:sz w:val="20"/>
        </w:rPr>
      </w:pPr>
      <w:r>
        <w:rPr>
          <w:rFonts w:ascii="Arial" w:hAnsi="Arial" w:cs="Arial"/>
          <w:bCs/>
          <w:noProof/>
          <w:sz w:val="20"/>
        </w:rPr>
        <w:t>Directive on intra-corporate transfer</w:t>
      </w:r>
      <w:r>
        <w:rPr>
          <w:rFonts w:ascii="Arial" w:hAnsi="Arial" w:cs="Arial"/>
          <w:bCs/>
          <w:noProof/>
          <w:sz w:val="20"/>
          <w:vertAlign w:val="superscript"/>
        </w:rPr>
        <w:footnoteReference w:id="269"/>
      </w:r>
      <w:r>
        <w:rPr>
          <w:rFonts w:ascii="Arial" w:hAnsi="Arial" w:cs="Arial"/>
          <w:bCs/>
          <w:noProof/>
          <w:sz w:val="20"/>
        </w:rPr>
        <w:t>.</w:t>
      </w:r>
    </w:p>
    <w:p>
      <w:pPr>
        <w:pStyle w:val="AnnualReport1"/>
        <w:numPr>
          <w:ilvl w:val="0"/>
          <w:numId w:val="187"/>
        </w:numPr>
        <w:ind w:left="709"/>
        <w:rPr>
          <w:noProof/>
        </w:rPr>
      </w:pPr>
      <w:r>
        <w:rPr>
          <w:noProof/>
        </w:rPr>
        <w:t>IMPORTANT JUDGMENTS</w:t>
      </w:r>
    </w:p>
    <w:p>
      <w:pPr>
        <w:numPr>
          <w:ilvl w:val="0"/>
          <w:numId w:val="153"/>
        </w:numPr>
        <w:spacing w:before="240"/>
        <w:outlineLvl w:val="1"/>
        <w:rPr>
          <w:rFonts w:ascii="Arial" w:hAnsi="Arial"/>
          <w:noProof/>
          <w:color w:val="002060"/>
        </w:rPr>
      </w:pPr>
      <w:r>
        <w:rPr>
          <w:rFonts w:ascii="Arial" w:hAnsi="Arial"/>
          <w:noProof/>
          <w:color w:val="002060"/>
        </w:rPr>
        <w:t>Court rulings</w:t>
      </w:r>
    </w:p>
    <w:p>
      <w:pPr>
        <w:ind w:firstLine="709"/>
        <w:jc w:val="both"/>
        <w:rPr>
          <w:rFonts w:ascii="Arial" w:hAnsi="Arial" w:cs="Arial"/>
          <w:noProof/>
          <w:sz w:val="20"/>
          <w:szCs w:val="20"/>
        </w:rPr>
      </w:pPr>
      <w:r>
        <w:rPr>
          <w:rFonts w:ascii="Arial" w:hAnsi="Arial" w:cs="Arial"/>
          <w:noProof/>
          <w:sz w:val="20"/>
          <w:szCs w:val="20"/>
        </w:rPr>
        <w:t>There were no major Court rulings in 2018.</w:t>
      </w:r>
    </w:p>
    <w:p>
      <w:pPr>
        <w:numPr>
          <w:ilvl w:val="0"/>
          <w:numId w:val="153"/>
        </w:numPr>
        <w:spacing w:before="240"/>
        <w:ind w:left="709" w:hanging="425"/>
        <w:outlineLvl w:val="1"/>
        <w:rPr>
          <w:rFonts w:ascii="Arial" w:hAnsi="Arial"/>
          <w:noProof/>
          <w:color w:val="002060"/>
        </w:rPr>
      </w:pPr>
      <w:r>
        <w:rPr>
          <w:rFonts w:ascii="Arial" w:hAnsi="Arial"/>
          <w:noProof/>
          <w:color w:val="002060"/>
        </w:rPr>
        <w:t>Preliminary rulings</w:t>
      </w:r>
    </w:p>
    <w:p>
      <w:pPr>
        <w:ind w:firstLine="709"/>
        <w:jc w:val="both"/>
        <w:rPr>
          <w:rFonts w:ascii="Arial" w:hAnsi="Arial" w:cs="Arial"/>
          <w:noProof/>
          <w:sz w:val="20"/>
          <w:szCs w:val="20"/>
        </w:rPr>
      </w:pPr>
      <w:r>
        <w:rPr>
          <w:rFonts w:ascii="Arial" w:hAnsi="Arial" w:cs="Arial"/>
          <w:noProof/>
          <w:sz w:val="20"/>
          <w:szCs w:val="20"/>
        </w:rPr>
        <w:t xml:space="preserve">The Court addressed the following preliminary rulings to the Finnish judiciary. </w:t>
      </w:r>
    </w:p>
    <w:p>
      <w:pPr>
        <w:pStyle w:val="ListParagraph"/>
        <w:numPr>
          <w:ilvl w:val="0"/>
          <w:numId w:val="227"/>
        </w:numPr>
        <w:spacing w:after="120"/>
        <w:ind w:left="1418"/>
        <w:jc w:val="both"/>
        <w:rPr>
          <w:rFonts w:ascii="Arial" w:hAnsi="Arial" w:cs="Arial"/>
          <w:noProof/>
          <w:sz w:val="20"/>
        </w:rPr>
      </w:pPr>
      <w:r>
        <w:rPr>
          <w:rFonts w:ascii="Arial" w:hAnsi="Arial" w:cs="Arial"/>
          <w:bCs/>
          <w:noProof/>
          <w:sz w:val="20"/>
          <w:szCs w:val="20"/>
        </w:rPr>
        <w:t>Complaints against an air carrier under Article 31 of the Montreal Convention must be made in writing</w:t>
      </w:r>
      <w:r>
        <w:rPr>
          <w:rStyle w:val="FootnoteReference"/>
          <w:rFonts w:ascii="Arial" w:hAnsi="Arial" w:cs="Arial"/>
          <w:noProof/>
          <w:sz w:val="20"/>
          <w:szCs w:val="20"/>
        </w:rPr>
        <w:footnoteReference w:id="270"/>
      </w:r>
      <w:r>
        <w:rPr>
          <w:rFonts w:ascii="Arial" w:hAnsi="Arial" w:cs="Arial"/>
          <w:bCs/>
          <w:noProof/>
          <w:sz w:val="20"/>
          <w:szCs w:val="20"/>
        </w:rPr>
        <w:t>.</w:t>
      </w:r>
    </w:p>
    <w:p>
      <w:pPr>
        <w:pStyle w:val="ListParagraph"/>
        <w:numPr>
          <w:ilvl w:val="0"/>
          <w:numId w:val="227"/>
        </w:numPr>
        <w:spacing w:after="120"/>
        <w:ind w:left="1418"/>
        <w:jc w:val="both"/>
        <w:rPr>
          <w:rFonts w:ascii="Arial" w:hAnsi="Arial" w:cs="Arial"/>
          <w:noProof/>
          <w:sz w:val="20"/>
          <w:szCs w:val="20"/>
        </w:rPr>
      </w:pPr>
      <w:r>
        <w:rPr>
          <w:rFonts w:ascii="Arial" w:hAnsi="Arial" w:cs="Arial"/>
          <w:noProof/>
          <w:sz w:val="20"/>
          <w:szCs w:val="20"/>
        </w:rPr>
        <w:t>The case concerned a situation where an extradition request has been made by a third country for an EU citizen who has exercised his/her right to free movement. The Court ruled that the requested Member State is required to ensure that that EU citizen, provided that he resides permanently in its territory, receives the same treatment as that accorded to its own nationals in relation to extradition</w:t>
      </w:r>
      <w:r>
        <w:rPr>
          <w:rFonts w:ascii="Arial" w:hAnsi="Arial" w:cs="Arial"/>
          <w:noProof/>
          <w:sz w:val="20"/>
          <w:szCs w:val="20"/>
          <w:vertAlign w:val="superscript"/>
        </w:rPr>
        <w:footnoteReference w:id="271"/>
      </w:r>
      <w:r>
        <w:rPr>
          <w:rFonts w:ascii="Arial" w:hAnsi="Arial" w:cs="Arial"/>
          <w:noProof/>
          <w:sz w:val="20"/>
          <w:szCs w:val="20"/>
        </w:rPr>
        <w:t>.</w:t>
      </w:r>
    </w:p>
    <w:p>
      <w:pPr>
        <w:pStyle w:val="ListParagraph"/>
        <w:numPr>
          <w:ilvl w:val="0"/>
          <w:numId w:val="279"/>
        </w:numPr>
        <w:spacing w:after="120" w:line="240" w:lineRule="auto"/>
        <w:ind w:left="1418" w:hanging="284"/>
        <w:jc w:val="both"/>
        <w:rPr>
          <w:rFonts w:ascii="Arial" w:hAnsi="Arial" w:cs="Arial"/>
          <w:noProof/>
          <w:sz w:val="20"/>
          <w:szCs w:val="20"/>
        </w:rPr>
      </w:pPr>
      <w:r>
        <w:rPr>
          <w:rFonts w:ascii="Arial" w:hAnsi="Arial" w:cs="Arial"/>
          <w:noProof/>
          <w:sz w:val="20"/>
          <w:szCs w:val="20"/>
        </w:rPr>
        <w:t>A return decision accompanied by an entry ban may be enforced against a person holding a residence permit from another Member State, even though the consultation procedure with the latter Member State is ongoing, if the third country national is regarded by the Member State issuing the alert as a threat to public order or national security, without prejudice to that person’s entitlement to rely on the rights he derives from that residence permit, after a reasonable time from the initiation of the consultation procedure and in the absence of a response from the Member State consulted, the Member State issuing the alert for the purposes of refusing entry must withdraw it and, if necessary, put the third-country national on its national list of alerts</w:t>
      </w:r>
      <w:r>
        <w:rPr>
          <w:rStyle w:val="FootnoteReference"/>
          <w:rFonts w:ascii="Arial" w:hAnsi="Arial" w:cs="Arial"/>
          <w:noProof/>
          <w:sz w:val="20"/>
          <w:szCs w:val="20"/>
        </w:rPr>
        <w:footnoteReference w:id="272"/>
      </w:r>
      <w:r>
        <w:rPr>
          <w:rFonts w:ascii="Arial" w:hAnsi="Arial" w:cs="Arial"/>
          <w:noProof/>
          <w:sz w:val="20"/>
          <w:szCs w:val="20"/>
        </w:rPr>
        <w:t>.</w:t>
      </w:r>
    </w:p>
    <w:p>
      <w:pPr>
        <w:pStyle w:val="ListParagraph"/>
        <w:numPr>
          <w:ilvl w:val="0"/>
          <w:numId w:val="227"/>
        </w:numPr>
        <w:spacing w:after="120"/>
        <w:ind w:left="1418"/>
        <w:jc w:val="both"/>
        <w:rPr>
          <w:rFonts w:ascii="Arial" w:hAnsi="Arial" w:cs="Arial"/>
          <w:noProof/>
          <w:sz w:val="20"/>
          <w:szCs w:val="20"/>
        </w:rPr>
      </w:pPr>
      <w:r>
        <w:rPr>
          <w:rFonts w:ascii="Arial" w:hAnsi="Arial" w:cs="Arial"/>
          <w:noProof/>
          <w:sz w:val="20"/>
          <w:szCs w:val="20"/>
        </w:rPr>
        <w:t>Data protection legislation covers a set of personal data collected in the course of door-to-door preaching. A religious community is a controller, jointly with its members who engage in preaching, of the processing of personal data carried out by the latter through door-to-door preaching</w:t>
      </w:r>
      <w:r>
        <w:rPr>
          <w:rStyle w:val="FootnoteReference"/>
          <w:rFonts w:ascii="Arial" w:hAnsi="Arial" w:cs="Arial"/>
          <w:noProof/>
          <w:sz w:val="20"/>
          <w:szCs w:val="20"/>
        </w:rPr>
        <w:footnoteReference w:id="273"/>
      </w:r>
      <w:r>
        <w:rPr>
          <w:rFonts w:ascii="Arial" w:hAnsi="Arial" w:cs="Arial"/>
          <w:noProof/>
          <w:sz w:val="20"/>
          <w:szCs w:val="20"/>
        </w:rPr>
        <w:t>.</w:t>
      </w:r>
    </w:p>
    <w:p>
      <w:pPr>
        <w:spacing w:after="0"/>
        <w:rPr>
          <w:noProof/>
        </w:rPr>
      </w:pPr>
    </w:p>
    <w:p>
      <w:pPr>
        <w:spacing w:after="0"/>
        <w:rPr>
          <w:noProof/>
        </w:rPr>
        <w:sectPr>
          <w:headerReference w:type="even" r:id="rId187"/>
          <w:headerReference w:type="default" r:id="rId188"/>
          <w:footerReference w:type="even" r:id="rId189"/>
          <w:footerReference w:type="default" r:id="rId190"/>
          <w:headerReference w:type="first" r:id="rId191"/>
          <w:footerReference w:type="first" r:id="rId192"/>
          <w:footnotePr>
            <w:numRestart w:val="eachSect"/>
          </w:footnotePr>
          <w:pgSz w:w="11906" w:h="16838"/>
          <w:pgMar w:top="1701"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63" w:name="_Toc484622343"/>
      <w:bookmarkStart w:id="64" w:name="_Toc5728039"/>
      <w:r>
        <w:rPr>
          <w:rFonts w:ascii="Arial" w:eastAsia="SimSun" w:hAnsi="Arial"/>
          <w:bCs/>
          <w:noProof/>
          <w:color w:val="A6A6A6"/>
          <w:szCs w:val="28"/>
        </w:rPr>
        <w:t>Sweden</w:t>
      </w:r>
      <w:bookmarkEnd w:id="60"/>
      <w:bookmarkEnd w:id="61"/>
      <w:bookmarkEnd w:id="62"/>
      <w:bookmarkEnd w:id="63"/>
      <w:bookmarkEnd w:id="64"/>
    </w:p>
    <w:p>
      <w:pPr>
        <w:pStyle w:val="AnnualReport1"/>
        <w:numPr>
          <w:ilvl w:val="0"/>
          <w:numId w:val="189"/>
        </w:numPr>
        <w:ind w:left="709"/>
        <w:rPr>
          <w:noProof/>
        </w:rPr>
      </w:pPr>
      <w:r>
        <w:rPr>
          <w:noProof/>
        </w:rPr>
        <w:t>COMPLAINTS</w:t>
      </w:r>
    </w:p>
    <w:p>
      <w:pPr>
        <w:numPr>
          <w:ilvl w:val="0"/>
          <w:numId w:val="44"/>
        </w:numPr>
        <w:spacing w:before="240"/>
        <w:ind w:left="709" w:hanging="425"/>
        <w:outlineLvl w:val="1"/>
        <w:rPr>
          <w:rFonts w:ascii="Arial" w:hAnsi="Arial"/>
          <w:noProof/>
          <w:color w:val="002060"/>
        </w:rPr>
      </w:pPr>
      <w:r>
        <w:rPr>
          <w:rFonts w:ascii="Arial" w:hAnsi="Arial"/>
          <w:noProof/>
          <w:color w:val="002060"/>
        </w:rPr>
        <w:t>New complaints made against Sweden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472690"/>
            <wp:effectExtent l="0" t="0" r="0" b="0"/>
            <wp:docPr id="2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numPr>
          <w:ilvl w:val="0"/>
          <w:numId w:val="44"/>
        </w:numPr>
        <w:spacing w:before="240"/>
        <w:ind w:left="709" w:hanging="425"/>
        <w:outlineLvl w:val="1"/>
        <w:rPr>
          <w:rFonts w:ascii="Arial" w:hAnsi="Arial"/>
          <w:noProof/>
          <w:color w:val="002060"/>
        </w:rPr>
      </w:pPr>
      <w:r>
        <w:rPr>
          <w:rFonts w:ascii="Arial" w:hAnsi="Arial"/>
          <w:noProof/>
          <w:color w:val="002060"/>
        </w:rPr>
        <w:t>Public complaints against Sweden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115</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142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114</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143</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0"/>
          <w:numId w:val="44"/>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305685"/>
            <wp:effectExtent l="0" t="0" r="1270" b="18415"/>
            <wp:docPr id="28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pStyle w:val="AnnualReport1"/>
        <w:numPr>
          <w:ilvl w:val="0"/>
          <w:numId w:val="189"/>
        </w:numPr>
        <w:ind w:left="709"/>
        <w:rPr>
          <w:noProof/>
        </w:rPr>
      </w:pPr>
      <w:r>
        <w:rPr>
          <w:noProof/>
        </w:rPr>
        <w:t>EU PILOT</w:t>
      </w:r>
    </w:p>
    <w:p>
      <w:pPr>
        <w:numPr>
          <w:ilvl w:val="0"/>
          <w:numId w:val="45"/>
        </w:numPr>
        <w:spacing w:before="240"/>
        <w:ind w:left="709" w:hanging="425"/>
        <w:outlineLvl w:val="1"/>
        <w:rPr>
          <w:rFonts w:ascii="Arial" w:hAnsi="Arial"/>
          <w:noProof/>
          <w:color w:val="002060"/>
        </w:rPr>
      </w:pPr>
      <w:r>
        <w:rPr>
          <w:rFonts w:ascii="Arial" w:hAnsi="Arial"/>
          <w:noProof/>
          <w:color w:val="002060"/>
        </w:rPr>
        <w:t>New EU Pilot files opened against Sweden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0255" cy="2202815"/>
            <wp:effectExtent l="0" t="0" r="10795" b="6985"/>
            <wp:docPr id="29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numPr>
          <w:ilvl w:val="0"/>
          <w:numId w:val="45"/>
        </w:numPr>
        <w:spacing w:before="240"/>
        <w:ind w:left="709" w:hanging="425"/>
        <w:outlineLvl w:val="1"/>
        <w:rPr>
          <w:rFonts w:ascii="Arial" w:hAnsi="Arial"/>
          <w:noProof/>
          <w:color w:val="002060"/>
        </w:rPr>
      </w:pPr>
      <w:r>
        <w:rPr>
          <w:rFonts w:ascii="Arial" w:hAnsi="Arial"/>
          <w:noProof/>
          <w:color w:val="002060"/>
        </w:rPr>
        <w:t>Files relating to Sweden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117090"/>
            <wp:effectExtent l="0" t="0" r="10795" b="16510"/>
            <wp:docPr id="29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numPr>
          <w:ilvl w:val="0"/>
          <w:numId w:val="45"/>
        </w:numPr>
        <w:spacing w:before="240"/>
        <w:outlineLvl w:val="1"/>
        <w:rPr>
          <w:rFonts w:ascii="Arial" w:hAnsi="Arial"/>
          <w:noProof/>
          <w:color w:val="002060"/>
        </w:rPr>
      </w:pPr>
      <w:r>
        <w:rPr>
          <w:rFonts w:ascii="Arial" w:hAnsi="Arial"/>
          <w:noProof/>
          <w:color w:val="002060"/>
        </w:rPr>
        <w:t>New EU Pilot files opened in 2018: policy areas</w:t>
      </w:r>
    </w:p>
    <w:p>
      <w:pPr>
        <w:pStyle w:val="Basis"/>
        <w:jc w:val="both"/>
        <w:rPr>
          <w:rFonts w:ascii="Arial" w:hAnsi="Arial" w:cs="Arial"/>
          <w:noProof/>
        </w:rPr>
      </w:pPr>
      <w:r>
        <w:rPr>
          <w:rFonts w:ascii="Arial" w:hAnsi="Arial" w:cs="Arial"/>
          <w:noProof/>
        </w:rPr>
        <w:t>In 2018 the Commission did not open any new EU Pilot files against Sweden.</w:t>
      </w:r>
    </w:p>
    <w:p>
      <w:pPr>
        <w:numPr>
          <w:ilvl w:val="0"/>
          <w:numId w:val="45"/>
        </w:numPr>
        <w:spacing w:before="240"/>
        <w:ind w:left="709" w:hanging="425"/>
        <w:outlineLvl w:val="1"/>
        <w:rPr>
          <w:rFonts w:ascii="Arial" w:hAnsi="Arial"/>
          <w:noProof/>
          <w:color w:val="002060"/>
          <w:sz w:val="20"/>
        </w:rPr>
      </w:pPr>
      <w:r>
        <w:rPr>
          <w:rFonts w:ascii="Arial" w:hAnsi="Arial"/>
          <w:noProof/>
          <w:color w:val="002060"/>
        </w:rPr>
        <w:t>EU Pilot files: Sweden’s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256790"/>
            <wp:effectExtent l="0" t="0" r="4445" b="10160"/>
            <wp:docPr id="29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AnnualReport1"/>
        <w:numPr>
          <w:ilvl w:val="0"/>
          <w:numId w:val="189"/>
        </w:numPr>
        <w:ind w:left="709"/>
        <w:rPr>
          <w:noProof/>
        </w:rPr>
      </w:pPr>
      <w:r>
        <w:rPr>
          <w:noProof/>
        </w:rPr>
        <w:t>INFRINGEMENT CASES</w:t>
      </w:r>
    </w:p>
    <w:p>
      <w:pPr>
        <w:numPr>
          <w:ilvl w:val="0"/>
          <w:numId w:val="46"/>
        </w:numPr>
        <w:spacing w:before="240"/>
        <w:ind w:left="709" w:hanging="425"/>
        <w:outlineLvl w:val="1"/>
        <w:rPr>
          <w:rFonts w:ascii="Arial" w:hAnsi="Arial"/>
          <w:noProof/>
          <w:color w:val="002060"/>
        </w:rPr>
      </w:pPr>
      <w:r>
        <w:rPr>
          <w:rFonts w:ascii="Arial" w:hAnsi="Arial"/>
          <w:noProof/>
          <w:color w:val="002060"/>
        </w:rPr>
        <w:t>Infringement cases against Sweden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4860" cy="2225040"/>
            <wp:effectExtent l="0" t="0" r="15240" b="22860"/>
            <wp:docPr id="29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numPr>
          <w:ilvl w:val="0"/>
          <w:numId w:val="46"/>
        </w:numPr>
        <w:spacing w:before="240"/>
        <w:ind w:left="709" w:hanging="425"/>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79620" cy="2301240"/>
            <wp:effectExtent l="0" t="0" r="11430" b="3810"/>
            <wp:docPr id="295" name="Object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numPr>
          <w:ilvl w:val="0"/>
          <w:numId w:val="46"/>
        </w:numPr>
        <w:spacing w:before="240"/>
        <w:ind w:left="709" w:hanging="425"/>
        <w:outlineLvl w:val="1"/>
        <w:rPr>
          <w:rFonts w:ascii="Arial" w:hAnsi="Arial"/>
          <w:noProof/>
          <w:color w:val="002060"/>
        </w:rPr>
      </w:pPr>
      <w:r>
        <w:rPr>
          <w:rFonts w:ascii="Arial" w:hAnsi="Arial"/>
          <w:noProof/>
          <w:color w:val="002060"/>
        </w:rPr>
        <w:t>Key infringement cases and referrals to the Court</w:t>
      </w:r>
    </w:p>
    <w:p>
      <w:pPr>
        <w:numPr>
          <w:ilvl w:val="0"/>
          <w:numId w:val="148"/>
        </w:numPr>
        <w:ind w:left="1276" w:hanging="425"/>
        <w:jc w:val="both"/>
        <w:rPr>
          <w:rFonts w:ascii="Arial" w:hAnsi="Arial" w:cs="Arial"/>
          <w:noProof/>
          <w:sz w:val="20"/>
          <w:szCs w:val="20"/>
        </w:rPr>
      </w:pPr>
      <w:r>
        <w:rPr>
          <w:rFonts w:ascii="Arial" w:hAnsi="Arial" w:cs="Arial"/>
          <w:noProof/>
          <w:sz w:val="20"/>
          <w:szCs w:val="20"/>
        </w:rPr>
        <w:t>The Commission opened 21 new infringement cases against Sweden in 2018. These, and other major ongoing infringement cases, include:</w:t>
      </w:r>
      <w:r>
        <w:rPr>
          <w:rFonts w:ascii="Arial" w:hAnsi="Arial" w:cs="Arial"/>
          <w:noProof/>
          <w:sz w:val="20"/>
          <w:szCs w:val="20"/>
          <w:lang w:eastAsia="en-GB"/>
        </w:rPr>
        <w:t xml:space="preserve"> </w:t>
      </w:r>
    </w:p>
    <w:p>
      <w:pPr>
        <w:pStyle w:val="ListParagraph"/>
        <w:numPr>
          <w:ilvl w:val="1"/>
          <w:numId w:val="166"/>
        </w:numPr>
        <w:ind w:left="1701"/>
        <w:jc w:val="both"/>
        <w:rPr>
          <w:rFonts w:ascii="Arial" w:hAnsi="Arial" w:cs="Arial"/>
          <w:noProof/>
          <w:sz w:val="20"/>
          <w:szCs w:val="20"/>
          <w:lang w:eastAsia="en-GB"/>
        </w:rPr>
      </w:pPr>
      <w:r>
        <w:rPr>
          <w:rFonts w:ascii="Arial" w:hAnsi="Arial" w:cs="Arial"/>
          <w:noProof/>
          <w:sz w:val="20"/>
          <w:szCs w:val="20"/>
          <w:lang w:eastAsia="en-GB"/>
        </w:rPr>
        <w:t>failure to comply with the requirements of the Urban Waste Water Treatment Directive in 20 agglomerations</w:t>
      </w:r>
      <w:r>
        <w:rPr>
          <w:rStyle w:val="FootnoteReference"/>
          <w:rFonts w:ascii="Arial" w:hAnsi="Arial" w:cs="Arial"/>
          <w:noProof/>
          <w:sz w:val="20"/>
          <w:szCs w:val="20"/>
          <w:lang w:eastAsia="en-GB"/>
        </w:rPr>
        <w:footnoteReference w:id="274"/>
      </w:r>
      <w:r>
        <w:rPr>
          <w:rFonts w:ascii="Arial" w:hAnsi="Arial" w:cs="Arial"/>
          <w:noProof/>
          <w:sz w:val="20"/>
          <w:szCs w:val="20"/>
          <w:lang w:eastAsia="en-GB"/>
        </w:rPr>
        <w:t>;</w:t>
      </w:r>
    </w:p>
    <w:p>
      <w:pPr>
        <w:pStyle w:val="ListParagraph"/>
        <w:numPr>
          <w:ilvl w:val="1"/>
          <w:numId w:val="166"/>
        </w:numPr>
        <w:ind w:left="1701"/>
        <w:jc w:val="both"/>
        <w:rPr>
          <w:rFonts w:ascii="Arial" w:hAnsi="Arial" w:cs="Arial"/>
          <w:noProof/>
          <w:sz w:val="20"/>
          <w:szCs w:val="20"/>
          <w:lang w:eastAsia="en-GB"/>
        </w:rPr>
      </w:pPr>
      <w:r>
        <w:rPr>
          <w:rFonts w:ascii="Arial" w:hAnsi="Arial" w:cs="Arial"/>
          <w:noProof/>
          <w:sz w:val="20"/>
          <w:szCs w:val="20"/>
          <w:lang w:eastAsia="en-GB"/>
        </w:rPr>
        <w:t xml:space="preserve">non-conformity of national legislation with the </w:t>
      </w:r>
    </w:p>
    <w:p>
      <w:pPr>
        <w:pStyle w:val="ListParagraph"/>
        <w:numPr>
          <w:ilvl w:val="2"/>
          <w:numId w:val="166"/>
        </w:numPr>
        <w:ind w:left="2410"/>
        <w:jc w:val="both"/>
        <w:rPr>
          <w:rFonts w:ascii="Arial" w:hAnsi="Arial" w:cs="Arial"/>
          <w:noProof/>
          <w:sz w:val="20"/>
          <w:szCs w:val="20"/>
          <w:lang w:eastAsia="en-GB"/>
        </w:rPr>
      </w:pPr>
      <w:r>
        <w:rPr>
          <w:rFonts w:ascii="Arial" w:hAnsi="Arial" w:cs="Arial"/>
          <w:noProof/>
          <w:sz w:val="20"/>
          <w:szCs w:val="20"/>
          <w:lang w:eastAsia="en-GB"/>
        </w:rPr>
        <w:t>Water Framework Directive</w:t>
      </w:r>
      <w:r>
        <w:rPr>
          <w:rStyle w:val="FootnoteReference"/>
          <w:rFonts w:ascii="Arial" w:hAnsi="Arial" w:cs="Arial"/>
          <w:noProof/>
          <w:sz w:val="20"/>
          <w:szCs w:val="20"/>
          <w:lang w:eastAsia="en-GB"/>
        </w:rPr>
        <w:footnoteReference w:id="275"/>
      </w:r>
      <w:r>
        <w:rPr>
          <w:rFonts w:ascii="Arial" w:hAnsi="Arial" w:cs="Arial"/>
          <w:noProof/>
          <w:sz w:val="20"/>
          <w:szCs w:val="20"/>
          <w:lang w:eastAsia="en-GB"/>
        </w:rPr>
        <w:t>;</w:t>
      </w:r>
    </w:p>
    <w:p>
      <w:pPr>
        <w:pStyle w:val="ListParagraph"/>
        <w:numPr>
          <w:ilvl w:val="2"/>
          <w:numId w:val="166"/>
        </w:numPr>
        <w:ind w:left="2410"/>
        <w:jc w:val="both"/>
        <w:rPr>
          <w:rFonts w:ascii="Arial" w:hAnsi="Arial" w:cs="Arial"/>
          <w:noProof/>
          <w:sz w:val="20"/>
          <w:szCs w:val="20"/>
          <w:lang w:eastAsia="en-GB"/>
        </w:rPr>
      </w:pPr>
      <w:r>
        <w:rPr>
          <w:rFonts w:ascii="Arial" w:hAnsi="Arial" w:cs="Arial"/>
          <w:noProof/>
          <w:sz w:val="20"/>
          <w:szCs w:val="20"/>
          <w:lang w:eastAsia="en-GB"/>
        </w:rPr>
        <w:t>Environmental Liability Directive;</w:t>
      </w:r>
      <w:r>
        <w:rPr>
          <w:rStyle w:val="FootnoteReference"/>
          <w:rFonts w:ascii="Arial" w:hAnsi="Arial" w:cs="Arial"/>
          <w:noProof/>
          <w:sz w:val="20"/>
          <w:szCs w:val="20"/>
          <w:lang w:eastAsia="en-GB"/>
        </w:rPr>
        <w:footnoteReference w:id="276"/>
      </w:r>
    </w:p>
    <w:p>
      <w:pPr>
        <w:pStyle w:val="ListParagraph"/>
        <w:numPr>
          <w:ilvl w:val="2"/>
          <w:numId w:val="166"/>
        </w:numPr>
        <w:ind w:left="2410"/>
        <w:jc w:val="both"/>
        <w:rPr>
          <w:rFonts w:ascii="Arial" w:hAnsi="Arial" w:cs="Arial"/>
          <w:noProof/>
          <w:sz w:val="20"/>
          <w:szCs w:val="20"/>
          <w:lang w:eastAsia="en-GB"/>
        </w:rPr>
      </w:pPr>
      <w:r>
        <w:rPr>
          <w:rFonts w:ascii="Arial" w:hAnsi="Arial" w:cs="Arial"/>
          <w:noProof/>
          <w:sz w:val="20"/>
          <w:szCs w:val="20"/>
          <w:lang w:eastAsia="en-GB"/>
        </w:rPr>
        <w:t>Unfair Commercial Practices Directive</w:t>
      </w:r>
      <w:r>
        <w:rPr>
          <w:rStyle w:val="FootnoteReference"/>
          <w:rFonts w:ascii="Arial" w:hAnsi="Arial" w:cs="Arial"/>
          <w:noProof/>
          <w:sz w:val="20"/>
          <w:szCs w:val="20"/>
          <w:lang w:eastAsia="en-GB"/>
        </w:rPr>
        <w:footnoteReference w:id="277"/>
      </w:r>
      <w:r>
        <w:rPr>
          <w:rFonts w:ascii="Arial" w:hAnsi="Arial" w:cs="Arial"/>
          <w:noProof/>
          <w:sz w:val="20"/>
          <w:szCs w:val="20"/>
          <w:lang w:eastAsia="en-GB"/>
        </w:rPr>
        <w:t>;</w:t>
      </w:r>
    </w:p>
    <w:p>
      <w:pPr>
        <w:pStyle w:val="ListParagraph"/>
        <w:numPr>
          <w:ilvl w:val="2"/>
          <w:numId w:val="166"/>
        </w:numPr>
        <w:ind w:left="2410"/>
        <w:jc w:val="both"/>
        <w:rPr>
          <w:rFonts w:ascii="Arial" w:hAnsi="Arial" w:cs="Arial"/>
          <w:noProof/>
          <w:sz w:val="20"/>
          <w:szCs w:val="20"/>
          <w:lang w:eastAsia="en-GB"/>
        </w:rPr>
      </w:pPr>
      <w:r>
        <w:rPr>
          <w:rFonts w:ascii="Arial" w:hAnsi="Arial" w:cs="Arial"/>
          <w:noProof/>
          <w:sz w:val="20"/>
          <w:szCs w:val="20"/>
        </w:rPr>
        <w:t xml:space="preserve">Directive on the recognition of professional qualifications </w:t>
      </w:r>
      <w:r>
        <w:rPr>
          <w:rStyle w:val="FootnoteReference"/>
          <w:rFonts w:ascii="Arial" w:hAnsi="Arial" w:cs="Arial"/>
          <w:noProof/>
          <w:sz w:val="20"/>
          <w:szCs w:val="20"/>
        </w:rPr>
        <w:footnoteReference w:id="278"/>
      </w:r>
      <w:r>
        <w:rPr>
          <w:rFonts w:ascii="Arial" w:hAnsi="Arial" w:cs="Arial"/>
          <w:noProof/>
          <w:sz w:val="20"/>
          <w:szCs w:val="20"/>
        </w:rPr>
        <w:t>;</w:t>
      </w:r>
    </w:p>
    <w:p>
      <w:pPr>
        <w:pStyle w:val="ListParagraph"/>
        <w:numPr>
          <w:ilvl w:val="1"/>
          <w:numId w:val="166"/>
        </w:numPr>
        <w:ind w:left="1701"/>
        <w:jc w:val="both"/>
        <w:rPr>
          <w:rFonts w:ascii="Arial" w:hAnsi="Arial" w:cs="Arial"/>
          <w:noProof/>
          <w:sz w:val="20"/>
          <w:szCs w:val="20"/>
          <w:lang w:eastAsia="en-GB"/>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279"/>
      </w:r>
      <w:r>
        <w:rPr>
          <w:rFonts w:ascii="Arial" w:hAnsi="Arial" w:cs="Arial"/>
          <w:noProof/>
          <w:sz w:val="20"/>
          <w:szCs w:val="20"/>
        </w:rPr>
        <w:t>;</w:t>
      </w:r>
    </w:p>
    <w:p>
      <w:pPr>
        <w:pStyle w:val="ListParagraph"/>
        <w:numPr>
          <w:ilvl w:val="1"/>
          <w:numId w:val="166"/>
        </w:numPr>
        <w:ind w:left="1701"/>
        <w:jc w:val="both"/>
        <w:rPr>
          <w:rFonts w:ascii="Arial" w:hAnsi="Arial" w:cs="Arial"/>
          <w:noProof/>
          <w:sz w:val="20"/>
          <w:szCs w:val="20"/>
        </w:rPr>
      </w:pPr>
      <w:r>
        <w:rPr>
          <w:rFonts w:ascii="Arial" w:hAnsi="Arial" w:cs="Arial"/>
          <w:noProof/>
          <w:sz w:val="20"/>
          <w:szCs w:val="20"/>
        </w:rPr>
        <w:t>failure to communicate national measures transposing the</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280"/>
      </w:r>
      <w:r>
        <w:rPr>
          <w:rFonts w:ascii="Arial" w:hAnsi="Arial" w:cs="Arial"/>
          <w:noProof/>
          <w:sz w:val="20"/>
          <w:szCs w:val="20"/>
        </w:rPr>
        <w:t>;</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lang w:eastAsia="en-GB"/>
        </w:rPr>
        <w:t>Commission Directive amending the Directive on quality system standards and specifications for blood establishments</w:t>
      </w:r>
      <w:r>
        <w:rPr>
          <w:rFonts w:ascii="Arial" w:hAnsi="Arial" w:cs="Arial"/>
          <w:noProof/>
          <w:sz w:val="20"/>
          <w:szCs w:val="20"/>
          <w:vertAlign w:val="superscript"/>
          <w:lang w:eastAsia="en-GB"/>
        </w:rPr>
        <w:footnoteReference w:id="281"/>
      </w:r>
      <w:r>
        <w:rPr>
          <w:rFonts w:ascii="Arial" w:hAnsi="Arial" w:cs="Arial"/>
          <w:noProof/>
          <w:sz w:val="20"/>
          <w:szCs w:val="20"/>
          <w:lang w:eastAsia="en-GB"/>
        </w:rPr>
        <w:t xml:space="preserve">; </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lang w:eastAsia="en-GB"/>
        </w:rPr>
        <w:t>Directive on protective measures against the introduction into the Community of organisms harmful to plants</w:t>
      </w:r>
      <w:r>
        <w:rPr>
          <w:rFonts w:ascii="Arial" w:hAnsi="Arial" w:cs="Arial"/>
          <w:noProof/>
          <w:sz w:val="20"/>
          <w:szCs w:val="20"/>
          <w:vertAlign w:val="superscript"/>
          <w:lang w:eastAsia="en-GB"/>
        </w:rPr>
        <w:footnoteReference w:id="282"/>
      </w:r>
      <w:r>
        <w:rPr>
          <w:rFonts w:ascii="Arial" w:hAnsi="Arial" w:cs="Arial"/>
          <w:noProof/>
          <w:sz w:val="20"/>
          <w:szCs w:val="20"/>
          <w:lang w:eastAsia="en-GB"/>
        </w:rPr>
        <w:t>;</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rPr>
        <w:t>Payment Services Directive</w:t>
      </w:r>
      <w:r>
        <w:rPr>
          <w:rFonts w:ascii="Arial" w:hAnsi="Arial" w:cs="Arial"/>
          <w:noProof/>
          <w:sz w:val="20"/>
          <w:szCs w:val="20"/>
          <w:vertAlign w:val="superscript"/>
        </w:rPr>
        <w:footnoteReference w:id="283"/>
      </w:r>
      <w:r>
        <w:rPr>
          <w:rFonts w:ascii="Arial" w:hAnsi="Arial" w:cs="Arial"/>
          <w:noProof/>
          <w:sz w:val="20"/>
          <w:szCs w:val="20"/>
        </w:rPr>
        <w:t>;</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rPr>
        <w:footnoteReference w:id="284"/>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rPr>
        <w:t>Basic Safety Standards Directive</w:t>
      </w:r>
      <w:r>
        <w:rPr>
          <w:rStyle w:val="FootnoteReference"/>
          <w:rFonts w:ascii="Arial" w:hAnsi="Arial" w:cs="Arial"/>
          <w:noProof/>
          <w:sz w:val="20"/>
          <w:szCs w:val="20"/>
        </w:rPr>
        <w:footnoteReference w:id="285"/>
      </w:r>
      <w:r>
        <w:rPr>
          <w:rFonts w:ascii="Arial" w:hAnsi="Arial" w:cs="Arial"/>
          <w:noProof/>
          <w:sz w:val="20"/>
          <w:szCs w:val="20"/>
        </w:rPr>
        <w:t>;</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286"/>
      </w:r>
      <w:r>
        <w:rPr>
          <w:rFonts w:ascii="Arial" w:hAnsi="Arial" w:cs="Arial"/>
          <w:noProof/>
          <w:sz w:val="20"/>
          <w:szCs w:val="20"/>
        </w:rPr>
        <w:t>;</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lang w:val="fr-BE"/>
        </w:rPr>
        <w:t>Package Travel Directive</w:t>
      </w:r>
      <w:r>
        <w:rPr>
          <w:rStyle w:val="FootnoteReference"/>
          <w:rFonts w:ascii="Arial" w:hAnsi="Arial" w:cs="Arial"/>
          <w:noProof/>
          <w:sz w:val="20"/>
          <w:szCs w:val="20"/>
        </w:rPr>
        <w:footnoteReference w:id="287"/>
      </w:r>
      <w:r>
        <w:rPr>
          <w:rFonts w:ascii="Arial" w:hAnsi="Arial" w:cs="Arial"/>
          <w:noProof/>
          <w:sz w:val="20"/>
          <w:szCs w:val="20"/>
        </w:rPr>
        <w:t>;</w:t>
      </w:r>
    </w:p>
    <w:p>
      <w:pPr>
        <w:pStyle w:val="ListParagraph"/>
        <w:numPr>
          <w:ilvl w:val="2"/>
          <w:numId w:val="166"/>
        </w:numPr>
        <w:ind w:left="2410"/>
        <w:jc w:val="both"/>
        <w:rPr>
          <w:rFonts w:ascii="Arial" w:hAnsi="Arial" w:cs="Arial"/>
          <w:noProof/>
          <w:sz w:val="20"/>
          <w:szCs w:val="20"/>
        </w:rPr>
      </w:pPr>
      <w:r>
        <w:rPr>
          <w:rFonts w:ascii="Arial" w:hAnsi="Arial" w:cs="Arial"/>
          <w:noProof/>
          <w:sz w:val="20"/>
          <w:szCs w:val="20"/>
        </w:rPr>
        <w:t>Directive on the presumption of innocence</w:t>
      </w:r>
      <w:r>
        <w:rPr>
          <w:rStyle w:val="FootnoteReference"/>
          <w:rFonts w:ascii="Arial" w:hAnsi="Arial" w:cs="Arial"/>
          <w:noProof/>
          <w:sz w:val="20"/>
          <w:szCs w:val="20"/>
        </w:rPr>
        <w:footnoteReference w:id="288"/>
      </w:r>
      <w:r>
        <w:rPr>
          <w:rFonts w:ascii="Arial" w:hAnsi="Arial" w:cs="Arial"/>
          <w:noProof/>
          <w:sz w:val="20"/>
          <w:szCs w:val="20"/>
        </w:rPr>
        <w:t>.</w:t>
      </w:r>
    </w:p>
    <w:p>
      <w:pPr>
        <w:numPr>
          <w:ilvl w:val="0"/>
          <w:numId w:val="148"/>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148"/>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89"/>
        </w:numPr>
        <w:ind w:left="709"/>
        <w:rPr>
          <w:noProof/>
        </w:rPr>
      </w:pPr>
      <w:r>
        <w:rPr>
          <w:noProof/>
        </w:rPr>
        <w:t>TRANSPOSITION OF DIRECTIVES</w:t>
      </w:r>
    </w:p>
    <w:p>
      <w:pPr>
        <w:numPr>
          <w:ilvl w:val="0"/>
          <w:numId w:val="47"/>
        </w:numPr>
        <w:spacing w:before="240"/>
        <w:ind w:left="709" w:hanging="425"/>
        <w:outlineLvl w:val="1"/>
        <w:rPr>
          <w:rFonts w:ascii="Arial" w:hAnsi="Arial"/>
          <w:noProof/>
          <w:color w:val="002060"/>
        </w:rPr>
      </w:pPr>
      <w:r>
        <w:rPr>
          <w:rFonts w:ascii="Arial" w:hAnsi="Arial"/>
          <w:noProof/>
          <w:color w:val="002060"/>
        </w:rPr>
        <w:t>Late transposition infringement cases against Sweden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72000" cy="2313940"/>
            <wp:effectExtent l="0" t="0" r="0" b="0"/>
            <wp:docPr id="296"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47"/>
        </w:numPr>
        <w:spacing w:before="240"/>
        <w:ind w:left="709" w:hanging="425"/>
        <w:outlineLvl w:val="1"/>
        <w:rPr>
          <w:rFonts w:ascii="Arial" w:hAnsi="Arial"/>
          <w:noProof/>
          <w:color w:val="002060"/>
        </w:rPr>
      </w:pPr>
      <w:r>
        <w:rPr>
          <w:rFonts w:ascii="Arial" w:hAnsi="Arial"/>
          <w:noProof/>
          <w:color w:val="002060"/>
        </w:rPr>
        <w:t>New late transposition infringement cases against Sweden (2014-2018)</w:t>
      </w:r>
    </w:p>
    <w:p>
      <w:pPr>
        <w:spacing w:after="0"/>
        <w:ind w:firstLine="709"/>
        <w:contextualSpacing/>
        <w:rPr>
          <w:noProof/>
        </w:rPr>
      </w:pPr>
      <w:r>
        <w:rPr>
          <w:noProof/>
          <w:sz w:val="20"/>
          <w:lang w:eastAsia="en-GB"/>
        </w:rPr>
        <w:drawing>
          <wp:inline distT="0" distB="0" distL="0" distR="0">
            <wp:extent cx="4572000" cy="2282190"/>
            <wp:effectExtent l="0" t="0" r="0" b="0"/>
            <wp:docPr id="29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numPr>
          <w:ilvl w:val="0"/>
          <w:numId w:val="47"/>
        </w:numPr>
        <w:spacing w:before="240" w:after="120"/>
        <w:ind w:left="709" w:hanging="425"/>
        <w:outlineLvl w:val="1"/>
        <w:rPr>
          <w:rFonts w:ascii="Arial" w:hAnsi="Arial"/>
          <w:noProof/>
          <w:color w:val="002060"/>
        </w:rPr>
      </w:pPr>
      <w:r>
        <w:rPr>
          <w:rFonts w:ascii="Arial" w:hAnsi="Arial"/>
          <w:noProof/>
          <w:color w:val="002060"/>
        </w:rPr>
        <w:t>New late transposition infringement cases opened in 2018: main policy area</w:t>
      </w:r>
      <w:r>
        <w:rPr>
          <w:rFonts w:ascii="Arial" w:hAnsi="Arial"/>
          <w:b/>
          <w:noProof/>
          <w:color w:val="002060"/>
        </w:rPr>
        <w:t>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393315"/>
            <wp:effectExtent l="0" t="0" r="10795" b="6985"/>
            <wp:docPr id="298" name="Object 2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numPr>
          <w:ilvl w:val="0"/>
          <w:numId w:val="47"/>
        </w:numPr>
        <w:spacing w:before="360"/>
        <w:ind w:left="709" w:hanging="425"/>
        <w:outlineLvl w:val="1"/>
        <w:rPr>
          <w:rFonts w:ascii="Arial" w:hAnsi="Arial"/>
          <w:noProof/>
          <w:color w:val="002060"/>
        </w:rPr>
      </w:pPr>
      <w:r>
        <w:rPr>
          <w:rFonts w:ascii="Arial" w:hAnsi="Arial"/>
          <w:noProof/>
          <w:color w:val="002060"/>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89"/>
        </w:numPr>
        <w:ind w:left="709"/>
        <w:rPr>
          <w:noProof/>
        </w:rPr>
      </w:pPr>
      <w:r>
        <w:rPr>
          <w:noProof/>
        </w:rPr>
        <w:t>EARLY RESOLUTION OF INFRINGEMENT CASES</w:t>
      </w:r>
    </w:p>
    <w:p>
      <w:pPr>
        <w:spacing w:before="3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208"/>
        </w:numPr>
        <w:spacing w:after="0"/>
        <w:ind w:left="1418"/>
        <w:jc w:val="both"/>
        <w:rPr>
          <w:rFonts w:ascii="Arial" w:eastAsia="Calibri" w:hAnsi="Arial" w:cs="Arial"/>
          <w:noProof/>
          <w:kern w:val="20"/>
          <w:sz w:val="20"/>
          <w:szCs w:val="20"/>
          <w:lang w:eastAsia="en-GB"/>
        </w:rPr>
      </w:pPr>
      <w:r>
        <w:rPr>
          <w:rFonts w:ascii="Arial" w:hAnsi="Arial" w:cs="Arial"/>
          <w:noProof/>
          <w:sz w:val="20"/>
          <w:szCs w:val="20"/>
        </w:rPr>
        <w:t>incorrect implementation of the Free Movement Directive;</w:t>
      </w:r>
    </w:p>
    <w:p>
      <w:pPr>
        <w:pStyle w:val="ListParagraph"/>
        <w:numPr>
          <w:ilvl w:val="0"/>
          <w:numId w:val="208"/>
        </w:numPr>
        <w:spacing w:after="0"/>
        <w:ind w:left="1418"/>
        <w:jc w:val="both"/>
        <w:rPr>
          <w:rFonts w:ascii="Arial" w:eastAsia="Calibri" w:hAnsi="Arial" w:cs="Arial"/>
          <w:noProof/>
          <w:kern w:val="20"/>
          <w:sz w:val="20"/>
          <w:szCs w:val="20"/>
          <w:lang w:eastAsia="en-GB"/>
        </w:rPr>
      </w:pPr>
      <w:r>
        <w:rPr>
          <w:rFonts w:ascii="Arial" w:hAnsi="Arial" w:cs="Arial"/>
          <w:noProof/>
          <w:sz w:val="20"/>
          <w:szCs w:val="20"/>
        </w:rPr>
        <w:t>non-communication of national measures transposing the</w:t>
      </w:r>
    </w:p>
    <w:p>
      <w:pPr>
        <w:pStyle w:val="ListParagraph"/>
        <w:numPr>
          <w:ilvl w:val="1"/>
          <w:numId w:val="208"/>
        </w:numPr>
        <w:spacing w:after="0"/>
        <w:ind w:left="1985"/>
        <w:jc w:val="both"/>
        <w:rPr>
          <w:rFonts w:ascii="Arial" w:eastAsia="Calibri" w:hAnsi="Arial" w:cs="Arial"/>
          <w:noProof/>
          <w:kern w:val="20"/>
          <w:sz w:val="20"/>
          <w:szCs w:val="20"/>
          <w:lang w:eastAsia="en-GB"/>
        </w:rPr>
      </w:pPr>
      <w:r>
        <w:rPr>
          <w:rFonts w:ascii="Arial" w:hAnsi="Arial" w:cs="Arial"/>
          <w:noProof/>
          <w:sz w:val="20"/>
          <w:szCs w:val="20"/>
        </w:rPr>
        <w:t>Directive amending the Environmental Impact Assessment Directive</w:t>
      </w:r>
      <w:r>
        <w:rPr>
          <w:rStyle w:val="FootnoteReference"/>
          <w:rFonts w:ascii="Arial" w:hAnsi="Arial" w:cs="Arial"/>
          <w:noProof/>
          <w:sz w:val="20"/>
          <w:szCs w:val="20"/>
        </w:rPr>
        <w:footnoteReference w:id="289"/>
      </w:r>
      <w:r>
        <w:rPr>
          <w:rFonts w:ascii="Arial" w:hAnsi="Arial" w:cs="Arial"/>
          <w:noProof/>
          <w:sz w:val="20"/>
          <w:szCs w:val="20"/>
        </w:rPr>
        <w:t>;</w:t>
      </w:r>
    </w:p>
    <w:p>
      <w:pPr>
        <w:pStyle w:val="ListParagraph"/>
        <w:numPr>
          <w:ilvl w:val="1"/>
          <w:numId w:val="208"/>
        </w:numPr>
        <w:spacing w:after="0"/>
        <w:ind w:left="1985"/>
        <w:jc w:val="both"/>
        <w:rPr>
          <w:rFonts w:ascii="Arial" w:eastAsia="Calibri" w:hAnsi="Arial" w:cs="Arial"/>
          <w:noProof/>
          <w:kern w:val="20"/>
          <w:sz w:val="20"/>
          <w:szCs w:val="20"/>
          <w:lang w:eastAsia="en-GB"/>
        </w:rPr>
      </w:pPr>
      <w:r>
        <w:rPr>
          <w:rFonts w:ascii="Arial" w:hAnsi="Arial" w:cs="Arial"/>
          <w:bCs/>
          <w:noProof/>
          <w:sz w:val="20"/>
        </w:rPr>
        <w:t>Directive on intra-corporate transfer</w:t>
      </w:r>
      <w:r>
        <w:rPr>
          <w:rFonts w:ascii="Arial" w:hAnsi="Arial" w:cs="Arial"/>
          <w:bCs/>
          <w:noProof/>
          <w:sz w:val="20"/>
          <w:vertAlign w:val="superscript"/>
        </w:rPr>
        <w:footnoteReference w:id="290"/>
      </w:r>
      <w:r>
        <w:rPr>
          <w:rFonts w:ascii="Arial" w:hAnsi="Arial" w:cs="Arial"/>
          <w:bCs/>
          <w:noProof/>
          <w:sz w:val="20"/>
        </w:rPr>
        <w:t>;</w:t>
      </w:r>
    </w:p>
    <w:p>
      <w:pPr>
        <w:pStyle w:val="ListParagraph"/>
        <w:numPr>
          <w:ilvl w:val="1"/>
          <w:numId w:val="208"/>
        </w:numPr>
        <w:spacing w:after="0"/>
        <w:ind w:left="1985"/>
        <w:jc w:val="both"/>
        <w:rPr>
          <w:rFonts w:ascii="Arial" w:eastAsia="Calibri" w:hAnsi="Arial" w:cs="Arial"/>
          <w:noProof/>
          <w:kern w:val="20"/>
          <w:sz w:val="20"/>
          <w:szCs w:val="20"/>
          <w:lang w:eastAsia="en-GB"/>
        </w:rPr>
      </w:pPr>
      <w:r>
        <w:rPr>
          <w:rFonts w:ascii="Arial" w:hAnsi="Arial" w:cs="Arial"/>
          <w:noProof/>
          <w:sz w:val="20"/>
          <w:szCs w:val="20"/>
        </w:rPr>
        <w:t xml:space="preserve">Directive on fuel quality reporting requirements  and </w:t>
      </w:r>
      <w:r>
        <w:rPr>
          <w:rFonts w:ascii="Arial" w:hAnsi="Arial" w:cs="Arial"/>
          <w:noProof/>
          <w:sz w:val="20"/>
        </w:rPr>
        <w:t>calculation methods</w:t>
      </w:r>
      <w:r>
        <w:rPr>
          <w:rStyle w:val="FootnoteReference"/>
          <w:rFonts w:ascii="Arial" w:hAnsi="Arial" w:cs="Arial"/>
          <w:noProof/>
          <w:sz w:val="20"/>
          <w:szCs w:val="20"/>
        </w:rPr>
        <w:footnoteReference w:id="291"/>
      </w:r>
      <w:r>
        <w:rPr>
          <w:rFonts w:ascii="Arial" w:hAnsi="Arial" w:cs="Arial"/>
          <w:noProof/>
          <w:sz w:val="20"/>
          <w:szCs w:val="20"/>
        </w:rPr>
        <w:t xml:space="preserve">; </w:t>
      </w:r>
    </w:p>
    <w:p>
      <w:pPr>
        <w:pStyle w:val="ListParagraph"/>
        <w:numPr>
          <w:ilvl w:val="1"/>
          <w:numId w:val="208"/>
        </w:numPr>
        <w:spacing w:after="0"/>
        <w:ind w:left="1985"/>
        <w:jc w:val="both"/>
        <w:rPr>
          <w:rFonts w:ascii="Arial" w:eastAsia="Calibri" w:hAnsi="Arial" w:cs="Arial"/>
          <w:noProof/>
          <w:kern w:val="20"/>
          <w:sz w:val="20"/>
          <w:szCs w:val="20"/>
          <w:lang w:eastAsia="en-GB"/>
        </w:rPr>
      </w:pPr>
      <w:r>
        <w:rPr>
          <w:rFonts w:ascii="Arial" w:eastAsia="Calibri" w:hAnsi="Arial" w:cs="Arial"/>
          <w:noProof/>
          <w:kern w:val="20"/>
          <w:sz w:val="20"/>
          <w:szCs w:val="20"/>
          <w:lang w:eastAsia="en-GB"/>
        </w:rPr>
        <w:t>Commission Directive amending the Directive on quality system standards and specifications for blood establishments</w:t>
      </w:r>
      <w:r>
        <w:rPr>
          <w:rFonts w:ascii="Arial" w:eastAsia="Calibri" w:hAnsi="Arial" w:cs="Arial"/>
          <w:noProof/>
          <w:kern w:val="20"/>
          <w:sz w:val="20"/>
          <w:szCs w:val="20"/>
          <w:vertAlign w:val="superscript"/>
          <w:lang w:val="nl-NL" w:eastAsia="en-GB"/>
        </w:rPr>
        <w:footnoteReference w:id="292"/>
      </w:r>
      <w:r>
        <w:rPr>
          <w:rFonts w:ascii="Arial" w:eastAsia="Calibri" w:hAnsi="Arial" w:cs="Arial"/>
          <w:noProof/>
          <w:kern w:val="20"/>
          <w:sz w:val="20"/>
          <w:szCs w:val="20"/>
          <w:lang w:eastAsia="en-GB"/>
        </w:rPr>
        <w:t>;</w:t>
      </w:r>
    </w:p>
    <w:p>
      <w:pPr>
        <w:pStyle w:val="ListParagraph"/>
        <w:numPr>
          <w:ilvl w:val="1"/>
          <w:numId w:val="208"/>
        </w:numPr>
        <w:spacing w:after="0"/>
        <w:ind w:left="1985"/>
        <w:jc w:val="both"/>
        <w:rPr>
          <w:rFonts w:ascii="Arial" w:eastAsia="Calibri" w:hAnsi="Arial" w:cs="Arial"/>
          <w:noProof/>
          <w:kern w:val="20"/>
          <w:sz w:val="20"/>
          <w:szCs w:val="20"/>
          <w:lang w:eastAsia="en-GB"/>
        </w:rPr>
      </w:pPr>
      <w:r>
        <w:rPr>
          <w:rFonts w:ascii="Arial" w:eastAsia="Calibri" w:hAnsi="Arial" w:cs="Arial"/>
          <w:noProof/>
          <w:kern w:val="20"/>
          <w:sz w:val="20"/>
          <w:szCs w:val="20"/>
          <w:lang w:eastAsia="en-GB"/>
        </w:rPr>
        <w:t>Directive on protective measures against the introduction into the Community of organisms harmful to plants</w:t>
      </w:r>
      <w:r>
        <w:rPr>
          <w:rFonts w:ascii="Arial" w:eastAsia="Calibri" w:hAnsi="Arial" w:cs="Arial"/>
          <w:noProof/>
          <w:kern w:val="20"/>
          <w:sz w:val="20"/>
          <w:szCs w:val="20"/>
          <w:vertAlign w:val="superscript"/>
          <w:lang w:val="nl-NL" w:eastAsia="en-GB"/>
        </w:rPr>
        <w:footnoteReference w:id="293"/>
      </w:r>
      <w:r>
        <w:rPr>
          <w:rFonts w:ascii="Arial" w:eastAsia="Calibri" w:hAnsi="Arial" w:cs="Arial"/>
          <w:noProof/>
          <w:kern w:val="20"/>
          <w:sz w:val="20"/>
          <w:szCs w:val="20"/>
          <w:lang w:eastAsia="en-GB"/>
        </w:rPr>
        <w:t>;</w:t>
      </w:r>
    </w:p>
    <w:p>
      <w:pPr>
        <w:pStyle w:val="ListParagraph"/>
        <w:numPr>
          <w:ilvl w:val="1"/>
          <w:numId w:val="208"/>
        </w:numPr>
        <w:spacing w:after="0"/>
        <w:ind w:left="1985"/>
        <w:jc w:val="both"/>
        <w:rPr>
          <w:rFonts w:ascii="Arial" w:eastAsia="Calibri" w:hAnsi="Arial" w:cs="Arial"/>
          <w:noProof/>
          <w:kern w:val="20"/>
          <w:sz w:val="20"/>
          <w:szCs w:val="20"/>
          <w:lang w:eastAsia="en-GB"/>
        </w:rPr>
      </w:pPr>
      <w:r>
        <w:rPr>
          <w:rFonts w:ascii="Arial" w:eastAsia="Calibri" w:hAnsi="Arial" w:cs="Arial"/>
          <w:bCs/>
          <w:noProof/>
          <w:kern w:val="20"/>
          <w:sz w:val="20"/>
          <w:szCs w:val="20"/>
          <w:lang w:eastAsia="en-GB"/>
        </w:rPr>
        <w:t>Directive on seasonal workers</w:t>
      </w:r>
      <w:r>
        <w:rPr>
          <w:rFonts w:ascii="Arial" w:eastAsia="Calibri" w:hAnsi="Arial" w:cs="Arial"/>
          <w:bCs/>
          <w:noProof/>
          <w:kern w:val="20"/>
          <w:sz w:val="20"/>
          <w:szCs w:val="20"/>
          <w:vertAlign w:val="superscript"/>
          <w:lang w:eastAsia="en-GB"/>
        </w:rPr>
        <w:footnoteReference w:id="294"/>
      </w:r>
      <w:r>
        <w:rPr>
          <w:rFonts w:ascii="Arial" w:eastAsia="Calibri" w:hAnsi="Arial" w:cs="Arial"/>
          <w:bCs/>
          <w:noProof/>
          <w:kern w:val="20"/>
          <w:sz w:val="20"/>
          <w:szCs w:val="20"/>
          <w:lang w:eastAsia="en-GB"/>
        </w:rPr>
        <w:t>.</w:t>
      </w:r>
    </w:p>
    <w:p>
      <w:pPr>
        <w:pStyle w:val="AnnualReport1"/>
        <w:numPr>
          <w:ilvl w:val="0"/>
          <w:numId w:val="189"/>
        </w:numPr>
        <w:ind w:left="709"/>
        <w:rPr>
          <w:noProof/>
        </w:rPr>
      </w:pPr>
      <w:r>
        <w:rPr>
          <w:noProof/>
        </w:rPr>
        <w:t>IMPORTANT JUDGMENTS</w:t>
      </w:r>
    </w:p>
    <w:p>
      <w:pPr>
        <w:numPr>
          <w:ilvl w:val="0"/>
          <w:numId w:val="154"/>
        </w:numPr>
        <w:spacing w:before="240"/>
        <w:outlineLvl w:val="1"/>
        <w:rPr>
          <w:rFonts w:ascii="Arial" w:hAnsi="Arial"/>
          <w:noProof/>
          <w:color w:val="002060"/>
        </w:rPr>
      </w:pPr>
      <w:r>
        <w:rPr>
          <w:rFonts w:ascii="Arial" w:hAnsi="Arial"/>
          <w:noProof/>
          <w:color w:val="002060"/>
        </w:rPr>
        <w:t>Court rulings</w:t>
      </w:r>
      <w:r>
        <w:rPr>
          <w:rFonts w:ascii="Arial" w:hAnsi="Arial"/>
          <w:noProof/>
          <w:color w:val="002060"/>
          <w:vertAlign w:val="superscript"/>
        </w:rPr>
        <w:footnoteReference w:id="295"/>
      </w:r>
    </w:p>
    <w:p>
      <w:pPr>
        <w:ind w:firstLine="709"/>
        <w:rPr>
          <w:rFonts w:ascii="Arial" w:hAnsi="Arial" w:cs="Arial"/>
          <w:noProof/>
          <w:sz w:val="20"/>
          <w:szCs w:val="20"/>
        </w:rPr>
      </w:pPr>
      <w:r>
        <w:rPr>
          <w:rFonts w:ascii="Arial" w:hAnsi="Arial" w:cs="Arial"/>
          <w:noProof/>
          <w:sz w:val="20"/>
          <w:szCs w:val="20"/>
        </w:rPr>
        <w:t>There were no major Court rulings in 2018.</w:t>
      </w:r>
    </w:p>
    <w:p>
      <w:pPr>
        <w:numPr>
          <w:ilvl w:val="0"/>
          <w:numId w:val="154"/>
        </w:numPr>
        <w:spacing w:before="240"/>
        <w:ind w:left="709" w:hanging="425"/>
        <w:outlineLvl w:val="1"/>
        <w:rPr>
          <w:rFonts w:ascii="Arial" w:hAnsi="Arial"/>
          <w:noProof/>
          <w:color w:val="002060"/>
        </w:rPr>
      </w:pPr>
      <w:r>
        <w:rPr>
          <w:rFonts w:ascii="Arial" w:hAnsi="Arial"/>
          <w:noProof/>
          <w:color w:val="002060"/>
        </w:rPr>
        <w:t>Preliminary rulings</w:t>
      </w:r>
    </w:p>
    <w:p>
      <w:pPr>
        <w:spacing w:after="120"/>
        <w:ind w:left="426" w:firstLine="294"/>
        <w:rPr>
          <w:rFonts w:ascii="Arial" w:hAnsi="Arial" w:cs="Arial"/>
          <w:noProof/>
          <w:sz w:val="20"/>
          <w:szCs w:val="20"/>
        </w:rPr>
      </w:pPr>
      <w:r>
        <w:rPr>
          <w:rFonts w:ascii="Arial" w:hAnsi="Arial" w:cs="Arial"/>
          <w:noProof/>
          <w:sz w:val="20"/>
          <w:szCs w:val="20"/>
        </w:rPr>
        <w:t xml:space="preserve">The Court addressed the following preliminary ruling to the Swedish judiciary. </w:t>
      </w:r>
    </w:p>
    <w:p>
      <w:pPr>
        <w:pStyle w:val="ListParagraph"/>
        <w:numPr>
          <w:ilvl w:val="0"/>
          <w:numId w:val="209"/>
        </w:numPr>
        <w:spacing w:after="120"/>
        <w:jc w:val="both"/>
        <w:rPr>
          <w:rFonts w:ascii="Arial" w:eastAsia="Calibri" w:hAnsi="Arial" w:cs="Arial"/>
          <w:noProof/>
          <w:kern w:val="20"/>
          <w:sz w:val="20"/>
        </w:rPr>
      </w:pPr>
      <w:r>
        <w:rPr>
          <w:rFonts w:ascii="Arial" w:hAnsi="Arial" w:cs="Arial"/>
          <w:noProof/>
          <w:sz w:val="20"/>
          <w:szCs w:val="20"/>
        </w:rPr>
        <w:t>An application for international protection must not be regarded as manifestly unfounded when, firstly, it is apparent from the information on the applicant’s country of origin that acceptable protection can be ensured for him in that country and, secondly, the applicant has provided insufficient information to justify the grant of international protection</w:t>
      </w:r>
      <w:r>
        <w:rPr>
          <w:rStyle w:val="FootnoteReference"/>
          <w:rFonts w:ascii="Arial" w:hAnsi="Arial" w:cs="Arial"/>
          <w:noProof/>
          <w:sz w:val="20"/>
          <w:szCs w:val="20"/>
        </w:rPr>
        <w:footnoteReference w:id="296"/>
      </w:r>
      <w:r>
        <w:rPr>
          <w:rFonts w:ascii="Arial" w:hAnsi="Arial" w:cs="Arial"/>
          <w:noProof/>
          <w:sz w:val="20"/>
          <w:szCs w:val="20"/>
        </w:rPr>
        <w:t>.</w:t>
      </w:r>
    </w:p>
    <w:p>
      <w:pPr>
        <w:spacing w:after="120"/>
        <w:ind w:left="1276"/>
        <w:contextualSpacing/>
        <w:rPr>
          <w:rFonts w:ascii="Verdana" w:eastAsia="Calibri" w:hAnsi="Verdana"/>
          <w:noProof/>
          <w:kern w:val="20"/>
          <w:sz w:val="20"/>
        </w:rPr>
        <w:sectPr>
          <w:headerReference w:type="even" r:id="rId203"/>
          <w:headerReference w:type="default" r:id="rId204"/>
          <w:footerReference w:type="even" r:id="rId205"/>
          <w:footerReference w:type="default" r:id="rId206"/>
          <w:headerReference w:type="first" r:id="rId207"/>
          <w:footerReference w:type="first" r:id="rId208"/>
          <w:footnotePr>
            <w:numRestart w:val="eachSect"/>
          </w:footnotePr>
          <w:pgSz w:w="11906" w:h="16838"/>
          <w:pgMar w:top="1948" w:right="1417" w:bottom="1134" w:left="1417" w:header="567" w:footer="351" w:gutter="0"/>
          <w:cols w:space="708"/>
          <w:titlePg/>
          <w:docGrid w:linePitch="360"/>
        </w:sectPr>
      </w:pPr>
    </w:p>
    <w:p>
      <w:pPr>
        <w:keepNext/>
        <w:keepLines/>
        <w:jc w:val="center"/>
        <w:outlineLvl w:val="0"/>
        <w:rPr>
          <w:rFonts w:ascii="Arial" w:eastAsia="SimSun" w:hAnsi="Arial"/>
          <w:bCs/>
          <w:noProof/>
          <w:color w:val="A6A6A6"/>
          <w:szCs w:val="28"/>
        </w:rPr>
      </w:pPr>
      <w:bookmarkStart w:id="65" w:name="_Toc444769611"/>
      <w:bookmarkStart w:id="66" w:name="_Toc444772067"/>
      <w:bookmarkStart w:id="67" w:name="_Toc444773386"/>
      <w:bookmarkStart w:id="68" w:name="_Toc444776758"/>
      <w:bookmarkStart w:id="69" w:name="_Toc475974665"/>
      <w:bookmarkStart w:id="70" w:name="_Toc475980161"/>
      <w:bookmarkStart w:id="71" w:name="_Toc475981410"/>
      <w:bookmarkStart w:id="72" w:name="_Toc484622344"/>
      <w:bookmarkStart w:id="73" w:name="_Toc5728040"/>
      <w:r>
        <w:rPr>
          <w:rFonts w:ascii="Arial" w:eastAsia="SimSun" w:hAnsi="Arial"/>
          <w:bCs/>
          <w:noProof/>
          <w:color w:val="A6A6A6"/>
          <w:szCs w:val="28"/>
        </w:rPr>
        <w:t>United Kingdom</w:t>
      </w:r>
      <w:bookmarkEnd w:id="65"/>
      <w:bookmarkEnd w:id="66"/>
      <w:bookmarkEnd w:id="67"/>
      <w:bookmarkEnd w:id="68"/>
      <w:bookmarkEnd w:id="69"/>
      <w:bookmarkEnd w:id="70"/>
      <w:bookmarkEnd w:id="71"/>
      <w:bookmarkEnd w:id="72"/>
      <w:bookmarkEnd w:id="73"/>
    </w:p>
    <w:p>
      <w:pPr>
        <w:pStyle w:val="AnnualReport1"/>
        <w:numPr>
          <w:ilvl w:val="0"/>
          <w:numId w:val="190"/>
        </w:numPr>
        <w:ind w:left="709"/>
        <w:rPr>
          <w:noProof/>
        </w:rPr>
      </w:pPr>
      <w:r>
        <w:rPr>
          <w:noProof/>
        </w:rPr>
        <w:t>COMPLAINTS</w:t>
      </w:r>
    </w:p>
    <w:p>
      <w:pPr>
        <w:numPr>
          <w:ilvl w:val="0"/>
          <w:numId w:val="48"/>
        </w:numPr>
        <w:spacing w:before="240"/>
        <w:ind w:left="709" w:hanging="425"/>
        <w:outlineLvl w:val="1"/>
        <w:rPr>
          <w:rFonts w:ascii="Arial" w:hAnsi="Arial"/>
          <w:noProof/>
          <w:color w:val="002060"/>
        </w:rPr>
      </w:pPr>
      <w:r>
        <w:rPr>
          <w:rFonts w:ascii="Arial" w:hAnsi="Arial"/>
          <w:noProof/>
          <w:color w:val="002060"/>
        </w:rPr>
        <w:t>New complaints made against the United Kingdom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96130" cy="2393315"/>
            <wp:effectExtent l="0" t="0" r="0" b="0"/>
            <wp:docPr id="29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numPr>
          <w:ilvl w:val="0"/>
          <w:numId w:val="48"/>
        </w:numPr>
        <w:spacing w:before="240"/>
        <w:ind w:left="709" w:hanging="425"/>
        <w:outlineLvl w:val="1"/>
        <w:rPr>
          <w:rFonts w:ascii="Arial" w:hAnsi="Arial"/>
          <w:noProof/>
          <w:color w:val="002060"/>
        </w:rPr>
      </w:pPr>
      <w:r>
        <w:rPr>
          <w:rFonts w:ascii="Arial" w:hAnsi="Arial"/>
          <w:noProof/>
          <w:color w:val="002060"/>
        </w:rPr>
        <w:t>Public complaints against the United Kingdom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188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167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168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187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p>
            <w:pPr>
              <w:spacing w:after="0"/>
              <w:rPr>
                <w:rFonts w:ascii="Arial" w:hAnsi="Arial" w:cs="Arial"/>
                <w:noProof/>
                <w:color w:val="548DD4"/>
                <w:szCs w:val="28"/>
                <w:lang w:eastAsia="en-GB"/>
              </w:rPr>
            </w:pPr>
          </w:p>
        </w:tc>
      </w:tr>
    </w:tbl>
    <w:p>
      <w:pPr>
        <w:numPr>
          <w:ilvl w:val="0"/>
          <w:numId w:val="48"/>
        </w:numPr>
        <w:spacing w:before="240"/>
        <w:ind w:left="709" w:hanging="425"/>
        <w:outlineLvl w:val="1"/>
        <w:rPr>
          <w:rFonts w:ascii="Arial" w:eastAsia="MS Gothic" w:hAnsi="Arial"/>
          <w:noProof/>
          <w:color w:val="002060"/>
        </w:rPr>
      </w:pPr>
      <w:r>
        <w:rPr>
          <w:rFonts w:ascii="Arial" w:eastAsia="MS Gothic" w:hAnsi="Arial"/>
          <w:noProof/>
          <w:color w:val="002060"/>
        </w:rPr>
        <w:t>New complaints registered in 2018: main policy areas</w:t>
      </w:r>
    </w:p>
    <w:p>
      <w:pPr>
        <w:spacing w:after="120"/>
        <w:ind w:firstLine="709"/>
        <w:rPr>
          <w:rFonts w:ascii="Arial" w:eastAsia="MS Gothic" w:hAnsi="Arial" w:cs="Arial"/>
          <w:noProof/>
          <w:sz w:val="20"/>
        </w:rPr>
      </w:pPr>
      <w:r>
        <w:rPr>
          <w:rFonts w:ascii="Arial" w:hAnsi="Arial" w:cs="Arial"/>
          <w:noProof/>
          <w:sz w:val="20"/>
          <w:lang w:eastAsia="en-GB"/>
        </w:rPr>
        <w:drawing>
          <wp:inline distT="0" distB="0" distL="0" distR="0">
            <wp:extent cx="4643755" cy="2465070"/>
            <wp:effectExtent l="0" t="0" r="4445" b="11430"/>
            <wp:docPr id="300"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spacing w:after="120"/>
        <w:ind w:firstLine="709"/>
        <w:rPr>
          <w:rFonts w:ascii="Arial" w:eastAsia="MS Gothic" w:hAnsi="Arial" w:cs="Arial"/>
          <w:noProof/>
          <w:sz w:val="20"/>
        </w:rPr>
      </w:pPr>
      <w:r>
        <w:rPr>
          <w:rFonts w:ascii="Arial" w:eastAsia="MS Gothic" w:hAnsi="Arial" w:cs="Arial"/>
          <w:noProof/>
          <w:sz w:val="20"/>
        </w:rPr>
        <w:br w:type="page"/>
      </w:r>
    </w:p>
    <w:p>
      <w:pPr>
        <w:pStyle w:val="AnnualReport1"/>
        <w:numPr>
          <w:ilvl w:val="0"/>
          <w:numId w:val="190"/>
        </w:numPr>
        <w:ind w:left="709"/>
        <w:rPr>
          <w:noProof/>
        </w:rPr>
      </w:pPr>
      <w:r>
        <w:rPr>
          <w:noProof/>
        </w:rPr>
        <w:t>EU PILOT</w:t>
      </w:r>
    </w:p>
    <w:p>
      <w:pPr>
        <w:numPr>
          <w:ilvl w:val="0"/>
          <w:numId w:val="49"/>
        </w:numPr>
        <w:spacing w:before="240"/>
        <w:ind w:left="709" w:hanging="425"/>
        <w:outlineLvl w:val="1"/>
        <w:rPr>
          <w:rFonts w:ascii="Arial" w:hAnsi="Arial"/>
          <w:noProof/>
          <w:color w:val="002060"/>
        </w:rPr>
      </w:pPr>
      <w:r>
        <w:rPr>
          <w:rFonts w:ascii="Arial" w:hAnsi="Arial"/>
          <w:noProof/>
          <w:color w:val="002060"/>
        </w:rPr>
        <w:t>New EU Pilot files opened against the United Kingdom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12005" cy="2204085"/>
            <wp:effectExtent l="0" t="0" r="17145" b="5715"/>
            <wp:docPr id="30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numPr>
          <w:ilvl w:val="0"/>
          <w:numId w:val="49"/>
        </w:numPr>
        <w:spacing w:before="240"/>
        <w:ind w:left="709" w:hanging="425"/>
        <w:outlineLvl w:val="1"/>
        <w:rPr>
          <w:rFonts w:ascii="Arial" w:hAnsi="Arial"/>
          <w:noProof/>
          <w:color w:val="002060"/>
        </w:rPr>
      </w:pPr>
      <w:r>
        <w:rPr>
          <w:rFonts w:ascii="Arial" w:hAnsi="Arial"/>
          <w:noProof/>
          <w:color w:val="002060"/>
        </w:rPr>
        <w:t>Files relating to the United Kingdom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127885"/>
            <wp:effectExtent l="0" t="0" r="17145" b="5715"/>
            <wp:docPr id="30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numPr>
          <w:ilvl w:val="0"/>
          <w:numId w:val="49"/>
        </w:numPr>
        <w:spacing w:before="240"/>
        <w:ind w:left="709" w:hanging="425"/>
        <w:outlineLvl w:val="1"/>
        <w:rPr>
          <w:rFonts w:ascii="Arial" w:hAnsi="Arial"/>
          <w:noProof/>
          <w:color w:val="002060"/>
        </w:rPr>
      </w:pPr>
      <w:r>
        <w:rPr>
          <w:rFonts w:ascii="Arial" w:hAnsi="Arial"/>
          <w:noProof/>
          <w:color w:val="002060"/>
        </w:rPr>
        <w:t>New EU Pilot files opened in 2018: main policy areas</w:t>
      </w:r>
    </w:p>
    <w:p>
      <w:pPr>
        <w:pStyle w:val="Body"/>
        <w:ind w:left="786" w:firstLine="0"/>
        <w:jc w:val="both"/>
        <w:rPr>
          <w:noProof/>
        </w:rPr>
      </w:pPr>
      <w:r>
        <w:rPr>
          <w:noProof/>
        </w:rPr>
        <w:t>In 2018, the Commission opened three EU Pilot files against United Kingdom: two in the area of energy and one in the area of migration and home affairs.</w:t>
      </w:r>
    </w:p>
    <w:p>
      <w:pPr>
        <w:numPr>
          <w:ilvl w:val="0"/>
          <w:numId w:val="49"/>
        </w:numPr>
        <w:spacing w:before="240"/>
        <w:ind w:left="709" w:hanging="425"/>
        <w:outlineLvl w:val="1"/>
        <w:rPr>
          <w:rFonts w:ascii="Arial" w:hAnsi="Arial"/>
          <w:noProof/>
          <w:color w:val="002060"/>
          <w:sz w:val="20"/>
        </w:rPr>
      </w:pPr>
      <w:r>
        <w:rPr>
          <w:rFonts w:ascii="Arial" w:hAnsi="Arial"/>
          <w:noProof/>
          <w:color w:val="002060"/>
        </w:rPr>
        <w:t>EU Pilot files: United Kingdom’s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45030"/>
            <wp:effectExtent l="0" t="0" r="3175" b="7620"/>
            <wp:docPr id="30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numPr>
          <w:ilvl w:val="0"/>
          <w:numId w:val="191"/>
        </w:numPr>
        <w:spacing w:before="240"/>
        <w:outlineLvl w:val="1"/>
        <w:rPr>
          <w:rFonts w:ascii="Arial" w:hAnsi="Arial"/>
          <w:noProof/>
          <w:color w:val="002060"/>
        </w:rPr>
      </w:pPr>
      <w:r>
        <w:rPr>
          <w:rFonts w:ascii="Arial" w:hAnsi="Arial"/>
          <w:noProof/>
          <w:color w:val="002060"/>
        </w:rPr>
        <w:t>Infringement cases against the United Kingdom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218690"/>
            <wp:effectExtent l="0" t="0" r="6350" b="10160"/>
            <wp:docPr id="30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numPr>
          <w:ilvl w:val="0"/>
          <w:numId w:val="191"/>
        </w:numPr>
        <w:spacing w:before="240"/>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440940"/>
            <wp:effectExtent l="0" t="0" r="10795" b="16510"/>
            <wp:docPr id="306" name="Object 3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pPr>
        <w:numPr>
          <w:ilvl w:val="0"/>
          <w:numId w:val="191"/>
        </w:numPr>
        <w:spacing w:before="240"/>
        <w:outlineLvl w:val="1"/>
        <w:rPr>
          <w:rFonts w:ascii="Arial" w:hAnsi="Arial"/>
          <w:noProof/>
          <w:color w:val="002060"/>
        </w:rPr>
      </w:pPr>
      <w:r>
        <w:rPr>
          <w:rFonts w:ascii="Arial" w:hAnsi="Arial"/>
          <w:noProof/>
          <w:color w:val="002060"/>
        </w:rPr>
        <w:t>Key infringement cases and referrals to the Court</w:t>
      </w:r>
    </w:p>
    <w:p>
      <w:pPr>
        <w:numPr>
          <w:ilvl w:val="0"/>
          <w:numId w:val="149"/>
        </w:numPr>
        <w:ind w:left="1276" w:hanging="425"/>
        <w:jc w:val="both"/>
        <w:rPr>
          <w:rFonts w:ascii="Arial" w:hAnsi="Arial" w:cs="Arial"/>
          <w:noProof/>
          <w:sz w:val="20"/>
          <w:szCs w:val="20"/>
        </w:rPr>
      </w:pPr>
      <w:r>
        <w:rPr>
          <w:rFonts w:ascii="Arial" w:hAnsi="Arial" w:cs="Arial"/>
          <w:noProof/>
          <w:sz w:val="20"/>
          <w:szCs w:val="20"/>
        </w:rPr>
        <w:t>The Commission opened 30 new infringement cases against the United Kingdom in 2018. These, and other major ongoing infringement cases, include the following.</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Discrimination on the grounds of nationality between workers from EU Member States.</w:t>
      </w:r>
      <w:r>
        <w:rPr>
          <w:rStyle w:val="FootnoteReference"/>
          <w:rFonts w:ascii="Arial" w:hAnsi="Arial" w:cs="Arial"/>
          <w:noProof/>
          <w:sz w:val="20"/>
          <w:szCs w:val="20"/>
        </w:rPr>
        <w:footnoteReference w:id="297"/>
      </w:r>
      <w:r>
        <w:rPr>
          <w:rFonts w:ascii="Arial" w:hAnsi="Arial" w:cs="Arial"/>
          <w:noProof/>
          <w:sz w:val="20"/>
          <w:szCs w:val="20"/>
        </w:rPr>
        <w:t xml:space="preserve"> The United Kingdom’s rules on housing benefit treat beneficiaries who temporarily leave their home but stay within Great Britain (England, Scotland and Wales) more favourably than those who leave those areas during a temporary absence leave those areas. These rules therefore disadvantage workers from other Member States since they are more likely than workers of UK nationality to leave the United Kingdom temporarily</w:t>
      </w:r>
      <w:r>
        <w:rPr>
          <w:rStyle w:val="FootnoteReference"/>
          <w:rFonts w:ascii="Arial" w:hAnsi="Arial" w:cs="Arial"/>
          <w:noProof/>
          <w:sz w:val="20"/>
          <w:szCs w:val="20"/>
        </w:rPr>
        <w:footnoteReference w:id="298"/>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Abusive VAT practices in the Isle of Man in the supply and leasing of aircraft</w:t>
      </w:r>
      <w:r>
        <w:rPr>
          <w:rStyle w:val="FootnoteReference"/>
          <w:rFonts w:ascii="Arial" w:hAnsi="Arial" w:cs="Arial"/>
          <w:noProof/>
          <w:sz w:val="20"/>
          <w:szCs w:val="20"/>
          <w:lang w:eastAsia="en-GB"/>
        </w:rPr>
        <w:footnoteReference w:id="299"/>
      </w:r>
      <w:r>
        <w:rPr>
          <w:rFonts w:ascii="Arial" w:hAnsi="Arial" w:cs="Arial"/>
          <w:noProof/>
          <w:sz w:val="20"/>
          <w:szCs w:val="20"/>
          <w:lang w:eastAsia="en-GB"/>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Failure to comply with a Court of Justice judgment and control excessive spills from waste water collection systems in London, Whitburn, Llanelli and Gowerton</w:t>
      </w:r>
      <w:r>
        <w:rPr>
          <w:rStyle w:val="FootnoteReference"/>
          <w:rFonts w:ascii="Arial" w:hAnsi="Arial" w:cs="Arial"/>
          <w:noProof/>
          <w:sz w:val="20"/>
          <w:szCs w:val="20"/>
        </w:rPr>
        <w:footnoteReference w:id="300"/>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Failure to comply with a Court of Justice judgment and failure to provide waste water treatment in Gibraltar</w:t>
      </w:r>
      <w:r>
        <w:rPr>
          <w:rStyle w:val="FootnoteReference"/>
          <w:rFonts w:ascii="Arial" w:hAnsi="Arial" w:cs="Arial"/>
          <w:noProof/>
          <w:sz w:val="20"/>
          <w:szCs w:val="20"/>
        </w:rPr>
        <w:footnoteReference w:id="301"/>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Failure to comply with EU legislation on Flag State requirements</w:t>
      </w:r>
      <w:r>
        <w:rPr>
          <w:rStyle w:val="FootnoteReference"/>
          <w:rFonts w:ascii="Arial" w:hAnsi="Arial" w:cs="Arial"/>
          <w:noProof/>
          <w:sz w:val="20"/>
          <w:szCs w:val="20"/>
        </w:rPr>
        <w:footnoteReference w:id="302"/>
      </w:r>
      <w:r>
        <w:rPr>
          <w:rFonts w:ascii="Arial" w:hAnsi="Arial" w:cs="Arial"/>
          <w:noProof/>
          <w:sz w:val="20"/>
          <w:szCs w:val="20"/>
        </w:rPr>
        <w:t>.</w:t>
      </w:r>
    </w:p>
    <w:p>
      <w:pPr>
        <w:numPr>
          <w:ilvl w:val="1"/>
          <w:numId w:val="210"/>
        </w:numPr>
        <w:spacing w:after="0"/>
        <w:ind w:left="1701" w:hanging="357"/>
        <w:jc w:val="both"/>
        <w:rPr>
          <w:rFonts w:ascii="Arial" w:hAnsi="Arial" w:cs="Arial"/>
          <w:noProof/>
          <w:szCs w:val="20"/>
        </w:rPr>
      </w:pPr>
      <w:r>
        <w:rPr>
          <w:rFonts w:ascii="Arial" w:hAnsi="Arial"/>
          <w:noProof/>
          <w:sz w:val="20"/>
        </w:rPr>
        <w:t xml:space="preserve">Failure to carry out appropriate checks and ensure compliance with the conditions for recognition of fishery producer organisations under the Regulation </w:t>
      </w:r>
      <w:r>
        <w:rPr>
          <w:rFonts w:ascii="Arial" w:hAnsi="Arial" w:cs="Arial"/>
          <w:noProof/>
          <w:sz w:val="20"/>
          <w:szCs w:val="20"/>
        </w:rPr>
        <w:t>on the common organisation of the markets in fishery and aquaculture products</w:t>
      </w:r>
      <w:r>
        <w:rPr>
          <w:rStyle w:val="FootnoteReference"/>
          <w:rFonts w:ascii="Arial" w:hAnsi="Arial" w:cs="Arial"/>
          <w:noProof/>
          <w:sz w:val="20"/>
          <w:szCs w:val="20"/>
        </w:rPr>
        <w:footnoteReference w:id="303"/>
      </w:r>
      <w:r>
        <w:rPr>
          <w:rFonts w:ascii="Arial" w:hAnsi="Arial"/>
          <w:noProof/>
          <w:sz w:val="20"/>
        </w:rPr>
        <w:t>.</w:t>
      </w:r>
    </w:p>
    <w:p>
      <w:pPr>
        <w:numPr>
          <w:ilvl w:val="1"/>
          <w:numId w:val="210"/>
        </w:numPr>
        <w:spacing w:after="0"/>
        <w:ind w:left="1701" w:hanging="357"/>
        <w:jc w:val="both"/>
        <w:rPr>
          <w:rFonts w:ascii="Arial" w:eastAsia="Calibri" w:hAnsi="Arial" w:cs="Arial"/>
          <w:noProof/>
          <w:kern w:val="20"/>
          <w:sz w:val="20"/>
          <w:lang w:eastAsia="en-GB"/>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304"/>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305"/>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Failure to make available to the EU budget own resources lost due to undervalued imports</w:t>
      </w:r>
      <w:r>
        <w:rPr>
          <w:rStyle w:val="FootnoteReference"/>
          <w:rFonts w:ascii="Arial" w:hAnsi="Arial" w:cs="Arial"/>
          <w:noProof/>
          <w:sz w:val="20"/>
          <w:szCs w:val="20"/>
        </w:rPr>
        <w:footnoteReference w:id="306"/>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307"/>
      </w:r>
      <w:r>
        <w:rPr>
          <w:rFonts w:ascii="Arial" w:hAnsi="Arial" w:cs="Arial"/>
          <w:noProof/>
          <w:sz w:val="20"/>
          <w:szCs w:val="20"/>
        </w:rPr>
        <w:t>.</w:t>
      </w:r>
    </w:p>
    <w:p>
      <w:pPr>
        <w:numPr>
          <w:ilvl w:val="1"/>
          <w:numId w:val="210"/>
        </w:numPr>
        <w:spacing w:after="0"/>
        <w:ind w:left="1701" w:hanging="357"/>
        <w:jc w:val="both"/>
        <w:rPr>
          <w:rFonts w:ascii="Arial" w:hAnsi="Arial" w:cs="Arial"/>
          <w:noProof/>
          <w:sz w:val="20"/>
          <w:szCs w:val="20"/>
        </w:rPr>
      </w:pPr>
      <w:r>
        <w:rPr>
          <w:rFonts w:ascii="Arial" w:eastAsia="Calibri" w:hAnsi="Arial" w:cs="Arial"/>
          <w:noProof/>
          <w:kern w:val="20"/>
          <w:sz w:val="20"/>
          <w:lang w:eastAsia="en-GB"/>
        </w:rPr>
        <w:t xml:space="preserve">Non-communication of national measures transposing the </w:t>
      </w:r>
    </w:p>
    <w:p>
      <w:pPr>
        <w:pStyle w:val="ListParagraph"/>
        <w:numPr>
          <w:ilvl w:val="0"/>
          <w:numId w:val="222"/>
        </w:numPr>
        <w:ind w:left="2268"/>
        <w:jc w:val="both"/>
        <w:rPr>
          <w:rFonts w:ascii="Arial" w:hAnsi="Arial" w:cs="Arial"/>
          <w:noProof/>
          <w:sz w:val="20"/>
          <w:szCs w:val="20"/>
        </w:rPr>
      </w:pPr>
      <w:r>
        <w:rPr>
          <w:rFonts w:ascii="Arial" w:eastAsia="Calibri" w:hAnsi="Arial" w:cs="Arial"/>
          <w:noProof/>
          <w:kern w:val="20"/>
          <w:sz w:val="20"/>
          <w:lang w:eastAsia="en-GB"/>
        </w:rPr>
        <w:t>Commission Directive amending the Directive on quality system standards and specifications for blood establishments</w:t>
      </w:r>
      <w:r>
        <w:rPr>
          <w:rStyle w:val="FootnoteReference"/>
          <w:rFonts w:ascii="Arial" w:eastAsia="Calibri" w:hAnsi="Arial" w:cs="Arial"/>
          <w:noProof/>
          <w:kern w:val="20"/>
          <w:sz w:val="20"/>
          <w:lang w:eastAsia="en-GB"/>
        </w:rPr>
        <w:footnoteReference w:id="308"/>
      </w:r>
      <w:r>
        <w:rPr>
          <w:rFonts w:ascii="Arial" w:eastAsia="Calibri" w:hAnsi="Arial" w:cs="Arial"/>
          <w:noProof/>
          <w:kern w:val="20"/>
          <w:sz w:val="20"/>
          <w:lang w:eastAsia="en-GB"/>
        </w:rPr>
        <w:t>;</w:t>
      </w:r>
    </w:p>
    <w:p>
      <w:pPr>
        <w:pStyle w:val="ListParagraph"/>
        <w:numPr>
          <w:ilvl w:val="0"/>
          <w:numId w:val="222"/>
        </w:numPr>
        <w:ind w:left="2268"/>
        <w:jc w:val="both"/>
        <w:rPr>
          <w:rFonts w:ascii="Arial" w:hAnsi="Arial" w:cs="Arial"/>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309"/>
      </w:r>
      <w:r>
        <w:rPr>
          <w:rFonts w:ascii="Arial" w:hAnsi="Arial" w:cs="Arial"/>
          <w:noProof/>
          <w:sz w:val="20"/>
          <w:szCs w:val="20"/>
        </w:rPr>
        <w:t>;</w:t>
      </w:r>
    </w:p>
    <w:p>
      <w:pPr>
        <w:pStyle w:val="ListParagraph"/>
        <w:numPr>
          <w:ilvl w:val="0"/>
          <w:numId w:val="222"/>
        </w:numPr>
        <w:ind w:left="2268"/>
        <w:jc w:val="both"/>
        <w:rPr>
          <w:rFonts w:ascii="Arial" w:hAnsi="Arial" w:cs="Arial"/>
          <w:noProof/>
          <w:sz w:val="20"/>
          <w:szCs w:val="20"/>
        </w:rPr>
      </w:pPr>
      <w:r>
        <w:rPr>
          <w:rFonts w:ascii="Arial" w:hAnsi="Arial" w:cs="Arial"/>
          <w:noProof/>
          <w:sz w:val="20"/>
          <w:szCs w:val="20"/>
        </w:rPr>
        <w:t>Directive as regards the characteristics to be covered as a minimum by the examination and the minimum conditions for examining certain varieties of agricultural plant species and vegetable species</w:t>
      </w:r>
      <w:r>
        <w:rPr>
          <w:rFonts w:ascii="Arial" w:hAnsi="Arial" w:cs="Arial"/>
          <w:noProof/>
          <w:sz w:val="20"/>
          <w:szCs w:val="20"/>
          <w:vertAlign w:val="superscript"/>
        </w:rPr>
        <w:footnoteReference w:id="310"/>
      </w:r>
      <w:r>
        <w:rPr>
          <w:rFonts w:ascii="Arial" w:hAnsi="Arial" w:cs="Arial"/>
          <w:noProof/>
          <w:sz w:val="20"/>
          <w:szCs w:val="20"/>
        </w:rPr>
        <w:t>;</w:t>
      </w:r>
    </w:p>
    <w:p>
      <w:pPr>
        <w:pStyle w:val="ListParagraph"/>
        <w:numPr>
          <w:ilvl w:val="0"/>
          <w:numId w:val="222"/>
        </w:numPr>
        <w:ind w:left="2268"/>
        <w:jc w:val="both"/>
        <w:rPr>
          <w:rFonts w:ascii="Arial" w:hAnsi="Arial" w:cs="Arial"/>
          <w:noProof/>
          <w:sz w:val="20"/>
          <w:szCs w:val="20"/>
        </w:rPr>
      </w:pPr>
      <w:r>
        <w:rPr>
          <w:rFonts w:ascii="Arial" w:hAnsi="Arial" w:cs="Arial"/>
          <w:noProof/>
          <w:sz w:val="20"/>
          <w:szCs w:val="20"/>
        </w:rPr>
        <w:t>Commission Directive</w:t>
      </w:r>
      <w:r>
        <w:rPr>
          <w:rStyle w:val="FootnoteReference"/>
          <w:rFonts w:ascii="Arial" w:hAnsi="Arial" w:cs="Arial"/>
          <w:noProof/>
          <w:sz w:val="20"/>
          <w:szCs w:val="20"/>
        </w:rPr>
        <w:footnoteReference w:id="311"/>
      </w:r>
      <w:r>
        <w:rPr>
          <w:rFonts w:ascii="Arial" w:hAnsi="Arial" w:cs="Arial"/>
          <w:noProof/>
          <w:sz w:val="20"/>
          <w:szCs w:val="20"/>
        </w:rPr>
        <w:t xml:space="preserve"> establishing a fourth list of indicative occupational exposure limit values to protect workers from risks arising from exposure to hazardous chemicals;</w:t>
      </w:r>
    </w:p>
    <w:p>
      <w:pPr>
        <w:pStyle w:val="ListParagraph"/>
        <w:numPr>
          <w:ilvl w:val="0"/>
          <w:numId w:val="222"/>
        </w:numPr>
        <w:ind w:left="2268"/>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312"/>
      </w:r>
      <w:r>
        <w:rPr>
          <w:rFonts w:ascii="Arial" w:hAnsi="Arial" w:cs="Arial"/>
          <w:noProof/>
          <w:sz w:val="20"/>
          <w:szCs w:val="20"/>
        </w:rPr>
        <w:t>.</w:t>
      </w:r>
    </w:p>
    <w:p>
      <w:pPr>
        <w:numPr>
          <w:ilvl w:val="0"/>
          <w:numId w:val="149"/>
        </w:numPr>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pStyle w:val="ListParagraph"/>
        <w:numPr>
          <w:ilvl w:val="0"/>
          <w:numId w:val="18"/>
        </w:numPr>
        <w:ind w:left="1701"/>
        <w:jc w:val="both"/>
        <w:rPr>
          <w:rFonts w:ascii="Arial" w:hAnsi="Arial" w:cs="Arial"/>
          <w:noProof/>
          <w:sz w:val="20"/>
          <w:szCs w:val="20"/>
        </w:rPr>
      </w:pPr>
      <w:r>
        <w:rPr>
          <w:rFonts w:ascii="Arial" w:hAnsi="Arial" w:cs="Arial"/>
          <w:noProof/>
          <w:sz w:val="20"/>
          <w:szCs w:val="20"/>
        </w:rPr>
        <w:t>exceedance of the nitrogen dioxide (NO</w:t>
      </w:r>
      <w:r>
        <w:rPr>
          <w:rFonts w:ascii="Arial" w:hAnsi="Arial" w:cs="Arial"/>
          <w:noProof/>
          <w:sz w:val="20"/>
          <w:szCs w:val="20"/>
          <w:vertAlign w:val="subscript"/>
        </w:rPr>
        <w:t>2</w:t>
      </w:r>
      <w:r>
        <w:rPr>
          <w:rFonts w:ascii="Arial" w:hAnsi="Arial" w:cs="Arial"/>
          <w:noProof/>
          <w:sz w:val="20"/>
          <w:szCs w:val="20"/>
        </w:rPr>
        <w:t>) limit values set by the Air Quality Directive</w:t>
      </w:r>
      <w:r>
        <w:rPr>
          <w:rStyle w:val="FootnoteReference"/>
          <w:rFonts w:ascii="Arial" w:hAnsi="Arial" w:cs="Arial"/>
          <w:noProof/>
          <w:sz w:val="20"/>
          <w:szCs w:val="20"/>
        </w:rPr>
        <w:footnoteReference w:id="313"/>
      </w:r>
      <w:r>
        <w:rPr>
          <w:rFonts w:ascii="Arial" w:hAnsi="Arial" w:cs="Arial"/>
          <w:noProof/>
          <w:sz w:val="20"/>
          <w:szCs w:val="20"/>
        </w:rPr>
        <w:t>.</w:t>
      </w:r>
    </w:p>
    <w:p>
      <w:pPr>
        <w:numPr>
          <w:ilvl w:val="0"/>
          <w:numId w:val="149"/>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numPr>
          <w:ilvl w:val="0"/>
          <w:numId w:val="192"/>
        </w:numPr>
        <w:spacing w:before="240"/>
        <w:outlineLvl w:val="1"/>
        <w:rPr>
          <w:rFonts w:ascii="Arial" w:hAnsi="Arial"/>
          <w:noProof/>
          <w:color w:val="002060"/>
        </w:rPr>
      </w:pPr>
      <w:r>
        <w:rPr>
          <w:rFonts w:ascii="Arial" w:hAnsi="Arial"/>
          <w:noProof/>
          <w:color w:val="002060"/>
        </w:rPr>
        <w:t>Late transposition infringement cases against the United Kingdom open on 31 December (2014-2018)</w:t>
      </w:r>
    </w:p>
    <w:p>
      <w:pPr>
        <w:ind w:left="426" w:firstLine="283"/>
        <w:rPr>
          <w:noProof/>
        </w:rPr>
      </w:pPr>
      <w:r>
        <w:rPr>
          <w:noProof/>
          <w:lang w:eastAsia="en-GB"/>
        </w:rPr>
        <w:drawing>
          <wp:inline distT="0" distB="0" distL="0" distR="0">
            <wp:extent cx="4610100" cy="2042160"/>
            <wp:effectExtent l="0" t="0" r="19050" b="15240"/>
            <wp:docPr id="30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pPr>
        <w:numPr>
          <w:ilvl w:val="0"/>
          <w:numId w:val="192"/>
        </w:numPr>
        <w:spacing w:before="240"/>
        <w:outlineLvl w:val="1"/>
        <w:rPr>
          <w:rFonts w:ascii="Arial" w:hAnsi="Arial"/>
          <w:noProof/>
          <w:color w:val="002060"/>
        </w:rPr>
      </w:pPr>
      <w:r>
        <w:rPr>
          <w:rFonts w:ascii="Arial" w:hAnsi="Arial"/>
          <w:noProof/>
          <w:color w:val="002060"/>
        </w:rPr>
        <w:t>New late transposition infringement cases against the United Kingdom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353310"/>
            <wp:effectExtent l="0" t="0" r="0" b="0"/>
            <wp:docPr id="30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pPr>
        <w:numPr>
          <w:ilvl w:val="0"/>
          <w:numId w:val="192"/>
        </w:numPr>
        <w:spacing w:before="240"/>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240" cy="2346960"/>
            <wp:effectExtent l="0" t="0" r="3810" b="15240"/>
            <wp:docPr id="1028"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192"/>
        </w:numPr>
        <w:spacing w:before="240"/>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before="24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18"/>
        </w:numPr>
        <w:autoSpaceDE w:val="0"/>
        <w:autoSpaceDN w:val="0"/>
        <w:adjustRightInd w:val="0"/>
        <w:spacing w:before="120" w:after="120"/>
        <w:contextualSpacing w:val="0"/>
        <w:jc w:val="both"/>
        <w:rPr>
          <w:rFonts w:ascii="Arial" w:hAnsi="Arial" w:cs="Arial"/>
          <w:noProof/>
          <w:sz w:val="20"/>
        </w:rPr>
      </w:pPr>
      <w:r>
        <w:rPr>
          <w:rFonts w:ascii="Arial" w:eastAsia="Calibri" w:hAnsi="Arial" w:cs="Arial"/>
          <w:noProof/>
          <w:sz w:val="20"/>
          <w:szCs w:val="20"/>
        </w:rPr>
        <w:t>breaches of the Large Combustion Plant Directive at the Aberthaw coal-fired power station in Wales</w:t>
      </w:r>
      <w:r>
        <w:rPr>
          <w:rStyle w:val="FootnoteReference"/>
          <w:rFonts w:ascii="Arial" w:eastAsia="Calibri" w:hAnsi="Arial" w:cs="Arial"/>
          <w:noProof/>
          <w:sz w:val="20"/>
          <w:szCs w:val="20"/>
        </w:rPr>
        <w:footnoteReference w:id="314"/>
      </w:r>
      <w:r>
        <w:rPr>
          <w:rFonts w:ascii="Arial" w:eastAsia="Calibri" w:hAnsi="Arial" w:cs="Arial"/>
          <w:noProof/>
          <w:sz w:val="20"/>
          <w:szCs w:val="20"/>
        </w:rPr>
        <w:t>;</w:t>
      </w:r>
    </w:p>
    <w:p>
      <w:pPr>
        <w:pStyle w:val="ListParagraph"/>
        <w:numPr>
          <w:ilvl w:val="0"/>
          <w:numId w:val="18"/>
        </w:numPr>
        <w:autoSpaceDE w:val="0"/>
        <w:autoSpaceDN w:val="0"/>
        <w:adjustRightInd w:val="0"/>
        <w:spacing w:before="120" w:after="120"/>
        <w:contextualSpacing w:val="0"/>
        <w:jc w:val="both"/>
        <w:rPr>
          <w:rFonts w:ascii="Arial" w:hAnsi="Arial" w:cs="Arial"/>
          <w:noProof/>
          <w:sz w:val="20"/>
        </w:rPr>
      </w:pPr>
      <w:r>
        <w:rPr>
          <w:rFonts w:ascii="Arial" w:hAnsi="Arial" w:cs="Arial"/>
          <w:noProof/>
          <w:sz w:val="20"/>
          <w:szCs w:val="20"/>
        </w:rPr>
        <w:t>failure to correctly transpose and apply the Strategic Environmental Assessment Directive regarding  decided on by Parliament</w:t>
      </w:r>
      <w:r>
        <w:rPr>
          <w:rStyle w:val="FootnoteReference"/>
          <w:rFonts w:ascii="Arial" w:hAnsi="Arial" w:cs="Arial"/>
          <w:noProof/>
          <w:sz w:val="20"/>
          <w:szCs w:val="20"/>
        </w:rPr>
        <w:footnoteReference w:id="315"/>
      </w:r>
      <w:r>
        <w:rPr>
          <w:rFonts w:ascii="Arial" w:hAnsi="Arial" w:cs="Arial"/>
          <w:noProof/>
          <w:sz w:val="20"/>
          <w:szCs w:val="20"/>
        </w:rPr>
        <w:t>;</w:t>
      </w:r>
    </w:p>
    <w:p>
      <w:pPr>
        <w:pStyle w:val="ListParagraph"/>
        <w:numPr>
          <w:ilvl w:val="0"/>
          <w:numId w:val="18"/>
        </w:numPr>
        <w:autoSpaceDE w:val="0"/>
        <w:autoSpaceDN w:val="0"/>
        <w:adjustRightInd w:val="0"/>
        <w:spacing w:before="120" w:after="120"/>
        <w:contextualSpacing w:val="0"/>
        <w:jc w:val="both"/>
        <w:rPr>
          <w:rFonts w:ascii="Arial" w:hAnsi="Arial" w:cs="Arial"/>
          <w:noProof/>
          <w:sz w:val="20"/>
        </w:rPr>
      </w:pPr>
      <w:r>
        <w:rPr>
          <w:rFonts w:ascii="Arial" w:hAnsi="Arial" w:cs="Arial"/>
          <w:noProof/>
          <w:sz w:val="20"/>
          <w:szCs w:val="20"/>
        </w:rPr>
        <w:t>non-communication of national measures transposing the</w:t>
      </w:r>
    </w:p>
    <w:p>
      <w:pPr>
        <w:pStyle w:val="ListParagraph"/>
        <w:numPr>
          <w:ilvl w:val="1"/>
          <w:numId w:val="18"/>
        </w:numPr>
        <w:spacing w:after="120"/>
        <w:ind w:left="1985"/>
        <w:jc w:val="both"/>
        <w:rPr>
          <w:rFonts w:ascii="Arial" w:hAnsi="Arial" w:cs="Arial"/>
          <w:noProof/>
          <w:sz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lang w:val="nl-NL"/>
        </w:rPr>
        <w:footnoteReference w:id="316"/>
      </w:r>
      <w:r>
        <w:rPr>
          <w:rFonts w:ascii="Arial" w:hAnsi="Arial" w:cs="Arial"/>
          <w:noProof/>
          <w:sz w:val="20"/>
          <w:szCs w:val="20"/>
        </w:rPr>
        <w:t>;</w:t>
      </w:r>
    </w:p>
    <w:p>
      <w:pPr>
        <w:pStyle w:val="ListParagraph"/>
        <w:numPr>
          <w:ilvl w:val="1"/>
          <w:numId w:val="18"/>
        </w:numPr>
        <w:spacing w:after="120"/>
        <w:ind w:left="1985"/>
        <w:jc w:val="both"/>
        <w:rPr>
          <w:rFonts w:ascii="Arial" w:hAnsi="Arial" w:cs="Arial"/>
          <w:noProof/>
          <w:sz w:val="20"/>
        </w:rPr>
      </w:pPr>
      <w:r>
        <w:rPr>
          <w:rFonts w:ascii="Arial" w:eastAsia="Times New Roman" w:hAnsi="Arial" w:cs="Arial"/>
          <w:noProof/>
          <w:sz w:val="20"/>
          <w:szCs w:val="20"/>
          <w:lang w:eastAsia="en-GB"/>
        </w:rPr>
        <w:t>Directive on caseins and caseinates</w:t>
      </w:r>
      <w:r>
        <w:rPr>
          <w:rStyle w:val="FootnoteReference"/>
          <w:rFonts w:ascii="Arial" w:eastAsia="Times New Roman" w:hAnsi="Arial" w:cs="Arial"/>
          <w:noProof/>
          <w:sz w:val="20"/>
          <w:szCs w:val="20"/>
          <w:lang w:eastAsia="en-GB"/>
        </w:rPr>
        <w:footnoteReference w:id="317"/>
      </w:r>
      <w:r>
        <w:rPr>
          <w:rFonts w:ascii="Arial" w:eastAsia="Times New Roman" w:hAnsi="Arial" w:cs="Arial"/>
          <w:noProof/>
          <w:sz w:val="20"/>
          <w:szCs w:val="20"/>
          <w:lang w:eastAsia="en-GB"/>
        </w:rPr>
        <w:t>;</w:t>
      </w:r>
    </w:p>
    <w:p>
      <w:pPr>
        <w:pStyle w:val="ListParagraph"/>
        <w:numPr>
          <w:ilvl w:val="1"/>
          <w:numId w:val="18"/>
        </w:numPr>
        <w:spacing w:after="120"/>
        <w:ind w:left="1985"/>
        <w:jc w:val="both"/>
        <w:rPr>
          <w:rFonts w:ascii="Arial" w:hAnsi="Arial" w:cs="Arial"/>
          <w:noProof/>
          <w:sz w:val="20"/>
        </w:rPr>
      </w:pPr>
      <w:r>
        <w:rPr>
          <w:rFonts w:ascii="Arial" w:hAnsi="Arial" w:cs="Arial"/>
          <w:noProof/>
          <w:sz w:val="20"/>
          <w:szCs w:val="20"/>
        </w:rPr>
        <w:t>Directive on fuel quality reporting requirements and calculation methods</w:t>
      </w:r>
      <w:r>
        <w:rPr>
          <w:rStyle w:val="FootnoteReference"/>
          <w:rFonts w:ascii="Arial" w:hAnsi="Arial" w:cs="Arial"/>
          <w:noProof/>
          <w:sz w:val="20"/>
          <w:szCs w:val="20"/>
        </w:rPr>
        <w:footnoteReference w:id="318"/>
      </w:r>
      <w:r>
        <w:rPr>
          <w:rFonts w:ascii="Arial" w:hAnsi="Arial" w:cs="Arial"/>
          <w:noProof/>
          <w:sz w:val="20"/>
          <w:szCs w:val="20"/>
        </w:rPr>
        <w:t>.</w:t>
      </w:r>
    </w:p>
    <w:p>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numPr>
          <w:ilvl w:val="0"/>
          <w:numId w:val="155"/>
        </w:numPr>
        <w:spacing w:before="240"/>
        <w:outlineLvl w:val="1"/>
        <w:rPr>
          <w:rFonts w:ascii="Arial" w:hAnsi="Arial"/>
          <w:noProof/>
          <w:color w:val="002060"/>
        </w:rPr>
      </w:pPr>
      <w:r>
        <w:rPr>
          <w:rFonts w:ascii="Arial" w:hAnsi="Arial"/>
          <w:noProof/>
          <w:color w:val="002060"/>
        </w:rPr>
        <w:t>Court rulings</w:t>
      </w:r>
      <w:r>
        <w:rPr>
          <w:rFonts w:ascii="Arial" w:hAnsi="Arial"/>
          <w:noProof/>
          <w:color w:val="002060"/>
          <w:vertAlign w:val="superscript"/>
        </w:rPr>
        <w:footnoteReference w:id="319"/>
      </w:r>
    </w:p>
    <w:p>
      <w:pPr>
        <w:spacing w:after="120"/>
        <w:ind w:firstLine="709"/>
        <w:rPr>
          <w:rFonts w:ascii="Arial" w:hAnsi="Arial" w:cs="Arial"/>
          <w:noProof/>
          <w:sz w:val="20"/>
        </w:rPr>
      </w:pPr>
      <w:r>
        <w:rPr>
          <w:rFonts w:ascii="Arial" w:hAnsi="Arial" w:cs="Arial"/>
          <w:noProof/>
          <w:sz w:val="20"/>
        </w:rPr>
        <w:t>The Court ruled that</w:t>
      </w:r>
    </w:p>
    <w:p>
      <w:pPr>
        <w:pStyle w:val="Basis"/>
        <w:numPr>
          <w:ilvl w:val="0"/>
          <w:numId w:val="230"/>
        </w:numPr>
        <w:spacing w:after="100" w:afterAutospacing="1" w:line="240" w:lineRule="auto"/>
        <w:jc w:val="both"/>
        <w:rPr>
          <w:rFonts w:ascii="Arial" w:hAnsi="Arial" w:cs="Arial"/>
          <w:noProof/>
          <w:lang w:val="en-GB"/>
        </w:rPr>
      </w:pPr>
      <w:r>
        <w:rPr>
          <w:rFonts w:ascii="Arial" w:hAnsi="Arial" w:cs="Arial"/>
          <w:noProof/>
          <w:lang w:val="en-GB"/>
        </w:rPr>
        <w:t>The United Kingdom has not proposed a sufficient number of Sites of Community Importance under the Habitats Directive for the species harbour porpoise. It has thereby failed to contribute to the creation of the Natura 2000 network</w:t>
      </w:r>
      <w:r>
        <w:rPr>
          <w:noProof/>
        </w:rPr>
        <w:t xml:space="preserve"> </w:t>
      </w:r>
      <w:r>
        <w:rPr>
          <w:rFonts w:ascii="Arial" w:hAnsi="Arial" w:cs="Arial"/>
          <w:noProof/>
          <w:lang w:val="en-GB"/>
        </w:rPr>
        <w:t>in proportion to the representation of the habitats of that species within its territory</w:t>
      </w:r>
      <w:r>
        <w:rPr>
          <w:rStyle w:val="FootnoteReference"/>
          <w:rFonts w:ascii="Arial" w:hAnsi="Arial" w:cs="Arial"/>
          <w:noProof/>
          <w:lang w:val="en-GB"/>
        </w:rPr>
        <w:footnoteReference w:id="320"/>
      </w:r>
      <w:r>
        <w:rPr>
          <w:rFonts w:ascii="Arial" w:hAnsi="Arial" w:cs="Arial"/>
          <w:noProof/>
          <w:lang w:val="en-GB"/>
        </w:rPr>
        <w:t>.</w:t>
      </w:r>
    </w:p>
    <w:p>
      <w:pPr>
        <w:pStyle w:val="ListParagraph"/>
        <w:numPr>
          <w:ilvl w:val="0"/>
          <w:numId w:val="230"/>
        </w:numPr>
        <w:spacing w:after="120"/>
        <w:jc w:val="both"/>
        <w:rPr>
          <w:rFonts w:ascii="Arial" w:hAnsi="Arial" w:cs="Arial"/>
          <w:noProof/>
          <w:sz w:val="20"/>
        </w:rPr>
      </w:pPr>
      <w:r>
        <w:rPr>
          <w:rFonts w:ascii="Arial" w:eastAsia="Calibri" w:hAnsi="Arial" w:cs="Arial"/>
          <w:noProof/>
          <w:sz w:val="20"/>
          <w:szCs w:val="20"/>
        </w:rPr>
        <w:t>The United Kingdom</w:t>
      </w:r>
      <w:r>
        <w:rPr>
          <w:rFonts w:ascii="Arial" w:hAnsi="Arial"/>
          <w:noProof/>
          <w:sz w:val="20"/>
        </w:rPr>
        <w:t xml:space="preserve"> </w:t>
      </w:r>
      <w:r>
        <w:rPr>
          <w:rFonts w:ascii="Arial" w:hAnsi="Arial" w:cs="Arial"/>
          <w:noProof/>
          <w:sz w:val="20"/>
          <w:szCs w:val="20"/>
        </w:rPr>
        <w:t>has not properly applied</w:t>
      </w:r>
      <w:r>
        <w:rPr>
          <w:noProof/>
        </w:rPr>
        <w:t xml:space="preserve"> </w:t>
      </w:r>
      <w:r>
        <w:rPr>
          <w:rFonts w:ascii="Arial" w:eastAsia="Calibri" w:hAnsi="Arial" w:cs="Arial"/>
          <w:noProof/>
          <w:sz w:val="20"/>
          <w:szCs w:val="20"/>
        </w:rPr>
        <w:t>the EU rules on fiscal marking of fuels. The Court found that the UK has failed to ensure that fuel is marked only when it is subject to an exemption from or reduction in excise duty</w:t>
      </w:r>
      <w:r>
        <w:rPr>
          <w:rStyle w:val="FootnoteReference"/>
          <w:rFonts w:ascii="Arial" w:hAnsi="Arial" w:cs="Arial"/>
          <w:noProof/>
        </w:rPr>
        <w:footnoteReference w:id="321"/>
      </w:r>
      <w:r>
        <w:rPr>
          <w:rFonts w:ascii="Arial" w:hAnsi="Arial" w:cs="Arial"/>
          <w:noProof/>
        </w:rPr>
        <w:t>.</w:t>
      </w:r>
    </w:p>
    <w:p>
      <w:pPr>
        <w:numPr>
          <w:ilvl w:val="0"/>
          <w:numId w:val="155"/>
        </w:numPr>
        <w:spacing w:before="240"/>
        <w:ind w:left="709" w:hanging="425"/>
        <w:outlineLvl w:val="1"/>
        <w:rPr>
          <w:rFonts w:ascii="Arial" w:hAnsi="Arial"/>
          <w:noProof/>
          <w:color w:val="002060"/>
        </w:rPr>
      </w:pPr>
      <w:r>
        <w:rPr>
          <w:rFonts w:ascii="Arial" w:hAnsi="Arial"/>
          <w:noProof/>
          <w:color w:val="002060"/>
        </w:rPr>
        <w:t>Preliminary rulings</w:t>
      </w:r>
    </w:p>
    <w:p>
      <w:pPr>
        <w:spacing w:after="120"/>
        <w:ind w:left="426" w:firstLine="294"/>
        <w:jc w:val="both"/>
        <w:rPr>
          <w:rFonts w:ascii="Arial" w:hAnsi="Arial" w:cs="Arial"/>
          <w:noProof/>
          <w:sz w:val="20"/>
        </w:rPr>
      </w:pPr>
      <w:r>
        <w:rPr>
          <w:rFonts w:ascii="Arial" w:hAnsi="Arial" w:cs="Arial"/>
          <w:noProof/>
          <w:sz w:val="20"/>
        </w:rPr>
        <w:t>The Court addressed the following preliminary rulings to the UK judiciary:</w:t>
      </w:r>
    </w:p>
    <w:p>
      <w:pPr>
        <w:numPr>
          <w:ilvl w:val="0"/>
          <w:numId w:val="161"/>
        </w:numPr>
        <w:spacing w:before="120" w:after="120"/>
        <w:jc w:val="both"/>
        <w:rPr>
          <w:rFonts w:ascii="Arial" w:hAnsi="Arial" w:cs="Arial"/>
          <w:noProof/>
          <w:sz w:val="20"/>
          <w:szCs w:val="20"/>
        </w:rPr>
      </w:pPr>
      <w:r>
        <w:rPr>
          <w:rFonts w:ascii="Arial" w:hAnsi="Arial" w:cs="Arial"/>
          <w:noProof/>
          <w:sz w:val="20"/>
          <w:szCs w:val="20"/>
        </w:rPr>
        <w:t>When a Member State has notified the European Council of its intention to withdraw from the European Union, as the UK has done, that Member State is free to revoke unilaterally that notification. That possibility exists for as long as a withdrawal agreement concluded between the EU and that Member State has not entered into force or, if no such agreement has been concluded, for as long as the two-year period from the date of the notification of the intention to withdraw from the EU, and any possible extension, has not expired.</w:t>
      </w:r>
      <w:r>
        <w:rPr>
          <w:rStyle w:val="FootnoteReference"/>
          <w:rFonts w:ascii="Arial" w:hAnsi="Arial" w:cs="Arial"/>
          <w:noProof/>
          <w:sz w:val="20"/>
          <w:szCs w:val="20"/>
        </w:rPr>
        <w:footnoteReference w:id="322"/>
      </w:r>
    </w:p>
    <w:p>
      <w:pPr>
        <w:numPr>
          <w:ilvl w:val="0"/>
          <w:numId w:val="161"/>
        </w:numPr>
        <w:spacing w:before="120" w:after="120"/>
        <w:ind w:left="1418"/>
        <w:jc w:val="both"/>
        <w:rPr>
          <w:rFonts w:ascii="Arial" w:hAnsi="Arial" w:cs="Arial"/>
          <w:noProof/>
          <w:sz w:val="20"/>
          <w:szCs w:val="20"/>
        </w:rPr>
      </w:pPr>
      <w:r>
        <w:rPr>
          <w:rFonts w:ascii="Arial" w:hAnsi="Arial" w:cs="Arial"/>
          <w:noProof/>
          <w:sz w:val="20"/>
          <w:szCs w:val="20"/>
        </w:rPr>
        <w:t>A prohibition on placing on the market tobacco products for oral use is intended not to restrict the right to health but, on the contrary, to give expression to that right and, consequently, to ensure a high level of protection of health for all consumers</w:t>
      </w:r>
      <w:r>
        <w:rPr>
          <w:rFonts w:ascii="Arial" w:hAnsi="Arial" w:cs="Arial"/>
          <w:noProof/>
          <w:sz w:val="20"/>
          <w:szCs w:val="20"/>
          <w:vertAlign w:val="superscript"/>
        </w:rPr>
        <w:footnoteReference w:id="323"/>
      </w:r>
      <w:r>
        <w:rPr>
          <w:rFonts w:ascii="Arial" w:hAnsi="Arial" w:cs="Arial"/>
          <w:noProof/>
          <w:sz w:val="20"/>
          <w:szCs w:val="20"/>
        </w:rPr>
        <w:t>.</w:t>
      </w:r>
    </w:p>
    <w:p>
      <w:pPr>
        <w:numPr>
          <w:ilvl w:val="0"/>
          <w:numId w:val="161"/>
        </w:numPr>
        <w:spacing w:before="120" w:after="120"/>
        <w:ind w:left="1418"/>
        <w:jc w:val="both"/>
        <w:rPr>
          <w:rFonts w:ascii="Arial" w:hAnsi="Arial" w:cs="Arial"/>
          <w:noProof/>
          <w:sz w:val="20"/>
          <w:szCs w:val="20"/>
        </w:rPr>
      </w:pPr>
      <w:r>
        <w:rPr>
          <w:rFonts w:ascii="Arial" w:hAnsi="Arial" w:cs="Arial"/>
          <w:noProof/>
          <w:sz w:val="20"/>
          <w:szCs w:val="20"/>
        </w:rPr>
        <w:t>A product composed of several active ingredients with a combined effect is ‘protected by a basic patent in force’, even if the combination of active ingredients of which that product is composed is not expressly mentioned in the claims of the basic patent</w:t>
      </w:r>
      <w:r>
        <w:rPr>
          <w:rFonts w:ascii="Arial" w:hAnsi="Arial" w:cs="Arial"/>
          <w:noProof/>
          <w:sz w:val="20"/>
          <w:szCs w:val="20"/>
          <w:vertAlign w:val="superscript"/>
        </w:rPr>
        <w:footnoteReference w:id="324"/>
      </w:r>
      <w:r>
        <w:rPr>
          <w:rFonts w:ascii="Arial" w:hAnsi="Arial" w:cs="Arial"/>
          <w:noProof/>
          <w:sz w:val="20"/>
          <w:szCs w:val="20"/>
        </w:rPr>
        <w:t>.</w:t>
      </w:r>
    </w:p>
    <w:p>
      <w:pPr>
        <w:numPr>
          <w:ilvl w:val="0"/>
          <w:numId w:val="161"/>
        </w:numPr>
        <w:spacing w:before="120" w:after="120"/>
        <w:ind w:left="1418"/>
        <w:jc w:val="both"/>
        <w:rPr>
          <w:rFonts w:ascii="Arial" w:hAnsi="Arial" w:cs="Arial"/>
          <w:noProof/>
          <w:sz w:val="20"/>
          <w:szCs w:val="20"/>
        </w:rPr>
      </w:pPr>
      <w:r>
        <w:rPr>
          <w:rFonts w:ascii="Arial" w:hAnsi="Arial" w:cs="Arial"/>
          <w:noProof/>
          <w:sz w:val="20"/>
          <w:szCs w:val="20"/>
        </w:rPr>
        <w:t>A supplementary protection certificate for medicinal products is to be interpreted as meaning that an end of procedure notice issued by the reference Member State before the expiry of the basic patent may not be treated as equivalent to a marketing authorisation. Consequently, a supplementary protection certificate may not be obtained on the basis of such a notice</w:t>
      </w:r>
      <w:r>
        <w:rPr>
          <w:rFonts w:ascii="Arial" w:hAnsi="Arial" w:cs="Arial"/>
          <w:noProof/>
          <w:sz w:val="20"/>
          <w:szCs w:val="20"/>
          <w:vertAlign w:val="superscript"/>
        </w:rPr>
        <w:footnoteReference w:id="325"/>
      </w:r>
      <w:r>
        <w:rPr>
          <w:rFonts w:ascii="Arial" w:hAnsi="Arial" w:cs="Arial"/>
          <w:noProof/>
          <w:sz w:val="20"/>
          <w:szCs w:val="20"/>
        </w:rPr>
        <w:t>.</w:t>
      </w:r>
    </w:p>
    <w:p>
      <w:pPr>
        <w:numPr>
          <w:ilvl w:val="0"/>
          <w:numId w:val="161"/>
        </w:numPr>
        <w:spacing w:before="120" w:after="120"/>
        <w:ind w:left="1418"/>
        <w:jc w:val="both"/>
        <w:rPr>
          <w:rFonts w:ascii="Arial" w:hAnsi="Arial" w:cs="Arial"/>
          <w:noProof/>
          <w:sz w:val="20"/>
          <w:szCs w:val="20"/>
        </w:rPr>
      </w:pPr>
      <w:r>
        <w:rPr>
          <w:rFonts w:ascii="Arial" w:hAnsi="Arial" w:cs="Arial"/>
          <w:noProof/>
          <w:sz w:val="20"/>
          <w:szCs w:val="20"/>
        </w:rPr>
        <w:t>The fisheries agreement concluded between the EU and Morocco is valid in so far as it is not applicable to Western Sahara and its adjacent waters</w:t>
      </w:r>
      <w:r>
        <w:rPr>
          <w:rStyle w:val="FootnoteReference"/>
          <w:rFonts w:ascii="Arial" w:hAnsi="Arial" w:cs="Arial"/>
          <w:noProof/>
          <w:sz w:val="20"/>
          <w:szCs w:val="20"/>
        </w:rPr>
        <w:footnoteReference w:id="326"/>
      </w:r>
      <w:r>
        <w:rPr>
          <w:rFonts w:ascii="Arial" w:hAnsi="Arial" w:cs="Arial"/>
          <w:noProof/>
          <w:sz w:val="20"/>
          <w:szCs w:val="20"/>
        </w:rPr>
        <w:t>.</w:t>
      </w:r>
    </w:p>
    <w:p>
      <w:pPr>
        <w:pStyle w:val="Lijstje2"/>
        <w:numPr>
          <w:ilvl w:val="0"/>
          <w:numId w:val="161"/>
        </w:numPr>
        <w:spacing w:after="200" w:line="240" w:lineRule="auto"/>
        <w:ind w:left="1418"/>
        <w:jc w:val="both"/>
        <w:rPr>
          <w:rFonts w:ascii="Arial" w:hAnsi="Arial" w:cs="Arial"/>
          <w:noProof/>
          <w:lang w:val="en-GB"/>
        </w:rPr>
      </w:pPr>
      <w:r>
        <w:rPr>
          <w:rFonts w:ascii="Arial" w:hAnsi="Arial" w:cs="Arial"/>
          <w:noProof/>
          <w:lang w:val="en-GB"/>
        </w:rPr>
        <w:t>Extended family members of EU citizens who return to the Member State of nationality from another Member State can, like other family members, such as spouses, also avail themselves of the protection of EU law on free movement of EU citizens and can apply to have their entry and residence facilitated in accordance with national law</w:t>
      </w:r>
      <w:r>
        <w:rPr>
          <w:rStyle w:val="FootnoteReference"/>
          <w:rFonts w:ascii="Arial" w:hAnsi="Arial" w:cs="Arial"/>
          <w:noProof/>
          <w:lang w:val="en-GB"/>
        </w:rPr>
        <w:footnoteReference w:id="327"/>
      </w:r>
      <w:r>
        <w:rPr>
          <w:rFonts w:ascii="Arial" w:hAnsi="Arial" w:cs="Arial"/>
          <w:noProof/>
          <w:lang w:val="en-GB"/>
        </w:rPr>
        <w:t>.</w:t>
      </w:r>
    </w:p>
    <w:p>
      <w:pPr>
        <w:pStyle w:val="ListParagraph"/>
        <w:numPr>
          <w:ilvl w:val="0"/>
          <w:numId w:val="161"/>
        </w:numPr>
        <w:spacing w:before="120" w:after="120" w:line="240" w:lineRule="auto"/>
        <w:ind w:left="1418"/>
        <w:jc w:val="both"/>
        <w:rPr>
          <w:rFonts w:ascii="Arial" w:hAnsi="Arial" w:cs="Arial"/>
          <w:noProof/>
          <w:sz w:val="20"/>
          <w:szCs w:val="20"/>
        </w:rPr>
      </w:pPr>
      <w:r>
        <w:rPr>
          <w:rFonts w:ascii="Arial" w:hAnsi="Arial" w:cs="Arial"/>
          <w:bCs/>
          <w:noProof/>
          <w:sz w:val="20"/>
          <w:szCs w:val="20"/>
        </w:rPr>
        <w:t>A third country national who in the past has been tortured by the authorities of his country of origin and no longer faces a risk of being tortured if returned to that country, but whose physical and psychological health could, if so returned, seriously deteriorate, leading to a serious risk of him committing suicide on account of trauma resulting from the torture he was subjected to, is eligible for subsidiary protection. This is conditional on a real risk of him being intentionally deprived, in his country of origin, of appropriate care for the physical and mental after-effects of that torture, that being a matter for the national court to determine</w:t>
      </w:r>
      <w:r>
        <w:rPr>
          <w:rStyle w:val="FootnoteReference"/>
          <w:rFonts w:ascii="Arial" w:hAnsi="Arial" w:cs="Arial"/>
          <w:noProof/>
          <w:sz w:val="20"/>
          <w:szCs w:val="20"/>
        </w:rPr>
        <w:footnoteReference w:id="328"/>
      </w:r>
      <w:r>
        <w:rPr>
          <w:rFonts w:ascii="Arial" w:hAnsi="Arial" w:cs="Arial"/>
          <w:noProof/>
          <w:sz w:val="20"/>
          <w:szCs w:val="20"/>
        </w:rPr>
        <w:t>.</w:t>
      </w:r>
    </w:p>
    <w:p>
      <w:pPr>
        <w:numPr>
          <w:ilvl w:val="0"/>
          <w:numId w:val="161"/>
        </w:numPr>
        <w:spacing w:before="120" w:after="120"/>
        <w:ind w:left="1418"/>
        <w:jc w:val="both"/>
        <w:rPr>
          <w:rFonts w:ascii="Arial" w:hAnsi="Arial" w:cs="Arial"/>
          <w:noProof/>
          <w:sz w:val="20"/>
          <w:szCs w:val="20"/>
        </w:rPr>
      </w:pPr>
      <w:r>
        <w:rPr>
          <w:rFonts w:ascii="Arial" w:hAnsi="Arial" w:cs="Arial"/>
          <w:noProof/>
          <w:sz w:val="20"/>
          <w:szCs w:val="20"/>
        </w:rPr>
        <w:t>A national law that requires transgender persons to be unmarried is contrary to EU rules on sex equality provisions in relation to social security</w:t>
      </w:r>
      <w:r>
        <w:rPr>
          <w:rStyle w:val="FootnoteReference"/>
          <w:rFonts w:ascii="Arial" w:hAnsi="Arial" w:cs="Arial"/>
          <w:noProof/>
          <w:sz w:val="20"/>
          <w:szCs w:val="20"/>
        </w:rPr>
        <w:footnoteReference w:id="329"/>
      </w:r>
      <w:r>
        <w:rPr>
          <w:rFonts w:ascii="Arial" w:hAnsi="Arial" w:cs="Arial"/>
          <w:noProof/>
          <w:sz w:val="20"/>
          <w:szCs w:val="20"/>
        </w:rPr>
        <w:t>.</w:t>
      </w:r>
    </w:p>
    <w:p>
      <w:pPr>
        <w:rPr>
          <w:rFonts w:ascii="Arial" w:hAnsi="Arial" w:cs="Arial"/>
          <w:noProof/>
          <w:sz w:val="20"/>
        </w:rPr>
      </w:pPr>
    </w:p>
    <w:p>
      <w:pPr>
        <w:ind w:firstLine="720"/>
        <w:rPr>
          <w:rFonts w:ascii="Arial" w:hAnsi="Arial" w:cs="Arial"/>
          <w:noProof/>
          <w:sz w:val="20"/>
        </w:rPr>
        <w:sectPr>
          <w:headerReference w:type="even" r:id="rId219"/>
          <w:headerReference w:type="default" r:id="rId220"/>
          <w:footerReference w:type="even" r:id="rId221"/>
          <w:footerReference w:type="default" r:id="rId222"/>
          <w:headerReference w:type="first" r:id="rId223"/>
          <w:footerReference w:type="first" r:id="rId224"/>
          <w:footnotePr>
            <w:numRestart w:val="eachSect"/>
          </w:footnotePr>
          <w:pgSz w:w="11906" w:h="16838"/>
          <w:pgMar w:top="1843" w:right="1418" w:bottom="1134" w:left="1418" w:header="567" w:footer="352" w:gutter="0"/>
          <w:cols w:space="708"/>
          <w:titlePg/>
          <w:docGrid w:linePitch="360"/>
        </w:sectPr>
      </w:pPr>
    </w:p>
    <w:p>
      <w:pPr>
        <w:keepNext/>
        <w:keepLines/>
        <w:jc w:val="center"/>
        <w:outlineLvl w:val="0"/>
        <w:rPr>
          <w:rFonts w:ascii="Arial" w:eastAsia="SimSun" w:hAnsi="Arial"/>
          <w:bCs/>
          <w:noProof/>
          <w:color w:val="A6A6A6"/>
          <w:szCs w:val="28"/>
        </w:rPr>
      </w:pPr>
      <w:bookmarkStart w:id="74" w:name="_Toc484622345"/>
      <w:bookmarkStart w:id="75" w:name="_Toc5728041"/>
      <w:r>
        <w:rPr>
          <w:rFonts w:ascii="Arial" w:eastAsia="SimSun" w:hAnsi="Arial"/>
          <w:bCs/>
          <w:noProof/>
          <w:color w:val="A6A6A6"/>
          <w:szCs w:val="28"/>
        </w:rPr>
        <w:t>Methodology and explanations</w:t>
      </w:r>
      <w:bookmarkEnd w:id="74"/>
      <w:bookmarkEnd w:id="75"/>
    </w:p>
    <w:p>
      <w:pPr>
        <w:keepNext/>
        <w:keepLines/>
        <w:ind w:left="357"/>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Annex II — MEMBER STATES</w:t>
      </w:r>
    </w:p>
    <w:p>
      <w:pPr>
        <w:keepNext/>
        <w:keepLines/>
        <w:numPr>
          <w:ilvl w:val="1"/>
          <w:numId w:val="9"/>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COMPLAINTS</w:t>
      </w:r>
    </w:p>
    <w:p>
      <w:pPr>
        <w:rPr>
          <w:rFonts w:ascii="Arial" w:hAnsi="Arial" w:cs="Arial"/>
          <w:b/>
          <w:noProof/>
          <w:color w:val="002060"/>
          <w:sz w:val="20"/>
        </w:rPr>
      </w:pPr>
      <w:r>
        <w:rPr>
          <w:rFonts w:ascii="Arial" w:hAnsi="Arial" w:cs="Arial"/>
          <w:b/>
          <w:noProof/>
          <w:color w:val="002060"/>
          <w:sz w:val="20"/>
        </w:rPr>
        <w:t>First chart: New complaints made against the Member State by members of the public (2014-2018)</w:t>
      </w:r>
    </w:p>
    <w:p>
      <w:pPr>
        <w:spacing w:after="120"/>
        <w:jc w:val="both"/>
        <w:rPr>
          <w:rFonts w:ascii="Arial" w:hAnsi="Arial" w:cs="Arial"/>
          <w:noProof/>
          <w:sz w:val="20"/>
        </w:rPr>
      </w:pPr>
      <w:r>
        <w:rPr>
          <w:rFonts w:ascii="Arial" w:hAnsi="Arial" w:cs="Arial"/>
          <w:noProof/>
          <w:sz w:val="20"/>
        </w:rPr>
        <w:t>This shows the number of public complaints the Commission registered against the Member State for the years 2014-2018.</w:t>
      </w:r>
    </w:p>
    <w:p>
      <w:pPr>
        <w:rPr>
          <w:rFonts w:ascii="Arial" w:hAnsi="Arial" w:cs="Arial"/>
          <w:b/>
          <w:noProof/>
          <w:color w:val="002060"/>
          <w:sz w:val="20"/>
        </w:rPr>
      </w:pPr>
      <w:r>
        <w:rPr>
          <w:rFonts w:ascii="Arial" w:hAnsi="Arial" w:cs="Arial"/>
          <w:b/>
          <w:noProof/>
          <w:color w:val="002060"/>
          <w:sz w:val="20"/>
        </w:rPr>
        <w:t>Second chart: Public complaints against the Member State open at year-end</w:t>
      </w:r>
    </w:p>
    <w:p>
      <w:pPr>
        <w:jc w:val="both"/>
        <w:rPr>
          <w:rFonts w:ascii="Arial" w:hAnsi="Arial" w:cs="Arial"/>
          <w:noProof/>
          <w:sz w:val="20"/>
        </w:rPr>
      </w:pPr>
      <w:r>
        <w:rPr>
          <w:rFonts w:ascii="Arial" w:hAnsi="Arial" w:cs="Arial"/>
          <w:noProof/>
          <w:sz w:val="20"/>
        </w:rPr>
        <w:t>This starts with the number of open complaints against the Member State carried over from 2017 (first column). The second column shows the number of new complaints registered in 2018. The third column shows the number of complaints on which the Commission took a decision in 2018. The fourth column shows the number of complaints against the Member State that were open at the end of 2018 (calculated by taking the first figure, adding the second and subtracting the third).</w:t>
      </w:r>
    </w:p>
    <w:p>
      <w:pPr>
        <w:rPr>
          <w:rFonts w:ascii="Arial" w:hAnsi="Arial" w:cs="Arial"/>
          <w:b/>
          <w:noProof/>
          <w:color w:val="002060"/>
          <w:sz w:val="20"/>
        </w:rPr>
      </w:pPr>
      <w:r>
        <w:rPr>
          <w:rFonts w:ascii="Arial" w:hAnsi="Arial" w:cs="Arial"/>
          <w:b/>
          <w:noProof/>
          <w:color w:val="002060"/>
          <w:sz w:val="20"/>
        </w:rPr>
        <w:t>Third chart: New complaints registered in 2018: main policy areas</w:t>
      </w:r>
    </w:p>
    <w:p>
      <w:pPr>
        <w:jc w:val="both"/>
        <w:rPr>
          <w:rFonts w:ascii="Arial" w:hAnsi="Arial" w:cs="Arial"/>
          <w:noProof/>
          <w:sz w:val="20"/>
        </w:rPr>
      </w:pPr>
      <w:r>
        <w:rPr>
          <w:rFonts w:ascii="Arial" w:hAnsi="Arial" w:cs="Arial"/>
          <w:noProof/>
          <w:sz w:val="20"/>
        </w:rPr>
        <w:t>The number of complaints registered in 2018 is broken down by policy area. Generally, this breakdown shows the three policy areas which attracted the most complaints. However, four (or more) policy areas are mentioned if two (or more) policy areas tied for the third highest number of complaints.</w:t>
      </w:r>
    </w:p>
    <w:p>
      <w:pPr>
        <w:keepNext/>
        <w:keepLines/>
        <w:numPr>
          <w:ilvl w:val="1"/>
          <w:numId w:val="9"/>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EU PILOT</w:t>
      </w:r>
    </w:p>
    <w:p>
      <w:pPr>
        <w:rPr>
          <w:rFonts w:ascii="Arial" w:hAnsi="Arial" w:cs="Arial"/>
          <w:b/>
          <w:noProof/>
          <w:color w:val="002060"/>
          <w:sz w:val="20"/>
        </w:rPr>
      </w:pPr>
      <w:r>
        <w:rPr>
          <w:rFonts w:ascii="Arial" w:hAnsi="Arial" w:cs="Arial"/>
          <w:b/>
          <w:noProof/>
          <w:color w:val="002060"/>
          <w:sz w:val="20"/>
        </w:rPr>
        <w:t>First chart: New EU Pilot files opened against the Member State (2014-2018)</w:t>
      </w:r>
    </w:p>
    <w:p>
      <w:pPr>
        <w:jc w:val="both"/>
        <w:rPr>
          <w:rFonts w:ascii="Arial" w:hAnsi="Arial" w:cs="Arial"/>
          <w:noProof/>
          <w:sz w:val="20"/>
        </w:rPr>
      </w:pPr>
      <w:r>
        <w:rPr>
          <w:rFonts w:ascii="Arial" w:hAnsi="Arial" w:cs="Arial"/>
          <w:noProof/>
          <w:sz w:val="20"/>
        </w:rPr>
        <w:t>This analyses the number of EU Pilot files the Commission opened against the Member State for the years 2014-2018.</w:t>
      </w:r>
    </w:p>
    <w:p>
      <w:pPr>
        <w:rPr>
          <w:rFonts w:ascii="Arial" w:hAnsi="Arial" w:cs="Arial"/>
          <w:b/>
          <w:noProof/>
          <w:color w:val="002060"/>
          <w:sz w:val="20"/>
        </w:rPr>
      </w:pPr>
      <w:r>
        <w:rPr>
          <w:rFonts w:ascii="Arial" w:hAnsi="Arial" w:cs="Arial"/>
          <w:b/>
          <w:noProof/>
          <w:color w:val="002060"/>
          <w:sz w:val="20"/>
        </w:rPr>
        <w:t>Second chart: EU Pilot files relating to the Member State open at year-end</w:t>
      </w:r>
    </w:p>
    <w:p>
      <w:pPr>
        <w:jc w:val="both"/>
        <w:rPr>
          <w:rFonts w:ascii="Arial" w:hAnsi="Arial" w:cs="Arial"/>
          <w:noProof/>
          <w:sz w:val="20"/>
        </w:rPr>
      </w:pPr>
      <w:r>
        <w:rPr>
          <w:rFonts w:ascii="Arial" w:hAnsi="Arial" w:cs="Arial"/>
          <w:noProof/>
          <w:sz w:val="20"/>
        </w:rPr>
        <w:t>This analyses the number of EU Pilot files still pending at year-end against the Member State for the years 2014-2018.</w:t>
      </w:r>
    </w:p>
    <w:p>
      <w:pPr>
        <w:rPr>
          <w:rFonts w:ascii="Arial" w:hAnsi="Arial" w:cs="Arial"/>
          <w:b/>
          <w:noProof/>
          <w:color w:val="002060"/>
          <w:sz w:val="20"/>
        </w:rPr>
      </w:pPr>
      <w:r>
        <w:rPr>
          <w:rFonts w:ascii="Arial" w:hAnsi="Arial" w:cs="Arial"/>
          <w:b/>
          <w:noProof/>
          <w:color w:val="002060"/>
          <w:sz w:val="20"/>
        </w:rPr>
        <w:t>Third chart: New EU Pilot files opened in 2018: main policy areas</w:t>
      </w:r>
    </w:p>
    <w:p>
      <w:pPr>
        <w:jc w:val="both"/>
        <w:rPr>
          <w:rFonts w:ascii="Arial" w:hAnsi="Arial" w:cs="Arial"/>
          <w:noProof/>
          <w:sz w:val="20"/>
        </w:rPr>
      </w:pPr>
      <w:r>
        <w:rPr>
          <w:rFonts w:ascii="Arial" w:hAnsi="Arial" w:cs="Arial"/>
          <w:noProof/>
          <w:sz w:val="20"/>
        </w:rPr>
        <w:t>The figure for the number of new EU Pilot files opened against the Member State in 2018 is broken down by policy area. Generally, this breakdown shows the three policy areas in which the most EU Pilot files were opened in 2018. However, four (or more) policy areas are mentioned if two (or more) policy areas tied for the third highest number of EU Pilot files or if the top three policy areas do not account for more than 50 % of the cases.</w:t>
      </w:r>
    </w:p>
    <w:p>
      <w:pPr>
        <w:rPr>
          <w:rFonts w:ascii="Arial" w:hAnsi="Arial" w:cs="Arial"/>
          <w:b/>
          <w:noProof/>
          <w:color w:val="002060"/>
          <w:sz w:val="20"/>
        </w:rPr>
      </w:pPr>
      <w:r>
        <w:rPr>
          <w:rFonts w:ascii="Arial" w:hAnsi="Arial" w:cs="Arial"/>
          <w:b/>
          <w:noProof/>
          <w:color w:val="002060"/>
          <w:sz w:val="20"/>
        </w:rPr>
        <w:t>Fourth chart: EU Pilot files: Member State’s resolution rate in 2014-2018</w:t>
      </w:r>
    </w:p>
    <w:p>
      <w:pPr>
        <w:jc w:val="both"/>
        <w:rPr>
          <w:rFonts w:ascii="Arial" w:hAnsi="Arial" w:cs="Arial"/>
          <w:noProof/>
          <w:sz w:val="20"/>
        </w:rPr>
      </w:pPr>
      <w:r>
        <w:rPr>
          <w:rFonts w:ascii="Arial" w:hAnsi="Arial" w:cs="Arial"/>
          <w:noProof/>
          <w:sz w:val="20"/>
        </w:rPr>
        <w:t>The resolution rate per Member State is the percentage of EU Pilot files handled for which the Commission accepted that Member State’s response. The chart shows the resolution rate for the last 5 years.</w:t>
      </w:r>
    </w:p>
    <w:p>
      <w:pPr>
        <w:spacing w:after="200" w:line="276" w:lineRule="auto"/>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br w:type="page"/>
      </w:r>
    </w:p>
    <w:p>
      <w:pPr>
        <w:keepNext/>
        <w:keepLines/>
        <w:numPr>
          <w:ilvl w:val="1"/>
          <w:numId w:val="9"/>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INFRINGEMENT CASES</w:t>
      </w:r>
    </w:p>
    <w:p>
      <w:pPr>
        <w:rPr>
          <w:rFonts w:ascii="Arial" w:hAnsi="Arial" w:cs="Arial"/>
          <w:b/>
          <w:noProof/>
          <w:color w:val="002060"/>
          <w:sz w:val="20"/>
        </w:rPr>
      </w:pPr>
      <w:r>
        <w:rPr>
          <w:rFonts w:ascii="Arial" w:hAnsi="Arial" w:cs="Arial"/>
          <w:b/>
          <w:noProof/>
          <w:color w:val="002060"/>
          <w:sz w:val="20"/>
        </w:rPr>
        <w:t>First chart: Infringement cases against the Member State open on 31 December (2014-2018)</w:t>
      </w:r>
    </w:p>
    <w:p>
      <w:pPr>
        <w:jc w:val="both"/>
        <w:rPr>
          <w:rFonts w:ascii="Arial" w:hAnsi="Arial" w:cs="Arial"/>
          <w:noProof/>
          <w:sz w:val="20"/>
        </w:rPr>
      </w:pPr>
      <w:r>
        <w:rPr>
          <w:rFonts w:ascii="Arial" w:hAnsi="Arial" w:cs="Arial"/>
          <w:noProof/>
          <w:sz w:val="20"/>
        </w:rPr>
        <w:t xml:space="preserve">These figures include all procedures the Commission initiated against the Member State by sending a letter of formal notice under Article 258 TFEU. It covers letters sent in 2018 or before, irrespective of the stages the cases have reached. Only cases which have not yet been closed by a formal decision are shown. </w:t>
      </w:r>
    </w:p>
    <w:p>
      <w:pPr>
        <w:jc w:val="both"/>
        <w:rPr>
          <w:rFonts w:ascii="Arial" w:hAnsi="Arial" w:cs="Arial"/>
          <w:noProof/>
          <w:sz w:val="20"/>
        </w:rPr>
      </w:pPr>
      <w:r>
        <w:rPr>
          <w:rFonts w:ascii="Arial" w:hAnsi="Arial" w:cs="Arial"/>
          <w:noProof/>
          <w:sz w:val="20"/>
        </w:rPr>
        <w:t>Accordingly, these numbers include all cases that, on 31 December of the years 2014 to 2018:</w:t>
      </w:r>
    </w:p>
    <w:p>
      <w:pPr>
        <w:numPr>
          <w:ilvl w:val="0"/>
          <w:numId w:val="8"/>
        </w:numPr>
        <w:ind w:left="714" w:hanging="357"/>
        <w:contextualSpacing/>
        <w:jc w:val="both"/>
        <w:rPr>
          <w:rFonts w:ascii="Arial" w:eastAsia="Calibri" w:hAnsi="Arial" w:cs="Arial"/>
          <w:noProof/>
          <w:sz w:val="20"/>
        </w:rPr>
      </w:pPr>
      <w:r>
        <w:rPr>
          <w:rFonts w:ascii="Arial" w:eastAsia="Calibri" w:hAnsi="Arial" w:cs="Arial"/>
          <w:noProof/>
          <w:sz w:val="20"/>
        </w:rPr>
        <w:t>were in the pre-litigation phase (letter of formal notice, reasoned opinion or decision on referral to the Court under Article 258 TFEU);</w:t>
      </w:r>
    </w:p>
    <w:p>
      <w:pPr>
        <w:numPr>
          <w:ilvl w:val="0"/>
          <w:numId w:val="8"/>
        </w:numPr>
        <w:ind w:left="714" w:hanging="357"/>
        <w:contextualSpacing/>
        <w:jc w:val="both"/>
        <w:rPr>
          <w:rFonts w:ascii="Arial" w:eastAsia="Calibri" w:hAnsi="Arial" w:cs="Arial"/>
          <w:noProof/>
          <w:sz w:val="20"/>
        </w:rPr>
      </w:pPr>
      <w:r>
        <w:rPr>
          <w:rFonts w:ascii="Arial" w:eastAsia="Calibri" w:hAnsi="Arial" w:cs="Arial"/>
          <w:noProof/>
          <w:sz w:val="20"/>
        </w:rPr>
        <w:t>were pending before the Court under Article 258 TFEU and Article 260(3) TFEU;</w:t>
      </w:r>
    </w:p>
    <w:p>
      <w:pPr>
        <w:numPr>
          <w:ilvl w:val="0"/>
          <w:numId w:val="8"/>
        </w:numPr>
        <w:ind w:left="714" w:hanging="357"/>
        <w:contextualSpacing/>
        <w:jc w:val="both"/>
        <w:rPr>
          <w:rFonts w:ascii="Arial" w:eastAsia="Calibri" w:hAnsi="Arial" w:cs="Arial"/>
          <w:noProof/>
          <w:sz w:val="20"/>
        </w:rPr>
      </w:pPr>
      <w:r>
        <w:rPr>
          <w:rFonts w:ascii="Arial" w:eastAsia="Calibri" w:hAnsi="Arial" w:cs="Arial"/>
          <w:noProof/>
          <w:sz w:val="20"/>
        </w:rPr>
        <w:t>the Court had ruled on but where the Commission could not yet confirm that the Member State had implemented the judgment correctly;</w:t>
      </w:r>
    </w:p>
    <w:p>
      <w:pPr>
        <w:numPr>
          <w:ilvl w:val="0"/>
          <w:numId w:val="8"/>
        </w:numPr>
        <w:ind w:left="714" w:hanging="357"/>
        <w:contextualSpacing/>
        <w:jc w:val="both"/>
        <w:rPr>
          <w:rFonts w:ascii="Arial" w:eastAsia="Calibri" w:hAnsi="Arial" w:cs="Arial"/>
          <w:noProof/>
          <w:sz w:val="20"/>
        </w:rPr>
      </w:pPr>
      <w:r>
        <w:rPr>
          <w:rFonts w:ascii="Arial" w:eastAsia="Calibri" w:hAnsi="Arial" w:cs="Arial"/>
          <w:noProof/>
          <w:sz w:val="20"/>
        </w:rPr>
        <w:t>were in the second pre-litigation procedure (letter of formal notice or referral decision under Article 260(2) TFEU);</w:t>
      </w:r>
    </w:p>
    <w:p>
      <w:pPr>
        <w:numPr>
          <w:ilvl w:val="0"/>
          <w:numId w:val="8"/>
        </w:numPr>
        <w:ind w:left="714" w:hanging="357"/>
        <w:contextualSpacing/>
        <w:jc w:val="both"/>
        <w:rPr>
          <w:rFonts w:ascii="Arial" w:eastAsia="Calibri" w:hAnsi="Arial" w:cs="Arial"/>
          <w:noProof/>
          <w:sz w:val="20"/>
        </w:rPr>
      </w:pPr>
      <w:r>
        <w:rPr>
          <w:rFonts w:ascii="Arial" w:eastAsia="Calibri" w:hAnsi="Arial" w:cs="Arial"/>
          <w:noProof/>
          <w:sz w:val="20"/>
        </w:rPr>
        <w:t>were pending before the Court due to a second referral; and</w:t>
      </w:r>
    </w:p>
    <w:p>
      <w:pPr>
        <w:numPr>
          <w:ilvl w:val="0"/>
          <w:numId w:val="8"/>
        </w:numPr>
        <w:ind w:left="714" w:hanging="357"/>
        <w:contextualSpacing/>
        <w:jc w:val="both"/>
        <w:rPr>
          <w:rFonts w:ascii="Arial" w:eastAsia="Calibri" w:hAnsi="Arial" w:cs="Arial"/>
          <w:noProof/>
          <w:sz w:val="20"/>
        </w:rPr>
      </w:pPr>
      <w:r>
        <w:rPr>
          <w:rFonts w:ascii="Arial" w:eastAsia="Calibri" w:hAnsi="Arial" w:cs="Arial"/>
          <w:noProof/>
          <w:sz w:val="20"/>
        </w:rPr>
        <w:t>the Court had ruled on for the second time but where the Commission could not yet confirm that the Member State had implemented the second judgment correctly.</w:t>
      </w:r>
    </w:p>
    <w:p>
      <w:pPr>
        <w:jc w:val="both"/>
        <w:rPr>
          <w:rFonts w:ascii="Arial" w:hAnsi="Arial" w:cs="Arial"/>
          <w:noProof/>
          <w:sz w:val="20"/>
        </w:rPr>
      </w:pPr>
      <w:r>
        <w:rPr>
          <w:rFonts w:ascii="Arial" w:hAnsi="Arial" w:cs="Arial"/>
          <w:noProof/>
          <w:sz w:val="20"/>
        </w:rPr>
        <w:t xml:space="preserve">These figures do </w:t>
      </w:r>
      <w:r>
        <w:rPr>
          <w:rFonts w:ascii="Arial" w:hAnsi="Arial" w:cs="Arial"/>
          <w:i/>
          <w:noProof/>
          <w:sz w:val="20"/>
        </w:rPr>
        <w:t xml:space="preserve">not </w:t>
      </w:r>
      <w:r>
        <w:rPr>
          <w:rFonts w:ascii="Arial" w:hAnsi="Arial" w:cs="Arial"/>
          <w:noProof/>
          <w:sz w:val="20"/>
        </w:rPr>
        <w:t>include, for example, open EU Pilot files in the policy area. They also do not include EU Pilot files for which the Commission had already rejected a Member State’s response but had not yet sent a letter of formal notice under Article 258 TFEU.</w:t>
      </w:r>
    </w:p>
    <w:p>
      <w:pPr>
        <w:rPr>
          <w:rFonts w:ascii="Arial" w:hAnsi="Arial" w:cs="Arial"/>
          <w:b/>
          <w:noProof/>
          <w:color w:val="002060"/>
          <w:sz w:val="20"/>
        </w:rPr>
      </w:pPr>
      <w:r>
        <w:rPr>
          <w:rFonts w:ascii="Arial" w:hAnsi="Arial" w:cs="Arial"/>
          <w:b/>
          <w:noProof/>
          <w:color w:val="002060"/>
          <w:sz w:val="20"/>
        </w:rPr>
        <w:t>Second chart: New infringement cases opened in 2018: main policy areas</w:t>
      </w:r>
    </w:p>
    <w:p>
      <w:pPr>
        <w:jc w:val="both"/>
        <w:rPr>
          <w:rFonts w:ascii="Arial" w:hAnsi="Arial" w:cs="Arial"/>
          <w:noProof/>
          <w:sz w:val="20"/>
        </w:rPr>
      </w:pPr>
      <w:r>
        <w:rPr>
          <w:rFonts w:ascii="Arial" w:hAnsi="Arial" w:cs="Arial"/>
          <w:noProof/>
          <w:sz w:val="20"/>
        </w:rPr>
        <w:t>As a rule, this chart shows the three policy areas in which the most infringements were open on 31 December 2018. Four (or more) policies are mentioned if two (or more) policies tied for the third highest number of open infringements. Only two policies are highlighted if too many policies tied for the third highest number, or if this would make the chart very fragmented (this might occur in Member States with relatively few infringements).</w:t>
      </w:r>
    </w:p>
    <w:p>
      <w:pPr>
        <w:rPr>
          <w:rFonts w:ascii="Arial" w:hAnsi="Arial" w:cs="Arial"/>
          <w:b/>
          <w:noProof/>
          <w:color w:val="002060"/>
          <w:sz w:val="20"/>
        </w:rPr>
      </w:pPr>
      <w:r>
        <w:rPr>
          <w:rFonts w:ascii="Arial" w:hAnsi="Arial" w:cs="Arial"/>
          <w:b/>
          <w:noProof/>
          <w:color w:val="002060"/>
          <w:sz w:val="20"/>
        </w:rPr>
        <w:t>Key infringement cases and referrals to the Court</w:t>
      </w:r>
    </w:p>
    <w:p>
      <w:pPr>
        <w:rPr>
          <w:rFonts w:ascii="Arial" w:hAnsi="Arial" w:cs="Arial"/>
          <w:noProof/>
          <w:sz w:val="20"/>
        </w:rPr>
      </w:pPr>
      <w:r>
        <w:rPr>
          <w:rFonts w:ascii="Arial" w:hAnsi="Arial" w:cs="Arial"/>
          <w:noProof/>
          <w:sz w:val="20"/>
        </w:rPr>
        <w:t>This section has three parts.</w:t>
      </w:r>
    </w:p>
    <w:p>
      <w:pPr>
        <w:jc w:val="both"/>
        <w:rPr>
          <w:rFonts w:ascii="Arial" w:hAnsi="Arial" w:cs="Arial"/>
          <w:noProof/>
          <w:sz w:val="20"/>
        </w:rPr>
      </w:pPr>
      <w:r>
        <w:rPr>
          <w:rFonts w:ascii="Arial" w:hAnsi="Arial" w:cs="Arial"/>
          <w:noProof/>
          <w:sz w:val="20"/>
        </w:rPr>
        <w:t>Part a) shows the number of new infringement cases opened against the Member State in 2018 and lists the major new and ongoing infringement cases at the stage of letters of formal notice or reasoned opinions (under Article 258 TFEU).</w:t>
      </w:r>
    </w:p>
    <w:p>
      <w:pPr>
        <w:jc w:val="both"/>
        <w:rPr>
          <w:rFonts w:ascii="Arial" w:hAnsi="Arial" w:cs="Arial"/>
          <w:noProof/>
          <w:sz w:val="20"/>
        </w:rPr>
      </w:pPr>
      <w:r>
        <w:rPr>
          <w:rFonts w:ascii="Arial" w:hAnsi="Arial" w:cs="Arial"/>
          <w:noProof/>
          <w:sz w:val="20"/>
        </w:rPr>
        <w:t xml:space="preserve">Part b) lists the cases which the Commission referred to the Court solely under Article 258 TFEU by 31 December 2018. The cases submitted to the Court under Article 258 </w:t>
      </w:r>
      <w:r>
        <w:rPr>
          <w:rFonts w:ascii="Arial" w:hAnsi="Arial" w:cs="Arial"/>
          <w:i/>
          <w:noProof/>
          <w:sz w:val="20"/>
        </w:rPr>
        <w:t>and</w:t>
      </w:r>
      <w:r>
        <w:rPr>
          <w:rFonts w:ascii="Arial" w:hAnsi="Arial" w:cs="Arial"/>
          <w:noProof/>
          <w:sz w:val="20"/>
        </w:rPr>
        <w:t xml:space="preserve"> 260(3) TFEU are discussed in the ‘Transposition of directives’ section (see below).</w:t>
      </w:r>
    </w:p>
    <w:p>
      <w:pPr>
        <w:jc w:val="both"/>
        <w:rPr>
          <w:rFonts w:ascii="Arial" w:hAnsi="Arial" w:cs="Arial"/>
          <w:noProof/>
          <w:sz w:val="20"/>
        </w:rPr>
      </w:pPr>
      <w:r>
        <w:rPr>
          <w:rFonts w:ascii="Arial" w:hAnsi="Arial" w:cs="Arial"/>
          <w:noProof/>
          <w:sz w:val="20"/>
        </w:rPr>
        <w:t>Part c) lists the cases which the Commission referred to the Court under Article 260(2) TFEU by 31 December 2018.</w:t>
      </w:r>
    </w:p>
    <w:p>
      <w:pPr>
        <w:keepNext/>
        <w:keepLines/>
        <w:numPr>
          <w:ilvl w:val="1"/>
          <w:numId w:val="9"/>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TRANSPOSITION OF DIRECTIVES</w:t>
      </w:r>
    </w:p>
    <w:p>
      <w:pPr>
        <w:rPr>
          <w:rFonts w:ascii="Arial" w:hAnsi="Arial" w:cs="Arial"/>
          <w:b/>
          <w:noProof/>
          <w:color w:val="002060"/>
          <w:sz w:val="20"/>
        </w:rPr>
      </w:pPr>
      <w:r>
        <w:rPr>
          <w:rFonts w:ascii="Arial" w:hAnsi="Arial" w:cs="Arial"/>
          <w:b/>
          <w:noProof/>
          <w:color w:val="002060"/>
          <w:sz w:val="20"/>
        </w:rPr>
        <w:t>First chart: Late transposition infringement cases against the Member State open on 31 December (2014-2018)</w:t>
      </w:r>
    </w:p>
    <w:p>
      <w:pPr>
        <w:jc w:val="both"/>
        <w:rPr>
          <w:rFonts w:ascii="Arial" w:hAnsi="Arial" w:cs="Arial"/>
          <w:noProof/>
          <w:sz w:val="20"/>
        </w:rPr>
      </w:pPr>
      <w:r>
        <w:rPr>
          <w:rFonts w:ascii="Arial" w:hAnsi="Arial" w:cs="Arial"/>
          <w:noProof/>
          <w:sz w:val="20"/>
        </w:rPr>
        <w:t>This shows the number of letters of formal notice sent to the Member State under Article 258 TFEU for missing or partial notification of national transposition measures. It covers letters sent in 2018 or before, irrespective of the stages the cases have reached. Only cases which have not yet been closed by a formal decision are shown.</w:t>
      </w:r>
    </w:p>
    <w:p>
      <w:pPr>
        <w:jc w:val="both"/>
        <w:rPr>
          <w:rFonts w:ascii="Arial" w:hAnsi="Arial" w:cs="Arial"/>
          <w:noProof/>
          <w:sz w:val="20"/>
        </w:rPr>
      </w:pPr>
      <w:r>
        <w:rPr>
          <w:rFonts w:ascii="Arial" w:hAnsi="Arial" w:cs="Arial"/>
          <w:noProof/>
          <w:sz w:val="20"/>
        </w:rPr>
        <w:t>Accordingly, the number includes all cases that, on 31 December of the years 2014 to 2018:</w:t>
      </w:r>
    </w:p>
    <w:p>
      <w:pPr>
        <w:numPr>
          <w:ilvl w:val="0"/>
          <w:numId w:val="10"/>
        </w:numPr>
        <w:ind w:left="714" w:hanging="357"/>
        <w:contextualSpacing/>
        <w:jc w:val="both"/>
        <w:rPr>
          <w:rFonts w:ascii="Arial" w:hAnsi="Arial" w:cs="Arial"/>
          <w:noProof/>
          <w:sz w:val="20"/>
        </w:rPr>
      </w:pPr>
      <w:r>
        <w:rPr>
          <w:rFonts w:ascii="Arial" w:hAnsi="Arial" w:cs="Arial"/>
          <w:noProof/>
          <w:sz w:val="20"/>
        </w:rPr>
        <w:t>were in the pre-litigation phase (letter of formal notice, reasoned opinion or decision on referral to the Court under Article 258 TFEU and Article 260(3) TFEU);</w:t>
      </w:r>
    </w:p>
    <w:p>
      <w:pPr>
        <w:numPr>
          <w:ilvl w:val="0"/>
          <w:numId w:val="10"/>
        </w:numPr>
        <w:ind w:left="714" w:hanging="357"/>
        <w:contextualSpacing/>
        <w:rPr>
          <w:rFonts w:ascii="Arial" w:eastAsia="Calibri" w:hAnsi="Arial" w:cs="Arial"/>
          <w:noProof/>
          <w:sz w:val="20"/>
        </w:rPr>
      </w:pPr>
      <w:r>
        <w:rPr>
          <w:rFonts w:ascii="Arial" w:hAnsi="Arial" w:cs="Arial"/>
          <w:noProof/>
          <w:sz w:val="20"/>
        </w:rPr>
        <w:t>were pending before the Court under Article 258 TFEU and Article 260(3) TFEU.</w:t>
      </w:r>
    </w:p>
    <w:p>
      <w:pPr>
        <w:ind w:left="714"/>
        <w:contextualSpacing/>
        <w:rPr>
          <w:rFonts w:ascii="Arial" w:eastAsia="Calibri" w:hAnsi="Arial" w:cs="Arial"/>
          <w:noProof/>
          <w:sz w:val="20"/>
        </w:rPr>
      </w:pPr>
    </w:p>
    <w:p>
      <w:pPr>
        <w:jc w:val="both"/>
        <w:rPr>
          <w:rFonts w:ascii="Arial" w:hAnsi="Arial" w:cs="Arial"/>
          <w:noProof/>
          <w:sz w:val="20"/>
        </w:rPr>
      </w:pPr>
      <w:r>
        <w:rPr>
          <w:rFonts w:ascii="Arial" w:hAnsi="Arial" w:cs="Arial"/>
          <w:noProof/>
          <w:sz w:val="20"/>
        </w:rPr>
        <w:t xml:space="preserve">This figure is already included in the total number of infringement cases open against the Member State in 2018. It should therefore </w:t>
      </w:r>
      <w:r>
        <w:rPr>
          <w:rFonts w:ascii="Arial" w:hAnsi="Arial" w:cs="Arial"/>
          <w:i/>
          <w:noProof/>
          <w:sz w:val="20"/>
        </w:rPr>
        <w:t>not</w:t>
      </w:r>
      <w:r>
        <w:rPr>
          <w:rFonts w:ascii="Arial" w:hAnsi="Arial" w:cs="Arial"/>
          <w:noProof/>
          <w:sz w:val="20"/>
        </w:rPr>
        <w:t xml:space="preserve"> be added to the figure shown in the first chart of the general statistics section.</w:t>
      </w:r>
    </w:p>
    <w:p>
      <w:pPr>
        <w:rPr>
          <w:rFonts w:ascii="Arial" w:hAnsi="Arial" w:cs="Arial"/>
          <w:b/>
          <w:noProof/>
          <w:color w:val="002060"/>
          <w:sz w:val="20"/>
        </w:rPr>
      </w:pPr>
      <w:r>
        <w:rPr>
          <w:rFonts w:ascii="Arial" w:hAnsi="Arial" w:cs="Arial"/>
          <w:b/>
          <w:noProof/>
          <w:color w:val="002060"/>
          <w:sz w:val="20"/>
        </w:rPr>
        <w:t>Second chart: New late transposition infringement cases against the Member State (2014-2018)</w:t>
      </w:r>
    </w:p>
    <w:p>
      <w:pPr>
        <w:jc w:val="both"/>
        <w:rPr>
          <w:rFonts w:ascii="Arial" w:hAnsi="Arial" w:cs="Arial"/>
          <w:noProof/>
          <w:sz w:val="20"/>
        </w:rPr>
      </w:pPr>
      <w:r>
        <w:rPr>
          <w:rFonts w:ascii="Arial" w:hAnsi="Arial" w:cs="Arial"/>
          <w:noProof/>
          <w:sz w:val="20"/>
        </w:rPr>
        <w:t xml:space="preserve">This shows the number of new letters of formal notice sent in 2018 to the Member State under Article 258 TFEU for missing or partial notifications of national transposition measures. This figure is already included in the total number of new infringement cases initiated against the Member State in 2018. It should therefore </w:t>
      </w:r>
      <w:r>
        <w:rPr>
          <w:rFonts w:ascii="Arial" w:hAnsi="Arial" w:cs="Arial"/>
          <w:i/>
          <w:noProof/>
          <w:sz w:val="20"/>
        </w:rPr>
        <w:t>not</w:t>
      </w:r>
      <w:r>
        <w:rPr>
          <w:rFonts w:ascii="Arial" w:hAnsi="Arial" w:cs="Arial"/>
          <w:noProof/>
          <w:sz w:val="20"/>
        </w:rPr>
        <w:t xml:space="preserve"> be added to the figure shown in the second chart of the general statistics section.</w:t>
      </w:r>
    </w:p>
    <w:p>
      <w:pPr>
        <w:jc w:val="both"/>
        <w:rPr>
          <w:rFonts w:ascii="Arial" w:hAnsi="Arial" w:cs="Arial"/>
          <w:noProof/>
          <w:sz w:val="20"/>
        </w:rPr>
      </w:pPr>
      <w:r>
        <w:rPr>
          <w:rFonts w:ascii="Arial" w:hAnsi="Arial" w:cs="Arial"/>
          <w:noProof/>
          <w:sz w:val="20"/>
        </w:rPr>
        <w:t>Please note that not all of these new infringement cases for late transposition were necessarily still open on 31 December 2018. For example, if the Commission opened a late transposition infringement procedure in March 2018 by sending a letter of formal notice, this would be added to the new infringement cases even if the Commission closed the case in October 2018 as a result of the Member State notifying complete transposition.</w:t>
      </w:r>
    </w:p>
    <w:p>
      <w:pPr>
        <w:rPr>
          <w:rFonts w:ascii="Arial" w:hAnsi="Arial" w:cs="Arial"/>
          <w:b/>
          <w:noProof/>
          <w:color w:val="002060"/>
          <w:sz w:val="20"/>
        </w:rPr>
      </w:pPr>
      <w:r>
        <w:rPr>
          <w:rFonts w:ascii="Arial" w:hAnsi="Arial" w:cs="Arial"/>
          <w:b/>
          <w:noProof/>
          <w:color w:val="002060"/>
          <w:sz w:val="20"/>
        </w:rPr>
        <w:t>Third chart: New late transposition infringement cases opened in 2018: main policy areas</w:t>
      </w:r>
    </w:p>
    <w:p>
      <w:pPr>
        <w:jc w:val="both"/>
        <w:rPr>
          <w:rFonts w:ascii="Arial" w:hAnsi="Arial" w:cs="Arial"/>
          <w:noProof/>
          <w:sz w:val="20"/>
        </w:rPr>
      </w:pPr>
      <w:r>
        <w:rPr>
          <w:rFonts w:ascii="Arial" w:hAnsi="Arial" w:cs="Arial"/>
          <w:noProof/>
          <w:sz w:val="20"/>
        </w:rPr>
        <w:t>As a rule, this chart shows the three policy areas in which the most infringement procedures for late transposition were launched in 2018. Four (or more) policies are mentioned if two (or more) policies tied for the third highest number of open infringements. Only two policy areas are highlighted if too many policy areas tied for the third highest number, or if this would make the chart very fragmented (this might occur in Member States with relatively few infringements).</w:t>
      </w:r>
    </w:p>
    <w:p>
      <w:pPr>
        <w:rPr>
          <w:rFonts w:ascii="Arial" w:hAnsi="Arial" w:cs="Arial"/>
          <w:b/>
          <w:noProof/>
          <w:color w:val="002060"/>
          <w:sz w:val="20"/>
        </w:rPr>
      </w:pPr>
      <w:r>
        <w:rPr>
          <w:rFonts w:ascii="Arial" w:hAnsi="Arial" w:cs="Arial"/>
          <w:b/>
          <w:noProof/>
          <w:color w:val="002060"/>
          <w:sz w:val="20"/>
        </w:rPr>
        <w:t>Referrals to the Court</w:t>
      </w:r>
    </w:p>
    <w:p>
      <w:pPr>
        <w:jc w:val="both"/>
        <w:rPr>
          <w:rFonts w:ascii="Arial" w:hAnsi="Arial" w:cs="Arial"/>
          <w:noProof/>
          <w:sz w:val="20"/>
        </w:rPr>
      </w:pPr>
      <w:r>
        <w:rPr>
          <w:rFonts w:ascii="Arial" w:hAnsi="Arial" w:cs="Arial"/>
          <w:noProof/>
          <w:sz w:val="20"/>
        </w:rPr>
        <w:t>This section contains the cases which the Commission referred to the Court under Article 258 TFEU and Article 260(3) by 31 December 2018.</w:t>
      </w:r>
    </w:p>
    <w:p>
      <w:pPr>
        <w:keepNext/>
        <w:keepLines/>
        <w:numPr>
          <w:ilvl w:val="1"/>
          <w:numId w:val="9"/>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EARLY RESOLUTION OF INFRINGEMENT CASES</w:t>
      </w:r>
    </w:p>
    <w:p>
      <w:pPr>
        <w:rPr>
          <w:rFonts w:ascii="Arial" w:hAnsi="Arial" w:cs="Arial"/>
          <w:b/>
          <w:noProof/>
          <w:color w:val="002060"/>
          <w:sz w:val="20"/>
        </w:rPr>
      </w:pPr>
      <w:r>
        <w:rPr>
          <w:rFonts w:ascii="Arial" w:hAnsi="Arial" w:cs="Arial"/>
          <w:b/>
          <w:noProof/>
          <w:color w:val="002060"/>
          <w:sz w:val="20"/>
        </w:rPr>
        <w:t>Major cases closed without a Court judgment in 2018</w:t>
      </w:r>
    </w:p>
    <w:p>
      <w:pPr>
        <w:jc w:val="both"/>
        <w:rPr>
          <w:rFonts w:ascii="Arial" w:hAnsi="Arial" w:cs="Arial"/>
          <w:noProof/>
          <w:sz w:val="20"/>
        </w:rPr>
      </w:pPr>
      <w:r>
        <w:rPr>
          <w:rFonts w:ascii="Arial" w:hAnsi="Arial" w:cs="Arial"/>
          <w:noProof/>
          <w:sz w:val="20"/>
        </w:rPr>
        <w:t>This section contains a list of the major infringement cases the Commission closed in 2018 without a Court judgment. The list is not exhaustive.</w:t>
      </w:r>
    </w:p>
    <w:p>
      <w:pPr>
        <w:keepNext/>
        <w:keepLines/>
        <w:numPr>
          <w:ilvl w:val="1"/>
          <w:numId w:val="9"/>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IMPORTANT JUDGMENTS</w:t>
      </w:r>
    </w:p>
    <w:p>
      <w:pPr>
        <w:rPr>
          <w:rFonts w:ascii="Arial" w:hAnsi="Arial" w:cs="Arial"/>
          <w:noProof/>
          <w:sz w:val="20"/>
        </w:rPr>
      </w:pPr>
      <w:r>
        <w:rPr>
          <w:rFonts w:ascii="Arial" w:hAnsi="Arial" w:cs="Arial"/>
          <w:noProof/>
          <w:sz w:val="20"/>
        </w:rPr>
        <w:t>This section contains two lists, neither of which are necessarily exhaustive.</w:t>
      </w:r>
    </w:p>
    <w:p>
      <w:pPr>
        <w:jc w:val="both"/>
        <w:rPr>
          <w:rFonts w:ascii="Arial" w:hAnsi="Arial" w:cs="Arial"/>
          <w:noProof/>
          <w:sz w:val="20"/>
        </w:rPr>
      </w:pPr>
      <w:r>
        <w:rPr>
          <w:rFonts w:ascii="Arial" w:hAnsi="Arial" w:cs="Arial"/>
          <w:noProof/>
          <w:sz w:val="20"/>
        </w:rPr>
        <w:t>The first list contains the Court’s most important judgments against the Member State in 2018. These judgments are almost exclusively handed down under Article 258 or Articles 260(2) TFEU.</w:t>
      </w:r>
    </w:p>
    <w:p>
      <w:pPr>
        <w:jc w:val="both"/>
        <w:rPr>
          <w:rFonts w:ascii="Arial" w:hAnsi="Arial" w:cs="Arial"/>
          <w:noProof/>
          <w:sz w:val="20"/>
        </w:rPr>
      </w:pPr>
      <w:r>
        <w:rPr>
          <w:rFonts w:ascii="Arial" w:hAnsi="Arial" w:cs="Arial"/>
          <w:noProof/>
          <w:sz w:val="20"/>
        </w:rPr>
        <w:t>The second list contains the most important preliminary rulings the Court has issued to the Member State’s judiciary.</w:t>
      </w:r>
    </w:p>
    <w:sectPr>
      <w:headerReference w:type="even" r:id="rId225"/>
      <w:headerReference w:type="default" r:id="rId226"/>
      <w:footerReference w:type="even" r:id="rId227"/>
      <w:footerReference w:type="default" r:id="rId228"/>
      <w:headerReference w:type="first" r:id="rId229"/>
      <w:footerReference w:type="first" r:id="rId230"/>
      <w:pgSz w:w="11906" w:h="16838"/>
      <w:pgMar w:top="1985"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121</w:t>
    </w:r>
    <w:r>
      <w:rPr>
        <w:rFonts w:ascii="Arial" w:hAnsi="Arial" w:cs="Arial"/>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118</w:t>
    </w:r>
    <w:r>
      <w:rPr>
        <w:rFonts w:ascii="Arial" w:hAnsi="Arial" w:cs="Arial"/>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130</w:t>
    </w:r>
    <w:r>
      <w:rPr>
        <w:rFonts w:ascii="Arial" w:hAnsi="Arial" w:cs="Arial"/>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124</w:t>
    </w:r>
    <w:r>
      <w:rPr>
        <w:rFonts w:ascii="Arial" w:hAnsi="Arial" w:cs="Arial"/>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137</w:t>
    </w:r>
    <w:r>
      <w:rPr>
        <w:rFonts w:ascii="Arial" w:hAnsi="Arial" w:cs="Arial"/>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131</w:t>
    </w:r>
    <w:r>
      <w:rPr>
        <w:rFonts w:ascii="Arial" w:hAnsi="Arial" w:cs="Arial"/>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144</w:t>
    </w:r>
    <w:r>
      <w:rPr>
        <w:rFonts w:ascii="Arial" w:hAnsi="Arial" w:cs="Arial"/>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138</w:t>
    </w:r>
    <w:r>
      <w:rPr>
        <w:rFonts w:ascii="Arial" w:hAnsi="Arial" w:cs="Arial"/>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150</w:t>
    </w:r>
    <w:r>
      <w:rPr>
        <w:rFonts w:ascii="Arial" w:hAnsi="Arial" w:cs="Arial"/>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145</w:t>
    </w:r>
    <w:r>
      <w:rPr>
        <w:rFonts w:ascii="Arial" w:hAnsi="Arial" w:cs="Arial"/>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157</w:t>
    </w:r>
    <w:r>
      <w:rPr>
        <w:rFonts w:ascii="Arial" w:hAnsi="Arial" w:cs="Arial"/>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151</w:t>
    </w:r>
    <w:r>
      <w:rPr>
        <w:rFonts w:ascii="Arial" w:hAnsi="Arial" w:cs="Arial"/>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164</w:t>
    </w:r>
    <w:r>
      <w:rPr>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158</w:t>
    </w:r>
    <w:r>
      <w:rPr>
        <w:rFonts w:ascii="Arial" w:hAnsi="Arial" w:cs="Arial"/>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170</w:t>
    </w:r>
    <w:r>
      <w:rPr>
        <w:rFonts w:ascii="Arial" w:hAnsi="Arial" w:cs="Arial"/>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165</w:t>
    </w:r>
    <w:r>
      <w:rPr>
        <w:rFonts w:ascii="Arial" w:hAnsi="Arial" w:cs="Arial"/>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176</w:t>
    </w:r>
    <w:r>
      <w:rPr>
        <w:rFonts w:ascii="Arial" w:hAnsi="Arial" w:cs="Arial"/>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171</w:t>
    </w:r>
    <w:r>
      <w:rPr>
        <w:rFonts w:ascii="Arial" w:hAnsi="Arial" w:cs="Arial"/>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182</w:t>
    </w:r>
    <w:r>
      <w:rPr>
        <w:rFonts w:ascii="Arial" w:hAnsi="Arial" w:cs="Arial"/>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177</w:t>
    </w:r>
    <w:r>
      <w:rPr>
        <w:rFonts w:ascii="Arial" w:hAnsi="Arial" w:cs="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189</w:t>
    </w:r>
    <w:r>
      <w:rPr>
        <w:rFonts w:ascii="Arial" w:hAnsi="Arial" w:cs="Arial"/>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183</w:t>
    </w:r>
    <w:r>
      <w:rPr>
        <w:rFonts w:ascii="Arial" w:hAnsi="Arial" w:cs="Arial"/>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192</w:t>
    </w:r>
    <w:r>
      <w:rPr>
        <w:rFonts w:ascii="Arial" w:hAnsi="Arial" w:cs="Arial"/>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190</w:t>
    </w:r>
    <w:r>
      <w:rPr>
        <w:rFonts w:ascii="Arial" w:hAnsi="Arial" w:cs="Arial"/>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112</w:t>
    </w:r>
    <w:r>
      <w:rPr>
        <w:rFonts w:ascii="Arial" w:hAnsi="Arial" w:cs="Arial"/>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111</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pt-PT"/>
        </w:rPr>
      </w:pPr>
      <w:r>
        <w:rPr>
          <w:rStyle w:val="FootnoteReference"/>
        </w:rPr>
        <w:footnoteRef/>
      </w:r>
      <w:r>
        <w:rPr>
          <w:lang w:val="pt-PT"/>
        </w:rPr>
        <w:t xml:space="preserve"> </w:t>
      </w:r>
      <w:r>
        <w:rPr>
          <w:lang w:val="pt-PT"/>
        </w:rPr>
        <w:tab/>
        <w:t xml:space="preserve">Regulation (EU) </w:t>
      </w:r>
      <w:hyperlink r:id="rId1" w:history="1">
        <w:r>
          <w:rPr>
            <w:rStyle w:val="Hyperlink"/>
            <w:lang w:val="pt-PT"/>
          </w:rPr>
          <w:t>965/2012</w:t>
        </w:r>
      </w:hyperlink>
      <w:r>
        <w:rPr>
          <w:rStyle w:val="Hyperlink"/>
          <w:lang w:val="pt-PT"/>
        </w:rPr>
        <w:t>,</w:t>
      </w:r>
      <w:r>
        <w:rPr>
          <w:lang w:val="pt-PT"/>
        </w:rPr>
        <w:t xml:space="preserve"> </w:t>
      </w:r>
      <w:hyperlink r:id="rId2" w:history="1">
        <w:r>
          <w:rPr>
            <w:rStyle w:val="Hyperlink"/>
            <w:lang w:val="pt-PT"/>
          </w:rPr>
          <w:t>MEMO/18/4486</w:t>
        </w:r>
      </w:hyperlink>
      <w:r>
        <w:rPr>
          <w:lang w:val="pt-PT"/>
        </w:rPr>
        <w:t>.</w:t>
      </w:r>
    </w:p>
  </w:footnote>
  <w:footnote w:id="3">
    <w:p>
      <w:pPr>
        <w:pStyle w:val="FootnoteText"/>
        <w:rPr>
          <w:lang w:val="pt-PT"/>
        </w:rPr>
      </w:pPr>
      <w:r>
        <w:rPr>
          <w:rStyle w:val="FootnoteReference"/>
        </w:rPr>
        <w:footnoteRef/>
      </w:r>
      <w:r>
        <w:rPr>
          <w:lang w:val="pt-PT"/>
        </w:rPr>
        <w:t xml:space="preserve"> </w:t>
      </w:r>
      <w:r>
        <w:rPr>
          <w:lang w:val="pt-PT"/>
        </w:rPr>
        <w:tab/>
        <w:t xml:space="preserve">Directive </w:t>
      </w:r>
      <w:hyperlink r:id="rId3" w:history="1">
        <w:r>
          <w:rPr>
            <w:rStyle w:val="Hyperlink"/>
            <w:lang w:val="pt-PT"/>
          </w:rPr>
          <w:t>2009/21/EC</w:t>
        </w:r>
      </w:hyperlink>
      <w:r>
        <w:rPr>
          <w:lang w:val="pt-PT"/>
        </w:rPr>
        <w:t xml:space="preserve">, </w:t>
      </w:r>
      <w:hyperlink r:id="rId4" w:history="1">
        <w:r>
          <w:rPr>
            <w:rStyle w:val="Hyperlink"/>
            <w:lang w:val="pt-PT"/>
          </w:rPr>
          <w:t>MEMO/18/4486</w:t>
        </w:r>
      </w:hyperlink>
      <w:r>
        <w:rPr>
          <w:lang w:val="pt-PT"/>
        </w:rPr>
        <w:t>.</w:t>
      </w:r>
    </w:p>
  </w:footnote>
  <w:footnote w:id="4">
    <w:p>
      <w:pPr>
        <w:pStyle w:val="FootnoteText"/>
        <w:rPr>
          <w:lang w:val="pt-PT"/>
        </w:rPr>
      </w:pPr>
      <w:r>
        <w:rPr>
          <w:rStyle w:val="FootnoteReference"/>
        </w:rPr>
        <w:footnoteRef/>
      </w:r>
      <w:r>
        <w:rPr>
          <w:lang w:val="pt-PT"/>
        </w:rPr>
        <w:t xml:space="preserve"> </w:t>
      </w:r>
      <w:r>
        <w:rPr>
          <w:lang w:val="pt-PT"/>
        </w:rPr>
        <w:tab/>
        <w:t xml:space="preserve">Directive </w:t>
      </w:r>
      <w:hyperlink r:id="rId5" w:history="1">
        <w:r>
          <w:rPr>
            <w:rStyle w:val="Hyperlink"/>
            <w:lang w:val="pt-PT"/>
          </w:rPr>
          <w:t>2012/27/EU</w:t>
        </w:r>
      </w:hyperlink>
      <w:r>
        <w:rPr>
          <w:lang w:val="pt-PT"/>
        </w:rPr>
        <w:t xml:space="preserve">, </w:t>
      </w:r>
      <w:hyperlink r:id="rId6" w:history="1">
        <w:r>
          <w:rPr>
            <w:rStyle w:val="Hyperlink"/>
            <w:lang w:val="pt-PT"/>
          </w:rPr>
          <w:t>MEMO/18/6247</w:t>
        </w:r>
      </w:hyperlink>
      <w:r>
        <w:rPr>
          <w:rStyle w:val="Hyperlink"/>
          <w:lang w:val="pt-PT"/>
        </w:rPr>
        <w:t>.</w:t>
      </w:r>
    </w:p>
  </w:footnote>
  <w:footnote w:id="5">
    <w:p>
      <w:pPr>
        <w:pStyle w:val="FootnoteText"/>
        <w:rPr>
          <w:lang w:val="pt-PT"/>
        </w:rPr>
      </w:pPr>
      <w:r>
        <w:rPr>
          <w:rStyle w:val="FootnoteReference"/>
        </w:rPr>
        <w:footnoteRef/>
      </w:r>
      <w:r>
        <w:rPr>
          <w:lang w:val="pt-PT"/>
        </w:rPr>
        <w:t xml:space="preserve"> </w:t>
      </w:r>
      <w:r>
        <w:rPr>
          <w:lang w:val="pt-PT"/>
        </w:rPr>
        <w:tab/>
        <w:t xml:space="preserve">Directive </w:t>
      </w:r>
      <w:hyperlink r:id="rId7" w:history="1">
        <w:r>
          <w:rPr>
            <w:rStyle w:val="Hyperlink"/>
            <w:lang w:val="pt-PT"/>
          </w:rPr>
          <w:t>2011/70/Euratom</w:t>
        </w:r>
      </w:hyperlink>
      <w:r>
        <w:rPr>
          <w:lang w:val="pt-PT"/>
        </w:rPr>
        <w:t xml:space="preserve">, </w:t>
      </w:r>
      <w:hyperlink r:id="rId8" w:history="1">
        <w:r>
          <w:rPr>
            <w:rStyle w:val="Hyperlink"/>
            <w:lang w:val="pt-PT"/>
          </w:rPr>
          <w:t>MEMO/18/3446</w:t>
        </w:r>
      </w:hyperlink>
      <w:r>
        <w:rPr>
          <w:rStyle w:val="Hyperlink"/>
          <w:lang w:val="pt-PT"/>
        </w:rPr>
        <w:t>.</w:t>
      </w:r>
    </w:p>
  </w:footnote>
  <w:footnote w:id="6">
    <w:p>
      <w:pPr>
        <w:pStyle w:val="FootnoteText"/>
        <w:rPr>
          <w:lang w:val="pt-PT"/>
        </w:rPr>
      </w:pPr>
      <w:r>
        <w:rPr>
          <w:rStyle w:val="FootnoteReference"/>
        </w:rPr>
        <w:footnoteRef/>
      </w:r>
      <w:r>
        <w:rPr>
          <w:lang w:val="pt-PT"/>
        </w:rPr>
        <w:t xml:space="preserve"> </w:t>
      </w:r>
      <w:r>
        <w:rPr>
          <w:lang w:val="pt-PT"/>
        </w:rPr>
        <w:tab/>
        <w:t xml:space="preserve">Directive </w:t>
      </w:r>
      <w:hyperlink r:id="rId9" w:history="1">
        <w:r>
          <w:rPr>
            <w:rStyle w:val="Hyperlink"/>
            <w:lang w:val="pt-PT"/>
          </w:rPr>
          <w:t>2003/109/EC</w:t>
        </w:r>
      </w:hyperlink>
      <w:r>
        <w:rPr>
          <w:rStyle w:val="Hyperlink"/>
          <w:lang w:val="pt-PT"/>
        </w:rPr>
        <w:t>,</w:t>
      </w:r>
      <w:r>
        <w:rPr>
          <w:lang w:val="pt-PT"/>
        </w:rPr>
        <w:t xml:space="preserve"> </w:t>
      </w:r>
      <w:hyperlink r:id="rId10" w:history="1">
        <w:r>
          <w:rPr>
            <w:rStyle w:val="Hyperlink"/>
            <w:lang w:val="pt-PT"/>
          </w:rPr>
          <w:t>MEMO/18/4486</w:t>
        </w:r>
      </w:hyperlink>
      <w:r>
        <w:rPr>
          <w:rStyle w:val="Hyperlink"/>
          <w:lang w:val="pt-PT"/>
        </w:rPr>
        <w:t>.</w:t>
      </w:r>
    </w:p>
  </w:footnote>
  <w:footnote w:id="7">
    <w:p>
      <w:pPr>
        <w:pStyle w:val="FootnoteText"/>
        <w:rPr>
          <w:lang w:val="pt-PT"/>
        </w:rPr>
      </w:pPr>
      <w:r>
        <w:rPr>
          <w:rStyle w:val="FootnoteReference"/>
        </w:rPr>
        <w:footnoteRef/>
      </w:r>
      <w:r>
        <w:rPr>
          <w:lang w:val="pt-PT"/>
        </w:rPr>
        <w:t xml:space="preserve"> </w:t>
      </w:r>
      <w:r>
        <w:rPr>
          <w:lang w:val="pt-PT"/>
        </w:rPr>
        <w:tab/>
        <w:t xml:space="preserve">Directive </w:t>
      </w:r>
      <w:hyperlink r:id="rId11" w:history="1">
        <w:r>
          <w:rPr>
            <w:rStyle w:val="Hyperlink"/>
            <w:lang w:val="pt-PT"/>
          </w:rPr>
          <w:t>2005/36/EC</w:t>
        </w:r>
      </w:hyperlink>
      <w:r>
        <w:rPr>
          <w:lang w:val="pt-PT"/>
        </w:rPr>
        <w:t xml:space="preserve">, </w:t>
      </w:r>
      <w:hyperlink r:id="rId12" w:history="1">
        <w:r>
          <w:rPr>
            <w:rStyle w:val="Hyperlink"/>
            <w:lang w:val="pt-PT"/>
          </w:rPr>
          <w:t>MEMO/18/4486</w:t>
        </w:r>
      </w:hyperlink>
      <w:r>
        <w:rPr>
          <w:rStyle w:val="Hyperlink"/>
          <w:lang w:val="pt-PT"/>
        </w:rPr>
        <w:t>.</w:t>
      </w:r>
    </w:p>
  </w:footnote>
  <w:footnote w:id="8">
    <w:p>
      <w:pPr>
        <w:pStyle w:val="FootnoteText"/>
        <w:rPr>
          <w:lang w:val="fr-BE"/>
        </w:rPr>
      </w:pPr>
      <w:r>
        <w:rPr>
          <w:rStyle w:val="FootnoteReference"/>
        </w:rPr>
        <w:footnoteRef/>
      </w:r>
      <w:r>
        <w:rPr>
          <w:lang w:val="fr-BE"/>
        </w:rPr>
        <w:t xml:space="preserve"> </w:t>
      </w:r>
      <w:r>
        <w:rPr>
          <w:lang w:val="fr-BE"/>
        </w:rPr>
        <w:tab/>
      </w:r>
      <w:hyperlink r:id="rId13" w:history="1">
        <w:r>
          <w:rPr>
            <w:rStyle w:val="Hyperlink"/>
            <w:lang w:val="fr-BE"/>
          </w:rPr>
          <w:t>IP/18/4522.</w:t>
        </w:r>
      </w:hyperlink>
    </w:p>
  </w:footnote>
  <w:footnote w:id="9">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14" w:history="1">
        <w:r>
          <w:rPr>
            <w:rStyle w:val="Hyperlink"/>
            <w:lang w:val="fr-BE"/>
          </w:rPr>
          <w:t>2017/1279</w:t>
        </w:r>
      </w:hyperlink>
      <w:r>
        <w:rPr>
          <w:rStyle w:val="Hyperlink"/>
          <w:lang w:val="fr-BE"/>
        </w:rPr>
        <w:t>/EU</w:t>
      </w:r>
      <w:r>
        <w:rPr>
          <w:lang w:val="fr-BE"/>
        </w:rPr>
        <w:t>.</w:t>
      </w:r>
    </w:p>
  </w:footnote>
  <w:footnote w:id="10">
    <w:p>
      <w:pPr>
        <w:pStyle w:val="FootnoteText"/>
        <w:rPr>
          <w:lang w:val="fr-BE"/>
        </w:rPr>
      </w:pPr>
      <w:r>
        <w:rPr>
          <w:rStyle w:val="FootnoteReference"/>
        </w:rPr>
        <w:footnoteRef/>
      </w:r>
      <w:r>
        <w:rPr>
          <w:lang w:val="fr-BE"/>
        </w:rPr>
        <w:t xml:space="preserve"> </w:t>
      </w:r>
      <w:r>
        <w:rPr>
          <w:lang w:val="fr-BE"/>
        </w:rPr>
        <w:tab/>
        <w:t xml:space="preserve">Directive </w:t>
      </w:r>
      <w:hyperlink r:id="rId15" w:history="1">
        <w:r>
          <w:rPr>
            <w:rStyle w:val="Hyperlink"/>
            <w:lang w:val="fr-BE"/>
          </w:rPr>
          <w:t>2017/2096</w:t>
        </w:r>
      </w:hyperlink>
      <w:r>
        <w:rPr>
          <w:rStyle w:val="Hyperlink"/>
          <w:lang w:val="fr-BE"/>
        </w:rPr>
        <w:t>/EU</w:t>
      </w:r>
      <w:r>
        <w:rPr>
          <w:lang w:val="fr-BE"/>
        </w:rPr>
        <w:t>.</w:t>
      </w:r>
    </w:p>
  </w:footnote>
  <w:footnote w:id="11">
    <w:p>
      <w:pPr>
        <w:pStyle w:val="FootnoteText"/>
        <w:rPr>
          <w:lang w:val="pt-PT"/>
        </w:rPr>
      </w:pPr>
      <w:r>
        <w:rPr>
          <w:rStyle w:val="FootnoteReference"/>
        </w:rPr>
        <w:footnoteRef/>
      </w:r>
      <w:r>
        <w:rPr>
          <w:lang w:val="pt-PT"/>
        </w:rPr>
        <w:t xml:space="preserve"> </w:t>
      </w:r>
      <w:r>
        <w:rPr>
          <w:lang w:val="pt-PT"/>
        </w:rPr>
        <w:tab/>
        <w:t xml:space="preserve">Directive </w:t>
      </w:r>
      <w:hyperlink r:id="rId16" w:history="1">
        <w:r>
          <w:rPr>
            <w:rStyle w:val="Hyperlink"/>
            <w:lang w:val="pt-PT"/>
          </w:rPr>
          <w:t>2016/1148/EU</w:t>
        </w:r>
      </w:hyperlink>
      <w:r>
        <w:rPr>
          <w:lang w:val="pt-PT"/>
        </w:rPr>
        <w:t xml:space="preserve">, </w:t>
      </w:r>
      <w:hyperlink r:id="rId17" w:history="1">
        <w:r>
          <w:rPr>
            <w:rStyle w:val="Hyperlink"/>
            <w:lang w:val="pt-PT"/>
          </w:rPr>
          <w:t>MEMO/18/4486</w:t>
        </w:r>
      </w:hyperlink>
      <w:r>
        <w:rPr>
          <w:rStyle w:val="Hyperlink"/>
          <w:lang w:val="pt-PT"/>
        </w:rPr>
        <w:t>.</w:t>
      </w:r>
    </w:p>
  </w:footnote>
  <w:footnote w:id="12">
    <w:p>
      <w:pPr>
        <w:pStyle w:val="FootnoteText"/>
        <w:rPr>
          <w:lang w:val="pt-PT"/>
        </w:rPr>
      </w:pPr>
      <w:r>
        <w:rPr>
          <w:rStyle w:val="FootnoteReference"/>
        </w:rPr>
        <w:footnoteRef/>
      </w:r>
      <w:r>
        <w:rPr>
          <w:lang w:val="pt-PT"/>
        </w:rPr>
        <w:t xml:space="preserve"> </w:t>
      </w:r>
      <w:r>
        <w:rPr>
          <w:lang w:val="pt-PT"/>
        </w:rPr>
        <w:tab/>
        <w:t xml:space="preserve">Directive </w:t>
      </w:r>
      <w:hyperlink r:id="rId18" w:history="1">
        <w:r>
          <w:rPr>
            <w:rStyle w:val="Hyperlink"/>
            <w:lang w:val="pt-PT"/>
          </w:rPr>
          <w:t>2016/2102</w:t>
        </w:r>
      </w:hyperlink>
      <w:r>
        <w:rPr>
          <w:rStyle w:val="Hyperlink"/>
          <w:lang w:val="pt-PT"/>
        </w:rPr>
        <w:t>/EU</w:t>
      </w:r>
      <w:r>
        <w:rPr>
          <w:lang w:val="pt-PT"/>
        </w:rPr>
        <w:t>.</w:t>
      </w:r>
    </w:p>
  </w:footnote>
  <w:footnote w:id="13">
    <w:p>
      <w:pPr>
        <w:pStyle w:val="FootnoteText"/>
        <w:jc w:val="both"/>
        <w:rPr>
          <w:lang w:val="en-IE"/>
        </w:rPr>
      </w:pPr>
      <w:r>
        <w:rPr>
          <w:rStyle w:val="FootnoteReference"/>
        </w:rPr>
        <w:footnoteRef/>
      </w:r>
      <w:r>
        <w:rPr>
          <w:lang w:val="en-IE"/>
        </w:rPr>
        <w:t xml:space="preserve"> </w:t>
      </w:r>
      <w:r>
        <w:rPr>
          <w:lang w:val="en-IE"/>
        </w:rPr>
        <w:tab/>
        <w:t xml:space="preserve">Commission v Hungary, </w:t>
      </w:r>
      <w:hyperlink r:id="rId19" w:history="1">
        <w:r>
          <w:rPr>
            <w:rStyle w:val="Hyperlink"/>
            <w:lang w:val="en-IE"/>
          </w:rPr>
          <w:t>C-78/18</w:t>
        </w:r>
      </w:hyperlink>
      <w:r>
        <w:rPr>
          <w:lang w:val="en-IE"/>
        </w:rPr>
        <w:t>.</w:t>
      </w:r>
    </w:p>
  </w:footnote>
  <w:footnote w:id="14">
    <w:p>
      <w:pPr>
        <w:pStyle w:val="FootnoteText"/>
        <w:jc w:val="both"/>
      </w:pPr>
      <w:r>
        <w:rPr>
          <w:rStyle w:val="FootnoteReference"/>
        </w:rPr>
        <w:footnoteRef/>
      </w:r>
      <w:r>
        <w:t xml:space="preserve"> </w:t>
      </w:r>
      <w:r>
        <w:tab/>
        <w:t xml:space="preserve">Directives </w:t>
      </w:r>
      <w:hyperlink r:id="rId20" w:history="1">
        <w:r>
          <w:rPr>
            <w:rStyle w:val="Hyperlink"/>
          </w:rPr>
          <w:t>2009/72/EC</w:t>
        </w:r>
      </w:hyperlink>
      <w:r>
        <w:t xml:space="preserve"> and </w:t>
      </w:r>
      <w:hyperlink r:id="rId21" w:history="1">
        <w:r>
          <w:rPr>
            <w:rStyle w:val="Hyperlink"/>
            <w:lang w:val="en-US"/>
          </w:rPr>
          <w:t>2009/73/EC</w:t>
        </w:r>
      </w:hyperlink>
      <w:r>
        <w:t>,</w:t>
      </w:r>
      <w:r>
        <w:rPr>
          <w:rStyle w:val="affairetitle"/>
        </w:rPr>
        <w:t xml:space="preserve"> Commission v Hungary,</w:t>
      </w:r>
      <w:r>
        <w:t xml:space="preserve"> </w:t>
      </w:r>
      <w:hyperlink r:id="rId22" w:history="1">
        <w:r>
          <w:rPr>
            <w:rStyle w:val="Hyperlink"/>
          </w:rPr>
          <w:t>C-771/18</w:t>
        </w:r>
      </w:hyperlink>
      <w:r>
        <w:rPr>
          <w:rStyle w:val="affairetitle"/>
        </w:rPr>
        <w:t xml:space="preserve">; </w:t>
      </w:r>
      <w:hyperlink r:id="rId23" w:history="1">
        <w:r>
          <w:rPr>
            <w:rStyle w:val="Hyperlink"/>
          </w:rPr>
          <w:t>IP/18/4487</w:t>
        </w:r>
      </w:hyperlink>
      <w:r>
        <w:rPr>
          <w:rStyle w:val="Hyperlink"/>
        </w:rPr>
        <w:t>.</w:t>
      </w:r>
    </w:p>
  </w:footnote>
  <w:footnote w:id="15">
    <w:p>
      <w:pPr>
        <w:pStyle w:val="FootnoteText"/>
        <w:jc w:val="both"/>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effects. (Source: European Environment Agency)).</w:t>
      </w:r>
    </w:p>
  </w:footnote>
  <w:footnote w:id="16">
    <w:p>
      <w:pPr>
        <w:pStyle w:val="FootnoteText"/>
        <w:jc w:val="both"/>
      </w:pPr>
      <w:r>
        <w:rPr>
          <w:rStyle w:val="FootnoteReference"/>
        </w:rPr>
        <w:footnoteRef/>
      </w:r>
      <w:r>
        <w:t xml:space="preserve"> </w:t>
      </w:r>
      <w:r>
        <w:tab/>
        <w:t xml:space="preserve">Directive </w:t>
      </w:r>
      <w:hyperlink r:id="rId24" w:history="1">
        <w:r>
          <w:rPr>
            <w:rStyle w:val="Hyperlink"/>
          </w:rPr>
          <w:t>2008/50/EC</w:t>
        </w:r>
      </w:hyperlink>
      <w:r>
        <w:rPr>
          <w:rStyle w:val="Hyperlink"/>
        </w:rPr>
        <w:t>,</w:t>
      </w:r>
      <w:r>
        <w:rPr>
          <w:rStyle w:val="affairetitle"/>
        </w:rPr>
        <w:t xml:space="preserve"> Commission v Hungary,</w:t>
      </w:r>
      <w:r>
        <w:rPr>
          <w:rStyle w:val="Hyperlink"/>
        </w:rPr>
        <w:t xml:space="preserve"> </w:t>
      </w:r>
      <w:hyperlink r:id="rId25" w:history="1">
        <w:r>
          <w:rPr>
            <w:rStyle w:val="Hyperlink"/>
          </w:rPr>
          <w:t>C-637/18</w:t>
        </w:r>
      </w:hyperlink>
      <w:r>
        <w:rPr>
          <w:rStyle w:val="Hyperlink"/>
        </w:rPr>
        <w:t xml:space="preserve">; </w:t>
      </w:r>
      <w:hyperlink r:id="rId26" w:history="1">
        <w:r>
          <w:rPr>
            <w:rStyle w:val="Hyperlink"/>
          </w:rPr>
          <w:t>IP/18/3450</w:t>
        </w:r>
      </w:hyperlink>
      <w:r>
        <w:rPr>
          <w:rStyle w:val="affairetitle"/>
        </w:rPr>
        <w:t>.</w:t>
      </w:r>
    </w:p>
  </w:footnote>
  <w:footnote w:id="17">
    <w:p>
      <w:pPr>
        <w:pStyle w:val="FootnoteText"/>
      </w:pPr>
      <w:r>
        <w:rPr>
          <w:rStyle w:val="FootnoteReference"/>
        </w:rPr>
        <w:footnoteRef/>
      </w:r>
      <w:r>
        <w:t xml:space="preserve"> </w:t>
      </w:r>
      <w:r>
        <w:tab/>
        <w:t xml:space="preserve">Commission v Hungary, </w:t>
      </w:r>
      <w:hyperlink r:id="rId27" w:history="1">
        <w:r>
          <w:rPr>
            <w:rStyle w:val="Hyperlink"/>
          </w:rPr>
          <w:t>C-808/18</w:t>
        </w:r>
      </w:hyperlink>
      <w:r>
        <w:t>.</w:t>
      </w:r>
    </w:p>
  </w:footnote>
  <w:footnote w:id="18">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Hungary,</w:t>
      </w:r>
      <w:r>
        <w:rPr>
          <w:rStyle w:val="Hyperlink"/>
          <w:lang w:val="fr-BE"/>
        </w:rPr>
        <w:t xml:space="preserve"> </w:t>
      </w:r>
      <w:hyperlink r:id="rId28" w:history="1">
        <w:r>
          <w:rPr>
            <w:rStyle w:val="Hyperlink"/>
            <w:lang w:val="fr-BE"/>
          </w:rPr>
          <w:t>C-66/18</w:t>
        </w:r>
      </w:hyperlink>
      <w:r>
        <w:rPr>
          <w:rStyle w:val="affairetitle"/>
          <w:lang w:val="fr-BE"/>
        </w:rPr>
        <w:t>.</w:t>
      </w:r>
    </w:p>
  </w:footnote>
  <w:footnote w:id="19">
    <w:p>
      <w:pPr>
        <w:pStyle w:val="FootnoteText"/>
        <w:rPr>
          <w:lang w:val="fr-BE"/>
        </w:rPr>
      </w:pPr>
      <w:r>
        <w:rPr>
          <w:rStyle w:val="FootnoteReference"/>
        </w:rPr>
        <w:footnoteRef/>
      </w:r>
      <w:r>
        <w:rPr>
          <w:lang w:val="fr-BE"/>
        </w:rPr>
        <w:t xml:space="preserve"> </w:t>
      </w:r>
      <w:r>
        <w:rPr>
          <w:lang w:val="fr-BE"/>
        </w:rPr>
        <w:tab/>
        <w:t xml:space="preserve">Directive </w:t>
      </w:r>
      <w:hyperlink r:id="rId29" w:history="1">
        <w:r>
          <w:rPr>
            <w:rStyle w:val="Hyperlink"/>
            <w:lang w:val="fr-BE"/>
          </w:rPr>
          <w:t>2014/40/EU</w:t>
        </w:r>
      </w:hyperlink>
      <w:r>
        <w:rPr>
          <w:lang w:val="fr-BE"/>
        </w:rPr>
        <w:t>.</w:t>
      </w:r>
    </w:p>
  </w:footnote>
  <w:footnote w:id="20">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30" w:history="1">
        <w:r>
          <w:rPr>
            <w:rStyle w:val="Hyperlink"/>
            <w:lang w:val="fr-BE"/>
          </w:rPr>
          <w:t>2017/1279</w:t>
        </w:r>
      </w:hyperlink>
      <w:r>
        <w:rPr>
          <w:rStyle w:val="Hyperlink"/>
          <w:lang w:val="fr-BE"/>
        </w:rPr>
        <w:t>/EU</w:t>
      </w:r>
      <w:r>
        <w:rPr>
          <w:lang w:val="fr-BE"/>
        </w:rPr>
        <w:t>.</w:t>
      </w:r>
    </w:p>
  </w:footnote>
  <w:footnote w:id="21">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31" w:history="1">
        <w:r>
          <w:rPr>
            <w:rStyle w:val="Hyperlink"/>
            <w:lang w:val="fr-BE"/>
          </w:rPr>
          <w:t>2014/42/EU</w:t>
        </w:r>
      </w:hyperlink>
      <w:r>
        <w:rPr>
          <w:rStyle w:val="Hyperlink"/>
          <w:color w:val="auto"/>
          <w:u w:val="none"/>
          <w:lang w:val="fr-BE"/>
        </w:rPr>
        <w:t>.</w:t>
      </w:r>
    </w:p>
  </w:footnote>
  <w:footnote w:id="22">
    <w:p>
      <w:pPr>
        <w:pStyle w:val="FootnoteText"/>
        <w:rPr>
          <w:lang w:val="en-IE"/>
        </w:rPr>
      </w:pPr>
      <w:r>
        <w:rPr>
          <w:rStyle w:val="FootnoteReference"/>
        </w:rPr>
        <w:footnoteRef/>
      </w:r>
      <w:r>
        <w:rPr>
          <w:lang w:val="en-IE"/>
        </w:rPr>
        <w:t xml:space="preserve"> </w:t>
      </w:r>
      <w:r>
        <w:rPr>
          <w:lang w:val="en-IE"/>
        </w:rPr>
        <w:tab/>
        <w:t xml:space="preserve">Directive </w:t>
      </w:r>
      <w:hyperlink r:id="rId32" w:history="1">
        <w:r>
          <w:rPr>
            <w:rStyle w:val="Hyperlink"/>
            <w:lang w:val="en-IE"/>
          </w:rPr>
          <w:t>2008/99/EC</w:t>
        </w:r>
      </w:hyperlink>
      <w:r>
        <w:rPr>
          <w:lang w:val="en-IE"/>
        </w:rPr>
        <w:t>.</w:t>
      </w:r>
    </w:p>
  </w:footnote>
  <w:footnote w:id="23">
    <w:p>
      <w:pPr>
        <w:pStyle w:val="FootnoteText"/>
        <w:rPr>
          <w:lang w:val="en-IE"/>
        </w:rPr>
      </w:pPr>
      <w:r>
        <w:rPr>
          <w:rStyle w:val="FootnoteReference"/>
        </w:rPr>
        <w:footnoteRef/>
      </w:r>
      <w:r>
        <w:rPr>
          <w:lang w:val="en-IE"/>
        </w:rPr>
        <w:t xml:space="preserve"> </w:t>
      </w:r>
      <w:r>
        <w:rPr>
          <w:lang w:val="en-IE"/>
        </w:rPr>
        <w:tab/>
        <w:t xml:space="preserve">Commission v Hungary, </w:t>
      </w:r>
      <w:hyperlink r:id="rId33" w:history="1">
        <w:r>
          <w:rPr>
            <w:rStyle w:val="Hyperlink"/>
            <w:lang w:val="en-IE"/>
          </w:rPr>
          <w:t>C-171/17</w:t>
        </w:r>
      </w:hyperlink>
      <w:r>
        <w:rPr>
          <w:lang w:val="en-IE"/>
        </w:rPr>
        <w:t>.</w:t>
      </w:r>
    </w:p>
  </w:footnote>
  <w:footnote w:id="24">
    <w:p>
      <w:pPr>
        <w:pStyle w:val="FootnoteText"/>
      </w:pPr>
      <w:hyperlink r:id="rId34" w:history="1">
        <w:r>
          <w:rPr>
            <w:rStyle w:val="Hyperlink"/>
            <w:color w:val="auto"/>
            <w:u w:val="none"/>
            <w:vertAlign w:val="superscript"/>
          </w:rPr>
          <w:footnoteRef/>
        </w:r>
        <w:r>
          <w:rPr>
            <w:rStyle w:val="Hyperlink"/>
            <w:color w:val="auto"/>
            <w:u w:val="none"/>
          </w:rPr>
          <w:t xml:space="preserve"> </w:t>
        </w:r>
        <w:r>
          <w:rPr>
            <w:rStyle w:val="Hyperlink"/>
            <w:color w:val="auto"/>
            <w:u w:val="none"/>
          </w:rPr>
          <w:tab/>
        </w:r>
      </w:hyperlink>
      <w:r>
        <w:t xml:space="preserve">F, </w:t>
      </w:r>
      <w:hyperlink r:id="rId35" w:history="1">
        <w:r>
          <w:rPr>
            <w:rStyle w:val="Hyperlink"/>
          </w:rPr>
          <w:t>C-473/16</w:t>
        </w:r>
      </w:hyperlink>
      <w:r>
        <w:t>.</w:t>
      </w:r>
    </w:p>
  </w:footnote>
  <w:footnote w:id="25">
    <w:p>
      <w:pPr>
        <w:pStyle w:val="FootnoteText"/>
      </w:pPr>
      <w:r>
        <w:rPr>
          <w:rStyle w:val="FootnoteReference"/>
        </w:rPr>
        <w:footnoteRef/>
      </w:r>
      <w:r>
        <w:t xml:space="preserve"> </w:t>
      </w:r>
      <w:r>
        <w:tab/>
      </w:r>
      <w:r>
        <w:rPr>
          <w:rStyle w:val="affairetitle"/>
        </w:rPr>
        <w:t xml:space="preserve">Ahmed, </w:t>
      </w:r>
      <w:hyperlink r:id="rId36" w:history="1">
        <w:r>
          <w:rPr>
            <w:rStyle w:val="Hyperlink"/>
          </w:rPr>
          <w:t>C</w:t>
        </w:r>
        <w:r>
          <w:rPr>
            <w:rStyle w:val="Hyperlink"/>
            <w:rFonts w:ascii="Cambria Math" w:hAnsi="Cambria Math" w:cs="Cambria Math"/>
          </w:rPr>
          <w:t>‑</w:t>
        </w:r>
        <w:r>
          <w:rPr>
            <w:rStyle w:val="Hyperlink"/>
            <w:rFonts w:ascii="Cambria Math" w:hAnsi="Cambria Math" w:cs="Cambria Math"/>
          </w:rPr>
          <w:noBreakHyphen/>
        </w:r>
        <w:r>
          <w:rPr>
            <w:rStyle w:val="Hyperlink"/>
          </w:rPr>
          <w:t>369/17</w:t>
        </w:r>
      </w:hyperlink>
      <w:r>
        <w:rPr>
          <w:rStyle w:val="Hyperlink"/>
        </w:rPr>
        <w:t>.</w:t>
      </w:r>
    </w:p>
  </w:footnote>
  <w:footnote w:id="26">
    <w:p>
      <w:pPr>
        <w:pStyle w:val="FootnoteText"/>
      </w:pPr>
      <w:r>
        <w:rPr>
          <w:rStyle w:val="FootnoteReference"/>
        </w:rPr>
        <w:footnoteRef/>
      </w:r>
      <w:r>
        <w:t xml:space="preserve"> </w:t>
      </w:r>
      <w:r>
        <w:tab/>
        <w:t>SEGRO,</w:t>
      </w:r>
      <w:r>
        <w:rPr>
          <w:rStyle w:val="Hyperlink"/>
        </w:rPr>
        <w:t xml:space="preserve"> </w:t>
      </w:r>
      <w:hyperlink r:id="rId37" w:history="1">
        <w:r>
          <w:rPr>
            <w:rStyle w:val="Hyperlink"/>
          </w:rPr>
          <w:t>C-52/16</w:t>
        </w:r>
      </w:hyperlink>
      <w:r>
        <w:t>.</w:t>
      </w:r>
    </w:p>
  </w:footnote>
  <w:footnote w:id="27">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Directive </w:t>
      </w:r>
      <w:hyperlink r:id="rId38">
        <w:r>
          <w:rPr>
            <w:rStyle w:val="LienInternet"/>
          </w:rPr>
          <w:t>1999/62/EC</w:t>
        </w:r>
      </w:hyperlink>
      <w:r>
        <w:t xml:space="preserve">, Dooel Uvoz-Izvoz Skopje Link Logistic N&amp;N v Budapest Rendőrfőkapitánya, </w:t>
      </w:r>
      <w:hyperlink r:id="rId39">
        <w:r>
          <w:rPr>
            <w:rStyle w:val="LienInternet"/>
          </w:rPr>
          <w:t>C-384/17</w:t>
        </w:r>
      </w:hyperlink>
      <w:r>
        <w:t>.</w:t>
      </w:r>
    </w:p>
  </w:footnote>
  <w:footnote w:id="28">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Vámos, </w:t>
      </w:r>
      <w:hyperlink r:id="rId40" w:history="1">
        <w:r>
          <w:rPr>
            <w:rStyle w:val="Hyperlink"/>
            <w:lang w:val="en-US"/>
          </w:rPr>
          <w:t>C-566/16</w:t>
        </w:r>
      </w:hyperlink>
      <w:r>
        <w:rPr>
          <w:rStyle w:val="affairetitle"/>
          <w:lang w:val="en-US"/>
        </w:rPr>
        <w:t>.</w:t>
      </w:r>
    </w:p>
  </w:footnote>
  <w:footnote w:id="29">
    <w:p>
      <w:pPr>
        <w:pStyle w:val="FootnoteText"/>
      </w:pPr>
      <w:r>
        <w:rPr>
          <w:rStyle w:val="FootnoteReference"/>
        </w:rPr>
        <w:footnoteRef/>
      </w:r>
      <w:r>
        <w:t xml:space="preserve"> </w:t>
      </w:r>
      <w:r>
        <w:tab/>
        <w:t>Hochtief,</w:t>
      </w:r>
      <w:r>
        <w:rPr>
          <w:rStyle w:val="Hyperlink"/>
        </w:rPr>
        <w:t xml:space="preserve"> </w:t>
      </w:r>
      <w:hyperlink r:id="rId41" w:history="1">
        <w:r>
          <w:rPr>
            <w:rStyle w:val="Hyperlink"/>
          </w:rPr>
          <w:t>C-300/17</w:t>
        </w:r>
      </w:hyperlink>
      <w:r>
        <w:t>.</w:t>
      </w:r>
    </w:p>
  </w:footnote>
  <w:footnote w:id="30">
    <w:p>
      <w:pPr>
        <w:pStyle w:val="FootnoteText"/>
      </w:pPr>
      <w:r>
        <w:rPr>
          <w:rStyle w:val="FootnoteReference"/>
        </w:rPr>
        <w:footnoteRef/>
      </w:r>
      <w:r>
        <w:t xml:space="preserve"> </w:t>
      </w:r>
      <w:r>
        <w:tab/>
        <w:t xml:space="preserve">OTP Bank and OTP Faktoring, </w:t>
      </w:r>
      <w:hyperlink r:id="rId42" w:history="1">
        <w:r>
          <w:rPr>
            <w:rStyle w:val="Hyperlink"/>
          </w:rPr>
          <w:t>C-51/17</w:t>
        </w:r>
      </w:hyperlink>
      <w:r>
        <w:t xml:space="preserve"> and Court press release </w:t>
      </w:r>
      <w:hyperlink r:id="rId43" w:history="1">
        <w:r>
          <w:rPr>
            <w:rStyle w:val="Hyperlink"/>
          </w:rPr>
          <w:t>No 137/18</w:t>
        </w:r>
      </w:hyperlink>
      <w:r>
        <w:t>.</w:t>
      </w:r>
    </w:p>
  </w:footnote>
  <w:footnote w:id="31">
    <w:p>
      <w:pPr>
        <w:pStyle w:val="FootnoteText"/>
        <w:rPr>
          <w:lang w:val="pt-PT"/>
        </w:rPr>
      </w:pPr>
      <w:r>
        <w:rPr>
          <w:rStyle w:val="FootnoteReference"/>
        </w:rPr>
        <w:footnoteRef/>
      </w:r>
      <w:r>
        <w:rPr>
          <w:lang w:val="pt-PT"/>
        </w:rPr>
        <w:t xml:space="preserve"> </w:t>
      </w:r>
      <w:r>
        <w:rPr>
          <w:lang w:val="pt-PT"/>
        </w:rPr>
        <w:tab/>
      </w:r>
      <w:hyperlink r:id="rId44" w:history="1">
        <w:r>
          <w:rPr>
            <w:rStyle w:val="Hyperlink"/>
            <w:szCs w:val="20"/>
            <w:lang w:val="pt-PT"/>
          </w:rPr>
          <w:t>IP/18/1451</w:t>
        </w:r>
      </w:hyperlink>
      <w:r>
        <w:rPr>
          <w:rStyle w:val="Hyperlink"/>
          <w:szCs w:val="20"/>
          <w:lang w:val="pt-PT"/>
        </w:rPr>
        <w:t>.</w:t>
      </w:r>
    </w:p>
  </w:footnote>
  <w:footnote w:id="32">
    <w:p>
      <w:pPr>
        <w:pStyle w:val="FootnoteText"/>
        <w:rPr>
          <w:lang w:val="pt-PT"/>
        </w:rPr>
      </w:pPr>
      <w:r>
        <w:rPr>
          <w:rStyle w:val="FootnoteReference"/>
        </w:rPr>
        <w:footnoteRef/>
      </w:r>
      <w:r>
        <w:rPr>
          <w:lang w:val="pt-PT"/>
        </w:rPr>
        <w:t xml:space="preserve"> </w:t>
      </w:r>
      <w:r>
        <w:rPr>
          <w:lang w:val="pt-PT"/>
        </w:rPr>
        <w:tab/>
        <w:t xml:space="preserve">Directive </w:t>
      </w:r>
      <w:hyperlink r:id="rId45" w:history="1">
        <w:r>
          <w:rPr>
            <w:rStyle w:val="Hyperlink"/>
            <w:lang w:val="pt-PT"/>
          </w:rPr>
          <w:t>2005/36/EC</w:t>
        </w:r>
      </w:hyperlink>
      <w:r>
        <w:rPr>
          <w:rStyle w:val="Hyperlink"/>
          <w:lang w:val="pt-PT"/>
        </w:rPr>
        <w:t>,</w:t>
      </w:r>
      <w:r>
        <w:rPr>
          <w:lang w:val="pt-PT"/>
        </w:rPr>
        <w:t xml:space="preserve"> </w:t>
      </w:r>
      <w:hyperlink r:id="rId46" w:history="1">
        <w:r>
          <w:rPr>
            <w:rStyle w:val="Hyperlink"/>
            <w:lang w:val="pt-PT"/>
          </w:rPr>
          <w:t>MEMO/18/4486</w:t>
        </w:r>
      </w:hyperlink>
      <w:r>
        <w:rPr>
          <w:rStyle w:val="Hyperlink"/>
          <w:lang w:val="pt-PT"/>
        </w:rPr>
        <w:t>.</w:t>
      </w:r>
    </w:p>
  </w:footnote>
  <w:footnote w:id="33">
    <w:p>
      <w:pPr>
        <w:pStyle w:val="FootnoteText"/>
        <w:rPr>
          <w:lang w:val="pt-PT"/>
        </w:rPr>
      </w:pPr>
      <w:r>
        <w:rPr>
          <w:rStyle w:val="FootnoteReference"/>
        </w:rPr>
        <w:footnoteRef/>
      </w:r>
      <w:r>
        <w:rPr>
          <w:lang w:val="pt-PT"/>
        </w:rPr>
        <w:t xml:space="preserve"> </w:t>
      </w:r>
      <w:r>
        <w:rPr>
          <w:lang w:val="pt-PT"/>
        </w:rPr>
        <w:tab/>
        <w:t xml:space="preserve">Directive </w:t>
      </w:r>
      <w:hyperlink r:id="rId47" w:history="1">
        <w:r>
          <w:rPr>
            <w:rStyle w:val="Hyperlink"/>
            <w:lang w:val="pt-PT"/>
          </w:rPr>
          <w:t>2012/27/EU</w:t>
        </w:r>
      </w:hyperlink>
      <w:r>
        <w:rPr>
          <w:lang w:val="pt-PT"/>
        </w:rPr>
        <w:t xml:space="preserve">, </w:t>
      </w:r>
      <w:hyperlink r:id="rId48" w:history="1">
        <w:r>
          <w:rPr>
            <w:rStyle w:val="Hyperlink"/>
            <w:lang w:val="pt-PT"/>
          </w:rPr>
          <w:t>MEMO/18/4486</w:t>
        </w:r>
      </w:hyperlink>
      <w:r>
        <w:rPr>
          <w:rStyle w:val="Hyperlink"/>
          <w:lang w:val="pt-PT"/>
        </w:rPr>
        <w:t>.</w:t>
      </w:r>
    </w:p>
  </w:footnote>
  <w:footnote w:id="34">
    <w:p>
      <w:pPr>
        <w:pStyle w:val="FootnoteText"/>
        <w:rPr>
          <w:lang w:val="pt-PT"/>
        </w:rPr>
      </w:pPr>
      <w:r>
        <w:rPr>
          <w:rStyle w:val="FootnoteReference"/>
        </w:rPr>
        <w:footnoteRef/>
      </w:r>
      <w:r>
        <w:rPr>
          <w:lang w:val="pt-PT"/>
        </w:rPr>
        <w:t xml:space="preserve"> </w:t>
      </w:r>
      <w:r>
        <w:rPr>
          <w:lang w:val="pt-PT"/>
        </w:rPr>
        <w:tab/>
        <w:t xml:space="preserve">Directive </w:t>
      </w:r>
      <w:hyperlink r:id="rId49" w:history="1">
        <w:r>
          <w:rPr>
            <w:rStyle w:val="Hyperlink"/>
            <w:lang w:val="pt-PT"/>
          </w:rPr>
          <w:t>2011/70/Euratom</w:t>
        </w:r>
      </w:hyperlink>
      <w:r>
        <w:rPr>
          <w:lang w:val="pt-PT"/>
        </w:rPr>
        <w:t xml:space="preserve">, </w:t>
      </w:r>
      <w:hyperlink r:id="rId50" w:history="1">
        <w:r>
          <w:rPr>
            <w:rStyle w:val="Hyperlink"/>
            <w:lang w:val="pt-PT"/>
          </w:rPr>
          <w:t>MEMO/18/3986</w:t>
        </w:r>
      </w:hyperlink>
      <w:r>
        <w:rPr>
          <w:rStyle w:val="Hyperlink"/>
          <w:lang w:val="pt-PT"/>
        </w:rPr>
        <w:t>.</w:t>
      </w:r>
    </w:p>
  </w:footnote>
  <w:footnote w:id="35">
    <w:p>
      <w:pPr>
        <w:pStyle w:val="FootnoteText"/>
        <w:rPr>
          <w:lang w:val="pt-PT"/>
        </w:rPr>
      </w:pPr>
      <w:r>
        <w:rPr>
          <w:rStyle w:val="FootnoteReference"/>
        </w:rPr>
        <w:footnoteRef/>
      </w:r>
      <w:r>
        <w:rPr>
          <w:lang w:val="pt-PT"/>
        </w:rPr>
        <w:t xml:space="preserve"> </w:t>
      </w:r>
      <w:r>
        <w:rPr>
          <w:lang w:val="pt-PT"/>
        </w:rPr>
        <w:tab/>
        <w:t xml:space="preserve">Directive </w:t>
      </w:r>
      <w:hyperlink r:id="rId51" w:history="1">
        <w:r>
          <w:rPr>
            <w:rStyle w:val="Hyperlink"/>
            <w:lang w:val="pt-PT"/>
          </w:rPr>
          <w:t>2011/70/Euratom</w:t>
        </w:r>
      </w:hyperlink>
      <w:r>
        <w:rPr>
          <w:rStyle w:val="Hyperlink"/>
          <w:lang w:val="pt-PT"/>
        </w:rPr>
        <w:t xml:space="preserve">, </w:t>
      </w:r>
      <w:hyperlink r:id="rId52" w:history="1">
        <w:r>
          <w:rPr>
            <w:rStyle w:val="Hyperlink"/>
            <w:lang w:val="pt-PT"/>
          </w:rPr>
          <w:t>MEMO/18/3446</w:t>
        </w:r>
      </w:hyperlink>
      <w:r>
        <w:rPr>
          <w:rStyle w:val="Hyperlink"/>
          <w:lang w:val="pt-PT"/>
        </w:rPr>
        <w:t>.</w:t>
      </w:r>
    </w:p>
  </w:footnote>
  <w:footnote w:id="36">
    <w:p>
      <w:pPr>
        <w:pStyle w:val="FootnoteText"/>
      </w:pPr>
      <w:r>
        <w:rPr>
          <w:rStyle w:val="Caractresdenotedebasdepage"/>
          <w:vertAlign w:val="superscript"/>
        </w:rPr>
        <w:footnoteRef/>
      </w:r>
      <w:r>
        <w:rPr>
          <w:rStyle w:val="Caractresdenotedebasdepage"/>
        </w:rPr>
        <w:tab/>
      </w:r>
      <w:r>
        <w:t xml:space="preserve">Directive </w:t>
      </w:r>
      <w:hyperlink r:id="rId53">
        <w:r>
          <w:rPr>
            <w:rStyle w:val="LienInternet"/>
          </w:rPr>
          <w:t>2014/94/EU</w:t>
        </w:r>
      </w:hyperlink>
      <w:r>
        <w:t xml:space="preserve">, Commission v Malta, </w:t>
      </w:r>
      <w:hyperlink r:id="rId54">
        <w:r>
          <w:rPr>
            <w:rStyle w:val="LienInternet"/>
          </w:rPr>
          <w:t>IP/18/358</w:t>
        </w:r>
      </w:hyperlink>
      <w:r>
        <w:t xml:space="preserve">, </w:t>
      </w:r>
      <w:hyperlink r:id="rId55">
        <w:r>
          <w:rPr>
            <w:rStyle w:val="LienInternet"/>
          </w:rPr>
          <w:t>MEMO/18/349</w:t>
        </w:r>
      </w:hyperlink>
      <w:r>
        <w:rPr>
          <w:rStyle w:val="LienInternet"/>
        </w:rPr>
        <w:t>.</w:t>
      </w:r>
    </w:p>
  </w:footnote>
  <w:footnote w:id="37">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56" w:history="1">
        <w:r>
          <w:rPr>
            <w:rStyle w:val="Hyperlink"/>
            <w:lang w:val="fr-BE"/>
          </w:rPr>
          <w:t>2015/2366/EU</w:t>
        </w:r>
      </w:hyperlink>
      <w:r>
        <w:rPr>
          <w:lang w:val="fr-BE"/>
        </w:rPr>
        <w:t>.</w:t>
      </w:r>
    </w:p>
  </w:footnote>
  <w:footnote w:id="38">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57" w:history="1">
        <w:r>
          <w:rPr>
            <w:rStyle w:val="Hyperlink"/>
            <w:lang w:val="fr-BE"/>
          </w:rPr>
          <w:t>2017/1279</w:t>
        </w:r>
      </w:hyperlink>
      <w:r>
        <w:rPr>
          <w:rStyle w:val="Hyperlink"/>
          <w:lang w:val="fr-BE"/>
        </w:rPr>
        <w:t>/EU</w:t>
      </w:r>
      <w:r>
        <w:rPr>
          <w:lang w:val="fr-BE"/>
        </w:rPr>
        <w:t>.</w:t>
      </w:r>
    </w:p>
  </w:footnote>
  <w:footnote w:id="39">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58" w:history="1">
        <w:r>
          <w:rPr>
            <w:rStyle w:val="Hyperlink"/>
            <w:lang w:val="fr-BE"/>
          </w:rPr>
          <w:t>2018/100</w:t>
        </w:r>
      </w:hyperlink>
      <w:r>
        <w:rPr>
          <w:rStyle w:val="Hyperlink"/>
          <w:lang w:val="fr-BE"/>
        </w:rPr>
        <w:t>/EU</w:t>
      </w:r>
      <w:r>
        <w:rPr>
          <w:lang w:val="fr-BE"/>
        </w:rPr>
        <w:t>.</w:t>
      </w:r>
    </w:p>
  </w:footnote>
  <w:footnote w:id="40">
    <w:p>
      <w:pPr>
        <w:pStyle w:val="FootnoteText"/>
        <w:rPr>
          <w:lang w:val="fr-BE"/>
        </w:rPr>
      </w:pPr>
      <w:r>
        <w:rPr>
          <w:rStyle w:val="FootnoteReference"/>
        </w:rPr>
        <w:footnoteRef/>
      </w:r>
      <w:r>
        <w:rPr>
          <w:lang w:val="fr-BE"/>
        </w:rPr>
        <w:t xml:space="preserve"> </w:t>
      </w:r>
      <w:r>
        <w:rPr>
          <w:lang w:val="fr-BE"/>
        </w:rPr>
        <w:tab/>
        <w:t xml:space="preserve">Directive </w:t>
      </w:r>
      <w:hyperlink r:id="rId59" w:history="1">
        <w:r>
          <w:rPr>
            <w:rStyle w:val="Hyperlink"/>
            <w:lang w:val="fr-BE"/>
          </w:rPr>
          <w:t>2017/2096/EU</w:t>
        </w:r>
      </w:hyperlink>
      <w:r>
        <w:rPr>
          <w:lang w:val="fr-BE"/>
        </w:rPr>
        <w:t>.</w:t>
      </w:r>
    </w:p>
  </w:footnote>
  <w:footnote w:id="41">
    <w:p>
      <w:pPr>
        <w:pStyle w:val="FootnoteText"/>
        <w:rPr>
          <w:lang w:val="fr-BE"/>
        </w:rPr>
      </w:pPr>
      <w:r>
        <w:rPr>
          <w:rStyle w:val="FootnoteReference"/>
        </w:rPr>
        <w:footnoteRef/>
      </w:r>
      <w:r>
        <w:rPr>
          <w:lang w:val="fr-BE"/>
        </w:rPr>
        <w:t xml:space="preserve"> </w:t>
      </w:r>
      <w:r>
        <w:rPr>
          <w:lang w:val="fr-BE"/>
        </w:rPr>
        <w:tab/>
      </w:r>
      <w:r>
        <w:rPr>
          <w:szCs w:val="18"/>
          <w:lang w:val="fr-BE"/>
        </w:rPr>
        <w:t xml:space="preserve">Directive </w:t>
      </w:r>
      <w:hyperlink r:id="rId60" w:history="1">
        <w:r>
          <w:rPr>
            <w:rStyle w:val="Hyperlink"/>
            <w:rFonts w:cs="Arial"/>
            <w:szCs w:val="18"/>
            <w:lang w:val="fr-BE"/>
          </w:rPr>
          <w:t>2016/2284</w:t>
        </w:r>
      </w:hyperlink>
      <w:r>
        <w:rPr>
          <w:rFonts w:cs="Arial"/>
          <w:szCs w:val="18"/>
          <w:lang w:val="fr-BE"/>
        </w:rPr>
        <w:t>.</w:t>
      </w:r>
    </w:p>
  </w:footnote>
  <w:footnote w:id="42">
    <w:p>
      <w:pPr>
        <w:pStyle w:val="FootnoteText"/>
        <w:rPr>
          <w:lang w:val="fr-BE"/>
        </w:rPr>
      </w:pPr>
      <w:r>
        <w:rPr>
          <w:rStyle w:val="FootnoteReference"/>
        </w:rPr>
        <w:footnoteRef/>
      </w:r>
      <w:r>
        <w:rPr>
          <w:lang w:val="fr-BE"/>
        </w:rPr>
        <w:t xml:space="preserve"> </w:t>
      </w:r>
      <w:r>
        <w:rPr>
          <w:lang w:val="fr-BE"/>
        </w:rPr>
        <w:tab/>
      </w:r>
      <w:r>
        <w:rPr>
          <w:rFonts w:cs="Arial"/>
          <w:szCs w:val="18"/>
          <w:lang w:val="fr-BE"/>
        </w:rPr>
        <w:t xml:space="preserve">Directive </w:t>
      </w:r>
      <w:hyperlink r:id="rId61" w:history="1">
        <w:r>
          <w:rPr>
            <w:rStyle w:val="Hyperlink"/>
            <w:rFonts w:cs="Arial"/>
            <w:szCs w:val="18"/>
            <w:lang w:val="fr-BE"/>
          </w:rPr>
          <w:t>2016/2102/EU</w:t>
        </w:r>
      </w:hyperlink>
      <w:r>
        <w:rPr>
          <w:rFonts w:cs="Arial"/>
          <w:szCs w:val="18"/>
          <w:lang w:val="fr-BE"/>
        </w:rPr>
        <w:t>.</w:t>
      </w:r>
    </w:p>
  </w:footnote>
  <w:footnote w:id="43">
    <w:p>
      <w:pPr>
        <w:pStyle w:val="FootnoteText"/>
        <w:rPr>
          <w:lang w:val="fr-BE"/>
        </w:rPr>
      </w:pPr>
      <w:r>
        <w:rPr>
          <w:rStyle w:val="FootnoteReference"/>
        </w:rPr>
        <w:footnoteRef/>
      </w:r>
      <w:r>
        <w:rPr>
          <w:lang w:val="fr-BE"/>
        </w:rPr>
        <w:t xml:space="preserve"> </w:t>
      </w:r>
      <w:r>
        <w:rPr>
          <w:lang w:val="fr-BE"/>
        </w:rPr>
        <w:tab/>
        <w:t xml:space="preserve">Directive </w:t>
      </w:r>
      <w:hyperlink r:id="rId62" w:history="1">
        <w:r>
          <w:rPr>
            <w:rStyle w:val="Hyperlink"/>
            <w:lang w:val="fr-BE"/>
          </w:rPr>
          <w:t>2013/59/Euratom</w:t>
        </w:r>
      </w:hyperlink>
      <w:r>
        <w:rPr>
          <w:lang w:val="fr-BE"/>
        </w:rPr>
        <w:t xml:space="preserve">, </w:t>
      </w:r>
      <w:hyperlink r:id="rId63" w:history="1">
        <w:r>
          <w:rPr>
            <w:rStyle w:val="Hyperlink"/>
            <w:lang w:val="fr-BE"/>
          </w:rPr>
          <w:t>MEMO/18/3446</w:t>
        </w:r>
      </w:hyperlink>
      <w:r>
        <w:rPr>
          <w:rStyle w:val="Hyperlink"/>
          <w:lang w:val="fr-BE"/>
        </w:rPr>
        <w:t>.</w:t>
      </w:r>
    </w:p>
  </w:footnote>
  <w:footnote w:id="44">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64" w:history="1">
        <w:r>
          <w:rPr>
            <w:rStyle w:val="Hyperlink"/>
            <w:lang w:val="fr-BE"/>
          </w:rPr>
          <w:t>2014/91/EU</w:t>
        </w:r>
      </w:hyperlink>
      <w:r>
        <w:rPr>
          <w:lang w:val="fr-BE"/>
        </w:rPr>
        <w:t>.</w:t>
      </w:r>
    </w:p>
  </w:footnote>
  <w:footnote w:id="45">
    <w:p>
      <w:pPr>
        <w:pStyle w:val="FootnoteText"/>
        <w:rPr>
          <w:szCs w:val="18"/>
          <w:lang w:val="fr-BE"/>
        </w:rPr>
      </w:pPr>
      <w:r>
        <w:rPr>
          <w:rStyle w:val="FootnoteReference"/>
          <w:szCs w:val="18"/>
        </w:rPr>
        <w:footnoteRef/>
      </w:r>
      <w:r>
        <w:rPr>
          <w:szCs w:val="18"/>
          <w:lang w:val="fr-BE"/>
        </w:rPr>
        <w:t xml:space="preserve"> </w:t>
      </w:r>
      <w:r>
        <w:rPr>
          <w:szCs w:val="18"/>
          <w:lang w:val="fr-BE"/>
        </w:rPr>
        <w:tab/>
      </w:r>
      <w:r>
        <w:rPr>
          <w:rFonts w:eastAsia="Calibri" w:cs="Arial"/>
          <w:szCs w:val="18"/>
          <w:lang w:val="fr-BE"/>
        </w:rPr>
        <w:t xml:space="preserve">Directive </w:t>
      </w:r>
      <w:hyperlink r:id="rId65" w:history="1">
        <w:r>
          <w:rPr>
            <w:rStyle w:val="Hyperlink"/>
            <w:rFonts w:eastAsia="Calibri" w:cs="Arial"/>
            <w:szCs w:val="18"/>
            <w:lang w:val="fr-BE"/>
          </w:rPr>
          <w:t>2016/774/EU</w:t>
        </w:r>
      </w:hyperlink>
      <w:r>
        <w:rPr>
          <w:rFonts w:eastAsia="Calibri" w:cs="Arial"/>
          <w:szCs w:val="18"/>
          <w:lang w:val="fr-BE"/>
        </w:rPr>
        <w:t>.</w:t>
      </w:r>
    </w:p>
  </w:footnote>
  <w:footnote w:id="46">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66" w:history="1">
        <w:r>
          <w:rPr>
            <w:rStyle w:val="Hyperlink"/>
            <w:lang w:val="fr-BE"/>
          </w:rPr>
          <w:t>2017/1279</w:t>
        </w:r>
      </w:hyperlink>
      <w:r>
        <w:rPr>
          <w:rStyle w:val="Hyperlink"/>
          <w:lang w:val="fr-BE"/>
        </w:rPr>
        <w:t>/EU</w:t>
      </w:r>
      <w:r>
        <w:rPr>
          <w:lang w:val="fr-BE"/>
        </w:rPr>
        <w:t>.</w:t>
      </w:r>
    </w:p>
  </w:footnote>
  <w:footnote w:id="47">
    <w:p>
      <w:pPr>
        <w:pStyle w:val="FootnoteText"/>
        <w:rPr>
          <w:lang w:val="fr-BE"/>
        </w:rPr>
      </w:pPr>
      <w:r>
        <w:rPr>
          <w:rStyle w:val="Caractresdenotedebasdepage"/>
          <w:vertAlign w:val="superscript"/>
        </w:rPr>
        <w:footnoteRef/>
      </w:r>
      <w:r>
        <w:rPr>
          <w:rStyle w:val="Caractresdenotedebasdepage"/>
          <w:lang w:val="fr-BE"/>
        </w:rPr>
        <w:tab/>
      </w:r>
      <w:r>
        <w:rPr>
          <w:lang w:val="fr-BE"/>
        </w:rPr>
        <w:t xml:space="preserve">Directive </w:t>
      </w:r>
      <w:hyperlink r:id="rId67">
        <w:r>
          <w:rPr>
            <w:rStyle w:val="LienInternet"/>
            <w:lang w:val="fr-BE"/>
          </w:rPr>
          <w:t>2014/94/EU</w:t>
        </w:r>
      </w:hyperlink>
      <w:r>
        <w:rPr>
          <w:lang w:val="fr-BE"/>
        </w:rPr>
        <w:t xml:space="preserve">, </w:t>
      </w:r>
      <w:hyperlink r:id="rId68">
        <w:r>
          <w:rPr>
            <w:rStyle w:val="LienInternet"/>
            <w:lang w:val="fr-BE"/>
          </w:rPr>
          <w:t>IP/18/358</w:t>
        </w:r>
      </w:hyperlink>
      <w:r>
        <w:rPr>
          <w:lang w:val="fr-BE"/>
        </w:rPr>
        <w:t xml:space="preserve">, </w:t>
      </w:r>
      <w:hyperlink r:id="rId69">
        <w:r>
          <w:rPr>
            <w:rStyle w:val="LienInternet"/>
            <w:lang w:val="fr-BE"/>
          </w:rPr>
          <w:t>IP/18/358</w:t>
        </w:r>
      </w:hyperlink>
      <w:r>
        <w:rPr>
          <w:lang w:val="fr-BE"/>
        </w:rPr>
        <w:t xml:space="preserve"> </w:t>
      </w:r>
    </w:p>
  </w:footnote>
  <w:footnote w:id="48">
    <w:p>
      <w:pPr>
        <w:pStyle w:val="FootnoteText"/>
        <w:rPr>
          <w:lang w:val="fr-BE"/>
        </w:rPr>
      </w:pPr>
      <w:r>
        <w:rPr>
          <w:rStyle w:val="FootnoteReference"/>
        </w:rPr>
        <w:footnoteRef/>
      </w:r>
      <w:r>
        <w:rPr>
          <w:lang w:val="fr-BE"/>
        </w:rPr>
        <w:t xml:space="preserve"> </w:t>
      </w:r>
      <w:r>
        <w:rPr>
          <w:lang w:val="fr-BE"/>
        </w:rPr>
        <w:tab/>
        <w:t xml:space="preserve">Directive </w:t>
      </w:r>
      <w:hyperlink r:id="rId70" w:history="1">
        <w:r>
          <w:rPr>
            <w:rStyle w:val="Hyperlink"/>
            <w:lang w:val="fr-BE"/>
          </w:rPr>
          <w:t>2014/52/EU</w:t>
        </w:r>
      </w:hyperlink>
      <w:r>
        <w:rPr>
          <w:lang w:val="fr-BE"/>
        </w:rPr>
        <w:t>.</w:t>
      </w:r>
    </w:p>
  </w:footnote>
  <w:footnote w:id="49">
    <w:p>
      <w:pPr>
        <w:pStyle w:val="FootnoteText"/>
        <w:rPr>
          <w:lang w:val="pt-PT"/>
        </w:rPr>
      </w:pPr>
      <w:r>
        <w:rPr>
          <w:rStyle w:val="FootnoteReference"/>
        </w:rPr>
        <w:footnoteRef/>
      </w:r>
      <w:r>
        <w:rPr>
          <w:lang w:val="pt-PT"/>
        </w:rPr>
        <w:t xml:space="preserve"> </w:t>
      </w:r>
      <w:r>
        <w:rPr>
          <w:lang w:val="pt-PT"/>
        </w:rPr>
        <w:tab/>
        <w:t xml:space="preserve">Directive </w:t>
      </w:r>
      <w:hyperlink r:id="rId71" w:history="1">
        <w:r>
          <w:rPr>
            <w:rStyle w:val="Hyperlink"/>
            <w:lang w:val="pt-PT"/>
          </w:rPr>
          <w:t>2014/104/EU</w:t>
        </w:r>
      </w:hyperlink>
      <w:r>
        <w:rPr>
          <w:lang w:val="pt-PT"/>
        </w:rPr>
        <w:t xml:space="preserve">, </w:t>
      </w:r>
      <w:hyperlink r:id="rId72" w:history="1">
        <w:r>
          <w:rPr>
            <w:rStyle w:val="Hyperlink"/>
            <w:lang w:val="pt-PT"/>
          </w:rPr>
          <w:t>MEMO/18/1444</w:t>
        </w:r>
      </w:hyperlink>
      <w:r>
        <w:rPr>
          <w:lang w:val="pt-PT"/>
        </w:rPr>
        <w:t>.</w:t>
      </w:r>
    </w:p>
  </w:footnote>
  <w:footnote w:id="50">
    <w:p>
      <w:pPr>
        <w:pStyle w:val="FootnoteText"/>
        <w:rPr>
          <w:lang w:val="pt-PT"/>
        </w:rPr>
      </w:pPr>
      <w:r>
        <w:rPr>
          <w:rStyle w:val="FootnoteReference"/>
        </w:rPr>
        <w:footnoteRef/>
      </w:r>
      <w:r>
        <w:rPr>
          <w:lang w:val="pt-PT"/>
        </w:rPr>
        <w:t xml:space="preserve"> </w:t>
      </w:r>
      <w:r>
        <w:rPr>
          <w:lang w:val="pt-PT"/>
        </w:rPr>
        <w:tab/>
        <w:t xml:space="preserve">Directive </w:t>
      </w:r>
      <w:hyperlink r:id="rId73" w:history="1">
        <w:r>
          <w:rPr>
            <w:rStyle w:val="Hyperlink"/>
            <w:lang w:val="pt-PT"/>
          </w:rPr>
          <w:t>652/2015/EC</w:t>
        </w:r>
      </w:hyperlink>
      <w:r>
        <w:rPr>
          <w:rStyle w:val="Hyperlink"/>
          <w:lang w:val="pt-PT"/>
        </w:rPr>
        <w:t>.</w:t>
      </w:r>
    </w:p>
  </w:footnote>
  <w:footnote w:id="51">
    <w:p>
      <w:pPr>
        <w:pStyle w:val="FootnoteText"/>
        <w:rPr>
          <w:lang w:val="en-US"/>
        </w:rPr>
      </w:pPr>
      <w:r>
        <w:rPr>
          <w:rStyle w:val="FootnoteReference"/>
        </w:rPr>
        <w:footnoteRef/>
      </w:r>
      <w:r>
        <w:rPr>
          <w:lang w:val="en-US"/>
        </w:rPr>
        <w:t xml:space="preserve"> </w:t>
      </w:r>
      <w:r>
        <w:rPr>
          <w:lang w:val="en-US"/>
        </w:rPr>
        <w:tab/>
      </w:r>
      <w:r>
        <w:rPr>
          <w:lang w:val="en-IE"/>
        </w:rPr>
        <w:t xml:space="preserve">Directive </w:t>
      </w:r>
      <w:hyperlink r:id="rId74" w:history="1">
        <w:r>
          <w:rPr>
            <w:rStyle w:val="Hyperlink"/>
            <w:lang w:val="en-IE"/>
          </w:rPr>
          <w:t>2009/147/EC</w:t>
        </w:r>
      </w:hyperlink>
      <w:r>
        <w:rPr>
          <w:lang w:val="en-US"/>
        </w:rPr>
        <w:t>, Commission v Malta,</w:t>
      </w:r>
      <w:r>
        <w:rPr>
          <w:rStyle w:val="Hyperlink"/>
          <w:lang w:val="en-US"/>
        </w:rPr>
        <w:t xml:space="preserve"> C-557/15 and Court press release </w:t>
      </w:r>
      <w:hyperlink r:id="rId75" w:history="1">
        <w:r>
          <w:rPr>
            <w:rStyle w:val="Hyperlink"/>
            <w:lang w:val="en-US"/>
          </w:rPr>
          <w:t>No 90/18</w:t>
        </w:r>
      </w:hyperlink>
      <w:r>
        <w:rPr>
          <w:rStyle w:val="Hyperlink"/>
          <w:lang w:val="en-US"/>
        </w:rPr>
        <w:t>.</w:t>
      </w:r>
    </w:p>
  </w:footnote>
  <w:footnote w:id="52">
    <w:p>
      <w:pPr>
        <w:pStyle w:val="FootnoteText"/>
        <w:rPr>
          <w:lang w:val="en-IE"/>
        </w:rPr>
      </w:pPr>
      <w:r>
        <w:rPr>
          <w:rStyle w:val="FootnoteReference"/>
        </w:rPr>
        <w:footnoteRef/>
      </w:r>
      <w:r>
        <w:t xml:space="preserve"> </w:t>
      </w:r>
      <w:r>
        <w:tab/>
        <w:t xml:space="preserve">Directives </w:t>
      </w:r>
      <w:hyperlink r:id="rId76" w:history="1">
        <w:r>
          <w:rPr>
            <w:rStyle w:val="Hyperlink"/>
          </w:rPr>
          <w:t>2004/114/EC</w:t>
        </w:r>
      </w:hyperlink>
      <w:r>
        <w:t xml:space="preserve"> and </w:t>
      </w:r>
      <w:hyperlink r:id="rId77" w:history="1">
        <w:r>
          <w:rPr>
            <w:rStyle w:val="Hyperlink"/>
          </w:rPr>
          <w:t>2005/71/EC</w:t>
        </w:r>
      </w:hyperlink>
      <w:r>
        <w:t xml:space="preserve">; </w:t>
      </w:r>
      <w:hyperlink r:id="rId78" w:history="1">
        <w:r>
          <w:rPr>
            <w:rStyle w:val="Hyperlink"/>
            <w:lang w:val="en-IE"/>
          </w:rPr>
          <w:t>MEMO/18/3446</w:t>
        </w:r>
      </w:hyperlink>
      <w:r>
        <w:rPr>
          <w:lang w:val="en-IE"/>
        </w:rPr>
        <w:t>.</w:t>
      </w:r>
    </w:p>
  </w:footnote>
  <w:footnote w:id="53">
    <w:p>
      <w:pPr>
        <w:pStyle w:val="FootnoteText"/>
        <w:rPr>
          <w:lang w:val="pt-PT"/>
        </w:rPr>
      </w:pPr>
      <w:r>
        <w:rPr>
          <w:rStyle w:val="FootnoteReference"/>
        </w:rPr>
        <w:footnoteRef/>
      </w:r>
      <w:r>
        <w:rPr>
          <w:lang w:val="pt-PT"/>
        </w:rPr>
        <w:t xml:space="preserve"> </w:t>
      </w:r>
      <w:r>
        <w:rPr>
          <w:lang w:val="pt-PT"/>
        </w:rPr>
        <w:tab/>
        <w:t xml:space="preserve">Directive </w:t>
      </w:r>
      <w:hyperlink r:id="rId79" w:history="1">
        <w:r>
          <w:rPr>
            <w:rStyle w:val="Hyperlink"/>
            <w:lang w:val="pt-PT"/>
          </w:rPr>
          <w:t>2005/36/EC</w:t>
        </w:r>
      </w:hyperlink>
      <w:r>
        <w:rPr>
          <w:lang w:val="pt-PT"/>
        </w:rPr>
        <w:t xml:space="preserve">, </w:t>
      </w:r>
      <w:hyperlink r:id="rId80" w:history="1">
        <w:r>
          <w:rPr>
            <w:rStyle w:val="Hyperlink"/>
            <w:lang w:val="pt-PT"/>
          </w:rPr>
          <w:t>MEMO/18/4486</w:t>
        </w:r>
      </w:hyperlink>
      <w:r>
        <w:rPr>
          <w:rStyle w:val="Hyperlink"/>
          <w:lang w:val="pt-PT"/>
        </w:rPr>
        <w:t>.</w:t>
      </w:r>
    </w:p>
  </w:footnote>
  <w:footnote w:id="54">
    <w:p>
      <w:pPr>
        <w:pStyle w:val="FootnoteText"/>
        <w:rPr>
          <w:lang w:val="pt-PT"/>
        </w:rPr>
      </w:pPr>
      <w:r>
        <w:rPr>
          <w:rStyle w:val="FootnoteReference"/>
        </w:rPr>
        <w:footnoteRef/>
      </w:r>
      <w:r>
        <w:rPr>
          <w:lang w:val="pt-PT"/>
        </w:rPr>
        <w:t xml:space="preserve"> </w:t>
      </w:r>
      <w:r>
        <w:rPr>
          <w:lang w:val="pt-PT"/>
        </w:rPr>
        <w:tab/>
        <w:t xml:space="preserve">Directive </w:t>
      </w:r>
      <w:hyperlink r:id="rId81" w:history="1">
        <w:r>
          <w:rPr>
            <w:rStyle w:val="Hyperlink"/>
            <w:lang w:val="pt-PT"/>
          </w:rPr>
          <w:t>2012/27/EU</w:t>
        </w:r>
      </w:hyperlink>
      <w:r>
        <w:rPr>
          <w:lang w:val="pt-PT"/>
        </w:rPr>
        <w:t xml:space="preserve">, </w:t>
      </w:r>
      <w:hyperlink r:id="rId82" w:history="1">
        <w:r>
          <w:rPr>
            <w:rStyle w:val="Hyperlink"/>
            <w:lang w:val="pt-PT"/>
          </w:rPr>
          <w:t>MEMO/18/4486</w:t>
        </w:r>
      </w:hyperlink>
      <w:r>
        <w:rPr>
          <w:rStyle w:val="Hyperlink"/>
          <w:lang w:val="pt-PT"/>
        </w:rPr>
        <w:t>.</w:t>
      </w:r>
    </w:p>
  </w:footnote>
  <w:footnote w:id="55">
    <w:p>
      <w:pPr>
        <w:pStyle w:val="FootnoteText"/>
        <w:rPr>
          <w:lang w:val="pt-PT"/>
        </w:rPr>
      </w:pPr>
      <w:r>
        <w:rPr>
          <w:rStyle w:val="FootnoteReference"/>
        </w:rPr>
        <w:footnoteRef/>
      </w:r>
      <w:r>
        <w:rPr>
          <w:lang w:val="pt-PT"/>
        </w:rPr>
        <w:t xml:space="preserve"> </w:t>
      </w:r>
      <w:r>
        <w:rPr>
          <w:lang w:val="pt-PT"/>
        </w:rPr>
        <w:tab/>
        <w:t xml:space="preserve">Directive </w:t>
      </w:r>
      <w:hyperlink r:id="rId83" w:history="1">
        <w:r>
          <w:rPr>
            <w:rStyle w:val="Hyperlink"/>
            <w:lang w:val="pt-PT"/>
          </w:rPr>
          <w:t>2010/31/EU</w:t>
        </w:r>
      </w:hyperlink>
      <w:r>
        <w:rPr>
          <w:lang w:val="pt-PT"/>
        </w:rPr>
        <w:t xml:space="preserve">, </w:t>
      </w:r>
      <w:hyperlink r:id="rId84" w:history="1">
        <w:r>
          <w:rPr>
            <w:rStyle w:val="Hyperlink"/>
            <w:lang w:val="pt-PT"/>
          </w:rPr>
          <w:t>MEMO/18/3446</w:t>
        </w:r>
      </w:hyperlink>
      <w:r>
        <w:rPr>
          <w:rStyle w:val="Hyperlink"/>
          <w:lang w:val="pt-PT"/>
        </w:rPr>
        <w:t>.</w:t>
      </w:r>
    </w:p>
  </w:footnote>
  <w:footnote w:id="56">
    <w:p>
      <w:pPr>
        <w:pStyle w:val="FootnoteText"/>
        <w:rPr>
          <w:lang w:val="pt-PT"/>
        </w:rPr>
      </w:pPr>
      <w:r>
        <w:rPr>
          <w:rStyle w:val="FootnoteReference"/>
        </w:rPr>
        <w:footnoteRef/>
      </w:r>
      <w:r>
        <w:rPr>
          <w:lang w:val="pt-PT"/>
        </w:rPr>
        <w:t xml:space="preserve"> </w:t>
      </w:r>
      <w:r>
        <w:rPr>
          <w:lang w:val="pt-PT"/>
        </w:rPr>
        <w:tab/>
        <w:t xml:space="preserve">Decision </w:t>
      </w:r>
      <w:hyperlink r:id="rId85" w:history="1">
        <w:r>
          <w:rPr>
            <w:rStyle w:val="Hyperlink"/>
            <w:lang w:val="pt-PT"/>
          </w:rPr>
          <w:t>2017/899/EU</w:t>
        </w:r>
      </w:hyperlink>
      <w:r>
        <w:rPr>
          <w:lang w:val="pt-PT"/>
        </w:rPr>
        <w:t>.</w:t>
      </w:r>
    </w:p>
  </w:footnote>
  <w:footnote w:id="57">
    <w:p>
      <w:pPr>
        <w:pStyle w:val="FootnoteText"/>
        <w:rPr>
          <w:lang w:val="pt-PT"/>
        </w:rPr>
      </w:pPr>
      <w:r>
        <w:rPr>
          <w:rStyle w:val="FootnoteReference"/>
        </w:rPr>
        <w:footnoteRef/>
      </w:r>
      <w:r>
        <w:rPr>
          <w:lang w:val="pt-PT"/>
        </w:rPr>
        <w:t xml:space="preserve"> </w:t>
      </w:r>
      <w:r>
        <w:rPr>
          <w:lang w:val="pt-PT"/>
        </w:rPr>
        <w:tab/>
        <w:t xml:space="preserve">Directive </w:t>
      </w:r>
      <w:hyperlink r:id="rId86" w:history="1">
        <w:r>
          <w:rPr>
            <w:rStyle w:val="Hyperlink"/>
            <w:lang w:val="pt-PT"/>
          </w:rPr>
          <w:t>2011/70/Euratom</w:t>
        </w:r>
      </w:hyperlink>
      <w:r>
        <w:rPr>
          <w:rStyle w:val="Hyperlink"/>
          <w:lang w:val="pt-PT"/>
        </w:rPr>
        <w:t xml:space="preserve">, </w:t>
      </w:r>
      <w:hyperlink r:id="rId87" w:history="1">
        <w:r>
          <w:rPr>
            <w:rStyle w:val="Hyperlink"/>
            <w:lang w:val="pt-PT"/>
          </w:rPr>
          <w:t>MEMO/18/3446</w:t>
        </w:r>
      </w:hyperlink>
      <w:r>
        <w:rPr>
          <w:rStyle w:val="Hyperlink"/>
          <w:lang w:val="pt-PT"/>
        </w:rPr>
        <w:t>.</w:t>
      </w:r>
    </w:p>
  </w:footnote>
  <w:footnote w:id="58">
    <w:p>
      <w:pPr>
        <w:pStyle w:val="FootnoteText"/>
        <w:rPr>
          <w:lang w:val="pt-PT"/>
        </w:rPr>
      </w:pPr>
      <w:r>
        <w:rPr>
          <w:rStyle w:val="FootnoteReference"/>
        </w:rPr>
        <w:footnoteRef/>
      </w:r>
      <w:r>
        <w:rPr>
          <w:lang w:val="pt-PT"/>
        </w:rPr>
        <w:t xml:space="preserve"> </w:t>
      </w:r>
      <w:r>
        <w:rPr>
          <w:lang w:val="pt-PT"/>
        </w:rPr>
        <w:tab/>
        <w:t xml:space="preserve">Directive </w:t>
      </w:r>
      <w:hyperlink r:id="rId88" w:history="1">
        <w:r>
          <w:rPr>
            <w:rStyle w:val="Hyperlink"/>
            <w:lang w:val="pt-PT"/>
          </w:rPr>
          <w:t>2011/70/Euratom</w:t>
        </w:r>
      </w:hyperlink>
      <w:r>
        <w:rPr>
          <w:lang w:val="pt-PT"/>
        </w:rPr>
        <w:t xml:space="preserve">, </w:t>
      </w:r>
      <w:hyperlink r:id="rId89" w:history="1">
        <w:r>
          <w:rPr>
            <w:rStyle w:val="Hyperlink"/>
            <w:lang w:val="pt-PT"/>
          </w:rPr>
          <w:t>MEMO/18/3446</w:t>
        </w:r>
      </w:hyperlink>
      <w:r>
        <w:rPr>
          <w:rStyle w:val="Hyperlink"/>
          <w:lang w:val="pt-PT"/>
        </w:rPr>
        <w:t>.</w:t>
      </w:r>
    </w:p>
  </w:footnote>
  <w:footnote w:id="59">
    <w:p>
      <w:pPr>
        <w:pStyle w:val="FootnoteText"/>
        <w:rPr>
          <w:lang w:val="pt-PT"/>
        </w:rPr>
      </w:pPr>
      <w:r>
        <w:rPr>
          <w:rStyle w:val="FootnoteReference"/>
        </w:rPr>
        <w:footnoteRef/>
      </w:r>
      <w:r>
        <w:rPr>
          <w:lang w:val="pt-PT"/>
        </w:rPr>
        <w:t xml:space="preserve"> </w:t>
      </w:r>
      <w:r>
        <w:rPr>
          <w:lang w:val="pt-PT"/>
        </w:rPr>
        <w:tab/>
      </w:r>
      <w:hyperlink r:id="rId90" w:history="1">
        <w:r>
          <w:rPr>
            <w:rStyle w:val="Hyperlink"/>
            <w:lang w:val="pt-PT"/>
          </w:rPr>
          <w:t>IP/18/357</w:t>
        </w:r>
      </w:hyperlink>
      <w:r>
        <w:rPr>
          <w:lang w:val="pt-PT"/>
        </w:rPr>
        <w:t>.</w:t>
      </w:r>
    </w:p>
  </w:footnote>
  <w:footnote w:id="60">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91" w:history="1">
        <w:r>
          <w:rPr>
            <w:rStyle w:val="Hyperlink"/>
            <w:lang w:val="pt-PT"/>
          </w:rPr>
          <w:t>2015/2366/EU</w:t>
        </w:r>
      </w:hyperlink>
      <w:r>
        <w:rPr>
          <w:lang w:val="pt-PT"/>
        </w:rPr>
        <w:t>.</w:t>
      </w:r>
    </w:p>
  </w:footnote>
  <w:footnote w:id="61">
    <w:p>
      <w:pPr>
        <w:pStyle w:val="FootnoteText"/>
        <w:rPr>
          <w:lang w:val="pt-PT"/>
        </w:rPr>
      </w:pPr>
      <w:r>
        <w:rPr>
          <w:rStyle w:val="FootnoteReference"/>
        </w:rPr>
        <w:footnoteRef/>
      </w:r>
      <w:r>
        <w:rPr>
          <w:lang w:val="pt-PT"/>
        </w:rPr>
        <w:t xml:space="preserve"> </w:t>
      </w:r>
      <w:r>
        <w:rPr>
          <w:lang w:val="pt-PT"/>
        </w:rPr>
        <w:tab/>
        <w:t xml:space="preserve">Commission Implementing Directive </w:t>
      </w:r>
      <w:hyperlink r:id="rId92" w:history="1">
        <w:r>
          <w:rPr>
            <w:rStyle w:val="Hyperlink"/>
            <w:lang w:val="pt-PT"/>
          </w:rPr>
          <w:t>2018/100</w:t>
        </w:r>
      </w:hyperlink>
      <w:r>
        <w:rPr>
          <w:rStyle w:val="Hyperlink"/>
          <w:lang w:val="pt-PT"/>
        </w:rPr>
        <w:t>/EU</w:t>
      </w:r>
      <w:r>
        <w:rPr>
          <w:lang w:val="pt-PT"/>
        </w:rPr>
        <w:t>.</w:t>
      </w:r>
    </w:p>
  </w:footnote>
  <w:footnote w:id="62">
    <w:p>
      <w:pPr>
        <w:pStyle w:val="FootnoteText"/>
        <w:rPr>
          <w:lang w:val="pt-PT"/>
        </w:rPr>
      </w:pPr>
      <w:r>
        <w:rPr>
          <w:rStyle w:val="FootnoteReference"/>
        </w:rPr>
        <w:footnoteRef/>
      </w:r>
      <w:r>
        <w:rPr>
          <w:lang w:val="pt-PT"/>
        </w:rPr>
        <w:t xml:space="preserve"> </w:t>
      </w:r>
      <w:r>
        <w:rPr>
          <w:lang w:val="pt-PT"/>
        </w:rPr>
        <w:tab/>
        <w:t xml:space="preserve">Directive </w:t>
      </w:r>
      <w:hyperlink r:id="rId93" w:history="1">
        <w:r>
          <w:rPr>
            <w:rStyle w:val="Hyperlink"/>
            <w:lang w:val="pt-PT"/>
          </w:rPr>
          <w:t>2016/1148/EU</w:t>
        </w:r>
      </w:hyperlink>
      <w:r>
        <w:rPr>
          <w:lang w:val="pt-PT"/>
        </w:rPr>
        <w:t xml:space="preserve">; </w:t>
      </w:r>
      <w:hyperlink r:id="rId94" w:history="1">
        <w:r>
          <w:rPr>
            <w:rStyle w:val="Hyperlink"/>
            <w:lang w:val="pt-PT"/>
          </w:rPr>
          <w:t>MEMO/18/4486</w:t>
        </w:r>
      </w:hyperlink>
      <w:r>
        <w:rPr>
          <w:rStyle w:val="Hyperlink"/>
          <w:lang w:val="pt-PT"/>
        </w:rPr>
        <w:t>.</w:t>
      </w:r>
    </w:p>
  </w:footnote>
  <w:footnote w:id="63">
    <w:p>
      <w:pPr>
        <w:pStyle w:val="FootnoteText"/>
        <w:rPr>
          <w:lang w:val="pt-PT"/>
        </w:rPr>
      </w:pPr>
      <w:r>
        <w:rPr>
          <w:rStyle w:val="FootnoteReference"/>
        </w:rPr>
        <w:footnoteRef/>
      </w:r>
      <w:r>
        <w:rPr>
          <w:lang w:val="pt-PT"/>
        </w:rPr>
        <w:t xml:space="preserve"> </w:t>
      </w:r>
      <w:r>
        <w:rPr>
          <w:lang w:val="pt-PT"/>
        </w:rPr>
        <w:tab/>
        <w:t xml:space="preserve">Directive </w:t>
      </w:r>
      <w:hyperlink r:id="rId95" w:history="1">
        <w:r>
          <w:rPr>
            <w:rStyle w:val="Hyperlink"/>
            <w:lang w:val="pt-PT"/>
          </w:rPr>
          <w:t>2016/680/EU</w:t>
        </w:r>
      </w:hyperlink>
      <w:r>
        <w:rPr>
          <w:lang w:val="pt-PT"/>
        </w:rPr>
        <w:t>.</w:t>
      </w:r>
    </w:p>
  </w:footnote>
  <w:footnote w:id="64">
    <w:p>
      <w:pPr>
        <w:pStyle w:val="FootnoteText"/>
        <w:rPr>
          <w:lang w:val="pt-PT"/>
        </w:rPr>
      </w:pPr>
      <w:r>
        <w:rPr>
          <w:rStyle w:val="FootnoteReference"/>
        </w:rPr>
        <w:footnoteRef/>
      </w:r>
      <w:r>
        <w:rPr>
          <w:lang w:val="pt-PT"/>
        </w:rPr>
        <w:t xml:space="preserve"> </w:t>
      </w:r>
      <w:r>
        <w:rPr>
          <w:lang w:val="pt-PT"/>
        </w:rPr>
        <w:tab/>
        <w:t xml:space="preserve">Directive </w:t>
      </w:r>
      <w:hyperlink r:id="rId96" w:history="1">
        <w:r>
          <w:rPr>
            <w:rStyle w:val="Hyperlink"/>
            <w:lang w:val="pt-PT"/>
          </w:rPr>
          <w:t>92/43/EEC</w:t>
        </w:r>
      </w:hyperlink>
      <w:r>
        <w:rPr>
          <w:lang w:val="pt-PT"/>
        </w:rPr>
        <w:t>.</w:t>
      </w:r>
    </w:p>
  </w:footnote>
  <w:footnote w:id="65">
    <w:p>
      <w:pPr>
        <w:pStyle w:val="FootnoteText"/>
        <w:rPr>
          <w:lang w:val="pt-PT"/>
        </w:rPr>
      </w:pPr>
      <w:r>
        <w:rPr>
          <w:rStyle w:val="FootnoteReference"/>
        </w:rPr>
        <w:footnoteRef/>
      </w:r>
      <w:r>
        <w:rPr>
          <w:lang w:val="pt-PT"/>
        </w:rPr>
        <w:t xml:space="preserve"> </w:t>
      </w:r>
      <w:r>
        <w:rPr>
          <w:lang w:val="pt-PT"/>
        </w:rPr>
        <w:tab/>
        <w:t xml:space="preserve">Directives </w:t>
      </w:r>
      <w:hyperlink r:id="rId97" w:history="1">
        <w:r>
          <w:rPr>
            <w:rStyle w:val="Hyperlink"/>
            <w:lang w:val="pt-PT"/>
          </w:rPr>
          <w:t>2009/72/EC</w:t>
        </w:r>
      </w:hyperlink>
      <w:r>
        <w:rPr>
          <w:rStyle w:val="Hyperlink"/>
          <w:lang w:val="pt-PT"/>
        </w:rPr>
        <w:t xml:space="preserve"> and </w:t>
      </w:r>
      <w:hyperlink r:id="rId98" w:history="1">
        <w:r>
          <w:rPr>
            <w:rStyle w:val="Hyperlink"/>
            <w:lang w:val="pt-PT"/>
          </w:rPr>
          <w:t>2009/73/EC</w:t>
        </w:r>
      </w:hyperlink>
      <w:r>
        <w:rPr>
          <w:rStyle w:val="Hyperlink"/>
          <w:lang w:val="pt-PT"/>
        </w:rPr>
        <w:t>.</w:t>
      </w:r>
    </w:p>
  </w:footnote>
  <w:footnote w:id="66">
    <w:p>
      <w:pPr>
        <w:pStyle w:val="FootnoteText"/>
        <w:rPr>
          <w:lang w:val="pt-PT"/>
        </w:rPr>
      </w:pPr>
      <w:r>
        <w:rPr>
          <w:rStyle w:val="FootnoteReference"/>
        </w:rPr>
        <w:footnoteRef/>
      </w:r>
      <w:r>
        <w:rPr>
          <w:lang w:val="pt-PT"/>
        </w:rPr>
        <w:t xml:space="preserve"> </w:t>
      </w:r>
      <w:r>
        <w:rPr>
          <w:lang w:val="pt-PT"/>
        </w:rPr>
        <w:tab/>
        <w:t xml:space="preserve">Directive </w:t>
      </w:r>
      <w:hyperlink r:id="rId99" w:history="1">
        <w:r>
          <w:rPr>
            <w:rStyle w:val="Hyperlink"/>
            <w:lang w:val="pt-PT"/>
          </w:rPr>
          <w:t>2014/104/EU</w:t>
        </w:r>
      </w:hyperlink>
      <w:r>
        <w:rPr>
          <w:lang w:val="pt-PT"/>
        </w:rPr>
        <w:t xml:space="preserve">, </w:t>
      </w:r>
      <w:hyperlink r:id="rId100" w:history="1">
        <w:r>
          <w:rPr>
            <w:rStyle w:val="Hyperlink"/>
            <w:lang w:val="pt-PT"/>
          </w:rPr>
          <w:t>MEMO/18/1444</w:t>
        </w:r>
      </w:hyperlink>
      <w:r>
        <w:rPr>
          <w:rStyle w:val="Hyperlink"/>
          <w:lang w:val="pt-PT"/>
        </w:rPr>
        <w:t>.</w:t>
      </w:r>
    </w:p>
  </w:footnote>
  <w:footnote w:id="67">
    <w:p>
      <w:pPr>
        <w:pStyle w:val="FootnoteText"/>
        <w:rPr>
          <w:szCs w:val="18"/>
          <w:lang w:val="pt-PT"/>
        </w:rPr>
      </w:pPr>
      <w:r>
        <w:rPr>
          <w:rStyle w:val="FootnoteReference"/>
          <w:szCs w:val="18"/>
        </w:rPr>
        <w:footnoteRef/>
      </w:r>
      <w:r>
        <w:rPr>
          <w:szCs w:val="18"/>
          <w:lang w:val="pt-PT"/>
        </w:rPr>
        <w:t xml:space="preserve"> </w:t>
      </w:r>
      <w:r>
        <w:rPr>
          <w:szCs w:val="18"/>
          <w:lang w:val="pt-PT"/>
        </w:rPr>
        <w:tab/>
        <w:t>These rulings are almost exclusively handed down in infringement procedures.</w:t>
      </w:r>
    </w:p>
  </w:footnote>
  <w:footnote w:id="68">
    <w:p>
      <w:pPr>
        <w:pStyle w:val="FootnoteText"/>
        <w:rPr>
          <w:lang w:val="pt-PT"/>
        </w:rPr>
      </w:pPr>
      <w:r>
        <w:rPr>
          <w:rStyle w:val="FootnoteReference"/>
        </w:rPr>
        <w:footnoteRef/>
      </w:r>
      <w:r>
        <w:rPr>
          <w:lang w:val="pt-PT"/>
        </w:rPr>
        <w:t xml:space="preserve"> </w:t>
      </w:r>
      <w:r>
        <w:rPr>
          <w:lang w:val="pt-PT"/>
        </w:rPr>
        <w:tab/>
        <w:t xml:space="preserve">Directive </w:t>
      </w:r>
      <w:hyperlink r:id="rId101" w:history="1">
        <w:r>
          <w:rPr>
            <w:rStyle w:val="Hyperlink"/>
            <w:lang w:val="pt-PT"/>
          </w:rPr>
          <w:t>2001/29/EC</w:t>
        </w:r>
      </w:hyperlink>
      <w:r>
        <w:rPr>
          <w:lang w:val="pt-PT"/>
        </w:rPr>
        <w:t>, Levola Hengelo</w:t>
      </w:r>
      <w:r>
        <w:rPr>
          <w:rStyle w:val="affairetitle"/>
          <w:lang w:val="pt-PT"/>
        </w:rPr>
        <w:t>,</w:t>
      </w:r>
      <w:r>
        <w:rPr>
          <w:rStyle w:val="Hyperlink"/>
          <w:lang w:val="pt-PT"/>
        </w:rPr>
        <w:t xml:space="preserve"> </w:t>
      </w:r>
      <w:hyperlink r:id="rId102" w:history="1">
        <w:r>
          <w:rPr>
            <w:rStyle w:val="Hyperlink"/>
            <w:lang w:val="pt-PT"/>
          </w:rPr>
          <w:t>C-310/17</w:t>
        </w:r>
      </w:hyperlink>
      <w:r>
        <w:rPr>
          <w:rStyle w:val="affairetitle"/>
          <w:lang w:val="pt-PT"/>
        </w:rPr>
        <w:t>.</w:t>
      </w:r>
    </w:p>
  </w:footnote>
  <w:footnote w:id="69">
    <w:p>
      <w:pPr>
        <w:pStyle w:val="FootnoteText"/>
        <w:rPr>
          <w:lang w:val="pt-PT"/>
        </w:rPr>
      </w:pPr>
      <w:r>
        <w:rPr>
          <w:rStyle w:val="FootnoteReference"/>
        </w:rPr>
        <w:footnoteRef/>
      </w:r>
      <w:r>
        <w:rPr>
          <w:lang w:val="pt-PT"/>
        </w:rPr>
        <w:t xml:space="preserve"> </w:t>
      </w:r>
      <w:r>
        <w:rPr>
          <w:lang w:val="pt-PT"/>
        </w:rPr>
        <w:tab/>
        <w:t xml:space="preserve">Directive </w:t>
      </w:r>
      <w:hyperlink r:id="rId103" w:history="1">
        <w:r>
          <w:rPr>
            <w:rStyle w:val="Hyperlink"/>
            <w:lang w:val="pt-PT"/>
          </w:rPr>
          <w:t>2006/123/EC</w:t>
        </w:r>
      </w:hyperlink>
      <w:r>
        <w:rPr>
          <w:lang w:val="pt-PT"/>
        </w:rPr>
        <w:t xml:space="preserve">. </w:t>
      </w:r>
    </w:p>
  </w:footnote>
  <w:footnote w:id="70">
    <w:p>
      <w:pPr>
        <w:pStyle w:val="FootnoteText"/>
      </w:pPr>
      <w:r>
        <w:rPr>
          <w:rStyle w:val="FootnoteReference"/>
        </w:rPr>
        <w:footnoteRef/>
      </w:r>
      <w:r>
        <w:t xml:space="preserve"> </w:t>
      </w:r>
      <w:r>
        <w:tab/>
        <w:t xml:space="preserve">joinedJoined cases: X, </w:t>
      </w:r>
      <w:hyperlink r:id="rId104" w:history="1">
        <w:r>
          <w:rPr>
            <w:rStyle w:val="Hyperlink"/>
          </w:rPr>
          <w:t>C-360/15</w:t>
        </w:r>
      </w:hyperlink>
      <w:r>
        <w:rPr>
          <w:rStyle w:val="affairetitle"/>
        </w:rPr>
        <w:t xml:space="preserve"> </w:t>
      </w:r>
      <w:r>
        <w:t xml:space="preserve">and </w:t>
      </w:r>
      <w:r>
        <w:rPr>
          <w:rStyle w:val="affairetitle"/>
        </w:rPr>
        <w:t>Visser Vastgoed Beleggingen,</w:t>
      </w:r>
      <w:r>
        <w:rPr>
          <w:rStyle w:val="Hyperlink"/>
        </w:rPr>
        <w:t xml:space="preserve"> </w:t>
      </w:r>
      <w:hyperlink r:id="rId105" w:history="1">
        <w:r>
          <w:rPr>
            <w:rStyle w:val="Hyperlink"/>
          </w:rPr>
          <w:t>C-31/16</w:t>
        </w:r>
      </w:hyperlink>
      <w:r>
        <w:t>.</w:t>
      </w:r>
    </w:p>
  </w:footnote>
  <w:footnote w:id="71">
    <w:p>
      <w:pPr>
        <w:pStyle w:val="FootnoteText"/>
      </w:pPr>
      <w:r>
        <w:rPr>
          <w:rStyle w:val="FootnoteReference"/>
        </w:rPr>
        <w:footnoteRef/>
      </w:r>
      <w:r>
        <w:t xml:space="preserve"> </w:t>
      </w:r>
      <w:r>
        <w:tab/>
        <w:t xml:space="preserve">Joint cases: K, </w:t>
      </w:r>
      <w:hyperlink r:id="rId106" w:history="1">
        <w:r>
          <w:rPr>
            <w:rStyle w:val="Hyperlink"/>
          </w:rPr>
          <w:t>C-331/16 and H., C-366/16</w:t>
        </w:r>
      </w:hyperlink>
      <w:r>
        <w:rPr>
          <w:rStyle w:val="Hyperlink"/>
        </w:rPr>
        <w:t>.</w:t>
      </w:r>
    </w:p>
  </w:footnote>
  <w:footnote w:id="72">
    <w:p>
      <w:pPr>
        <w:pStyle w:val="FootnoteText"/>
      </w:pPr>
      <w:r>
        <w:rPr>
          <w:rStyle w:val="FootnoteReference"/>
        </w:rPr>
        <w:footnoteRef/>
      </w:r>
      <w:r>
        <w:t xml:space="preserve"> </w:t>
      </w:r>
      <w:r>
        <w:tab/>
        <w:t xml:space="preserve">X, </w:t>
      </w:r>
      <w:hyperlink r:id="rId107" w:history="1">
        <w:r>
          <w:rPr>
            <w:rStyle w:val="Hyperlink"/>
          </w:rPr>
          <w:t>C-213/17</w:t>
        </w:r>
      </w:hyperlink>
      <w:r>
        <w:rPr>
          <w:rStyle w:val="Hyperlink"/>
        </w:rPr>
        <w:t>,</w:t>
      </w:r>
      <w:r>
        <w:t xml:space="preserve"> Regulation No </w:t>
      </w:r>
      <w:hyperlink r:id="rId108" w:history="1">
        <w:r>
          <w:rPr>
            <w:rStyle w:val="Hyperlink"/>
          </w:rPr>
          <w:t>604/2013</w:t>
        </w:r>
      </w:hyperlink>
      <w:r>
        <w:t>.</w:t>
      </w:r>
    </w:p>
  </w:footnote>
  <w:footnote w:id="73">
    <w:p>
      <w:pPr>
        <w:pStyle w:val="FootnoteText"/>
        <w:rPr>
          <w:lang w:val="en-US"/>
        </w:rPr>
      </w:pPr>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r>
      <w:r>
        <w:rPr>
          <w:rStyle w:val="affairetitle"/>
        </w:rPr>
        <w:t>A and S</w:t>
      </w:r>
      <w:r>
        <w:rPr>
          <w:rStyle w:val="Hyperlink"/>
          <w:lang w:val="en-US"/>
        </w:rPr>
        <w:t>, C-550/16.</w:t>
      </w:r>
    </w:p>
  </w:footnote>
  <w:footnote w:id="74">
    <w:p>
      <w:pPr>
        <w:pStyle w:val="FootnoteText"/>
        <w:rPr>
          <w:lang w:val="en-US"/>
        </w:rPr>
      </w:pPr>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r>
      <w:r>
        <w:rPr>
          <w:rStyle w:val="affairetitle"/>
        </w:rPr>
        <w:t>C and A</w:t>
      </w:r>
      <w:r>
        <w:rPr>
          <w:rStyle w:val="Hyperlink"/>
          <w:lang w:val="en-US"/>
        </w:rPr>
        <w:t xml:space="preserve">, </w:t>
      </w:r>
      <w:hyperlink r:id="rId109" w:history="1">
        <w:r>
          <w:rPr>
            <w:rStyle w:val="Hyperlink"/>
            <w:lang w:val="en-US"/>
          </w:rPr>
          <w:t>C-257/17</w:t>
        </w:r>
      </w:hyperlink>
      <w:r>
        <w:rPr>
          <w:rStyle w:val="Hyperlink"/>
          <w:lang w:val="en-US"/>
        </w:rPr>
        <w:t xml:space="preserve"> and K, </w:t>
      </w:r>
      <w:hyperlink r:id="rId110" w:history="1">
        <w:r>
          <w:rPr>
            <w:rStyle w:val="Hyperlink"/>
            <w:lang w:val="en-US"/>
          </w:rPr>
          <w:t>C-484/17</w:t>
        </w:r>
      </w:hyperlink>
      <w:r>
        <w:rPr>
          <w:rStyle w:val="Hyperlink"/>
          <w:lang w:val="en-US"/>
        </w:rPr>
        <w:t>.</w:t>
      </w:r>
    </w:p>
  </w:footnote>
  <w:footnote w:id="75">
    <w:p>
      <w:pPr>
        <w:pStyle w:val="FootnoteText"/>
        <w:rPr>
          <w:lang w:val="en-US"/>
        </w:rPr>
      </w:pPr>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r>
      <w:r>
        <w:rPr>
          <w:rStyle w:val="affairetitle"/>
        </w:rPr>
        <w:t>K and B</w:t>
      </w:r>
      <w:r>
        <w:rPr>
          <w:rStyle w:val="Hyperlink"/>
          <w:lang w:val="en-US"/>
        </w:rPr>
        <w:t xml:space="preserve">, </w:t>
      </w:r>
      <w:hyperlink r:id="rId111" w:history="1">
        <w:r>
          <w:rPr>
            <w:rStyle w:val="Hyperlink"/>
            <w:lang w:val="en-US"/>
          </w:rPr>
          <w:t>C</w:t>
        </w:r>
        <w:r>
          <w:rPr>
            <w:rStyle w:val="Hyperlink"/>
            <w:rFonts w:ascii="Cambria Math" w:hAnsi="Cambria Math"/>
            <w:lang w:val="en-US"/>
          </w:rPr>
          <w:noBreakHyphen/>
        </w:r>
        <w:r>
          <w:rPr>
            <w:rStyle w:val="Hyperlink"/>
            <w:lang w:val="en-US"/>
          </w:rPr>
          <w:t>380/17</w:t>
        </w:r>
      </w:hyperlink>
      <w:r>
        <w:rPr>
          <w:rStyle w:val="Hyperlink"/>
          <w:lang w:val="en-US"/>
        </w:rPr>
        <w:t>.</w:t>
      </w:r>
    </w:p>
  </w:footnote>
  <w:footnote w:id="76">
    <w:p>
      <w:pPr>
        <w:pStyle w:val="FootnoteText"/>
        <w:rPr>
          <w:szCs w:val="18"/>
          <w:lang w:val="en-IE"/>
        </w:rPr>
      </w:pPr>
      <w:r>
        <w:rPr>
          <w:rStyle w:val="FootnoteReference"/>
          <w:szCs w:val="18"/>
        </w:rPr>
        <w:footnoteRef/>
      </w:r>
      <w:r>
        <w:rPr>
          <w:szCs w:val="18"/>
          <w:lang w:val="en-IE"/>
        </w:rPr>
        <w:t xml:space="preserve"> </w:t>
      </w:r>
      <w:r>
        <w:rPr>
          <w:szCs w:val="18"/>
          <w:lang w:val="en-IE"/>
        </w:rPr>
        <w:tab/>
        <w:t xml:space="preserve">Directive </w:t>
      </w:r>
      <w:hyperlink r:id="rId112" w:history="1">
        <w:r>
          <w:rPr>
            <w:rStyle w:val="Hyperlink"/>
            <w:szCs w:val="18"/>
            <w:lang w:val="en-IE"/>
          </w:rPr>
          <w:t>2005/36/EC</w:t>
        </w:r>
      </w:hyperlink>
      <w:r>
        <w:rPr>
          <w:szCs w:val="18"/>
          <w:lang w:val="en-IE"/>
        </w:rPr>
        <w:t xml:space="preserve">, </w:t>
      </w:r>
      <w:hyperlink r:id="rId113" w:history="1">
        <w:r>
          <w:rPr>
            <w:rStyle w:val="Hyperlink"/>
            <w:lang w:val="en-IE"/>
          </w:rPr>
          <w:t>MEMO/18/4486</w:t>
        </w:r>
      </w:hyperlink>
      <w:r>
        <w:rPr>
          <w:rStyle w:val="Hyperlink"/>
          <w:lang w:val="en-IE"/>
        </w:rPr>
        <w:t>.</w:t>
      </w:r>
    </w:p>
  </w:footnote>
  <w:footnote w:id="77">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4" w:history="1">
        <w:r>
          <w:rPr>
            <w:rStyle w:val="Hyperlink"/>
            <w:szCs w:val="18"/>
            <w:lang w:val="pt-PT"/>
          </w:rPr>
          <w:t>2012/27/EU</w:t>
        </w:r>
      </w:hyperlink>
      <w:r>
        <w:rPr>
          <w:rStyle w:val="Hyperlink"/>
          <w:szCs w:val="18"/>
          <w:lang w:val="pt-PT"/>
        </w:rPr>
        <w:t>,</w:t>
      </w:r>
      <w:r>
        <w:rPr>
          <w:szCs w:val="18"/>
          <w:lang w:val="pt-PT"/>
        </w:rPr>
        <w:t xml:space="preserve"> </w:t>
      </w:r>
      <w:hyperlink r:id="rId115" w:history="1">
        <w:r>
          <w:rPr>
            <w:rStyle w:val="Hyperlink"/>
            <w:szCs w:val="18"/>
            <w:lang w:val="pt-PT"/>
          </w:rPr>
          <w:t>MEMO/18/1444</w:t>
        </w:r>
      </w:hyperlink>
      <w:r>
        <w:rPr>
          <w:szCs w:val="18"/>
          <w:lang w:val="pt-PT"/>
        </w:rPr>
        <w:t>.</w:t>
      </w:r>
    </w:p>
  </w:footnote>
  <w:footnote w:id="78">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6" w:history="1">
        <w:r>
          <w:rPr>
            <w:rStyle w:val="Hyperlink"/>
            <w:szCs w:val="18"/>
            <w:lang w:val="pt-PT"/>
          </w:rPr>
          <w:t>2012/27/EU</w:t>
        </w:r>
      </w:hyperlink>
      <w:r>
        <w:rPr>
          <w:szCs w:val="18"/>
          <w:lang w:val="pt-PT"/>
        </w:rPr>
        <w:t xml:space="preserve">, </w:t>
      </w:r>
      <w:hyperlink r:id="rId117" w:history="1">
        <w:r>
          <w:rPr>
            <w:rStyle w:val="Hyperlink"/>
            <w:szCs w:val="18"/>
            <w:lang w:val="pt-PT"/>
          </w:rPr>
          <w:t>MEMO/18/6247</w:t>
        </w:r>
      </w:hyperlink>
      <w:r>
        <w:rPr>
          <w:rStyle w:val="Hyperlink"/>
          <w:szCs w:val="18"/>
          <w:lang w:val="pt-PT"/>
        </w:rPr>
        <w:t>.</w:t>
      </w:r>
    </w:p>
  </w:footnote>
  <w:footnote w:id="79">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8" w:history="1">
        <w:r>
          <w:rPr>
            <w:rStyle w:val="Hyperlink"/>
            <w:szCs w:val="18"/>
            <w:lang w:val="pt-PT"/>
          </w:rPr>
          <w:t>2011/70/Euratom</w:t>
        </w:r>
      </w:hyperlink>
      <w:r>
        <w:rPr>
          <w:szCs w:val="18"/>
          <w:lang w:val="pt-PT"/>
        </w:rPr>
        <w:t xml:space="preserve">, </w:t>
      </w:r>
      <w:hyperlink r:id="rId119" w:history="1">
        <w:r>
          <w:rPr>
            <w:rStyle w:val="Hyperlink"/>
            <w:szCs w:val="18"/>
            <w:lang w:val="pt-PT"/>
          </w:rPr>
          <w:t>MEMO/18/3446</w:t>
        </w:r>
      </w:hyperlink>
      <w:r>
        <w:rPr>
          <w:rStyle w:val="Hyperlink"/>
          <w:szCs w:val="18"/>
          <w:lang w:val="pt-PT"/>
        </w:rPr>
        <w:t>.</w:t>
      </w:r>
    </w:p>
  </w:footnote>
  <w:footnote w:id="80">
    <w:p>
      <w:pPr>
        <w:pStyle w:val="FootnoteText"/>
        <w:rPr>
          <w:szCs w:val="18"/>
          <w:lang w:val="pt-PT"/>
        </w:rPr>
      </w:pPr>
      <w:r>
        <w:rPr>
          <w:rStyle w:val="FootnoteReference"/>
          <w:szCs w:val="18"/>
        </w:rPr>
        <w:footnoteRef/>
      </w:r>
      <w:r>
        <w:rPr>
          <w:szCs w:val="18"/>
          <w:lang w:val="pt-PT"/>
        </w:rPr>
        <w:t xml:space="preserve"> </w:t>
      </w:r>
      <w:r>
        <w:rPr>
          <w:szCs w:val="18"/>
          <w:lang w:val="pt-PT"/>
        </w:rPr>
        <w:tab/>
      </w:r>
      <w:r>
        <w:rPr>
          <w:lang w:val="pt-PT"/>
        </w:rPr>
        <w:t xml:space="preserve">Directive </w:t>
      </w:r>
      <w:hyperlink r:id="rId120" w:history="1">
        <w:r>
          <w:rPr>
            <w:rStyle w:val="Hyperlink"/>
            <w:lang w:val="pt-PT"/>
          </w:rPr>
          <w:t>2011/92/EU</w:t>
        </w:r>
      </w:hyperlink>
      <w:r>
        <w:rPr>
          <w:lang w:val="pt-PT"/>
        </w:rPr>
        <w:t>.</w:t>
      </w:r>
    </w:p>
  </w:footnote>
  <w:footnote w:id="81">
    <w:p>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121" w:history="1">
        <w:r>
          <w:rPr>
            <w:rStyle w:val="Hyperlink"/>
            <w:lang w:val="fr-BE"/>
          </w:rPr>
          <w:t>92/43/EEC</w:t>
        </w:r>
      </w:hyperlink>
      <w:r>
        <w:rPr>
          <w:rStyle w:val="Hyperlink"/>
          <w:lang w:val="fr-BE"/>
        </w:rPr>
        <w:t>.</w:t>
      </w:r>
    </w:p>
  </w:footnote>
  <w:footnote w:id="82">
    <w:p>
      <w:pPr>
        <w:pStyle w:val="FootnoteText"/>
        <w:rPr>
          <w:lang w:val="fr-BE"/>
        </w:rPr>
      </w:pPr>
      <w:r>
        <w:rPr>
          <w:rStyle w:val="FootnoteReference"/>
        </w:rPr>
        <w:footnoteRef/>
      </w:r>
      <w:r>
        <w:rPr>
          <w:lang w:val="fr-BE"/>
        </w:rPr>
        <w:t xml:space="preserve"> </w:t>
      </w:r>
      <w:r>
        <w:rPr>
          <w:lang w:val="fr-BE"/>
        </w:rPr>
        <w:tab/>
        <w:t xml:space="preserve">Directive </w:t>
      </w:r>
      <w:hyperlink r:id="rId122" w:history="1">
        <w:r>
          <w:rPr>
            <w:rStyle w:val="Hyperlink"/>
            <w:lang w:val="fr-BE"/>
          </w:rPr>
          <w:t>92/43/EEC</w:t>
        </w:r>
      </w:hyperlink>
      <w:r>
        <w:rPr>
          <w:szCs w:val="18"/>
          <w:lang w:val="fr-BE"/>
        </w:rPr>
        <w:t>.</w:t>
      </w:r>
    </w:p>
  </w:footnote>
  <w:footnote w:id="83">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123" w:history="1">
        <w:r>
          <w:rPr>
            <w:rStyle w:val="Hyperlink"/>
            <w:lang w:val="fr-BE"/>
          </w:rPr>
          <w:t>2015/2366/EU</w:t>
        </w:r>
      </w:hyperlink>
      <w:r>
        <w:rPr>
          <w:lang w:val="fr-BE"/>
        </w:rPr>
        <w:t>.</w:t>
      </w:r>
    </w:p>
  </w:footnote>
  <w:footnote w:id="84">
    <w:p>
      <w:pPr>
        <w:pStyle w:val="FootnoteText"/>
        <w:rPr>
          <w:szCs w:val="18"/>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124" w:history="1">
        <w:r>
          <w:rPr>
            <w:rStyle w:val="Hyperlink"/>
            <w:lang w:val="fr-BE"/>
          </w:rPr>
          <w:t>2016/97/EU</w:t>
        </w:r>
      </w:hyperlink>
      <w:r>
        <w:rPr>
          <w:lang w:val="fr-BE"/>
        </w:rPr>
        <w:t>.</w:t>
      </w:r>
    </w:p>
  </w:footnote>
  <w:footnote w:id="85">
    <w:p>
      <w:pPr>
        <w:pStyle w:val="FootnoteText"/>
        <w:rPr>
          <w:szCs w:val="18"/>
          <w:lang w:val="fr-BE"/>
        </w:rPr>
      </w:pPr>
      <w:r>
        <w:rPr>
          <w:rStyle w:val="FootnoteReference"/>
          <w:szCs w:val="18"/>
        </w:rPr>
        <w:footnoteRef/>
      </w:r>
      <w:r>
        <w:rPr>
          <w:szCs w:val="18"/>
          <w:lang w:val="fr-BE"/>
        </w:rPr>
        <w:t xml:space="preserve"> </w:t>
      </w:r>
      <w:r>
        <w:rPr>
          <w:szCs w:val="18"/>
          <w:lang w:val="fr-BE"/>
        </w:rPr>
        <w:tab/>
      </w:r>
      <w:r>
        <w:rPr>
          <w:lang w:val="fr-BE"/>
        </w:rPr>
        <w:t xml:space="preserve">Directive </w:t>
      </w:r>
      <w:hyperlink r:id="rId125" w:history="1">
        <w:r>
          <w:rPr>
            <w:rStyle w:val="Hyperlink"/>
            <w:lang w:val="fr-BE"/>
          </w:rPr>
          <w:t>2016/1148/EU</w:t>
        </w:r>
      </w:hyperlink>
      <w:r>
        <w:rPr>
          <w:lang w:val="fr-BE"/>
        </w:rPr>
        <w:t>.</w:t>
      </w:r>
    </w:p>
  </w:footnote>
  <w:footnote w:id="86">
    <w:p>
      <w:pPr>
        <w:pStyle w:val="FootnoteText"/>
        <w:rPr>
          <w:szCs w:val="18"/>
          <w:lang w:val="fr-BE"/>
        </w:rPr>
      </w:pPr>
      <w:r>
        <w:rPr>
          <w:rStyle w:val="FootnoteReference"/>
          <w:szCs w:val="18"/>
        </w:rPr>
        <w:footnoteRef/>
      </w:r>
      <w:r>
        <w:rPr>
          <w:szCs w:val="18"/>
          <w:lang w:val="fr-BE"/>
        </w:rPr>
        <w:t xml:space="preserve"> </w:t>
      </w:r>
      <w:r>
        <w:rPr>
          <w:szCs w:val="18"/>
          <w:lang w:val="fr-BE"/>
        </w:rPr>
        <w:tab/>
      </w:r>
      <w:r>
        <w:rPr>
          <w:rFonts w:cs="Arial"/>
          <w:szCs w:val="18"/>
          <w:lang w:val="fr-BE"/>
        </w:rPr>
        <w:t xml:space="preserve">Directive </w:t>
      </w:r>
      <w:hyperlink r:id="rId126" w:history="1">
        <w:r>
          <w:rPr>
            <w:rStyle w:val="Hyperlink"/>
            <w:rFonts w:cs="Arial"/>
            <w:szCs w:val="18"/>
            <w:lang w:val="fr-BE"/>
          </w:rPr>
          <w:t>2016/2102/EU</w:t>
        </w:r>
      </w:hyperlink>
      <w:r>
        <w:rPr>
          <w:rFonts w:cs="Arial"/>
          <w:szCs w:val="18"/>
          <w:lang w:val="fr-BE"/>
        </w:rPr>
        <w:t>.</w:t>
      </w:r>
    </w:p>
  </w:footnote>
  <w:footnote w:id="87">
    <w:p>
      <w:pPr>
        <w:pStyle w:val="FootnoteText"/>
      </w:pPr>
      <w:r>
        <w:rPr>
          <w:rStyle w:val="FootnoteReference"/>
        </w:rPr>
        <w:footnoteRef/>
      </w:r>
      <w:r>
        <w:t xml:space="preserve"> </w:t>
      </w:r>
      <w:r>
        <w:tab/>
        <w:t xml:space="preserve">Directive </w:t>
      </w:r>
      <w:hyperlink r:id="rId127" w:history="1">
        <w:r>
          <w:rPr>
            <w:rStyle w:val="Hyperlink"/>
          </w:rPr>
          <w:t>2015/2193/EU</w:t>
        </w:r>
      </w:hyperlink>
      <w:r>
        <w:t>.</w:t>
      </w:r>
    </w:p>
  </w:footnote>
  <w:footnote w:id="88">
    <w:p>
      <w:pPr>
        <w:pStyle w:val="FootnoteText"/>
      </w:pPr>
      <w:r>
        <w:rPr>
          <w:rStyle w:val="FootnoteReference"/>
        </w:rPr>
        <w:footnoteRef/>
      </w:r>
      <w:r>
        <w:t xml:space="preserve"> </w:t>
      </w:r>
      <w:r>
        <w:tab/>
      </w:r>
      <w:r>
        <w:rPr>
          <w:szCs w:val="18"/>
        </w:rPr>
        <w:t xml:space="preserve">Directive </w:t>
      </w:r>
      <w:hyperlink r:id="rId128" w:history="1">
        <w:r>
          <w:rPr>
            <w:rStyle w:val="Hyperlink"/>
            <w:rFonts w:cs="Arial"/>
            <w:szCs w:val="18"/>
          </w:rPr>
          <w:t>2016/2284</w:t>
        </w:r>
      </w:hyperlink>
      <w:r>
        <w:rPr>
          <w:rFonts w:cs="Arial"/>
          <w:szCs w:val="18"/>
        </w:rPr>
        <w:t>.</w:t>
      </w:r>
    </w:p>
  </w:footnote>
  <w:footnote w:id="89">
    <w:p>
      <w:pPr>
        <w:pStyle w:val="FootnoteText"/>
        <w:jc w:val="both"/>
        <w:rPr>
          <w:lang w:val="en-IE"/>
        </w:rPr>
      </w:pPr>
      <w:r>
        <w:rPr>
          <w:rStyle w:val="FootnoteReference"/>
        </w:rPr>
        <w:footnoteRef/>
      </w:r>
      <w:r>
        <w:rPr>
          <w:lang w:val="en-IE"/>
        </w:rPr>
        <w:t xml:space="preserve"> </w:t>
      </w:r>
      <w:r>
        <w:rPr>
          <w:lang w:val="en-IE"/>
        </w:rPr>
        <w:tab/>
        <w:t xml:space="preserve">Directive </w:t>
      </w:r>
      <w:hyperlink r:id="rId129" w:history="1">
        <w:r>
          <w:rPr>
            <w:rStyle w:val="Hyperlink"/>
            <w:lang w:val="en-IE"/>
          </w:rPr>
          <w:t>2011/70/Euratom</w:t>
        </w:r>
      </w:hyperlink>
      <w:r>
        <w:rPr>
          <w:rStyle w:val="Hyperlink"/>
          <w:lang w:val="en-IE"/>
        </w:rPr>
        <w:t xml:space="preserve">, </w:t>
      </w:r>
      <w:r>
        <w:rPr>
          <w:rStyle w:val="affairetitle"/>
          <w:lang w:val="en-IE"/>
        </w:rPr>
        <w:t xml:space="preserve">Commission v Austria; </w:t>
      </w:r>
      <w:hyperlink r:id="rId130" w:history="1">
        <w:r>
          <w:rPr>
            <w:rStyle w:val="Hyperlink"/>
            <w:lang w:val="en-IE"/>
          </w:rPr>
          <w:t>C-487/18</w:t>
        </w:r>
      </w:hyperlink>
      <w:r>
        <w:rPr>
          <w:rStyle w:val="Hyperlink"/>
          <w:lang w:val="en-IE"/>
        </w:rPr>
        <w:t xml:space="preserve">, </w:t>
      </w:r>
      <w:hyperlink r:id="rId131" w:history="1">
        <w:r>
          <w:rPr>
            <w:rStyle w:val="Hyperlink"/>
            <w:lang w:val="en-US"/>
          </w:rPr>
          <w:t>MEMO/18/3446</w:t>
        </w:r>
      </w:hyperlink>
      <w:r>
        <w:rPr>
          <w:rStyle w:val="Hyperlink"/>
          <w:lang w:val="en-IE"/>
        </w:rPr>
        <w:t xml:space="preserve">. </w:t>
      </w:r>
      <w:r>
        <w:rPr>
          <w:rStyle w:val="Hyperlink"/>
          <w:color w:val="auto"/>
          <w:u w:val="none"/>
          <w:lang w:val="en-US"/>
        </w:rPr>
        <w:t>Austria subsequently took the necessary steps to notify its national programme and the Commission has therefore withdrawn this case from the Court.</w:t>
      </w:r>
    </w:p>
  </w:footnote>
  <w:footnote w:id="90">
    <w:p>
      <w:pPr>
        <w:pStyle w:val="FootnoteText"/>
      </w:pPr>
      <w:r>
        <w:rPr>
          <w:rStyle w:val="FootnoteReference"/>
        </w:rPr>
        <w:footnoteRef/>
      </w:r>
      <w:r>
        <w:t xml:space="preserve"> </w:t>
      </w:r>
      <w:r>
        <w:tab/>
        <w:t xml:space="preserve">Directive </w:t>
      </w:r>
      <w:hyperlink r:id="rId132" w:history="1">
        <w:r>
          <w:rPr>
            <w:rStyle w:val="Hyperlink"/>
          </w:rPr>
          <w:t>2006/123/EC</w:t>
        </w:r>
      </w:hyperlink>
      <w:r>
        <w:t>.</w:t>
      </w:r>
    </w:p>
  </w:footnote>
  <w:footnote w:id="91">
    <w:p>
      <w:pPr>
        <w:pStyle w:val="FootnoteText"/>
      </w:pPr>
      <w:r>
        <w:rPr>
          <w:rStyle w:val="FootnoteReference"/>
        </w:rPr>
        <w:footnoteRef/>
      </w:r>
      <w:r>
        <w:t xml:space="preserve"> </w:t>
      </w:r>
      <w:r>
        <w:tab/>
      </w:r>
      <w:r>
        <w:rPr>
          <w:rStyle w:val="affairetitle"/>
        </w:rPr>
        <w:t>Commission v Austria,</w:t>
      </w:r>
      <w:r>
        <w:rPr>
          <w:rStyle w:val="affairetitle"/>
          <w:lang w:val="en-US"/>
        </w:rPr>
        <w:t xml:space="preserve"> </w:t>
      </w:r>
      <w:hyperlink r:id="rId133" w:history="1">
        <w:r>
          <w:rPr>
            <w:rStyle w:val="Hyperlink"/>
          </w:rPr>
          <w:t>C-209/18</w:t>
        </w:r>
      </w:hyperlink>
      <w:r>
        <w:rPr>
          <w:rStyle w:val="affairetitle"/>
        </w:rPr>
        <w:t>.</w:t>
      </w:r>
    </w:p>
  </w:footnote>
  <w:footnote w:id="92">
    <w:p>
      <w:pPr>
        <w:pStyle w:val="FootnoteText"/>
        <w:rPr>
          <w:lang w:val="en-US"/>
        </w:rPr>
      </w:pPr>
      <w:r>
        <w:rPr>
          <w:rStyle w:val="FootnoteReference"/>
        </w:rPr>
        <w:footnoteRef/>
      </w:r>
      <w:r>
        <w:rPr>
          <w:lang w:val="en-US"/>
        </w:rPr>
        <w:t xml:space="preserve"> </w:t>
      </w:r>
      <w:r>
        <w:rPr>
          <w:lang w:val="en-US"/>
        </w:rPr>
        <w:tab/>
        <w:t>Commission v Austria,</w:t>
      </w:r>
      <w:r>
        <w:rPr>
          <w:rStyle w:val="Hyperlink"/>
          <w:lang w:val="en-US"/>
        </w:rPr>
        <w:t xml:space="preserve"> </w:t>
      </w:r>
      <w:hyperlink r:id="rId134" w:history="1">
        <w:r>
          <w:rPr>
            <w:rStyle w:val="Hyperlink"/>
            <w:lang w:val="en-US"/>
          </w:rPr>
          <w:t>C-79/18</w:t>
        </w:r>
      </w:hyperlink>
      <w:r>
        <w:rPr>
          <w:rStyle w:val="Hyperlink"/>
          <w:lang w:val="en-US"/>
        </w:rPr>
        <w:t xml:space="preserve">. </w:t>
      </w:r>
      <w:r>
        <w:rPr>
          <w:rStyle w:val="Hyperlink"/>
          <w:color w:val="auto"/>
          <w:u w:val="none"/>
          <w:lang w:val="en-US"/>
        </w:rPr>
        <w:t>Austria subsequently took the necessary measures and the case has been withdrawn from the Court;</w:t>
      </w:r>
      <w:r>
        <w:t xml:space="preserve"> Directive </w:t>
      </w:r>
      <w:hyperlink r:id="rId135" w:history="1">
        <w:r>
          <w:rPr>
            <w:rStyle w:val="Hyperlink"/>
          </w:rPr>
          <w:t>2014/23/EU</w:t>
        </w:r>
      </w:hyperlink>
      <w:r>
        <w:t>.</w:t>
      </w:r>
    </w:p>
  </w:footnote>
  <w:footnote w:id="93">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Austria , </w:t>
      </w:r>
      <w:hyperlink r:id="rId136" w:history="1">
        <w:r>
          <w:rPr>
            <w:rStyle w:val="Hyperlink"/>
            <w:lang w:val="en-US"/>
          </w:rPr>
          <w:t>C-77/18</w:t>
        </w:r>
      </w:hyperlink>
      <w:r>
        <w:rPr>
          <w:rStyle w:val="Hyperlink"/>
          <w:lang w:val="en-US"/>
        </w:rPr>
        <w:t>.</w:t>
      </w:r>
      <w:r>
        <w:rPr>
          <w:rStyle w:val="affairetitle"/>
          <w:lang w:val="en-US"/>
        </w:rPr>
        <w:t xml:space="preserve"> Austria subsequently took the necessary measures and the case has been withdrawn from the Court.</w:t>
      </w:r>
      <w:r>
        <w:t xml:space="preserve"> Directive </w:t>
      </w:r>
      <w:hyperlink r:id="rId137" w:history="1">
        <w:r>
          <w:rPr>
            <w:rStyle w:val="Hyperlink"/>
          </w:rPr>
          <w:t>2014/24/EU</w:t>
        </w:r>
      </w:hyperlink>
      <w:r>
        <w:t>.</w:t>
      </w:r>
    </w:p>
  </w:footnote>
  <w:footnote w:id="94">
    <w:p>
      <w:pPr>
        <w:pStyle w:val="FootnoteText"/>
        <w:jc w:val="both"/>
        <w:rPr>
          <w:szCs w:val="18"/>
          <w:lang w:val="fr-BE"/>
        </w:rPr>
      </w:pPr>
      <w:r>
        <w:rPr>
          <w:rStyle w:val="FootnoteReference"/>
        </w:rPr>
        <w:footnoteRef/>
      </w:r>
      <w:r>
        <w:rPr>
          <w:lang w:val="en-US"/>
        </w:rPr>
        <w:t xml:space="preserve"> </w:t>
      </w:r>
      <w:r>
        <w:rPr>
          <w:lang w:val="en-US"/>
        </w:rPr>
        <w:tab/>
      </w:r>
      <w:r>
        <w:rPr>
          <w:rStyle w:val="affairetitle"/>
          <w:szCs w:val="18"/>
          <w:lang w:val="en-US"/>
        </w:rPr>
        <w:t xml:space="preserve">Commission v Austria, </w:t>
      </w:r>
      <w:hyperlink r:id="rId138" w:history="1">
        <w:r>
          <w:rPr>
            <w:rStyle w:val="Hyperlink"/>
            <w:szCs w:val="18"/>
            <w:lang w:val="en-US"/>
          </w:rPr>
          <w:t>C-76/18</w:t>
        </w:r>
      </w:hyperlink>
      <w:r>
        <w:rPr>
          <w:rStyle w:val="Hyperlink"/>
          <w:szCs w:val="18"/>
          <w:lang w:val="en-US"/>
        </w:rPr>
        <w:t>.</w:t>
      </w:r>
      <w:r>
        <w:rPr>
          <w:szCs w:val="18"/>
          <w:lang w:val="en-US"/>
        </w:rPr>
        <w:t xml:space="preserve"> Austria subsequently took the necessary measures and the case has been withdrawn from the Court.</w:t>
      </w:r>
      <w:r>
        <w:rPr>
          <w:szCs w:val="18"/>
        </w:rPr>
        <w:t xml:space="preserve"> </w:t>
      </w:r>
      <w:r>
        <w:rPr>
          <w:szCs w:val="18"/>
          <w:lang w:val="fr-BE"/>
        </w:rPr>
        <w:t xml:space="preserve">Directive </w:t>
      </w:r>
      <w:hyperlink r:id="rId139" w:history="1">
        <w:r>
          <w:rPr>
            <w:rStyle w:val="Hyperlink"/>
            <w:szCs w:val="18"/>
            <w:lang w:val="fr-BE"/>
          </w:rPr>
          <w:t>2014/25/EU</w:t>
        </w:r>
      </w:hyperlink>
      <w:r>
        <w:rPr>
          <w:szCs w:val="18"/>
          <w:lang w:val="fr-BE"/>
        </w:rPr>
        <w:t>.</w:t>
      </w:r>
    </w:p>
  </w:footnote>
  <w:footnote w:id="95">
    <w:p>
      <w:pPr>
        <w:pStyle w:val="FootnoteText"/>
        <w:jc w:val="both"/>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140" w:history="1">
        <w:r>
          <w:rPr>
            <w:rStyle w:val="Hyperlink"/>
            <w:szCs w:val="18"/>
            <w:lang w:val="fr-BE"/>
          </w:rPr>
          <w:t>652/2015/EC</w:t>
        </w:r>
      </w:hyperlink>
      <w:r>
        <w:rPr>
          <w:rStyle w:val="Hyperlink"/>
          <w:szCs w:val="18"/>
          <w:lang w:val="fr-BE"/>
        </w:rPr>
        <w:t>.</w:t>
      </w:r>
    </w:p>
  </w:footnote>
  <w:footnote w:id="96">
    <w:p>
      <w:pPr>
        <w:pStyle w:val="FootnoteText"/>
        <w:jc w:val="both"/>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141" w:history="1">
        <w:r>
          <w:rPr>
            <w:rStyle w:val="Hyperlink"/>
            <w:szCs w:val="18"/>
            <w:lang w:val="fr-BE"/>
          </w:rPr>
          <w:t>2014/36/EU</w:t>
        </w:r>
      </w:hyperlink>
      <w:r>
        <w:rPr>
          <w:szCs w:val="18"/>
          <w:lang w:val="fr-BE"/>
        </w:rPr>
        <w:t>.</w:t>
      </w:r>
    </w:p>
  </w:footnote>
  <w:footnote w:id="97">
    <w:p>
      <w:pPr>
        <w:pStyle w:val="FootnoteText"/>
        <w:jc w:val="both"/>
        <w:rPr>
          <w:szCs w:val="18"/>
          <w:lang w:val="fr-BE"/>
        </w:rPr>
      </w:pPr>
      <w:r>
        <w:rPr>
          <w:rStyle w:val="FootnoteReference"/>
          <w:szCs w:val="18"/>
        </w:rPr>
        <w:footnoteRef/>
      </w:r>
      <w:r>
        <w:rPr>
          <w:szCs w:val="18"/>
          <w:lang w:val="fr-BE"/>
        </w:rPr>
        <w:t xml:space="preserve"> </w:t>
      </w:r>
      <w:r>
        <w:rPr>
          <w:szCs w:val="18"/>
          <w:lang w:val="fr-BE"/>
        </w:rPr>
        <w:tab/>
        <w:t xml:space="preserve">Directive </w:t>
      </w:r>
      <w:hyperlink r:id="rId142" w:history="1">
        <w:r>
          <w:rPr>
            <w:rStyle w:val="Hyperlink"/>
            <w:szCs w:val="18"/>
            <w:lang w:val="fr-BE"/>
          </w:rPr>
          <w:t>2014/66/EU</w:t>
        </w:r>
      </w:hyperlink>
      <w:r>
        <w:rPr>
          <w:szCs w:val="18"/>
          <w:lang w:val="fr-BE"/>
        </w:rPr>
        <w:t>.</w:t>
      </w:r>
    </w:p>
  </w:footnote>
  <w:footnote w:id="98">
    <w:p>
      <w:pPr>
        <w:pStyle w:val="FootnoteText"/>
        <w:jc w:val="both"/>
        <w:rPr>
          <w:szCs w:val="18"/>
          <w:lang w:val="fr-BE"/>
        </w:rPr>
      </w:pPr>
      <w:r>
        <w:rPr>
          <w:rStyle w:val="FootnoteReference"/>
          <w:szCs w:val="18"/>
        </w:rPr>
        <w:footnoteRef/>
      </w:r>
      <w:r>
        <w:rPr>
          <w:szCs w:val="18"/>
          <w:lang w:val="fr-BE"/>
        </w:rPr>
        <w:t xml:space="preserve"> </w:t>
      </w:r>
      <w:r>
        <w:rPr>
          <w:szCs w:val="18"/>
          <w:lang w:val="fr-BE"/>
        </w:rPr>
        <w:tab/>
      </w:r>
      <w:hyperlink r:id="rId143" w:history="1">
        <w:r>
          <w:rPr>
            <w:rStyle w:val="Hyperlink"/>
            <w:lang w:val="fr-BE"/>
          </w:rPr>
          <w:t>MEMO/18/1444</w:t>
        </w:r>
      </w:hyperlink>
      <w:r>
        <w:rPr>
          <w:rStyle w:val="Hyperlink"/>
          <w:lang w:val="fr-BE"/>
        </w:rPr>
        <w:t>.</w:t>
      </w:r>
    </w:p>
  </w:footnote>
  <w:footnote w:id="99">
    <w:p>
      <w:pPr>
        <w:pStyle w:val="FootnoteText"/>
        <w:rPr>
          <w:lang w:val="fr-BE"/>
        </w:rPr>
      </w:pPr>
      <w:r>
        <w:rPr>
          <w:rStyle w:val="FootnoteReference"/>
        </w:rPr>
        <w:footnoteRef/>
      </w:r>
      <w:r>
        <w:rPr>
          <w:lang w:val="fr-BE"/>
        </w:rPr>
        <w:t xml:space="preserve"> </w:t>
      </w:r>
      <w:r>
        <w:rPr>
          <w:lang w:val="fr-BE"/>
        </w:rPr>
        <w:tab/>
        <w:t xml:space="preserve">Directive </w:t>
      </w:r>
      <w:hyperlink r:id="rId144" w:history="1">
        <w:r>
          <w:rPr>
            <w:rStyle w:val="Hyperlink"/>
            <w:lang w:val="fr-BE"/>
          </w:rPr>
          <w:t>2014/87/Euratom</w:t>
        </w:r>
      </w:hyperlink>
      <w:r>
        <w:rPr>
          <w:lang w:val="fr-BE"/>
        </w:rPr>
        <w:t>.</w:t>
      </w:r>
    </w:p>
  </w:footnote>
  <w:footnote w:id="100">
    <w:p>
      <w:pPr>
        <w:pStyle w:val="FootnoteText"/>
        <w:rPr>
          <w:rFonts w:cs="Arial"/>
          <w:szCs w:val="18"/>
        </w:rPr>
      </w:pPr>
      <w:r>
        <w:rPr>
          <w:rStyle w:val="FootnoteReference"/>
        </w:rPr>
        <w:footnoteRef/>
      </w:r>
      <w:r>
        <w:t xml:space="preserve"> </w:t>
      </w:r>
      <w:r>
        <w:tab/>
      </w:r>
      <w:r>
        <w:rPr>
          <w:rFonts w:cs="Arial"/>
          <w:szCs w:val="18"/>
        </w:rPr>
        <w:t>Commission v Austria,</w:t>
      </w:r>
      <w:r>
        <w:rPr>
          <w:rStyle w:val="Hyperlink"/>
          <w:rFonts w:cs="Arial"/>
          <w:szCs w:val="18"/>
        </w:rPr>
        <w:t xml:space="preserve"> </w:t>
      </w:r>
      <w:hyperlink r:id="rId145" w:history="1">
        <w:r>
          <w:rPr>
            <w:rStyle w:val="Hyperlink"/>
            <w:rFonts w:cs="Arial"/>
            <w:szCs w:val="18"/>
          </w:rPr>
          <w:t>C-187/16</w:t>
        </w:r>
      </w:hyperlink>
      <w:r>
        <w:rPr>
          <w:rStyle w:val="Hyperlink"/>
          <w:rFonts w:cs="Arial"/>
          <w:szCs w:val="18"/>
        </w:rPr>
        <w:t>.</w:t>
      </w:r>
    </w:p>
  </w:footnote>
  <w:footnote w:id="101">
    <w:p>
      <w:pPr>
        <w:pStyle w:val="FootnoteText"/>
        <w:rPr>
          <w:rFonts w:cs="Arial"/>
          <w:szCs w:val="18"/>
          <w:lang w:val="en-US"/>
        </w:rPr>
      </w:pPr>
      <w:r>
        <w:rPr>
          <w:rStyle w:val="FootnoteReference"/>
          <w:rFonts w:cs="Arial"/>
          <w:szCs w:val="18"/>
        </w:rPr>
        <w:footnoteRef/>
      </w:r>
      <w:r>
        <w:rPr>
          <w:rFonts w:cs="Arial"/>
          <w:szCs w:val="18"/>
        </w:rPr>
        <w:t xml:space="preserve"> </w:t>
      </w:r>
      <w:r>
        <w:rPr>
          <w:rFonts w:cs="Arial"/>
          <w:szCs w:val="18"/>
        </w:rPr>
        <w:tab/>
      </w:r>
      <w:r>
        <w:rPr>
          <w:lang w:val="en-US"/>
        </w:rPr>
        <w:t xml:space="preserve">Commission v Austria, </w:t>
      </w:r>
      <w:hyperlink r:id="rId146" w:history="1">
        <w:r>
          <w:rPr>
            <w:rStyle w:val="Hyperlink"/>
            <w:lang w:val="en-US"/>
          </w:rPr>
          <w:t>C-51/18</w:t>
        </w:r>
      </w:hyperlink>
      <w:r>
        <w:rPr>
          <w:lang w:val="en-US"/>
        </w:rPr>
        <w:t>.</w:t>
      </w:r>
    </w:p>
  </w:footnote>
  <w:footnote w:id="102">
    <w:p>
      <w:pPr>
        <w:pStyle w:val="FootnoteText"/>
        <w:rPr>
          <w:rFonts w:cs="Arial"/>
          <w:szCs w:val="18"/>
          <w:lang w:val="en-IE"/>
        </w:rPr>
      </w:pPr>
      <w:r>
        <w:rPr>
          <w:rStyle w:val="FootnoteReference"/>
          <w:rFonts w:cs="Arial"/>
          <w:szCs w:val="18"/>
        </w:rPr>
        <w:footnoteRef/>
      </w:r>
      <w:r>
        <w:rPr>
          <w:rFonts w:cs="Arial"/>
          <w:szCs w:val="18"/>
        </w:rPr>
        <w:t xml:space="preserve"> </w:t>
      </w:r>
      <w:r>
        <w:rPr>
          <w:rFonts w:cs="Arial"/>
          <w:szCs w:val="18"/>
          <w:lang w:val="en-IE"/>
        </w:rPr>
        <w:tab/>
      </w:r>
      <w:r>
        <w:rPr>
          <w:rStyle w:val="Hyperlink"/>
          <w:rFonts w:cs="Arial"/>
          <w:color w:val="auto"/>
          <w:szCs w:val="18"/>
          <w:u w:val="none"/>
          <w:lang w:val="en-IE"/>
        </w:rPr>
        <w:t>Alpenrind and Others,</w:t>
      </w:r>
      <w:hyperlink r:id="rId147" w:history="1">
        <w:r>
          <w:rPr>
            <w:rStyle w:val="Hyperlink"/>
            <w:rFonts w:cs="Arial"/>
            <w:szCs w:val="18"/>
            <w:lang w:val="en-IE"/>
          </w:rPr>
          <w:t>C-527/16</w:t>
        </w:r>
      </w:hyperlink>
      <w:r>
        <w:rPr>
          <w:rStyle w:val="Hyperlink"/>
          <w:rFonts w:cs="Arial"/>
          <w:szCs w:val="18"/>
          <w:lang w:val="en-IE"/>
        </w:rPr>
        <w:t>.</w:t>
      </w:r>
    </w:p>
  </w:footnote>
  <w:footnote w:id="103">
    <w:p>
      <w:pPr>
        <w:pStyle w:val="FootnoteText"/>
        <w:rPr>
          <w:rFonts w:cs="Arial"/>
          <w:szCs w:val="18"/>
          <w:lang w:val="pt-PT"/>
        </w:rPr>
      </w:pPr>
      <w:r>
        <w:rPr>
          <w:rStyle w:val="Caractresdenotedebasdepage"/>
          <w:rFonts w:cs="Arial"/>
          <w:szCs w:val="18"/>
          <w:vertAlign w:val="superscript"/>
        </w:rPr>
        <w:footnoteRef/>
      </w:r>
      <w:r>
        <w:rPr>
          <w:rStyle w:val="Caractresdenotedebasdepage"/>
          <w:rFonts w:cs="Arial"/>
          <w:szCs w:val="18"/>
          <w:lang w:val="pt-PT"/>
        </w:rPr>
        <w:t xml:space="preserve"> </w:t>
      </w:r>
      <w:r>
        <w:rPr>
          <w:rStyle w:val="Caractresdenotedebasdepage"/>
          <w:rFonts w:cs="Arial"/>
          <w:szCs w:val="18"/>
          <w:lang w:val="pt-PT"/>
        </w:rPr>
        <w:tab/>
      </w:r>
      <w:r>
        <w:rPr>
          <w:rFonts w:cs="Arial"/>
          <w:szCs w:val="18"/>
          <w:lang w:val="pt-PT"/>
        </w:rPr>
        <w:t xml:space="preserve">Regulation </w:t>
      </w:r>
      <w:hyperlink r:id="rId148">
        <w:r>
          <w:rPr>
            <w:rStyle w:val="LienInternet"/>
            <w:rFonts w:cs="Arial"/>
            <w:szCs w:val="18"/>
            <w:lang w:val="pt-PT"/>
          </w:rPr>
          <w:t>(EC) No 1370/2007</w:t>
        </w:r>
      </w:hyperlink>
      <w:r>
        <w:rPr>
          <w:rFonts w:cs="Arial"/>
          <w:szCs w:val="18"/>
          <w:lang w:val="pt-PT"/>
        </w:rPr>
        <w:t xml:space="preserve">, Directive </w:t>
      </w:r>
      <w:hyperlink r:id="rId149">
        <w:r>
          <w:rPr>
            <w:rStyle w:val="LienInternet"/>
            <w:rFonts w:cs="Arial"/>
            <w:szCs w:val="18"/>
            <w:lang w:val="pt-PT"/>
          </w:rPr>
          <w:t>2014/24/EU</w:t>
        </w:r>
      </w:hyperlink>
      <w:r>
        <w:rPr>
          <w:rFonts w:cs="Arial"/>
          <w:szCs w:val="18"/>
          <w:lang w:val="pt-PT"/>
        </w:rPr>
        <w:t xml:space="preserve"> and Directive </w:t>
      </w:r>
      <w:hyperlink r:id="rId150">
        <w:r>
          <w:rPr>
            <w:rStyle w:val="LienInternet"/>
            <w:rFonts w:cs="Arial"/>
            <w:szCs w:val="18"/>
            <w:lang w:val="pt-PT"/>
          </w:rPr>
          <w:t>2014/25/EU</w:t>
        </w:r>
      </w:hyperlink>
      <w:r>
        <w:rPr>
          <w:rFonts w:cs="Arial"/>
          <w:szCs w:val="18"/>
          <w:lang w:val="pt-PT"/>
        </w:rPr>
        <w:t xml:space="preserve">, Stefan Rudigier, </w:t>
      </w:r>
      <w:hyperlink r:id="rId151">
        <w:r>
          <w:rPr>
            <w:rStyle w:val="LienInternet"/>
            <w:rFonts w:cs="Arial"/>
            <w:szCs w:val="18"/>
            <w:lang w:val="pt-PT"/>
          </w:rPr>
          <w:t>C-518/17</w:t>
        </w:r>
      </w:hyperlink>
      <w:r>
        <w:rPr>
          <w:rFonts w:cs="Arial"/>
          <w:szCs w:val="18"/>
          <w:lang w:val="pt-PT"/>
        </w:rPr>
        <w:t>.</w:t>
      </w:r>
    </w:p>
  </w:footnote>
  <w:footnote w:id="104">
    <w:p>
      <w:pPr>
        <w:pStyle w:val="FootnoteText"/>
        <w:rPr>
          <w:rFonts w:cs="Arial"/>
          <w:szCs w:val="18"/>
          <w:lang w:val="de-DE"/>
        </w:rPr>
      </w:pPr>
      <w:r>
        <w:rPr>
          <w:rStyle w:val="FootnoteReference"/>
          <w:rFonts w:cs="Arial"/>
          <w:szCs w:val="18"/>
        </w:rPr>
        <w:footnoteRef/>
      </w:r>
      <w:r>
        <w:rPr>
          <w:rFonts w:cs="Arial"/>
          <w:szCs w:val="18"/>
          <w:lang w:val="de-DE"/>
        </w:rPr>
        <w:t xml:space="preserve"> </w:t>
      </w:r>
      <w:r>
        <w:rPr>
          <w:rFonts w:cs="Arial"/>
          <w:szCs w:val="18"/>
          <w:lang w:val="de-DE"/>
        </w:rPr>
        <w:tab/>
        <w:t xml:space="preserve">Kreuzmayr, </w:t>
      </w:r>
      <w:hyperlink r:id="rId152" w:history="1">
        <w:r>
          <w:rPr>
            <w:rStyle w:val="Hyperlink"/>
            <w:rFonts w:cs="Arial"/>
            <w:szCs w:val="18"/>
            <w:lang w:val="de-DE"/>
          </w:rPr>
          <w:t>C-628/16</w:t>
        </w:r>
      </w:hyperlink>
      <w:r>
        <w:rPr>
          <w:rFonts w:cs="Arial"/>
          <w:szCs w:val="18"/>
          <w:lang w:val="de-DE"/>
        </w:rPr>
        <w:t>.</w:t>
      </w:r>
    </w:p>
  </w:footnote>
  <w:footnote w:id="105">
    <w:p>
      <w:pPr>
        <w:pStyle w:val="FootnoteText"/>
        <w:rPr>
          <w:rFonts w:cs="Arial"/>
          <w:szCs w:val="18"/>
          <w:lang w:val="de-DE"/>
        </w:rPr>
      </w:pPr>
      <w:r>
        <w:rPr>
          <w:rStyle w:val="FootnoteReference"/>
          <w:rFonts w:cs="Arial"/>
          <w:szCs w:val="18"/>
        </w:rPr>
        <w:footnoteRef/>
      </w:r>
      <w:r>
        <w:rPr>
          <w:rFonts w:cs="Arial"/>
          <w:szCs w:val="18"/>
          <w:lang w:val="de-DE"/>
        </w:rPr>
        <w:t xml:space="preserve"> </w:t>
      </w:r>
      <w:r>
        <w:rPr>
          <w:rFonts w:cs="Arial"/>
          <w:szCs w:val="18"/>
          <w:lang w:val="de-DE"/>
        </w:rPr>
        <w:tab/>
        <w:t xml:space="preserve">Bastei Lübbe, </w:t>
      </w:r>
      <w:hyperlink r:id="rId153" w:history="1">
        <w:r>
          <w:rPr>
            <w:rStyle w:val="Hyperlink"/>
            <w:rFonts w:cs="Arial"/>
            <w:szCs w:val="18"/>
            <w:lang w:val="de-DE"/>
          </w:rPr>
          <w:t>C-149/17</w:t>
        </w:r>
      </w:hyperlink>
      <w:r>
        <w:rPr>
          <w:rStyle w:val="affairetitle"/>
          <w:rFonts w:cs="Arial"/>
          <w:szCs w:val="18"/>
          <w:lang w:val="de-DE"/>
        </w:rPr>
        <w:t>.</w:t>
      </w:r>
    </w:p>
  </w:footnote>
  <w:footnote w:id="106">
    <w:p>
      <w:pPr>
        <w:pStyle w:val="FootnoteText"/>
        <w:rPr>
          <w:rFonts w:cs="Arial"/>
          <w:szCs w:val="18"/>
          <w:lang w:val="pl-PL"/>
        </w:rPr>
      </w:pPr>
      <w:r>
        <w:rPr>
          <w:rStyle w:val="FootnoteReference"/>
          <w:rFonts w:cs="Arial"/>
          <w:szCs w:val="18"/>
        </w:rPr>
        <w:footnoteRef/>
      </w:r>
      <w:r>
        <w:rPr>
          <w:rFonts w:cs="Arial"/>
          <w:szCs w:val="18"/>
          <w:lang w:val="pl-PL"/>
        </w:rPr>
        <w:t xml:space="preserve"> </w:t>
      </w:r>
      <w:r>
        <w:rPr>
          <w:rFonts w:cs="Arial"/>
          <w:szCs w:val="18"/>
          <w:lang w:val="pl-PL"/>
        </w:rPr>
        <w:tab/>
      </w:r>
      <w:r>
        <w:rPr>
          <w:lang w:val="pl-PL"/>
        </w:rPr>
        <w:t xml:space="preserve">Čepelnik, </w:t>
      </w:r>
      <w:hyperlink r:id="rId154" w:history="1">
        <w:r>
          <w:rPr>
            <w:rStyle w:val="Hyperlink"/>
            <w:lang w:val="pl-PL"/>
          </w:rPr>
          <w:t>C-33/17</w:t>
        </w:r>
      </w:hyperlink>
      <w:r>
        <w:rPr>
          <w:lang w:val="pl-PL"/>
        </w:rPr>
        <w:t>.</w:t>
      </w:r>
    </w:p>
  </w:footnote>
  <w:footnote w:id="107">
    <w:p>
      <w:pPr>
        <w:pStyle w:val="FootnoteText"/>
        <w:rPr>
          <w:rFonts w:cs="Arial"/>
          <w:szCs w:val="18"/>
        </w:rPr>
      </w:pPr>
      <w:r>
        <w:rPr>
          <w:rStyle w:val="FootnoteReference"/>
          <w:rFonts w:cs="Arial"/>
          <w:szCs w:val="18"/>
        </w:rPr>
        <w:footnoteRef/>
      </w:r>
      <w:r>
        <w:rPr>
          <w:rFonts w:cs="Arial"/>
          <w:szCs w:val="18"/>
        </w:rPr>
        <w:t xml:space="preserve"> </w:t>
      </w:r>
      <w:r>
        <w:rPr>
          <w:rFonts w:cs="Arial"/>
          <w:szCs w:val="18"/>
        </w:rPr>
        <w:tab/>
        <w:t xml:space="preserve">Ayubi, </w:t>
      </w:r>
      <w:hyperlink r:id="rId155" w:history="1">
        <w:r>
          <w:rPr>
            <w:rStyle w:val="Hyperlink"/>
            <w:rFonts w:cs="Arial"/>
            <w:szCs w:val="18"/>
          </w:rPr>
          <w:t>C</w:t>
        </w:r>
        <w:r>
          <w:rPr>
            <w:rStyle w:val="Hyperlink"/>
            <w:rFonts w:ascii="Cambria Math" w:hAnsi="Cambria Math" w:cs="Cambria Math"/>
            <w:szCs w:val="18"/>
          </w:rPr>
          <w:t>‑</w:t>
        </w:r>
        <w:r>
          <w:rPr>
            <w:rStyle w:val="Hyperlink"/>
            <w:rFonts w:cs="Arial"/>
            <w:szCs w:val="18"/>
          </w:rPr>
          <w:t>713/17</w:t>
        </w:r>
      </w:hyperlink>
      <w:r>
        <w:rPr>
          <w:rFonts w:cs="Arial"/>
          <w:szCs w:val="18"/>
        </w:rPr>
        <w:t>.</w:t>
      </w:r>
    </w:p>
  </w:footnote>
  <w:footnote w:id="108">
    <w:p>
      <w:pPr>
        <w:pStyle w:val="FootnoteText"/>
        <w:rPr>
          <w:lang w:val="pt-PT"/>
        </w:rPr>
      </w:pPr>
      <w:r>
        <w:rPr>
          <w:rStyle w:val="FootnoteReference"/>
        </w:rPr>
        <w:footnoteRef/>
      </w:r>
      <w:r>
        <w:rPr>
          <w:lang w:val="pt-PT"/>
        </w:rPr>
        <w:t xml:space="preserve"> </w:t>
      </w:r>
      <w:r>
        <w:rPr>
          <w:lang w:val="pt-PT"/>
        </w:rPr>
        <w:tab/>
        <w:t xml:space="preserve">Directive </w:t>
      </w:r>
      <w:hyperlink r:id="rId156" w:history="1">
        <w:r>
          <w:rPr>
            <w:rStyle w:val="Hyperlink"/>
            <w:lang w:val="pt-PT"/>
          </w:rPr>
          <w:t>2005/36/EC</w:t>
        </w:r>
      </w:hyperlink>
      <w:r>
        <w:rPr>
          <w:lang w:val="pt-PT"/>
        </w:rPr>
        <w:t xml:space="preserve">, </w:t>
      </w:r>
      <w:hyperlink r:id="rId157" w:history="1">
        <w:r>
          <w:rPr>
            <w:rStyle w:val="Hyperlink"/>
            <w:lang w:val="pt-PT"/>
          </w:rPr>
          <w:t>MEMO/18/4486</w:t>
        </w:r>
      </w:hyperlink>
      <w:r>
        <w:rPr>
          <w:rStyle w:val="Hyperlink"/>
          <w:lang w:val="pt-PT"/>
        </w:rPr>
        <w:t>.</w:t>
      </w:r>
    </w:p>
  </w:footnote>
  <w:footnote w:id="109">
    <w:p>
      <w:pPr>
        <w:pStyle w:val="FootnoteText"/>
        <w:rPr>
          <w:lang w:val="pt-PT"/>
        </w:rPr>
      </w:pPr>
      <w:r>
        <w:rPr>
          <w:rStyle w:val="FootnoteReference"/>
        </w:rPr>
        <w:footnoteRef/>
      </w:r>
      <w:r>
        <w:rPr>
          <w:lang w:val="pt-PT"/>
        </w:rPr>
        <w:t xml:space="preserve"> </w:t>
      </w:r>
      <w:r>
        <w:rPr>
          <w:lang w:val="pt-PT"/>
        </w:rPr>
        <w:tab/>
        <w:t xml:space="preserve">Regulation (EU) No </w:t>
      </w:r>
      <w:hyperlink r:id="rId158" w:history="1">
        <w:r>
          <w:rPr>
            <w:rStyle w:val="Hyperlink"/>
            <w:lang w:val="pt-PT"/>
          </w:rPr>
          <w:t>994/2010</w:t>
        </w:r>
      </w:hyperlink>
      <w:r>
        <w:rPr>
          <w:rStyle w:val="Hyperlink"/>
          <w:lang w:val="pt-PT"/>
        </w:rPr>
        <w:t xml:space="preserve">, </w:t>
      </w:r>
      <w:hyperlink r:id="rId159" w:history="1">
        <w:r>
          <w:rPr>
            <w:rStyle w:val="Hyperlink"/>
            <w:lang w:val="pt-PT"/>
          </w:rPr>
          <w:t>MEMO/18/1444</w:t>
        </w:r>
      </w:hyperlink>
      <w:r>
        <w:rPr>
          <w:lang w:val="pt-PT"/>
        </w:rPr>
        <w:t>.</w:t>
      </w:r>
    </w:p>
  </w:footnote>
  <w:footnote w:id="110">
    <w:p>
      <w:pPr>
        <w:pStyle w:val="FootnoteText"/>
        <w:rPr>
          <w:lang w:val="pt-PT"/>
        </w:rPr>
      </w:pPr>
      <w:r>
        <w:rPr>
          <w:rStyle w:val="FootnoteReference"/>
        </w:rPr>
        <w:footnoteRef/>
      </w:r>
      <w:r>
        <w:rPr>
          <w:lang w:val="pt-PT"/>
        </w:rPr>
        <w:t xml:space="preserve"> </w:t>
      </w:r>
      <w:r>
        <w:rPr>
          <w:lang w:val="pt-PT"/>
        </w:rPr>
        <w:tab/>
        <w:t xml:space="preserve">Directive </w:t>
      </w:r>
      <w:hyperlink r:id="rId160" w:history="1">
        <w:r>
          <w:rPr>
            <w:rStyle w:val="Hyperlink"/>
            <w:lang w:val="pt-PT"/>
          </w:rPr>
          <w:t>2011/70/Euratom</w:t>
        </w:r>
      </w:hyperlink>
      <w:r>
        <w:rPr>
          <w:rStyle w:val="Hyperlink"/>
          <w:lang w:val="pt-PT"/>
        </w:rPr>
        <w:t xml:space="preserve">, </w:t>
      </w:r>
      <w:hyperlink r:id="rId161" w:history="1">
        <w:r>
          <w:rPr>
            <w:rStyle w:val="Hyperlink"/>
            <w:lang w:val="pt-PT"/>
          </w:rPr>
          <w:t>MEMO/18/3446</w:t>
        </w:r>
      </w:hyperlink>
      <w:r>
        <w:rPr>
          <w:rStyle w:val="Hyperlink"/>
          <w:lang w:val="pt-PT"/>
        </w:rPr>
        <w:t>.</w:t>
      </w:r>
    </w:p>
  </w:footnote>
  <w:footnote w:id="111">
    <w:p>
      <w:pPr>
        <w:pStyle w:val="FootnoteText"/>
        <w:rPr>
          <w:lang w:val="pt-PT"/>
        </w:rPr>
      </w:pPr>
      <w:r>
        <w:rPr>
          <w:rStyle w:val="FootnoteReference"/>
        </w:rPr>
        <w:footnoteRef/>
      </w:r>
      <w:r>
        <w:rPr>
          <w:lang w:val="pt-PT"/>
        </w:rPr>
        <w:t xml:space="preserve"> </w:t>
      </w:r>
      <w:r>
        <w:rPr>
          <w:lang w:val="pt-PT"/>
        </w:rPr>
        <w:tab/>
        <w:t xml:space="preserve">Directive </w:t>
      </w:r>
      <w:hyperlink r:id="rId162" w:history="1">
        <w:r>
          <w:rPr>
            <w:rStyle w:val="Hyperlink"/>
            <w:lang w:val="pt-PT"/>
          </w:rPr>
          <w:t>2011/70/Euratom</w:t>
        </w:r>
      </w:hyperlink>
      <w:r>
        <w:rPr>
          <w:lang w:val="pt-PT"/>
        </w:rPr>
        <w:t xml:space="preserve">, </w:t>
      </w:r>
      <w:hyperlink r:id="rId163" w:history="1">
        <w:r>
          <w:rPr>
            <w:rStyle w:val="Hyperlink"/>
            <w:lang w:val="pt-PT"/>
          </w:rPr>
          <w:t>MEMO/18/3446</w:t>
        </w:r>
      </w:hyperlink>
      <w:r>
        <w:rPr>
          <w:rStyle w:val="Hyperlink"/>
          <w:lang w:val="pt-PT"/>
        </w:rPr>
        <w:t>.</w:t>
      </w:r>
    </w:p>
  </w:footnote>
  <w:footnote w:id="112">
    <w:p>
      <w:pPr>
        <w:pStyle w:val="FootnoteText"/>
        <w:rPr>
          <w:lang w:val="pt-PT"/>
        </w:rPr>
      </w:pPr>
      <w:r>
        <w:rPr>
          <w:rStyle w:val="FootnoteReference"/>
        </w:rPr>
        <w:footnoteRef/>
      </w:r>
      <w:r>
        <w:rPr>
          <w:lang w:val="pt-PT"/>
        </w:rPr>
        <w:t xml:space="preserve"> </w:t>
      </w:r>
      <w:r>
        <w:rPr>
          <w:lang w:val="pt-PT"/>
        </w:rPr>
        <w:tab/>
        <w:t xml:space="preserve">Directive </w:t>
      </w:r>
      <w:hyperlink r:id="rId164" w:history="1">
        <w:r>
          <w:rPr>
            <w:rStyle w:val="Hyperlink"/>
            <w:lang w:val="pt-PT"/>
          </w:rPr>
          <w:t>91/271/EEC</w:t>
        </w:r>
      </w:hyperlink>
      <w:r>
        <w:rPr>
          <w:lang w:val="pt-PT"/>
        </w:rPr>
        <w:t>,</w:t>
      </w:r>
      <w:r>
        <w:rPr>
          <w:rStyle w:val="Hyperlink"/>
          <w:lang w:val="pt-PT"/>
        </w:rPr>
        <w:t xml:space="preserve"> </w:t>
      </w:r>
      <w:hyperlink r:id="rId165" w:history="1">
        <w:r>
          <w:rPr>
            <w:rStyle w:val="Hyperlink"/>
            <w:lang w:val="pt-PT"/>
          </w:rPr>
          <w:t>MEMO/18/349</w:t>
        </w:r>
      </w:hyperlink>
      <w:r>
        <w:rPr>
          <w:lang w:val="pt-PT"/>
        </w:rPr>
        <w:t>.</w:t>
      </w:r>
    </w:p>
  </w:footnote>
  <w:footnote w:id="113">
    <w:p>
      <w:pPr>
        <w:pStyle w:val="FootnoteText"/>
        <w:rPr>
          <w:lang w:val="pt-PT"/>
        </w:rPr>
      </w:pPr>
      <w:r>
        <w:rPr>
          <w:rStyle w:val="FootnoteReference"/>
        </w:rPr>
        <w:footnoteRef/>
      </w:r>
      <w:r>
        <w:rPr>
          <w:lang w:val="pt-PT"/>
        </w:rPr>
        <w:t xml:space="preserve"> </w:t>
      </w:r>
      <w:r>
        <w:rPr>
          <w:lang w:val="pt-PT"/>
        </w:rPr>
        <w:tab/>
      </w:r>
      <w:hyperlink r:id="rId166" w:history="1">
        <w:r>
          <w:rPr>
            <w:rStyle w:val="Hyperlink"/>
            <w:lang w:val="pt-PT"/>
          </w:rPr>
          <w:t>IP/18/357</w:t>
        </w:r>
      </w:hyperlink>
      <w:r>
        <w:rPr>
          <w:rStyle w:val="Hyperlink"/>
          <w:lang w:val="pt-PT"/>
        </w:rPr>
        <w:t>.</w:t>
      </w:r>
    </w:p>
  </w:footnote>
  <w:footnote w:id="114">
    <w:p>
      <w:pPr>
        <w:pStyle w:val="FootnoteText"/>
        <w:rPr>
          <w:lang w:val="pt-PT"/>
        </w:rPr>
      </w:pPr>
      <w:r>
        <w:rPr>
          <w:rStyle w:val="FootnoteReference"/>
        </w:rPr>
        <w:footnoteRef/>
      </w:r>
      <w:r>
        <w:rPr>
          <w:lang w:val="pt-PT"/>
        </w:rPr>
        <w:t xml:space="preserve"> </w:t>
      </w:r>
      <w:r>
        <w:rPr>
          <w:lang w:val="pt-PT"/>
        </w:rPr>
        <w:tab/>
        <w:t xml:space="preserve">Directive </w:t>
      </w:r>
      <w:hyperlink r:id="rId167" w:history="1">
        <w:r>
          <w:rPr>
            <w:rStyle w:val="Hyperlink"/>
            <w:lang w:val="pt-PT"/>
          </w:rPr>
          <w:t>2000/53/EC</w:t>
        </w:r>
      </w:hyperlink>
      <w:r>
        <w:rPr>
          <w:lang w:val="pt-PT"/>
        </w:rPr>
        <w:t>.</w:t>
      </w:r>
    </w:p>
  </w:footnote>
  <w:footnote w:id="115">
    <w:p>
      <w:pPr>
        <w:pStyle w:val="FootnoteText"/>
        <w:rPr>
          <w:lang w:val="pt-PT"/>
        </w:rPr>
      </w:pPr>
      <w:r>
        <w:rPr>
          <w:rStyle w:val="FootnoteReference"/>
        </w:rPr>
        <w:footnoteRef/>
      </w:r>
      <w:r>
        <w:rPr>
          <w:lang w:val="pt-PT"/>
        </w:rPr>
        <w:t xml:space="preserve"> </w:t>
      </w:r>
      <w:r>
        <w:rPr>
          <w:lang w:val="pt-PT"/>
        </w:rPr>
        <w:tab/>
        <w:t xml:space="preserve">Directive </w:t>
      </w:r>
      <w:hyperlink r:id="rId168" w:history="1">
        <w:r>
          <w:rPr>
            <w:rStyle w:val="Hyperlink"/>
            <w:lang w:val="pt-PT"/>
          </w:rPr>
          <w:t>2011/92/EU</w:t>
        </w:r>
      </w:hyperlink>
      <w:r>
        <w:rPr>
          <w:lang w:val="pt-PT"/>
        </w:rPr>
        <w:t>.</w:t>
      </w:r>
    </w:p>
  </w:footnote>
  <w:footnote w:id="116">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169" w:history="1">
        <w:r>
          <w:rPr>
            <w:rStyle w:val="Hyperlink"/>
            <w:lang w:val="pt-PT"/>
          </w:rPr>
          <w:t>2015/2366/EU</w:t>
        </w:r>
      </w:hyperlink>
      <w:r>
        <w:rPr>
          <w:lang w:val="pt-PT"/>
        </w:rPr>
        <w:t>.</w:t>
      </w:r>
    </w:p>
  </w:footnote>
  <w:footnote w:id="117">
    <w:p>
      <w:pPr>
        <w:pStyle w:val="FootnoteText"/>
        <w:rPr>
          <w:lang w:val="pt-PT"/>
        </w:rPr>
      </w:pPr>
      <w:r>
        <w:rPr>
          <w:rStyle w:val="FootnoteReference"/>
        </w:rPr>
        <w:footnoteRef/>
      </w:r>
      <w:r>
        <w:rPr>
          <w:lang w:val="pt-PT"/>
        </w:rPr>
        <w:t xml:space="preserve"> </w:t>
      </w:r>
      <w:r>
        <w:rPr>
          <w:lang w:val="pt-PT"/>
        </w:rPr>
        <w:tab/>
      </w:r>
      <w:r>
        <w:rPr>
          <w:rStyle w:val="Hyperlink"/>
          <w:color w:val="auto"/>
          <w:u w:val="none"/>
          <w:bdr w:val="none" w:sz="0" w:space="0" w:color="auto" w:frame="1"/>
          <w:lang w:val="pt-PT"/>
        </w:rPr>
        <w:t xml:space="preserve">Directive </w:t>
      </w:r>
      <w:hyperlink r:id="rId170" w:history="1">
        <w:r>
          <w:rPr>
            <w:rStyle w:val="Hyperlink"/>
            <w:bdr w:val="none" w:sz="0" w:space="0" w:color="auto" w:frame="1"/>
            <w:lang w:val="pt-PT"/>
          </w:rPr>
          <w:t>2014/65/EU</w:t>
        </w:r>
      </w:hyperlink>
      <w:r>
        <w:rPr>
          <w:lang w:val="pt-PT"/>
        </w:rPr>
        <w:t xml:space="preserve">; </w:t>
      </w:r>
      <w:hyperlink r:id="rId171" w:history="1">
        <w:r>
          <w:rPr>
            <w:rStyle w:val="Hyperlink"/>
            <w:lang w:val="pt-PT"/>
          </w:rPr>
          <w:t>MEMO/18/349</w:t>
        </w:r>
      </w:hyperlink>
      <w:r>
        <w:rPr>
          <w:lang w:val="pt-PT"/>
        </w:rPr>
        <w:t>.</w:t>
      </w:r>
    </w:p>
  </w:footnote>
  <w:footnote w:id="118">
    <w:p>
      <w:pPr>
        <w:pStyle w:val="FootnoteText"/>
        <w:rPr>
          <w:lang w:val="pt-PT"/>
        </w:rPr>
      </w:pPr>
      <w:r>
        <w:rPr>
          <w:rStyle w:val="FootnoteReference"/>
        </w:rPr>
        <w:footnoteRef/>
      </w:r>
      <w:r>
        <w:rPr>
          <w:lang w:val="pt-PT"/>
        </w:rPr>
        <w:t xml:space="preserve"> </w:t>
      </w:r>
      <w:r>
        <w:rPr>
          <w:lang w:val="pt-PT"/>
        </w:rPr>
        <w:tab/>
        <w:t xml:space="preserve">Commission Directive </w:t>
      </w:r>
      <w:hyperlink r:id="rId172" w:history="1">
        <w:r>
          <w:rPr>
            <w:rStyle w:val="Hyperlink"/>
            <w:lang w:val="pt-PT"/>
          </w:rPr>
          <w:t>2016/1214/EU.</w:t>
        </w:r>
      </w:hyperlink>
    </w:p>
  </w:footnote>
  <w:footnote w:id="119">
    <w:p>
      <w:pPr>
        <w:pStyle w:val="FootnoteText"/>
        <w:rPr>
          <w:lang w:val="pt-PT"/>
        </w:rPr>
      </w:pPr>
      <w:r>
        <w:rPr>
          <w:rStyle w:val="FootnoteReference"/>
        </w:rPr>
        <w:footnoteRef/>
      </w:r>
      <w:r>
        <w:rPr>
          <w:lang w:val="pt-PT"/>
        </w:rPr>
        <w:t xml:space="preserve"> </w:t>
      </w:r>
      <w:r>
        <w:rPr>
          <w:lang w:val="pt-PT"/>
        </w:rPr>
        <w:tab/>
        <w:t xml:space="preserve">Directive </w:t>
      </w:r>
      <w:hyperlink r:id="rId173" w:history="1">
        <w:r>
          <w:rPr>
            <w:rStyle w:val="Hyperlink"/>
            <w:lang w:val="pt-PT"/>
          </w:rPr>
          <w:t>2014/87/Euratom</w:t>
        </w:r>
      </w:hyperlink>
      <w:r>
        <w:rPr>
          <w:lang w:val="pt-PT"/>
        </w:rPr>
        <w:t xml:space="preserve">, </w:t>
      </w:r>
      <w:hyperlink r:id="rId174" w:history="1">
        <w:r>
          <w:rPr>
            <w:rStyle w:val="Hyperlink"/>
            <w:lang w:val="pt-PT"/>
          </w:rPr>
          <w:t>MEMO/18/3986</w:t>
        </w:r>
      </w:hyperlink>
      <w:r>
        <w:rPr>
          <w:rStyle w:val="Hyperlink"/>
          <w:lang w:val="pt-PT"/>
        </w:rPr>
        <w:t>.</w:t>
      </w:r>
    </w:p>
  </w:footnote>
  <w:footnote w:id="120">
    <w:p>
      <w:pPr>
        <w:pStyle w:val="FootnoteText"/>
        <w:rPr>
          <w:lang w:val="pt-PT"/>
        </w:rPr>
      </w:pPr>
      <w:r>
        <w:rPr>
          <w:rStyle w:val="FootnoteReference"/>
        </w:rPr>
        <w:footnoteRef/>
      </w:r>
      <w:r>
        <w:rPr>
          <w:lang w:val="pt-PT"/>
        </w:rPr>
        <w:t xml:space="preserve"> </w:t>
      </w:r>
      <w:r>
        <w:rPr>
          <w:lang w:val="pt-PT"/>
        </w:rPr>
        <w:tab/>
        <w:t xml:space="preserve">Directive </w:t>
      </w:r>
      <w:hyperlink r:id="rId175" w:history="1">
        <w:r>
          <w:rPr>
            <w:rStyle w:val="Hyperlink"/>
            <w:lang w:val="pt-PT"/>
          </w:rPr>
          <w:t>2016/1148/EU</w:t>
        </w:r>
      </w:hyperlink>
      <w:r>
        <w:rPr>
          <w:lang w:val="pt-PT"/>
        </w:rPr>
        <w:t xml:space="preserve">; </w:t>
      </w:r>
      <w:hyperlink r:id="rId176" w:history="1">
        <w:r>
          <w:rPr>
            <w:rStyle w:val="Hyperlink"/>
            <w:lang w:val="pt-PT"/>
          </w:rPr>
          <w:t>MEMO/18/4486</w:t>
        </w:r>
      </w:hyperlink>
      <w:r>
        <w:rPr>
          <w:rStyle w:val="Hyperlink"/>
          <w:lang w:val="pt-PT"/>
        </w:rPr>
        <w:t>.</w:t>
      </w:r>
    </w:p>
  </w:footnote>
  <w:footnote w:id="121">
    <w:p>
      <w:pPr>
        <w:pStyle w:val="FootnoteText"/>
        <w:rPr>
          <w:lang w:val="fr-BE"/>
        </w:rPr>
      </w:pPr>
      <w:r>
        <w:rPr>
          <w:rStyle w:val="FootnoteReference"/>
        </w:rPr>
        <w:footnoteRef/>
      </w:r>
      <w:r>
        <w:rPr>
          <w:lang w:val="fr-BE"/>
        </w:rPr>
        <w:t xml:space="preserve"> </w:t>
      </w:r>
      <w:r>
        <w:rPr>
          <w:lang w:val="fr-BE"/>
        </w:rPr>
        <w:tab/>
        <w:t xml:space="preserve">Directive </w:t>
      </w:r>
      <w:hyperlink r:id="rId177" w:history="1">
        <w:r>
          <w:rPr>
            <w:rStyle w:val="Hyperlink"/>
            <w:lang w:val="fr-BE"/>
          </w:rPr>
          <w:t>2016/2102/EU</w:t>
        </w:r>
      </w:hyperlink>
      <w:r>
        <w:rPr>
          <w:lang w:val="fr-BE"/>
        </w:rPr>
        <w:t>.</w:t>
      </w:r>
    </w:p>
  </w:footnote>
  <w:footnote w:id="122">
    <w:p>
      <w:pPr>
        <w:pStyle w:val="FootnoteText"/>
        <w:rPr>
          <w:lang w:val="fr-BE"/>
        </w:rPr>
      </w:pPr>
      <w:r>
        <w:rPr>
          <w:rStyle w:val="FootnoteReference"/>
        </w:rPr>
        <w:footnoteRef/>
      </w:r>
      <w:r>
        <w:rPr>
          <w:lang w:val="fr-BE"/>
        </w:rPr>
        <w:t xml:space="preserve"> </w:t>
      </w:r>
      <w:r>
        <w:rPr>
          <w:lang w:val="fr-BE"/>
        </w:rPr>
        <w:tab/>
        <w:t xml:space="preserve">Directive </w:t>
      </w:r>
      <w:hyperlink r:id="rId178" w:history="1">
        <w:r>
          <w:rPr>
            <w:rStyle w:val="Hyperlink"/>
            <w:rFonts w:cs="Arial"/>
            <w:szCs w:val="18"/>
            <w:lang w:val="fr-BE"/>
          </w:rPr>
          <w:t>2017/1564/EU</w:t>
        </w:r>
      </w:hyperlink>
      <w:r>
        <w:rPr>
          <w:rFonts w:cs="Arial"/>
          <w:szCs w:val="18"/>
          <w:lang w:val="fr-BE"/>
        </w:rPr>
        <w:t>.</w:t>
      </w:r>
    </w:p>
  </w:footnote>
  <w:footnote w:id="123">
    <w:p>
      <w:pPr>
        <w:pStyle w:val="FootnoteText"/>
        <w:rPr>
          <w:lang w:val="fr-BE"/>
        </w:rPr>
      </w:pPr>
      <w:r>
        <w:rPr>
          <w:rStyle w:val="FootnoteReference"/>
        </w:rPr>
        <w:footnoteRef/>
      </w:r>
      <w:r>
        <w:rPr>
          <w:lang w:val="fr-BE"/>
        </w:rPr>
        <w:t xml:space="preserve"> </w:t>
      </w:r>
      <w:r>
        <w:rPr>
          <w:lang w:val="fr-BE"/>
        </w:rPr>
        <w:tab/>
      </w:r>
      <w:r>
        <w:rPr>
          <w:rStyle w:val="affairetitle"/>
          <w:lang w:val="fr-BE"/>
        </w:rPr>
        <w:t xml:space="preserve">Commission v Poland (Indépendance des juridictions de droit commun), </w:t>
      </w:r>
      <w:hyperlink r:id="rId179" w:history="1">
        <w:r>
          <w:rPr>
            <w:rStyle w:val="Hyperlink"/>
            <w:lang w:val="fr-BE"/>
          </w:rPr>
          <w:t>C-192/18</w:t>
        </w:r>
      </w:hyperlink>
      <w:r>
        <w:rPr>
          <w:rStyle w:val="affairetitle"/>
          <w:lang w:val="fr-BE"/>
        </w:rPr>
        <w:t>.</w:t>
      </w:r>
    </w:p>
  </w:footnote>
  <w:footnote w:id="124">
    <w:p>
      <w:pPr>
        <w:pStyle w:val="FootnoteText"/>
      </w:pPr>
      <w:r>
        <w:rPr>
          <w:rStyle w:val="FootnoteReference"/>
        </w:rPr>
        <w:footnoteRef/>
      </w:r>
      <w:r>
        <w:t xml:space="preserve"> </w:t>
      </w:r>
      <w:r>
        <w:tab/>
      </w:r>
      <w:r>
        <w:rPr>
          <w:rStyle w:val="affairetitle"/>
        </w:rPr>
        <w:t>Commission v Poland,</w:t>
      </w:r>
      <w:r>
        <w:t xml:space="preserve"> </w:t>
      </w:r>
      <w:hyperlink r:id="rId180" w:history="1">
        <w:r>
          <w:rPr>
            <w:rStyle w:val="Hyperlink"/>
          </w:rPr>
          <w:t>C-619/18</w:t>
        </w:r>
      </w:hyperlink>
      <w:r>
        <w:rPr>
          <w:rStyle w:val="affairetitle"/>
        </w:rPr>
        <w:t>.</w:t>
      </w:r>
    </w:p>
  </w:footnote>
  <w:footnote w:id="125">
    <w:p>
      <w:pPr>
        <w:pStyle w:val="FootnoteText"/>
        <w:jc w:val="both"/>
        <w:rPr>
          <w:lang w:val="en-IE"/>
        </w:rPr>
      </w:pPr>
      <w:r>
        <w:rPr>
          <w:rStyle w:val="FootnoteReference"/>
        </w:rPr>
        <w:footnoteRef/>
      </w:r>
      <w:r>
        <w:t xml:space="preserve"> </w:t>
      </w:r>
      <w:r>
        <w:rPr>
          <w:lang w:val="en-IE"/>
        </w:rPr>
        <w:tab/>
      </w:r>
      <w:r>
        <w:rPr>
          <w:lang w:val="en-US"/>
        </w:rPr>
        <w:t xml:space="preserve">Commission v. Poland, </w:t>
      </w:r>
      <w:hyperlink r:id="rId181" w:history="1">
        <w:r>
          <w:rPr>
            <w:color w:val="0563C1"/>
            <w:u w:val="single"/>
            <w:lang w:val="en-US"/>
          </w:rPr>
          <w:t>C-206/18</w:t>
        </w:r>
      </w:hyperlink>
      <w:r>
        <w:rPr>
          <w:rFonts w:cs="Arial"/>
          <w:color w:val="0563C1"/>
          <w:szCs w:val="18"/>
          <w:lang w:val="en-US" w:eastAsia="fr-BE"/>
        </w:rPr>
        <w:t>.</w:t>
      </w:r>
      <w:r>
        <w:rPr>
          <w:lang w:val="en-US"/>
        </w:rPr>
        <w:t xml:space="preserve"> Poland subsequently took the necessary steps to ensure compliance with EU law and the Commission has therefore withdrawn this case from the Court.</w:t>
      </w:r>
    </w:p>
  </w:footnote>
  <w:footnote w:id="126">
    <w:p>
      <w:pPr>
        <w:pStyle w:val="FootnoteText"/>
        <w:rPr>
          <w:lang w:val="fr-BE"/>
        </w:rPr>
      </w:pPr>
      <w:r>
        <w:rPr>
          <w:rStyle w:val="FootnoteReference"/>
        </w:rPr>
        <w:footnoteRef/>
      </w:r>
      <w:r>
        <w:rPr>
          <w:lang w:val="fr-BE"/>
        </w:rPr>
        <w:t xml:space="preserve"> </w:t>
      </w:r>
      <w:r>
        <w:rPr>
          <w:lang w:val="fr-BE"/>
        </w:rPr>
        <w:tab/>
        <w:t xml:space="preserve">Directive </w:t>
      </w:r>
      <w:hyperlink r:id="rId182" w:history="1">
        <w:r>
          <w:rPr>
            <w:rStyle w:val="Hyperlink"/>
            <w:lang w:val="fr-BE"/>
          </w:rPr>
          <w:t>91/676/EEC</w:t>
        </w:r>
      </w:hyperlink>
      <w:r>
        <w:rPr>
          <w:lang w:val="fr-BE"/>
        </w:rPr>
        <w:t>.</w:t>
      </w:r>
    </w:p>
  </w:footnote>
  <w:footnote w:id="127">
    <w:p>
      <w:pPr>
        <w:pStyle w:val="FootnoteText"/>
        <w:rPr>
          <w:lang w:val="fr-BE"/>
        </w:rPr>
      </w:pPr>
      <w:r>
        <w:rPr>
          <w:rStyle w:val="FootnoteReference"/>
        </w:rPr>
        <w:footnoteRef/>
      </w:r>
      <w:r>
        <w:rPr>
          <w:lang w:val="fr-BE"/>
        </w:rPr>
        <w:t xml:space="preserve"> </w:t>
      </w:r>
      <w:r>
        <w:rPr>
          <w:lang w:val="fr-BE"/>
        </w:rPr>
        <w:tab/>
      </w:r>
      <w:hyperlink r:id="rId183" w:history="1">
        <w:r>
          <w:rPr>
            <w:rStyle w:val="Hyperlink"/>
            <w:lang w:val="fr-BE"/>
          </w:rPr>
          <w:t>IP/18/3459.</w:t>
        </w:r>
      </w:hyperlink>
    </w:p>
  </w:footnote>
  <w:footnote w:id="128">
    <w:p>
      <w:pPr>
        <w:pStyle w:val="FootnoteText"/>
        <w:rPr>
          <w:lang w:val="fr-BE"/>
        </w:rPr>
      </w:pPr>
      <w:r>
        <w:rPr>
          <w:rStyle w:val="FootnoteReference"/>
        </w:rPr>
        <w:footnoteRef/>
      </w:r>
      <w:r>
        <w:rPr>
          <w:lang w:val="fr-BE"/>
        </w:rPr>
        <w:t xml:space="preserve"> </w:t>
      </w:r>
      <w:r>
        <w:rPr>
          <w:lang w:val="fr-BE"/>
        </w:rPr>
        <w:tab/>
      </w:r>
      <w:hyperlink r:id="rId184" w:history="1">
        <w:r>
          <w:rPr>
            <w:rStyle w:val="Hyperlink"/>
            <w:lang w:val="fr-BE"/>
          </w:rPr>
          <w:t>Directive 2011/61/EU</w:t>
        </w:r>
      </w:hyperlink>
      <w:r>
        <w:rPr>
          <w:lang w:val="fr-BE"/>
        </w:rPr>
        <w:t xml:space="preserve">, </w:t>
      </w:r>
      <w:hyperlink r:id="rId185" w:history="1">
        <w:r>
          <w:rPr>
            <w:rStyle w:val="Hyperlink"/>
            <w:lang w:val="fr-BE"/>
          </w:rPr>
          <w:t>MEMO/18/349</w:t>
        </w:r>
      </w:hyperlink>
      <w:r>
        <w:rPr>
          <w:lang w:val="fr-BE"/>
        </w:rPr>
        <w:t>.</w:t>
      </w:r>
    </w:p>
  </w:footnote>
  <w:footnote w:id="129">
    <w:p>
      <w:pPr>
        <w:pStyle w:val="FootnoteText"/>
        <w:rPr>
          <w:lang w:val="fr-BE"/>
        </w:rPr>
      </w:pPr>
      <w:r>
        <w:rPr>
          <w:rStyle w:val="FootnoteReference"/>
        </w:rPr>
        <w:footnoteRef/>
      </w:r>
      <w:r>
        <w:rPr>
          <w:lang w:val="fr-BE"/>
        </w:rPr>
        <w:t xml:space="preserve"> </w:t>
      </w:r>
      <w:r>
        <w:rPr>
          <w:lang w:val="fr-BE"/>
        </w:rPr>
        <w:tab/>
        <w:t xml:space="preserve">Directive </w:t>
      </w:r>
      <w:hyperlink r:id="rId186" w:history="1">
        <w:r>
          <w:rPr>
            <w:rStyle w:val="Hyperlink"/>
            <w:lang w:val="fr-BE"/>
          </w:rPr>
          <w:t>2014/66/EU</w:t>
        </w:r>
      </w:hyperlink>
      <w:r>
        <w:rPr>
          <w:lang w:val="fr-BE"/>
        </w:rPr>
        <w:t>.</w:t>
      </w:r>
    </w:p>
  </w:footnote>
  <w:footnote w:id="130">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187" w:history="1">
        <w:r>
          <w:rPr>
            <w:rStyle w:val="Hyperlink"/>
            <w:lang w:val="fr-BE"/>
          </w:rPr>
          <w:t>2014/91/EU</w:t>
        </w:r>
      </w:hyperlink>
      <w:r>
        <w:rPr>
          <w:lang w:val="fr-BE"/>
        </w:rPr>
        <w:t>.</w:t>
      </w:r>
    </w:p>
  </w:footnote>
  <w:footnote w:id="131">
    <w:p>
      <w:pPr>
        <w:pStyle w:val="FootnoteText"/>
        <w:rPr>
          <w:lang w:val="fr-BE"/>
        </w:rPr>
      </w:pPr>
      <w:r>
        <w:rPr>
          <w:rStyle w:val="FootnoteReference"/>
        </w:rPr>
        <w:footnoteRef/>
      </w:r>
      <w:r>
        <w:rPr>
          <w:lang w:val="fr-BE"/>
        </w:rPr>
        <w:t xml:space="preserve"> </w:t>
      </w:r>
      <w:r>
        <w:rPr>
          <w:lang w:val="fr-BE"/>
        </w:rPr>
        <w:tab/>
        <w:t xml:space="preserve">Commission Directive </w:t>
      </w:r>
      <w:hyperlink r:id="rId188" w:history="1">
        <w:r>
          <w:rPr>
            <w:rStyle w:val="Hyperlink"/>
            <w:lang w:val="fr-BE"/>
          </w:rPr>
          <w:t>2016/1214/EU.</w:t>
        </w:r>
      </w:hyperlink>
    </w:p>
  </w:footnote>
  <w:footnote w:id="132">
    <w:p>
      <w:pPr>
        <w:pStyle w:val="FootnoteText"/>
        <w:rPr>
          <w:lang w:val="en-IE"/>
        </w:rPr>
      </w:pPr>
      <w:r>
        <w:rPr>
          <w:rStyle w:val="FootnoteReference"/>
        </w:rPr>
        <w:footnoteRef/>
      </w:r>
      <w:r>
        <w:rPr>
          <w:lang w:val="en-IE"/>
        </w:rPr>
        <w:t xml:space="preserve"> </w:t>
      </w:r>
      <w:r>
        <w:rPr>
          <w:lang w:val="en-IE"/>
        </w:rPr>
        <w:tab/>
      </w:r>
      <w:hyperlink r:id="rId189" w:history="1">
        <w:r>
          <w:rPr>
            <w:rStyle w:val="Hyperlink"/>
            <w:lang w:val="en-IE"/>
          </w:rPr>
          <w:t>MEMO/18/1444</w:t>
        </w:r>
      </w:hyperlink>
      <w:r>
        <w:rPr>
          <w:rStyle w:val="Hyperlink"/>
          <w:rFonts w:cs="Arial"/>
          <w:szCs w:val="20"/>
          <w:lang w:val="en-IE"/>
        </w:rPr>
        <w:t>.</w:t>
      </w:r>
    </w:p>
  </w:footnote>
  <w:footnote w:id="133">
    <w:p>
      <w:pPr>
        <w:pStyle w:val="FootnoteText"/>
        <w:rPr>
          <w:lang w:val="en-IE"/>
        </w:rPr>
      </w:pPr>
      <w:r>
        <w:rPr>
          <w:rStyle w:val="FootnoteReference"/>
        </w:rPr>
        <w:footnoteRef/>
      </w:r>
      <w:r>
        <w:rPr>
          <w:lang w:val="en-IE"/>
        </w:rPr>
        <w:t xml:space="preserve"> </w:t>
      </w:r>
      <w:r>
        <w:rPr>
          <w:lang w:val="en-IE"/>
        </w:rPr>
        <w:tab/>
        <w:t xml:space="preserve">Directive </w:t>
      </w:r>
      <w:hyperlink r:id="rId190" w:history="1">
        <w:r>
          <w:rPr>
            <w:rStyle w:val="Hyperlink"/>
            <w:lang w:val="en-IE"/>
          </w:rPr>
          <w:t>2016/680/EU</w:t>
        </w:r>
      </w:hyperlink>
      <w:r>
        <w:rPr>
          <w:lang w:val="en-IE"/>
        </w:rPr>
        <w:t>.</w:t>
      </w:r>
    </w:p>
  </w:footnote>
  <w:footnote w:id="134">
    <w:p>
      <w:pPr>
        <w:pStyle w:val="FootnoteText"/>
        <w:rPr>
          <w:szCs w:val="18"/>
        </w:rPr>
      </w:pPr>
      <w:r>
        <w:rPr>
          <w:rStyle w:val="FootnoteReference"/>
          <w:szCs w:val="18"/>
        </w:rPr>
        <w:footnoteRef/>
      </w:r>
      <w:r>
        <w:rPr>
          <w:szCs w:val="18"/>
        </w:rPr>
        <w:t xml:space="preserve"> </w:t>
      </w:r>
      <w:r>
        <w:rPr>
          <w:szCs w:val="18"/>
        </w:rPr>
        <w:tab/>
        <w:t>These rulings are almost exclusively handed down in infringement procedures.</w:t>
      </w:r>
    </w:p>
  </w:footnote>
  <w:footnote w:id="135">
    <w:p>
      <w:pPr>
        <w:pStyle w:val="FootnoteText"/>
        <w:rPr>
          <w:lang w:val="en-IE"/>
        </w:rPr>
      </w:pPr>
      <w:r>
        <w:rPr>
          <w:rStyle w:val="FootnoteReference"/>
        </w:rPr>
        <w:footnoteRef/>
      </w:r>
      <w:r>
        <w:t xml:space="preserve"> </w:t>
      </w:r>
      <w:r>
        <w:rPr>
          <w:lang w:val="en-IE"/>
        </w:rPr>
        <w:tab/>
      </w:r>
      <w:r>
        <w:t xml:space="preserve">Directive </w:t>
      </w:r>
      <w:hyperlink r:id="rId191">
        <w:r>
          <w:rPr>
            <w:rStyle w:val="LienInternet"/>
          </w:rPr>
          <w:t>2004/49/EC nc</w:t>
        </w:r>
      </w:hyperlink>
      <w:r>
        <w:t xml:space="preserve"> </w:t>
      </w:r>
      <w:hyperlink r:id="rId192">
        <w:r>
          <w:rPr>
            <w:rStyle w:val="LienInternet"/>
          </w:rPr>
          <w:t>2004/49/EC</w:t>
        </w:r>
      </w:hyperlink>
      <w:r>
        <w:t xml:space="preserve">, Commission v Republic of Poland, </w:t>
      </w:r>
      <w:hyperlink r:id="rId193">
        <w:r>
          <w:rPr>
            <w:rStyle w:val="LienInternet"/>
          </w:rPr>
          <w:t>C-530/16</w:t>
        </w:r>
      </w:hyperlink>
      <w:r>
        <w:t>.</w:t>
      </w:r>
    </w:p>
  </w:footnote>
  <w:footnote w:id="136">
    <w:p>
      <w:pPr>
        <w:pStyle w:val="FootnoteText"/>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effects. (Source: European Environment Agency).</w:t>
      </w:r>
    </w:p>
  </w:footnote>
  <w:footnote w:id="137">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Poland, </w:t>
      </w:r>
      <w:hyperlink r:id="rId194" w:history="1">
        <w:r>
          <w:rPr>
            <w:rStyle w:val="Hyperlink"/>
            <w:lang w:val="en-US"/>
          </w:rPr>
          <w:t>C-336/16</w:t>
        </w:r>
      </w:hyperlink>
      <w:r>
        <w:rPr>
          <w:rStyle w:val="Hyperlink"/>
          <w:lang w:val="en-US"/>
        </w:rPr>
        <w:t xml:space="preserve"> </w:t>
      </w:r>
      <w:r>
        <w:rPr>
          <w:rStyle w:val="Hyperlink"/>
          <w:color w:val="auto"/>
          <w:u w:val="none"/>
          <w:lang w:val="en-US"/>
        </w:rPr>
        <w:t>and Court press release</w:t>
      </w:r>
      <w:r>
        <w:rPr>
          <w:rStyle w:val="affairetitle"/>
          <w:lang w:val="en-US"/>
        </w:rPr>
        <w:t xml:space="preserve"> </w:t>
      </w:r>
      <w:hyperlink r:id="rId195" w:history="1">
        <w:r>
          <w:rPr>
            <w:rStyle w:val="Hyperlink"/>
            <w:lang w:val="en-US"/>
          </w:rPr>
          <w:t>No 19/18</w:t>
        </w:r>
      </w:hyperlink>
      <w:r>
        <w:rPr>
          <w:rStyle w:val="affairetitle"/>
          <w:lang w:val="en-US"/>
        </w:rPr>
        <w:t>.</w:t>
      </w:r>
    </w:p>
  </w:footnote>
  <w:footnote w:id="138">
    <w:p>
      <w:pPr>
        <w:pStyle w:val="FootnoteText"/>
        <w:rPr>
          <w:lang w:val="en-US"/>
        </w:rPr>
      </w:pPr>
      <w:r>
        <w:rPr>
          <w:rStyle w:val="FootnoteReference"/>
        </w:rPr>
        <w:footnoteRef/>
      </w:r>
      <w:r>
        <w:rPr>
          <w:lang w:val="en-US"/>
        </w:rPr>
        <w:t xml:space="preserve"> </w:t>
      </w:r>
      <w:r>
        <w:rPr>
          <w:lang w:val="en-US"/>
        </w:rPr>
        <w:tab/>
        <w:t>Commission v Poland,</w:t>
      </w:r>
      <w:r>
        <w:rPr>
          <w:rStyle w:val="Hyperlink"/>
          <w:lang w:val="en-US"/>
        </w:rPr>
        <w:t xml:space="preserve"> </w:t>
      </w:r>
      <w:hyperlink r:id="rId196" w:history="1">
        <w:r>
          <w:rPr>
            <w:rStyle w:val="Hyperlink"/>
            <w:lang w:val="en-US"/>
          </w:rPr>
          <w:t>C-526/16</w:t>
        </w:r>
      </w:hyperlink>
      <w:r>
        <w:rPr>
          <w:rStyle w:val="Hyperlink"/>
          <w:lang w:val="en-US"/>
        </w:rPr>
        <w:t>.</w:t>
      </w:r>
    </w:p>
  </w:footnote>
  <w:footnote w:id="139">
    <w:p>
      <w:pPr>
        <w:pStyle w:val="FootnoteText"/>
        <w:rPr>
          <w:lang w:val="en-US"/>
        </w:rPr>
      </w:pPr>
      <w:r>
        <w:rPr>
          <w:rStyle w:val="FootnoteReference"/>
        </w:rPr>
        <w:footnoteRef/>
      </w:r>
      <w:r>
        <w:rPr>
          <w:lang w:val="en-US"/>
        </w:rPr>
        <w:t xml:space="preserve"> </w:t>
      </w:r>
      <w:r>
        <w:rPr>
          <w:lang w:val="en-US"/>
        </w:rPr>
        <w:tab/>
        <w:t>Commission v Poland,</w:t>
      </w:r>
      <w:r>
        <w:rPr>
          <w:rStyle w:val="Hyperlink"/>
          <w:lang w:val="en-US"/>
        </w:rPr>
        <w:t xml:space="preserve"> </w:t>
      </w:r>
      <w:hyperlink r:id="rId197" w:history="1">
        <w:r>
          <w:rPr>
            <w:rStyle w:val="Hyperlink"/>
            <w:lang w:val="en-US"/>
          </w:rPr>
          <w:t xml:space="preserve">C-441/17 </w:t>
        </w:r>
        <w:r>
          <w:rPr>
            <w:rStyle w:val="Hyperlink"/>
            <w:color w:val="auto"/>
            <w:u w:val="none"/>
            <w:lang w:val="en-US"/>
          </w:rPr>
          <w:t>and Court press release</w:t>
        </w:r>
      </w:hyperlink>
      <w:r>
        <w:rPr>
          <w:rStyle w:val="Hyperlink"/>
          <w:lang w:val="en-US"/>
        </w:rPr>
        <w:t xml:space="preserve"> </w:t>
      </w:r>
      <w:hyperlink r:id="rId198" w:history="1">
        <w:r>
          <w:rPr>
            <w:rStyle w:val="Hyperlink"/>
            <w:lang w:val="en-US"/>
          </w:rPr>
          <w:t>No 48/18</w:t>
        </w:r>
      </w:hyperlink>
      <w:r>
        <w:rPr>
          <w:rStyle w:val="Hyperlink"/>
          <w:lang w:val="en-US"/>
        </w:rPr>
        <w:t>.</w:t>
      </w:r>
    </w:p>
  </w:footnote>
  <w:footnote w:id="140">
    <w:p>
      <w:pPr>
        <w:pStyle w:val="FootnoteText"/>
        <w:rPr>
          <w:lang w:val="pl-PL"/>
        </w:rPr>
      </w:pPr>
      <w:r>
        <w:rPr>
          <w:rStyle w:val="FootnoteReference"/>
        </w:rPr>
        <w:footnoteRef/>
      </w:r>
      <w:r>
        <w:rPr>
          <w:lang w:val="pl-PL"/>
        </w:rPr>
        <w:t xml:space="preserve"> </w:t>
      </w:r>
      <w:r>
        <w:rPr>
          <w:lang w:val="pl-PL"/>
        </w:rPr>
        <w:tab/>
        <w:t xml:space="preserve">Kompania Piwowarska, </w:t>
      </w:r>
      <w:hyperlink r:id="rId199" w:history="1">
        <w:r>
          <w:rPr>
            <w:rStyle w:val="Hyperlink"/>
            <w:lang w:val="pl-PL"/>
          </w:rPr>
          <w:t>C-30/17</w:t>
        </w:r>
      </w:hyperlink>
      <w:r>
        <w:rPr>
          <w:lang w:val="pl-PL"/>
        </w:rPr>
        <w:t>.</w:t>
      </w:r>
    </w:p>
  </w:footnote>
  <w:footnote w:id="141">
    <w:p>
      <w:pPr>
        <w:pStyle w:val="FootnoteText"/>
        <w:rPr>
          <w:lang w:val="pl-PL"/>
        </w:rPr>
      </w:pPr>
      <w:r>
        <w:rPr>
          <w:rStyle w:val="FootnoteReference"/>
        </w:rPr>
        <w:footnoteRef/>
      </w:r>
      <w:r>
        <w:rPr>
          <w:lang w:val="pl-PL"/>
        </w:rPr>
        <w:t xml:space="preserve"> </w:t>
      </w:r>
      <w:r>
        <w:rPr>
          <w:lang w:val="pl-PL"/>
        </w:rPr>
        <w:tab/>
      </w:r>
      <w:r>
        <w:rPr>
          <w:rFonts w:cs="Arial"/>
          <w:szCs w:val="20"/>
          <w:lang w:val="pl-PL"/>
        </w:rPr>
        <w:t xml:space="preserve">Profi Credit Polska </w:t>
      </w:r>
      <w:hyperlink r:id="rId200" w:history="1">
        <w:r>
          <w:rPr>
            <w:rStyle w:val="Hyperlink"/>
            <w:rFonts w:cs="Arial"/>
            <w:szCs w:val="20"/>
            <w:lang w:val="pl-PL"/>
          </w:rPr>
          <w:t>C-176/17</w:t>
        </w:r>
      </w:hyperlink>
      <w:r>
        <w:rPr>
          <w:rFonts w:cs="Arial"/>
          <w:szCs w:val="20"/>
          <w:lang w:val="pl-PL"/>
        </w:rPr>
        <w:t xml:space="preserve"> and PKO Bank Polski, </w:t>
      </w:r>
      <w:hyperlink r:id="rId201" w:history="1">
        <w:r>
          <w:rPr>
            <w:rStyle w:val="Hyperlink"/>
            <w:rFonts w:cs="Arial"/>
            <w:szCs w:val="20"/>
            <w:lang w:val="pl-PL"/>
          </w:rPr>
          <w:t>C-632/17</w:t>
        </w:r>
      </w:hyperlink>
      <w:r>
        <w:rPr>
          <w:rFonts w:cs="Arial"/>
          <w:szCs w:val="20"/>
          <w:lang w:val="pl-PL"/>
        </w:rPr>
        <w:t>.</w:t>
      </w:r>
    </w:p>
  </w:footnote>
  <w:footnote w:id="142">
    <w:p>
      <w:pPr>
        <w:pStyle w:val="FootnoteText"/>
        <w:rPr>
          <w:lang w:val="pt-PT"/>
        </w:rPr>
      </w:pPr>
      <w:r>
        <w:rPr>
          <w:rStyle w:val="FootnoteReference"/>
        </w:rPr>
        <w:footnoteRef/>
      </w:r>
      <w:r>
        <w:rPr>
          <w:lang w:val="pt-PT"/>
        </w:rPr>
        <w:t xml:space="preserve"> </w:t>
      </w:r>
      <w:r>
        <w:rPr>
          <w:lang w:val="pt-PT"/>
        </w:rPr>
        <w:tab/>
        <w:t xml:space="preserve">Directive </w:t>
      </w:r>
      <w:hyperlink r:id="rId202" w:history="1">
        <w:r>
          <w:rPr>
            <w:rStyle w:val="Hyperlink"/>
            <w:lang w:val="pt-PT"/>
          </w:rPr>
          <w:t>2010/63/EU</w:t>
        </w:r>
      </w:hyperlink>
      <w:r>
        <w:rPr>
          <w:rStyle w:val="Hyperlink"/>
          <w:lang w:val="pt-PT"/>
        </w:rPr>
        <w:t xml:space="preserve">, </w:t>
      </w:r>
      <w:hyperlink r:id="rId203" w:history="1">
        <w:r>
          <w:rPr>
            <w:rStyle w:val="Hyperlink"/>
            <w:lang w:val="pt-PT"/>
          </w:rPr>
          <w:t>MEMO/18/4486</w:t>
        </w:r>
      </w:hyperlink>
      <w:r>
        <w:rPr>
          <w:lang w:val="pt-PT"/>
        </w:rPr>
        <w:t>.</w:t>
      </w:r>
    </w:p>
  </w:footnote>
  <w:footnote w:id="143">
    <w:p>
      <w:pPr>
        <w:pStyle w:val="FootnoteText"/>
        <w:rPr>
          <w:lang w:val="pt-PT"/>
        </w:rPr>
      </w:pPr>
      <w:r>
        <w:rPr>
          <w:rStyle w:val="FootnoteReference"/>
        </w:rPr>
        <w:footnoteRef/>
      </w:r>
      <w:r>
        <w:rPr>
          <w:lang w:val="pt-PT"/>
        </w:rPr>
        <w:t xml:space="preserve"> </w:t>
      </w:r>
      <w:r>
        <w:rPr>
          <w:lang w:val="pt-PT"/>
        </w:rPr>
        <w:tab/>
        <w:t xml:space="preserve">Directive </w:t>
      </w:r>
      <w:hyperlink r:id="rId204" w:history="1">
        <w:r>
          <w:rPr>
            <w:rStyle w:val="Hyperlink"/>
            <w:lang w:val="pt-PT"/>
          </w:rPr>
          <w:t>2011/70/Euratom</w:t>
        </w:r>
      </w:hyperlink>
      <w:r>
        <w:rPr>
          <w:lang w:val="pt-PT"/>
        </w:rPr>
        <w:t xml:space="preserve">, </w:t>
      </w:r>
      <w:hyperlink r:id="rId205" w:history="1">
        <w:r>
          <w:rPr>
            <w:rStyle w:val="Hyperlink"/>
            <w:lang w:val="pt-PT"/>
          </w:rPr>
          <w:t>MEMO/18/3446</w:t>
        </w:r>
      </w:hyperlink>
      <w:r>
        <w:rPr>
          <w:rStyle w:val="Hyperlink"/>
          <w:lang w:val="pt-PT"/>
        </w:rPr>
        <w:t>.</w:t>
      </w:r>
    </w:p>
  </w:footnote>
  <w:footnote w:id="144">
    <w:p>
      <w:pPr>
        <w:pStyle w:val="FootnoteText"/>
        <w:rPr>
          <w:lang w:val="pt-PT"/>
        </w:rPr>
      </w:pPr>
      <w:r>
        <w:rPr>
          <w:rStyle w:val="FootnoteReference"/>
        </w:rPr>
        <w:footnoteRef/>
      </w:r>
      <w:r>
        <w:rPr>
          <w:lang w:val="pt-PT"/>
        </w:rPr>
        <w:t xml:space="preserve"> </w:t>
      </w:r>
      <w:r>
        <w:rPr>
          <w:lang w:val="pt-PT"/>
        </w:rPr>
        <w:tab/>
        <w:t xml:space="preserve">Directive </w:t>
      </w:r>
      <w:hyperlink r:id="rId206" w:history="1">
        <w:r>
          <w:rPr>
            <w:rStyle w:val="Hyperlink"/>
            <w:lang w:val="pt-PT"/>
          </w:rPr>
          <w:t>2005/36/EC</w:t>
        </w:r>
      </w:hyperlink>
      <w:r>
        <w:rPr>
          <w:lang w:val="pt-PT"/>
        </w:rPr>
        <w:t>,</w:t>
      </w:r>
      <w:r>
        <w:rPr>
          <w:rStyle w:val="Hyperlink"/>
          <w:lang w:val="pt-PT"/>
        </w:rPr>
        <w:t xml:space="preserve"> </w:t>
      </w:r>
      <w:hyperlink r:id="rId207" w:history="1">
        <w:r>
          <w:rPr>
            <w:rStyle w:val="Hyperlink"/>
            <w:lang w:val="pt-PT"/>
          </w:rPr>
          <w:t>MEMO/18/4486</w:t>
        </w:r>
      </w:hyperlink>
      <w:r>
        <w:rPr>
          <w:rStyle w:val="Hyperlink"/>
          <w:lang w:val="pt-PT"/>
        </w:rPr>
        <w:t>.</w:t>
      </w:r>
    </w:p>
  </w:footnote>
  <w:footnote w:id="145">
    <w:p>
      <w:pPr>
        <w:pStyle w:val="FootnoteText"/>
        <w:rPr>
          <w:lang w:val="pt-PT"/>
        </w:rPr>
      </w:pPr>
      <w:r>
        <w:rPr>
          <w:rStyle w:val="FootnoteReference"/>
        </w:rPr>
        <w:footnoteRef/>
      </w:r>
      <w:r>
        <w:rPr>
          <w:lang w:val="pt-PT"/>
        </w:rPr>
        <w:t xml:space="preserve"> </w:t>
      </w:r>
      <w:r>
        <w:rPr>
          <w:lang w:val="pt-PT"/>
        </w:rPr>
        <w:tab/>
      </w:r>
      <w:hyperlink r:id="rId208" w:history="1">
        <w:r>
          <w:rPr>
            <w:rStyle w:val="Hyperlink"/>
            <w:lang w:val="pt-PT"/>
          </w:rPr>
          <w:t>IP/18/357</w:t>
        </w:r>
      </w:hyperlink>
    </w:p>
  </w:footnote>
  <w:footnote w:id="146">
    <w:p>
      <w:pPr>
        <w:pStyle w:val="FootnoteText"/>
        <w:rPr>
          <w:lang w:val="pt-PT"/>
        </w:rPr>
      </w:pPr>
      <w:r>
        <w:rPr>
          <w:rStyle w:val="FootnoteReference"/>
        </w:rPr>
        <w:footnoteRef/>
      </w:r>
      <w:r>
        <w:rPr>
          <w:lang w:val="pt-PT"/>
        </w:rPr>
        <w:t xml:space="preserve"> </w:t>
      </w:r>
      <w:r>
        <w:rPr>
          <w:lang w:val="pt-PT"/>
        </w:rPr>
        <w:tab/>
      </w:r>
      <w:hyperlink r:id="rId209" w:history="1">
        <w:r>
          <w:rPr>
            <w:rStyle w:val="Hyperlink"/>
            <w:lang w:val="pt-PT"/>
          </w:rPr>
          <w:t>MEMO/18/349</w:t>
        </w:r>
      </w:hyperlink>
      <w:r>
        <w:rPr>
          <w:lang w:val="pt-PT"/>
        </w:rPr>
        <w:t>.</w:t>
      </w:r>
    </w:p>
  </w:footnote>
  <w:footnote w:id="147">
    <w:p>
      <w:pPr>
        <w:pStyle w:val="FootnoteText"/>
        <w:rPr>
          <w:lang w:val="pt-PT"/>
        </w:rPr>
      </w:pPr>
      <w:r>
        <w:rPr>
          <w:rStyle w:val="FootnoteReference"/>
        </w:rPr>
        <w:footnoteRef/>
      </w:r>
      <w:r>
        <w:rPr>
          <w:lang w:val="pt-PT"/>
        </w:rPr>
        <w:t xml:space="preserve"> </w:t>
      </w:r>
      <w:r>
        <w:rPr>
          <w:lang w:val="pt-PT"/>
        </w:rPr>
        <w:tab/>
      </w:r>
      <w:r>
        <w:rPr>
          <w:rStyle w:val="Hyperlink"/>
          <w:color w:val="auto"/>
          <w:szCs w:val="18"/>
          <w:u w:val="none"/>
          <w:bdr w:val="none" w:sz="0" w:space="0" w:color="auto" w:frame="1"/>
          <w:lang w:val="pt-PT"/>
        </w:rPr>
        <w:t xml:space="preserve">Directive </w:t>
      </w:r>
      <w:hyperlink r:id="rId210" w:history="1">
        <w:r>
          <w:rPr>
            <w:rStyle w:val="Hyperlink"/>
            <w:szCs w:val="18"/>
            <w:bdr w:val="none" w:sz="0" w:space="0" w:color="auto" w:frame="1"/>
            <w:lang w:val="pt-PT"/>
          </w:rPr>
          <w:t>2015/1794/EU</w:t>
        </w:r>
      </w:hyperlink>
      <w:r>
        <w:rPr>
          <w:lang w:val="pt-PT"/>
        </w:rPr>
        <w:t xml:space="preserve">; </w:t>
      </w:r>
      <w:hyperlink r:id="rId211" w:history="1">
        <w:r>
          <w:rPr>
            <w:rStyle w:val="Hyperlink"/>
            <w:lang w:val="pt-PT"/>
          </w:rPr>
          <w:t>MEMO/18/3446</w:t>
        </w:r>
      </w:hyperlink>
      <w:r>
        <w:rPr>
          <w:rStyle w:val="Hyperlink"/>
          <w:lang w:val="pt-PT"/>
        </w:rPr>
        <w:t>.</w:t>
      </w:r>
    </w:p>
  </w:footnote>
  <w:footnote w:id="148">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212" w:history="1">
        <w:r>
          <w:rPr>
            <w:rStyle w:val="Hyperlink"/>
            <w:lang w:val="pt-PT"/>
          </w:rPr>
          <w:t>2015/2366/EU</w:t>
        </w:r>
      </w:hyperlink>
      <w:r>
        <w:rPr>
          <w:lang w:val="pt-PT"/>
        </w:rPr>
        <w:t>.</w:t>
      </w:r>
    </w:p>
  </w:footnote>
  <w:footnote w:id="149">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213" w:history="1">
        <w:r>
          <w:rPr>
            <w:rStyle w:val="Hyperlink"/>
            <w:lang w:val="pt-PT"/>
          </w:rPr>
          <w:t>2016/97/EU</w:t>
        </w:r>
      </w:hyperlink>
      <w:r>
        <w:rPr>
          <w:lang w:val="pt-PT"/>
        </w:rPr>
        <w:t>.</w:t>
      </w:r>
    </w:p>
  </w:footnote>
  <w:footnote w:id="150">
    <w:p>
      <w:pPr>
        <w:pStyle w:val="FootnoteText"/>
        <w:rPr>
          <w:lang w:val="pt-PT"/>
        </w:rPr>
      </w:pPr>
      <w:r>
        <w:rPr>
          <w:rStyle w:val="FootnoteReference"/>
        </w:rPr>
        <w:footnoteRef/>
      </w:r>
      <w:r>
        <w:rPr>
          <w:lang w:val="pt-PT"/>
        </w:rPr>
        <w:t xml:space="preserve"> </w:t>
      </w:r>
      <w:r>
        <w:rPr>
          <w:lang w:val="pt-PT"/>
        </w:rPr>
        <w:tab/>
      </w:r>
      <w:r>
        <w:rPr>
          <w:rStyle w:val="Hyperlink"/>
          <w:color w:val="auto"/>
          <w:u w:val="none"/>
          <w:bdr w:val="none" w:sz="0" w:space="0" w:color="auto" w:frame="1"/>
          <w:lang w:val="pt-PT"/>
        </w:rPr>
        <w:t xml:space="preserve">Directive </w:t>
      </w:r>
      <w:hyperlink r:id="rId214" w:history="1">
        <w:r>
          <w:rPr>
            <w:rStyle w:val="Hyperlink"/>
            <w:bdr w:val="none" w:sz="0" w:space="0" w:color="auto" w:frame="1"/>
            <w:lang w:val="pt-PT"/>
          </w:rPr>
          <w:t>2014/65/EU</w:t>
        </w:r>
      </w:hyperlink>
      <w:r>
        <w:rPr>
          <w:lang w:val="pt-PT"/>
        </w:rPr>
        <w:t xml:space="preserve">; </w:t>
      </w:r>
      <w:hyperlink r:id="rId215" w:history="1">
        <w:r>
          <w:rPr>
            <w:rStyle w:val="Hyperlink"/>
            <w:lang w:val="pt-PT"/>
          </w:rPr>
          <w:t>MEMO/18/349</w:t>
        </w:r>
      </w:hyperlink>
      <w:r>
        <w:rPr>
          <w:lang w:val="pt-PT"/>
        </w:rPr>
        <w:t>.</w:t>
      </w:r>
    </w:p>
  </w:footnote>
  <w:footnote w:id="151">
    <w:p>
      <w:pPr>
        <w:pStyle w:val="FootnoteText"/>
        <w:rPr>
          <w:lang w:val="pt-PT"/>
        </w:rPr>
      </w:pPr>
      <w:r>
        <w:rPr>
          <w:rStyle w:val="FootnoteReference"/>
        </w:rPr>
        <w:footnoteRef/>
      </w:r>
      <w:r>
        <w:rPr>
          <w:lang w:val="pt-PT"/>
        </w:rPr>
        <w:t xml:space="preserve"> </w:t>
      </w:r>
      <w:r>
        <w:rPr>
          <w:lang w:val="pt-PT"/>
        </w:rPr>
        <w:tab/>
        <w:t xml:space="preserve">Directive </w:t>
      </w:r>
      <w:hyperlink r:id="rId216" w:history="1">
        <w:r>
          <w:rPr>
            <w:rStyle w:val="Hyperlink"/>
            <w:lang w:val="pt-PT"/>
          </w:rPr>
          <w:t>2013/59/Euratom</w:t>
        </w:r>
      </w:hyperlink>
      <w:r>
        <w:rPr>
          <w:lang w:val="pt-PT"/>
        </w:rPr>
        <w:t xml:space="preserve">, </w:t>
      </w:r>
      <w:hyperlink r:id="rId217" w:history="1">
        <w:r>
          <w:rPr>
            <w:rStyle w:val="Hyperlink"/>
            <w:lang w:val="pt-PT"/>
          </w:rPr>
          <w:t>MEMO/18/3446</w:t>
        </w:r>
      </w:hyperlink>
      <w:r>
        <w:rPr>
          <w:rStyle w:val="Hyperlink"/>
          <w:lang w:val="pt-PT"/>
        </w:rPr>
        <w:t>.</w:t>
      </w:r>
    </w:p>
  </w:footnote>
  <w:footnote w:id="152">
    <w:p>
      <w:pPr>
        <w:pStyle w:val="FootnoteText"/>
        <w:rPr>
          <w:lang w:val="pt-PT"/>
        </w:rPr>
      </w:pPr>
      <w:r>
        <w:rPr>
          <w:rStyle w:val="FootnoteReference"/>
        </w:rPr>
        <w:footnoteRef/>
      </w:r>
      <w:r>
        <w:rPr>
          <w:lang w:val="pt-PT"/>
        </w:rPr>
        <w:t xml:space="preserve"> </w:t>
      </w:r>
      <w:r>
        <w:rPr>
          <w:lang w:val="pt-PT"/>
        </w:rPr>
        <w:tab/>
        <w:t xml:space="preserve">Directive </w:t>
      </w:r>
      <w:hyperlink r:id="rId218" w:history="1">
        <w:r>
          <w:rPr>
            <w:rStyle w:val="Hyperlink"/>
            <w:lang w:val="pt-PT"/>
          </w:rPr>
          <w:t>2015/2193</w:t>
        </w:r>
      </w:hyperlink>
      <w:r>
        <w:rPr>
          <w:rStyle w:val="Hyperlink"/>
          <w:lang w:val="pt-PT"/>
        </w:rPr>
        <w:t>/EU</w:t>
      </w:r>
      <w:r>
        <w:rPr>
          <w:lang w:val="pt-PT"/>
        </w:rPr>
        <w:t>.</w:t>
      </w:r>
    </w:p>
  </w:footnote>
  <w:footnote w:id="153">
    <w:p>
      <w:pPr>
        <w:pStyle w:val="FootnoteText"/>
        <w:rPr>
          <w:lang w:val="pt-PT"/>
        </w:rPr>
      </w:pPr>
      <w:r>
        <w:rPr>
          <w:rStyle w:val="FootnoteReference"/>
        </w:rPr>
        <w:footnoteRef/>
      </w:r>
      <w:r>
        <w:rPr>
          <w:lang w:val="pt-PT"/>
        </w:rPr>
        <w:t xml:space="preserve"> </w:t>
      </w:r>
      <w:r>
        <w:rPr>
          <w:lang w:val="pt-PT"/>
        </w:rPr>
        <w:tab/>
        <w:t xml:space="preserve">Directive </w:t>
      </w:r>
      <w:hyperlink r:id="rId219" w:history="1">
        <w:r>
          <w:rPr>
            <w:rStyle w:val="Hyperlink"/>
            <w:lang w:val="pt-PT"/>
          </w:rPr>
          <w:t>2016/2284</w:t>
        </w:r>
      </w:hyperlink>
      <w:r>
        <w:rPr>
          <w:rStyle w:val="Hyperlink"/>
          <w:lang w:val="pt-PT"/>
        </w:rPr>
        <w:t>/EU</w:t>
      </w:r>
      <w:r>
        <w:rPr>
          <w:lang w:val="pt-PT"/>
        </w:rPr>
        <w:t>.</w:t>
      </w:r>
    </w:p>
  </w:footnote>
  <w:footnote w:id="154">
    <w:p>
      <w:pPr>
        <w:pStyle w:val="FootnoteText"/>
        <w:rPr>
          <w:lang w:val="pt-PT"/>
        </w:rPr>
      </w:pPr>
      <w:r>
        <w:rPr>
          <w:rStyle w:val="FootnoteReference"/>
        </w:rPr>
        <w:footnoteRef/>
      </w:r>
      <w:r>
        <w:rPr>
          <w:lang w:val="pt-PT"/>
        </w:rPr>
        <w:t xml:space="preserve"> </w:t>
      </w:r>
      <w:r>
        <w:rPr>
          <w:lang w:val="pt-PT"/>
        </w:rPr>
        <w:tab/>
        <w:t xml:space="preserve">Directive </w:t>
      </w:r>
      <w:hyperlink r:id="rId220" w:history="1">
        <w:r>
          <w:rPr>
            <w:rStyle w:val="Hyperlink"/>
            <w:lang w:val="pt-PT"/>
          </w:rPr>
          <w:t>2016/1148/EU</w:t>
        </w:r>
      </w:hyperlink>
      <w:r>
        <w:rPr>
          <w:lang w:val="pt-PT"/>
        </w:rPr>
        <w:t xml:space="preserve">; </w:t>
      </w:r>
      <w:hyperlink r:id="rId221" w:history="1">
        <w:r>
          <w:rPr>
            <w:rStyle w:val="Hyperlink"/>
            <w:lang w:val="pt-PT"/>
          </w:rPr>
          <w:t>MEMO/18/4486</w:t>
        </w:r>
      </w:hyperlink>
      <w:r>
        <w:rPr>
          <w:rStyle w:val="Hyperlink"/>
          <w:lang w:val="pt-PT"/>
        </w:rPr>
        <w:t>.</w:t>
      </w:r>
    </w:p>
  </w:footnote>
  <w:footnote w:id="155">
    <w:p>
      <w:pPr>
        <w:pStyle w:val="FootnoteText"/>
        <w:rPr>
          <w:lang w:val="pt-PT"/>
        </w:rPr>
      </w:pPr>
      <w:r>
        <w:rPr>
          <w:rStyle w:val="FootnoteReference"/>
        </w:rPr>
        <w:footnoteRef/>
      </w:r>
      <w:r>
        <w:rPr>
          <w:lang w:val="pt-PT"/>
        </w:rPr>
        <w:t xml:space="preserve"> </w:t>
      </w:r>
      <w:r>
        <w:rPr>
          <w:lang w:val="pt-PT"/>
        </w:rPr>
        <w:tab/>
        <w:t xml:space="preserve">Directive </w:t>
      </w:r>
      <w:hyperlink r:id="rId222" w:history="1">
        <w:r>
          <w:rPr>
            <w:rStyle w:val="Hyperlink"/>
            <w:lang w:val="pt-PT"/>
          </w:rPr>
          <w:t>2017/1564</w:t>
        </w:r>
      </w:hyperlink>
      <w:r>
        <w:rPr>
          <w:rStyle w:val="Hyperlink"/>
          <w:lang w:val="pt-PT"/>
        </w:rPr>
        <w:t>/EU</w:t>
      </w:r>
      <w:r>
        <w:rPr>
          <w:lang w:val="pt-PT"/>
        </w:rPr>
        <w:t>.</w:t>
      </w:r>
    </w:p>
  </w:footnote>
  <w:footnote w:id="156">
    <w:p>
      <w:pPr>
        <w:pStyle w:val="FootnoteText"/>
        <w:rPr>
          <w:lang w:val="pt-PT"/>
        </w:rPr>
      </w:pPr>
      <w:r>
        <w:rPr>
          <w:rStyle w:val="FootnoteReference"/>
        </w:rPr>
        <w:footnoteRef/>
      </w:r>
      <w:r>
        <w:rPr>
          <w:lang w:val="pt-PT"/>
        </w:rPr>
        <w:t xml:space="preserve"> </w:t>
      </w:r>
      <w:r>
        <w:rPr>
          <w:lang w:val="pt-PT"/>
        </w:rPr>
        <w:tab/>
        <w:t xml:space="preserve">Directive </w:t>
      </w:r>
      <w:hyperlink r:id="rId223" w:history="1">
        <w:r>
          <w:rPr>
            <w:rStyle w:val="Hyperlink"/>
            <w:lang w:val="pt-PT"/>
          </w:rPr>
          <w:t>2016/680/EU</w:t>
        </w:r>
      </w:hyperlink>
      <w:r>
        <w:rPr>
          <w:lang w:val="pt-PT"/>
        </w:rPr>
        <w:t>.</w:t>
      </w:r>
    </w:p>
  </w:footnote>
  <w:footnote w:id="157">
    <w:p>
      <w:pPr>
        <w:pStyle w:val="FootnoteText"/>
        <w:rPr>
          <w:lang w:val="pt-PT"/>
        </w:rPr>
      </w:pPr>
      <w:r>
        <w:rPr>
          <w:rStyle w:val="FootnoteReference"/>
        </w:rPr>
        <w:footnoteRef/>
      </w:r>
      <w:r>
        <w:rPr>
          <w:lang w:val="pt-PT"/>
        </w:rPr>
        <w:t xml:space="preserve"> </w:t>
      </w:r>
      <w:r>
        <w:rPr>
          <w:lang w:val="pt-PT"/>
        </w:rPr>
        <w:tab/>
        <w:t xml:space="preserve">Directive </w:t>
      </w:r>
      <w:hyperlink r:id="rId224" w:history="1">
        <w:r>
          <w:rPr>
            <w:rStyle w:val="Hyperlink"/>
            <w:lang w:val="pt-PT"/>
          </w:rPr>
          <w:t>92/43/EEC</w:t>
        </w:r>
      </w:hyperlink>
      <w:r>
        <w:rPr>
          <w:lang w:val="pt-PT"/>
        </w:rPr>
        <w:t>, Commission v Portugal,</w:t>
      </w:r>
      <w:r>
        <w:rPr>
          <w:rStyle w:val="Hyperlink"/>
          <w:lang w:val="pt-PT"/>
        </w:rPr>
        <w:t xml:space="preserve"> </w:t>
      </w:r>
      <w:hyperlink r:id="rId225" w:history="1">
        <w:r>
          <w:rPr>
            <w:rStyle w:val="Hyperlink"/>
            <w:lang w:val="pt-PT"/>
          </w:rPr>
          <w:t>C-290/18</w:t>
        </w:r>
      </w:hyperlink>
      <w:r>
        <w:rPr>
          <w:rStyle w:val="Hyperlink"/>
          <w:lang w:val="pt-PT"/>
        </w:rPr>
        <w:t xml:space="preserve">; </w:t>
      </w:r>
      <w:hyperlink r:id="rId226" w:history="1">
        <w:r>
          <w:rPr>
            <w:rStyle w:val="Hyperlink"/>
            <w:lang w:val="pt-PT"/>
          </w:rPr>
          <w:t>IP/18/356</w:t>
        </w:r>
      </w:hyperlink>
      <w:r>
        <w:rPr>
          <w:lang w:val="pt-PT"/>
        </w:rPr>
        <w:t>.</w:t>
      </w:r>
    </w:p>
  </w:footnote>
  <w:footnote w:id="158">
    <w:p>
      <w:pPr>
        <w:pStyle w:val="FootnoteText"/>
        <w:rPr>
          <w:lang w:val="pt-PT"/>
        </w:rPr>
      </w:pPr>
      <w:r>
        <w:rPr>
          <w:rStyle w:val="FootnoteReference"/>
        </w:rPr>
        <w:footnoteRef/>
      </w:r>
      <w:r>
        <w:rPr>
          <w:lang w:val="pt-PT"/>
        </w:rPr>
        <w:t xml:space="preserve"> </w:t>
      </w:r>
      <w:r>
        <w:rPr>
          <w:lang w:val="pt-PT"/>
        </w:rPr>
        <w:tab/>
        <w:t xml:space="preserve">Directive </w:t>
      </w:r>
      <w:hyperlink r:id="rId227" w:history="1">
        <w:r>
          <w:rPr>
            <w:rStyle w:val="Hyperlink"/>
            <w:lang w:val="pt-PT"/>
          </w:rPr>
          <w:t>2009/16/EC</w:t>
        </w:r>
      </w:hyperlink>
      <w:r>
        <w:rPr>
          <w:rStyle w:val="Hyperlink"/>
          <w:lang w:val="pt-PT"/>
        </w:rPr>
        <w:t>.</w:t>
      </w:r>
    </w:p>
  </w:footnote>
  <w:footnote w:id="159">
    <w:p>
      <w:pPr>
        <w:pStyle w:val="FootnoteText"/>
        <w:rPr>
          <w:lang w:val="pt-PT"/>
        </w:rPr>
      </w:pPr>
      <w:r>
        <w:rPr>
          <w:rStyle w:val="FootnoteReference"/>
        </w:rPr>
        <w:footnoteRef/>
      </w:r>
      <w:r>
        <w:rPr>
          <w:lang w:val="pt-PT"/>
        </w:rPr>
        <w:t xml:space="preserve"> </w:t>
      </w:r>
      <w:r>
        <w:rPr>
          <w:lang w:val="pt-PT"/>
        </w:rPr>
        <w:tab/>
        <w:t xml:space="preserve">Directive </w:t>
      </w:r>
      <w:hyperlink r:id="rId228" w:history="1">
        <w:r>
          <w:rPr>
            <w:rStyle w:val="LienInternet"/>
            <w:lang w:val="pt-PT"/>
          </w:rPr>
          <w:t>1996/67/EC</w:t>
        </w:r>
      </w:hyperlink>
      <w:r>
        <w:rPr>
          <w:lang w:val="pt-PT"/>
        </w:rPr>
        <w:t>.</w:t>
      </w:r>
    </w:p>
  </w:footnote>
  <w:footnote w:id="160">
    <w:p>
      <w:pPr>
        <w:pStyle w:val="FootnoteText"/>
        <w:rPr>
          <w:lang w:val="pt-PT"/>
        </w:rPr>
      </w:pPr>
      <w:r>
        <w:rPr>
          <w:rStyle w:val="FootnoteReference"/>
        </w:rPr>
        <w:footnoteRef/>
      </w:r>
      <w:r>
        <w:rPr>
          <w:lang w:val="pt-PT"/>
        </w:rPr>
        <w:t xml:space="preserve"> </w:t>
      </w:r>
      <w:r>
        <w:rPr>
          <w:lang w:val="pt-PT"/>
        </w:rPr>
        <w:tab/>
        <w:t xml:space="preserve">Directive </w:t>
      </w:r>
      <w:hyperlink r:id="rId229" w:history="1">
        <w:r>
          <w:rPr>
            <w:rStyle w:val="LienInternet"/>
            <w:lang w:val="pt-PT"/>
          </w:rPr>
          <w:t>2009/21/EC</w:t>
        </w:r>
      </w:hyperlink>
      <w:r>
        <w:rPr>
          <w:rStyle w:val="LienInternet"/>
          <w:lang w:val="pt-PT"/>
        </w:rPr>
        <w:t>.</w:t>
      </w:r>
    </w:p>
  </w:footnote>
  <w:footnote w:id="161">
    <w:p>
      <w:pPr>
        <w:pStyle w:val="FootnoteText"/>
        <w:rPr>
          <w:lang w:val="pt-PT"/>
        </w:rPr>
      </w:pPr>
      <w:r>
        <w:rPr>
          <w:rStyle w:val="FootnoteReference"/>
        </w:rPr>
        <w:footnoteRef/>
      </w:r>
      <w:r>
        <w:rPr>
          <w:lang w:val="pt-PT"/>
        </w:rPr>
        <w:t xml:space="preserve"> </w:t>
      </w:r>
      <w:r>
        <w:rPr>
          <w:lang w:val="pt-PT"/>
        </w:rPr>
        <w:tab/>
        <w:t xml:space="preserve">Directives </w:t>
      </w:r>
      <w:hyperlink r:id="rId230" w:history="1">
        <w:r>
          <w:rPr>
            <w:rStyle w:val="Hyperlink"/>
            <w:lang w:val="pt-PT"/>
          </w:rPr>
          <w:t>2009/72/EC</w:t>
        </w:r>
      </w:hyperlink>
      <w:r>
        <w:rPr>
          <w:rStyle w:val="Hyperlink"/>
          <w:lang w:val="pt-PT"/>
        </w:rPr>
        <w:t xml:space="preserve"> and </w:t>
      </w:r>
      <w:hyperlink r:id="rId231" w:history="1">
        <w:r>
          <w:rPr>
            <w:rStyle w:val="Hyperlink"/>
            <w:lang w:val="pt-PT"/>
          </w:rPr>
          <w:t>2009/73/EC</w:t>
        </w:r>
      </w:hyperlink>
      <w:r>
        <w:rPr>
          <w:rStyle w:val="Hyperlink"/>
          <w:lang w:val="pt-PT"/>
        </w:rPr>
        <w:t>.</w:t>
      </w:r>
    </w:p>
  </w:footnote>
  <w:footnote w:id="162">
    <w:p>
      <w:pPr>
        <w:pStyle w:val="FootnoteText"/>
        <w:rPr>
          <w:lang w:val="pt-PT"/>
        </w:rPr>
      </w:pPr>
      <w:r>
        <w:rPr>
          <w:rStyle w:val="FootnoteReference"/>
        </w:rPr>
        <w:footnoteRef/>
      </w:r>
      <w:r>
        <w:rPr>
          <w:lang w:val="pt-PT"/>
        </w:rPr>
        <w:t xml:space="preserve"> </w:t>
      </w:r>
      <w:r>
        <w:rPr>
          <w:lang w:val="pt-PT"/>
        </w:rPr>
        <w:tab/>
      </w:r>
      <w:hyperlink r:id="rId232" w:history="1">
        <w:r>
          <w:rPr>
            <w:rStyle w:val="Hyperlink"/>
            <w:color w:val="auto"/>
            <w:u w:val="none"/>
            <w:lang w:val="pt-PT"/>
          </w:rPr>
          <w:t xml:space="preserve">Directive </w:t>
        </w:r>
        <w:r>
          <w:rPr>
            <w:rStyle w:val="Hyperlink"/>
            <w:lang w:val="pt-PT"/>
          </w:rPr>
          <w:t>2009/138/EC</w:t>
        </w:r>
      </w:hyperlink>
      <w:r>
        <w:rPr>
          <w:lang w:val="pt-PT"/>
        </w:rPr>
        <w:t>,</w:t>
      </w:r>
      <w:r>
        <w:rPr>
          <w:rFonts w:eastAsia="Times New Roman"/>
          <w:lang w:val="pt-PT" w:eastAsia="en-GB"/>
        </w:rPr>
        <w:t xml:space="preserve"> </w:t>
      </w:r>
      <w:hyperlink r:id="rId233" w:history="1">
        <w:r>
          <w:rPr>
            <w:rStyle w:val="Hyperlink"/>
            <w:lang w:val="pt-PT"/>
          </w:rPr>
          <w:t>MEMO/18/349</w:t>
        </w:r>
      </w:hyperlink>
      <w:r>
        <w:rPr>
          <w:lang w:val="pt-PT"/>
        </w:rPr>
        <w:t>.</w:t>
      </w:r>
    </w:p>
  </w:footnote>
  <w:footnote w:id="163">
    <w:p>
      <w:pPr>
        <w:pStyle w:val="FootnoteText"/>
        <w:rPr>
          <w:lang w:val="pt-PT"/>
        </w:rPr>
      </w:pPr>
      <w:r>
        <w:rPr>
          <w:rStyle w:val="FootnoteReference"/>
        </w:rPr>
        <w:footnoteRef/>
      </w:r>
      <w:r>
        <w:rPr>
          <w:lang w:val="pt-PT"/>
        </w:rPr>
        <w:t xml:space="preserve"> </w:t>
      </w:r>
      <w:r>
        <w:rPr>
          <w:lang w:val="pt-PT"/>
        </w:rPr>
        <w:tab/>
        <w:t xml:space="preserve">Directive </w:t>
      </w:r>
      <w:hyperlink r:id="rId234" w:history="1">
        <w:r>
          <w:rPr>
            <w:rStyle w:val="Hyperlink"/>
            <w:lang w:val="pt-PT"/>
          </w:rPr>
          <w:t>2014/66/EU</w:t>
        </w:r>
      </w:hyperlink>
      <w:r>
        <w:rPr>
          <w:lang w:val="pt-PT"/>
        </w:rPr>
        <w:t>.</w:t>
      </w:r>
    </w:p>
  </w:footnote>
  <w:footnote w:id="164">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235" w:history="1">
        <w:r>
          <w:rPr>
            <w:rStyle w:val="Hyperlink"/>
            <w:lang w:val="pt-PT"/>
          </w:rPr>
          <w:t>2014/91/EU</w:t>
        </w:r>
      </w:hyperlink>
      <w:r>
        <w:rPr>
          <w:lang w:val="pt-PT"/>
        </w:rPr>
        <w:t>.</w:t>
      </w:r>
    </w:p>
  </w:footnote>
  <w:footnote w:id="165">
    <w:p>
      <w:pPr>
        <w:pStyle w:val="FootnoteText"/>
        <w:rPr>
          <w:lang w:val="pt-PT"/>
        </w:rPr>
      </w:pPr>
      <w:r>
        <w:rPr>
          <w:rStyle w:val="FootnoteReference"/>
        </w:rPr>
        <w:footnoteRef/>
      </w:r>
      <w:r>
        <w:rPr>
          <w:lang w:val="pt-PT"/>
        </w:rPr>
        <w:t xml:space="preserve"> </w:t>
      </w:r>
      <w:r>
        <w:rPr>
          <w:lang w:val="pt-PT"/>
        </w:rPr>
        <w:tab/>
        <w:t xml:space="preserve">Directive </w:t>
      </w:r>
      <w:hyperlink r:id="rId236" w:history="1">
        <w:r>
          <w:rPr>
            <w:rStyle w:val="Hyperlink"/>
            <w:lang w:val="pt-PT"/>
          </w:rPr>
          <w:t>2015/720</w:t>
        </w:r>
      </w:hyperlink>
      <w:r>
        <w:rPr>
          <w:rStyle w:val="Hyperlink"/>
          <w:lang w:val="pt-PT"/>
        </w:rPr>
        <w:t>/EU</w:t>
      </w:r>
      <w:r>
        <w:rPr>
          <w:lang w:val="pt-PT"/>
        </w:rPr>
        <w:t>.</w:t>
      </w:r>
    </w:p>
  </w:footnote>
  <w:footnote w:id="166">
    <w:p>
      <w:pPr>
        <w:pStyle w:val="FootnoteText"/>
        <w:rPr>
          <w:lang w:val="pt-PT"/>
        </w:rPr>
      </w:pPr>
      <w:r>
        <w:rPr>
          <w:rStyle w:val="FootnoteReference"/>
        </w:rPr>
        <w:footnoteRef/>
      </w:r>
      <w:r>
        <w:rPr>
          <w:lang w:val="pt-PT"/>
        </w:rPr>
        <w:t xml:space="preserve"> </w:t>
      </w:r>
      <w:r>
        <w:rPr>
          <w:lang w:val="pt-PT"/>
        </w:rPr>
        <w:tab/>
        <w:t xml:space="preserve">Directive </w:t>
      </w:r>
      <w:hyperlink r:id="rId237" w:history="1">
        <w:r>
          <w:rPr>
            <w:rStyle w:val="Hyperlink"/>
            <w:lang w:val="pt-PT"/>
          </w:rPr>
          <w:t>2014/52/EU</w:t>
        </w:r>
      </w:hyperlink>
      <w:r>
        <w:rPr>
          <w:lang w:val="pt-PT"/>
        </w:rPr>
        <w:t>.</w:t>
      </w:r>
    </w:p>
  </w:footnote>
  <w:footnote w:id="167">
    <w:p>
      <w:pPr>
        <w:pStyle w:val="FootnoteText"/>
        <w:rPr>
          <w:lang w:val="pt-PT"/>
        </w:rPr>
      </w:pPr>
      <w:r>
        <w:rPr>
          <w:rStyle w:val="FootnoteReference"/>
        </w:rPr>
        <w:footnoteRef/>
      </w:r>
      <w:r>
        <w:rPr>
          <w:lang w:val="pt-PT"/>
        </w:rPr>
        <w:t xml:space="preserve"> </w:t>
      </w:r>
      <w:r>
        <w:rPr>
          <w:lang w:val="pt-PT"/>
        </w:rPr>
        <w:tab/>
        <w:t xml:space="preserve">Commission Directive </w:t>
      </w:r>
      <w:hyperlink r:id="rId238" w:history="1">
        <w:r>
          <w:rPr>
            <w:rStyle w:val="Hyperlink"/>
            <w:lang w:val="pt-PT"/>
          </w:rPr>
          <w:t>2015/1787/EU</w:t>
        </w:r>
      </w:hyperlink>
      <w:r>
        <w:rPr>
          <w:lang w:val="pt-PT"/>
        </w:rPr>
        <w:t>.</w:t>
      </w:r>
    </w:p>
  </w:footnote>
  <w:footnote w:id="168">
    <w:p>
      <w:pPr>
        <w:pStyle w:val="FootnoteText"/>
        <w:rPr>
          <w:lang w:val="pt-PT"/>
        </w:rPr>
      </w:pPr>
      <w:r>
        <w:rPr>
          <w:rStyle w:val="FootnoteReference"/>
        </w:rPr>
        <w:footnoteRef/>
      </w:r>
      <w:r>
        <w:rPr>
          <w:lang w:val="pt-PT"/>
        </w:rPr>
        <w:t xml:space="preserve"> </w:t>
      </w:r>
      <w:r>
        <w:rPr>
          <w:lang w:val="pt-PT"/>
        </w:rPr>
        <w:tab/>
        <w:t xml:space="preserve">Directive </w:t>
      </w:r>
      <w:hyperlink r:id="rId239" w:history="1">
        <w:r>
          <w:rPr>
            <w:rStyle w:val="Hyperlink"/>
            <w:lang w:val="pt-PT"/>
          </w:rPr>
          <w:t>98/83/EC</w:t>
        </w:r>
      </w:hyperlink>
      <w:r>
        <w:rPr>
          <w:lang w:val="pt-PT"/>
        </w:rPr>
        <w:t>.</w:t>
      </w:r>
    </w:p>
  </w:footnote>
  <w:footnote w:id="169">
    <w:p>
      <w:pPr>
        <w:pStyle w:val="FootnoteText"/>
        <w:rPr>
          <w:lang w:val="pt-PT"/>
        </w:rPr>
      </w:pPr>
      <w:r>
        <w:rPr>
          <w:rStyle w:val="FootnoteReference"/>
        </w:rPr>
        <w:footnoteRef/>
      </w:r>
      <w:r>
        <w:rPr>
          <w:lang w:val="pt-PT"/>
        </w:rPr>
        <w:t xml:space="preserve"> </w:t>
      </w:r>
      <w:r>
        <w:rPr>
          <w:lang w:val="pt-PT"/>
        </w:rPr>
        <w:tab/>
      </w:r>
      <w:hyperlink r:id="rId240" w:history="1">
        <w:r>
          <w:rPr>
            <w:rStyle w:val="Hyperlink"/>
            <w:rFonts w:cs="Arial"/>
            <w:szCs w:val="18"/>
            <w:lang w:val="pt-PT"/>
          </w:rPr>
          <w:t>MEMO/18/6247</w:t>
        </w:r>
      </w:hyperlink>
      <w:r>
        <w:rPr>
          <w:rStyle w:val="Hyperlink"/>
          <w:rFonts w:cs="Arial"/>
          <w:szCs w:val="18"/>
          <w:lang w:val="pt-PT"/>
        </w:rPr>
        <w:t>.</w:t>
      </w:r>
    </w:p>
  </w:footnote>
  <w:footnote w:id="170">
    <w:p>
      <w:pPr>
        <w:pStyle w:val="FootnoteText"/>
        <w:rPr>
          <w:lang w:val="pt-PT"/>
        </w:rPr>
      </w:pPr>
      <w:r>
        <w:rPr>
          <w:rStyle w:val="FootnoteReference"/>
        </w:rPr>
        <w:footnoteRef/>
      </w:r>
      <w:r>
        <w:rPr>
          <w:lang w:val="pt-PT"/>
        </w:rPr>
        <w:t xml:space="preserve"> </w:t>
      </w:r>
      <w:r>
        <w:rPr>
          <w:lang w:val="pt-PT"/>
        </w:rPr>
        <w:tab/>
        <w:t xml:space="preserve">Directive </w:t>
      </w:r>
      <w:hyperlink r:id="rId241" w:history="1">
        <w:r>
          <w:rPr>
            <w:rStyle w:val="Hyperlink"/>
            <w:lang w:val="pt-PT"/>
          </w:rPr>
          <w:t>2010/75/EU</w:t>
        </w:r>
      </w:hyperlink>
      <w:r>
        <w:rPr>
          <w:lang w:val="pt-PT"/>
        </w:rPr>
        <w:t xml:space="preserve">; </w:t>
      </w:r>
      <w:hyperlink r:id="rId242" w:history="1">
        <w:r>
          <w:rPr>
            <w:rStyle w:val="Hyperlink"/>
            <w:lang w:val="pt-PT"/>
          </w:rPr>
          <w:t>MEMO/18/4486</w:t>
        </w:r>
      </w:hyperlink>
      <w:r>
        <w:rPr>
          <w:rStyle w:val="Hyperlink"/>
          <w:lang w:val="pt-PT"/>
        </w:rPr>
        <w:t>.</w:t>
      </w:r>
    </w:p>
  </w:footnote>
  <w:footnote w:id="171">
    <w:p>
      <w:pPr>
        <w:pStyle w:val="FootnoteText"/>
        <w:rPr>
          <w:lang w:val="en-US"/>
        </w:rPr>
      </w:pPr>
      <w:r>
        <w:rPr>
          <w:rStyle w:val="FootnoteReference"/>
        </w:rPr>
        <w:footnoteRef/>
      </w:r>
      <w:r>
        <w:rPr>
          <w:lang w:val="en-US"/>
        </w:rPr>
        <w:t xml:space="preserve"> </w:t>
      </w:r>
      <w:r>
        <w:rPr>
          <w:lang w:val="en-US"/>
        </w:rPr>
        <w:tab/>
        <w:t xml:space="preserve">Directive </w:t>
      </w:r>
      <w:hyperlink r:id="rId243" w:history="1">
        <w:r>
          <w:rPr>
            <w:rStyle w:val="Hyperlink"/>
            <w:lang w:val="en-US"/>
          </w:rPr>
          <w:t>91/271/EEC</w:t>
        </w:r>
      </w:hyperlink>
      <w:r>
        <w:rPr>
          <w:rStyle w:val="Hyperlink"/>
          <w:lang w:val="en-US"/>
        </w:rPr>
        <w:t xml:space="preserve">, </w:t>
      </w:r>
      <w:hyperlink r:id="rId244" w:history="1">
        <w:r>
          <w:rPr>
            <w:rStyle w:val="Hyperlink"/>
            <w:lang w:val="en-US"/>
          </w:rPr>
          <w:t>MEMO/18/3986</w:t>
        </w:r>
      </w:hyperlink>
      <w:r>
        <w:rPr>
          <w:lang w:val="en-US"/>
        </w:rPr>
        <w:t>.</w:t>
      </w:r>
    </w:p>
  </w:footnote>
  <w:footnote w:id="172">
    <w:p>
      <w:pPr>
        <w:pStyle w:val="FootnoteText"/>
      </w:pPr>
      <w:r>
        <w:rPr>
          <w:rStyle w:val="FootnoteReference"/>
        </w:rPr>
        <w:footnoteRef/>
      </w:r>
      <w:r>
        <w:t xml:space="preserve"> </w:t>
      </w:r>
      <w:r>
        <w:tab/>
      </w:r>
      <w:r>
        <w:rPr>
          <w:rStyle w:val="Hyperlink"/>
          <w:color w:val="auto"/>
          <w:u w:val="none"/>
        </w:rPr>
        <w:t xml:space="preserve">Directives </w:t>
      </w:r>
      <w:hyperlink r:id="rId245" w:history="1">
        <w:r>
          <w:rPr>
            <w:rStyle w:val="Hyperlink"/>
          </w:rPr>
          <w:t>2009/138/EC</w:t>
        </w:r>
      </w:hyperlink>
      <w:r>
        <w:t xml:space="preserve"> and </w:t>
      </w:r>
      <w:hyperlink r:id="rId246" w:history="1">
        <w:r>
          <w:rPr>
            <w:rStyle w:val="Hyperlink"/>
          </w:rPr>
          <w:t>2009/103/EC</w:t>
        </w:r>
      </w:hyperlink>
      <w:r>
        <w:t xml:space="preserve">; </w:t>
      </w:r>
      <w:hyperlink r:id="rId247" w:history="1">
        <w:r>
          <w:rPr>
            <w:rStyle w:val="Hyperlink"/>
          </w:rPr>
          <w:t>MEMO/18/4486</w:t>
        </w:r>
      </w:hyperlink>
      <w:r>
        <w:rPr>
          <w:rStyle w:val="Hyperlink"/>
        </w:rPr>
        <w:t>.</w:t>
      </w:r>
    </w:p>
  </w:footnote>
  <w:footnote w:id="173">
    <w:p>
      <w:pPr>
        <w:pStyle w:val="FootnoteText"/>
        <w:rPr>
          <w:lang w:val="pt-PT"/>
        </w:rPr>
      </w:pPr>
      <w:r>
        <w:rPr>
          <w:rStyle w:val="FootnoteReference"/>
        </w:rPr>
        <w:footnoteRef/>
      </w:r>
      <w:r>
        <w:rPr>
          <w:lang w:val="pt-PT"/>
        </w:rPr>
        <w:t xml:space="preserve"> </w:t>
      </w:r>
      <w:r>
        <w:rPr>
          <w:lang w:val="pt-PT"/>
        </w:rPr>
        <w:tab/>
        <w:t xml:space="preserve">Directive </w:t>
      </w:r>
      <w:hyperlink r:id="rId248" w:history="1">
        <w:r>
          <w:rPr>
            <w:rStyle w:val="Hyperlink"/>
            <w:lang w:val="pt-PT"/>
          </w:rPr>
          <w:t>2005/36/EC</w:t>
        </w:r>
      </w:hyperlink>
      <w:r>
        <w:rPr>
          <w:rStyle w:val="Hyperlink"/>
          <w:lang w:val="pt-PT"/>
        </w:rPr>
        <w:t>,</w:t>
      </w:r>
      <w:r>
        <w:rPr>
          <w:lang w:val="pt-PT"/>
        </w:rPr>
        <w:t xml:space="preserve"> </w:t>
      </w:r>
      <w:hyperlink r:id="rId249" w:history="1">
        <w:r>
          <w:rPr>
            <w:rStyle w:val="Hyperlink"/>
            <w:lang w:val="pt-PT"/>
          </w:rPr>
          <w:t>MEMO/18/4486</w:t>
        </w:r>
      </w:hyperlink>
      <w:r>
        <w:rPr>
          <w:rStyle w:val="Hyperlink"/>
          <w:lang w:val="pt-PT"/>
        </w:rPr>
        <w:t>.</w:t>
      </w:r>
    </w:p>
  </w:footnote>
  <w:footnote w:id="174">
    <w:p>
      <w:pPr>
        <w:pStyle w:val="FootnoteText"/>
        <w:rPr>
          <w:lang w:val="pt-PT"/>
        </w:rPr>
      </w:pPr>
      <w:r>
        <w:rPr>
          <w:rStyle w:val="FootnoteReference"/>
        </w:rPr>
        <w:footnoteRef/>
      </w:r>
      <w:r>
        <w:rPr>
          <w:lang w:val="pt-PT"/>
        </w:rPr>
        <w:t xml:space="preserve"> </w:t>
      </w:r>
      <w:r>
        <w:rPr>
          <w:lang w:val="pt-PT"/>
        </w:rPr>
        <w:tab/>
        <w:t xml:space="preserve">Directive </w:t>
      </w:r>
      <w:hyperlink r:id="rId250" w:history="1">
        <w:r>
          <w:rPr>
            <w:rStyle w:val="Hyperlink"/>
            <w:lang w:val="pt-PT"/>
          </w:rPr>
          <w:t>2011/70/Euratom</w:t>
        </w:r>
      </w:hyperlink>
      <w:r>
        <w:rPr>
          <w:rStyle w:val="Hyperlink"/>
          <w:lang w:val="pt-PT"/>
        </w:rPr>
        <w:t xml:space="preserve">, </w:t>
      </w:r>
      <w:hyperlink r:id="rId251" w:history="1">
        <w:r>
          <w:rPr>
            <w:rStyle w:val="Hyperlink"/>
            <w:lang w:val="pt-PT"/>
          </w:rPr>
          <w:t>MEMO/18/3446</w:t>
        </w:r>
      </w:hyperlink>
      <w:r>
        <w:rPr>
          <w:rStyle w:val="Hyperlink"/>
          <w:lang w:val="pt-PT"/>
        </w:rPr>
        <w:t>.</w:t>
      </w:r>
    </w:p>
  </w:footnote>
  <w:footnote w:id="175">
    <w:p>
      <w:pPr>
        <w:pStyle w:val="FootnoteText"/>
        <w:rPr>
          <w:lang w:val="pt-PT"/>
        </w:rPr>
      </w:pPr>
      <w:r>
        <w:rPr>
          <w:rStyle w:val="FootnoteReference"/>
        </w:rPr>
        <w:footnoteRef/>
      </w:r>
      <w:r>
        <w:rPr>
          <w:lang w:val="pt-PT"/>
        </w:rPr>
        <w:t xml:space="preserve"> </w:t>
      </w:r>
      <w:r>
        <w:rPr>
          <w:lang w:val="pt-PT"/>
        </w:rPr>
        <w:tab/>
        <w:t xml:space="preserve">Directive </w:t>
      </w:r>
      <w:hyperlink r:id="rId252" w:history="1">
        <w:r>
          <w:rPr>
            <w:rStyle w:val="Hyperlink"/>
            <w:lang w:val="pt-PT"/>
          </w:rPr>
          <w:t>2011/70/Euratom</w:t>
        </w:r>
      </w:hyperlink>
      <w:r>
        <w:rPr>
          <w:lang w:val="pt-PT"/>
        </w:rPr>
        <w:t xml:space="preserve">, </w:t>
      </w:r>
      <w:hyperlink r:id="rId253" w:history="1">
        <w:r>
          <w:rPr>
            <w:rStyle w:val="Hyperlink"/>
            <w:lang w:val="pt-PT"/>
          </w:rPr>
          <w:t>MEMO/18/3446</w:t>
        </w:r>
      </w:hyperlink>
      <w:r>
        <w:rPr>
          <w:rStyle w:val="Hyperlink"/>
          <w:lang w:val="pt-PT"/>
        </w:rPr>
        <w:t>.</w:t>
      </w:r>
    </w:p>
  </w:footnote>
  <w:footnote w:id="176">
    <w:p>
      <w:pPr>
        <w:pStyle w:val="FootnoteText"/>
        <w:rPr>
          <w:lang w:val="pt-PT"/>
        </w:rPr>
      </w:pPr>
      <w:r>
        <w:rPr>
          <w:rStyle w:val="FootnoteReference"/>
        </w:rPr>
        <w:footnoteRef/>
      </w:r>
      <w:r>
        <w:rPr>
          <w:lang w:val="pt-PT"/>
        </w:rPr>
        <w:t xml:space="preserve"> </w:t>
      </w:r>
      <w:r>
        <w:rPr>
          <w:lang w:val="pt-PT"/>
        </w:rPr>
        <w:tab/>
        <w:t xml:space="preserve">Directive </w:t>
      </w:r>
      <w:hyperlink r:id="rId254" w:history="1">
        <w:r>
          <w:rPr>
            <w:rStyle w:val="Hyperlink"/>
            <w:lang w:val="pt-PT"/>
          </w:rPr>
          <w:t>2012/27/EU</w:t>
        </w:r>
      </w:hyperlink>
      <w:r>
        <w:rPr>
          <w:lang w:val="pt-PT"/>
        </w:rPr>
        <w:t xml:space="preserve">, </w:t>
      </w:r>
      <w:hyperlink r:id="rId255" w:history="1">
        <w:r>
          <w:rPr>
            <w:rStyle w:val="Hyperlink"/>
            <w:lang w:val="pt-PT"/>
          </w:rPr>
          <w:t>MEMO/18/6247</w:t>
        </w:r>
      </w:hyperlink>
      <w:r>
        <w:rPr>
          <w:rStyle w:val="Hyperlink"/>
          <w:lang w:val="pt-PT"/>
        </w:rPr>
        <w:t>.</w:t>
      </w:r>
    </w:p>
  </w:footnote>
  <w:footnote w:id="177">
    <w:p>
      <w:pPr>
        <w:pStyle w:val="FootnoteText"/>
        <w:rPr>
          <w:lang w:val="pt-PT"/>
        </w:rPr>
      </w:pPr>
      <w:r>
        <w:rPr>
          <w:rStyle w:val="FootnoteReference"/>
        </w:rPr>
        <w:footnoteRef/>
      </w:r>
      <w:r>
        <w:rPr>
          <w:lang w:val="pt-PT"/>
        </w:rPr>
        <w:t xml:space="preserve"> </w:t>
      </w:r>
      <w:r>
        <w:rPr>
          <w:lang w:val="pt-PT"/>
        </w:rPr>
        <w:tab/>
        <w:t xml:space="preserve">Directive </w:t>
      </w:r>
      <w:hyperlink r:id="rId256" w:history="1">
        <w:r>
          <w:rPr>
            <w:rStyle w:val="Hyperlink"/>
            <w:lang w:val="pt-PT"/>
          </w:rPr>
          <w:t>2009/119/EC</w:t>
        </w:r>
      </w:hyperlink>
      <w:r>
        <w:rPr>
          <w:lang w:val="pt-PT"/>
        </w:rPr>
        <w:t xml:space="preserve">, </w:t>
      </w:r>
      <w:hyperlink r:id="rId257" w:history="1">
        <w:r>
          <w:rPr>
            <w:rStyle w:val="Hyperlink"/>
            <w:lang w:val="pt-PT"/>
          </w:rPr>
          <w:t>MEMO/18/349</w:t>
        </w:r>
      </w:hyperlink>
      <w:r>
        <w:rPr>
          <w:rStyle w:val="Hyperlink"/>
          <w:lang w:val="pt-PT"/>
        </w:rPr>
        <w:t>.</w:t>
      </w:r>
    </w:p>
  </w:footnote>
  <w:footnote w:id="178">
    <w:p>
      <w:pPr>
        <w:pStyle w:val="FootnoteText"/>
        <w:rPr>
          <w:lang w:val="pt-PT"/>
        </w:rPr>
      </w:pPr>
      <w:r>
        <w:rPr>
          <w:rStyle w:val="FootnoteReference"/>
        </w:rPr>
        <w:footnoteRef/>
      </w:r>
      <w:r>
        <w:rPr>
          <w:lang w:val="pt-PT"/>
        </w:rPr>
        <w:t xml:space="preserve"> </w:t>
      </w:r>
      <w:r>
        <w:rPr>
          <w:lang w:val="pt-PT"/>
        </w:rPr>
        <w:tab/>
        <w:t xml:space="preserve">Directive </w:t>
      </w:r>
      <w:hyperlink r:id="rId258" w:history="1">
        <w:r>
          <w:rPr>
            <w:rStyle w:val="Hyperlink"/>
            <w:lang w:val="pt-PT"/>
          </w:rPr>
          <w:t>2010/63/EU</w:t>
        </w:r>
      </w:hyperlink>
      <w:r>
        <w:rPr>
          <w:rStyle w:val="Hyperlink"/>
          <w:lang w:val="pt-PT"/>
        </w:rPr>
        <w:t xml:space="preserve">, </w:t>
      </w:r>
      <w:hyperlink r:id="rId259" w:history="1">
        <w:r>
          <w:rPr>
            <w:rStyle w:val="Hyperlink"/>
            <w:lang w:val="pt-PT"/>
          </w:rPr>
          <w:t>MEMO/18/4486</w:t>
        </w:r>
      </w:hyperlink>
      <w:r>
        <w:rPr>
          <w:lang w:val="pt-PT"/>
        </w:rPr>
        <w:t>.</w:t>
      </w:r>
    </w:p>
  </w:footnote>
  <w:footnote w:id="179">
    <w:p>
      <w:pPr>
        <w:pStyle w:val="FootnoteText"/>
        <w:rPr>
          <w:lang w:val="pt-PT"/>
        </w:rPr>
      </w:pPr>
      <w:r>
        <w:rPr>
          <w:rStyle w:val="FootnoteReference"/>
        </w:rPr>
        <w:footnoteRef/>
      </w:r>
      <w:r>
        <w:rPr>
          <w:lang w:val="pt-PT"/>
        </w:rPr>
        <w:t xml:space="preserve"> </w:t>
      </w:r>
      <w:r>
        <w:rPr>
          <w:lang w:val="pt-PT"/>
        </w:rPr>
        <w:tab/>
        <w:t xml:space="preserve">Directive </w:t>
      </w:r>
      <w:hyperlink r:id="rId260" w:history="1">
        <w:r>
          <w:rPr>
            <w:rStyle w:val="Hyperlink"/>
            <w:lang w:val="pt-PT"/>
          </w:rPr>
          <w:t>2015/2193/EU</w:t>
        </w:r>
      </w:hyperlink>
      <w:r>
        <w:rPr>
          <w:lang w:val="pt-PT"/>
        </w:rPr>
        <w:t xml:space="preserve">; </w:t>
      </w:r>
      <w:hyperlink r:id="rId261" w:history="1">
        <w:r>
          <w:rPr>
            <w:rStyle w:val="Hyperlink"/>
            <w:lang w:val="pt-PT"/>
          </w:rPr>
          <w:t>MEMO/18/4486</w:t>
        </w:r>
      </w:hyperlink>
      <w:r>
        <w:rPr>
          <w:rStyle w:val="Hyperlink"/>
          <w:lang w:val="pt-PT"/>
        </w:rPr>
        <w:t>.</w:t>
      </w:r>
    </w:p>
  </w:footnote>
  <w:footnote w:id="180">
    <w:p>
      <w:pPr>
        <w:pStyle w:val="FootnoteText"/>
        <w:rPr>
          <w:lang w:val="pt-PT"/>
        </w:rPr>
      </w:pPr>
      <w:r>
        <w:rPr>
          <w:rStyle w:val="FootnoteReference"/>
        </w:rPr>
        <w:footnoteRef/>
      </w:r>
      <w:r>
        <w:rPr>
          <w:lang w:val="pt-PT"/>
        </w:rPr>
        <w:t xml:space="preserve"> </w:t>
      </w:r>
      <w:r>
        <w:rPr>
          <w:lang w:val="pt-PT"/>
        </w:rPr>
        <w:tab/>
        <w:t xml:space="preserve">Directive </w:t>
      </w:r>
      <w:hyperlink r:id="rId262" w:history="1">
        <w:r>
          <w:rPr>
            <w:rStyle w:val="Hyperlink"/>
            <w:lang w:val="pt-PT"/>
          </w:rPr>
          <w:t>2016/1148/EU</w:t>
        </w:r>
      </w:hyperlink>
      <w:r>
        <w:rPr>
          <w:lang w:val="pt-PT"/>
        </w:rPr>
        <w:t xml:space="preserve">; </w:t>
      </w:r>
      <w:hyperlink r:id="rId263" w:history="1">
        <w:r>
          <w:rPr>
            <w:rStyle w:val="Hyperlink"/>
            <w:lang w:val="pt-PT"/>
          </w:rPr>
          <w:t>MEMO/18/4486</w:t>
        </w:r>
      </w:hyperlink>
      <w:r>
        <w:rPr>
          <w:rStyle w:val="Hyperlink"/>
          <w:lang w:val="pt-PT"/>
        </w:rPr>
        <w:t>.</w:t>
      </w:r>
    </w:p>
  </w:footnote>
  <w:footnote w:id="181">
    <w:p>
      <w:pPr>
        <w:pStyle w:val="FootnoteText"/>
        <w:rPr>
          <w:lang w:val="fr-BE"/>
        </w:rPr>
      </w:pPr>
      <w:r>
        <w:rPr>
          <w:rStyle w:val="FootnoteReference"/>
        </w:rPr>
        <w:footnoteRef/>
      </w:r>
      <w:r>
        <w:rPr>
          <w:lang w:val="fr-BE"/>
        </w:rPr>
        <w:t xml:space="preserve"> </w:t>
      </w:r>
      <w:r>
        <w:rPr>
          <w:lang w:val="fr-BE"/>
        </w:rPr>
        <w:tab/>
      </w:r>
      <w:r>
        <w:rPr>
          <w:rFonts w:cs="Arial"/>
          <w:szCs w:val="18"/>
          <w:lang w:val="fr-BE"/>
        </w:rPr>
        <w:t xml:space="preserve">Directive </w:t>
      </w:r>
      <w:hyperlink r:id="rId264" w:history="1">
        <w:r>
          <w:rPr>
            <w:rStyle w:val="Hyperlink"/>
            <w:rFonts w:cs="Arial"/>
            <w:szCs w:val="18"/>
            <w:lang w:val="fr-BE"/>
          </w:rPr>
          <w:t>2016/2102/EU</w:t>
        </w:r>
      </w:hyperlink>
      <w:r>
        <w:rPr>
          <w:rFonts w:cs="Arial"/>
          <w:szCs w:val="18"/>
          <w:lang w:val="fr-BE"/>
        </w:rPr>
        <w:t>.</w:t>
      </w:r>
    </w:p>
  </w:footnote>
  <w:footnote w:id="182">
    <w:p>
      <w:pPr>
        <w:pStyle w:val="FootnoteText"/>
        <w:rPr>
          <w:lang w:val="fr-BE"/>
        </w:rPr>
      </w:pPr>
      <w:r>
        <w:rPr>
          <w:rStyle w:val="FootnoteReference"/>
        </w:rPr>
        <w:footnoteRef/>
      </w:r>
      <w:r>
        <w:rPr>
          <w:lang w:val="fr-BE"/>
        </w:rPr>
        <w:t xml:space="preserve"> </w:t>
      </w:r>
      <w:r>
        <w:rPr>
          <w:lang w:val="fr-BE"/>
        </w:rPr>
        <w:tab/>
        <w:t xml:space="preserve">Commission Directive </w:t>
      </w:r>
      <w:hyperlink r:id="rId265" w:history="1">
        <w:r>
          <w:rPr>
            <w:rStyle w:val="Hyperlink"/>
            <w:lang w:val="fr-BE"/>
          </w:rPr>
          <w:t>2016/1214/EU.</w:t>
        </w:r>
      </w:hyperlink>
    </w:p>
  </w:footnote>
  <w:footnote w:id="183">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66" w:history="1">
        <w:r>
          <w:rPr>
            <w:rStyle w:val="Hyperlink"/>
            <w:lang w:val="fr-BE"/>
          </w:rPr>
          <w:t>2017/1279</w:t>
        </w:r>
      </w:hyperlink>
      <w:r>
        <w:rPr>
          <w:rStyle w:val="Hyperlink"/>
          <w:lang w:val="fr-BE"/>
        </w:rPr>
        <w:t>/EU</w:t>
      </w:r>
      <w:r>
        <w:rPr>
          <w:lang w:val="fr-BE"/>
        </w:rPr>
        <w:t>.</w:t>
      </w:r>
    </w:p>
  </w:footnote>
  <w:footnote w:id="184">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67" w:history="1">
        <w:r>
          <w:rPr>
            <w:rStyle w:val="Hyperlink"/>
            <w:lang w:val="fr-BE"/>
          </w:rPr>
          <w:t>2015/2366/EU</w:t>
        </w:r>
      </w:hyperlink>
      <w:r>
        <w:rPr>
          <w:lang w:val="fr-BE"/>
        </w:rPr>
        <w:t>.</w:t>
      </w:r>
    </w:p>
  </w:footnote>
  <w:footnote w:id="185">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68" w:history="1">
        <w:r>
          <w:rPr>
            <w:rStyle w:val="Hyperlink"/>
            <w:lang w:val="fr-BE"/>
          </w:rPr>
          <w:t>2016/97/EU</w:t>
        </w:r>
      </w:hyperlink>
      <w:r>
        <w:rPr>
          <w:lang w:val="fr-BE"/>
        </w:rPr>
        <w:t>.</w:t>
      </w:r>
    </w:p>
  </w:footnote>
  <w:footnote w:id="186">
    <w:p>
      <w:pPr>
        <w:pStyle w:val="FootnoteText"/>
        <w:rPr>
          <w:lang w:val="fr-BE"/>
        </w:rPr>
      </w:pPr>
      <w:r>
        <w:rPr>
          <w:rStyle w:val="FootnoteReference"/>
        </w:rPr>
        <w:footnoteRef/>
      </w:r>
      <w:r>
        <w:rPr>
          <w:lang w:val="fr-BE"/>
        </w:rPr>
        <w:t xml:space="preserve"> </w:t>
      </w:r>
      <w:r>
        <w:rPr>
          <w:lang w:val="fr-BE"/>
        </w:rPr>
        <w:tab/>
      </w:r>
      <w:r>
        <w:rPr>
          <w:rStyle w:val="Hyperlink"/>
          <w:color w:val="auto"/>
          <w:u w:val="none"/>
          <w:bdr w:val="none" w:sz="0" w:space="0" w:color="auto" w:frame="1"/>
          <w:lang w:val="fr-BE"/>
        </w:rPr>
        <w:t xml:space="preserve">Directive </w:t>
      </w:r>
      <w:hyperlink r:id="rId269" w:history="1">
        <w:r>
          <w:rPr>
            <w:rStyle w:val="Hyperlink"/>
            <w:bdr w:val="none" w:sz="0" w:space="0" w:color="auto" w:frame="1"/>
            <w:lang w:val="fr-BE"/>
          </w:rPr>
          <w:t>2014/65/EU</w:t>
        </w:r>
      </w:hyperlink>
      <w:r>
        <w:rPr>
          <w:lang w:val="fr-BE"/>
        </w:rPr>
        <w:t xml:space="preserve">; </w:t>
      </w:r>
      <w:hyperlink r:id="rId270" w:history="1">
        <w:r>
          <w:rPr>
            <w:rStyle w:val="Hyperlink"/>
            <w:lang w:val="fr-BE"/>
          </w:rPr>
          <w:t>MEMO/18/349</w:t>
        </w:r>
      </w:hyperlink>
      <w:r>
        <w:rPr>
          <w:lang w:val="fr-BE"/>
        </w:rPr>
        <w:t>.</w:t>
      </w:r>
    </w:p>
  </w:footnote>
  <w:footnote w:id="187">
    <w:p>
      <w:pPr>
        <w:pStyle w:val="FootnoteText"/>
        <w:rPr>
          <w:lang w:val="fr-BE"/>
        </w:rPr>
      </w:pPr>
      <w:r>
        <w:rPr>
          <w:rStyle w:val="FootnoteReference"/>
        </w:rPr>
        <w:footnoteRef/>
      </w:r>
      <w:r>
        <w:rPr>
          <w:lang w:val="fr-BE"/>
        </w:rPr>
        <w:t xml:space="preserve"> </w:t>
      </w:r>
      <w:r>
        <w:rPr>
          <w:lang w:val="fr-BE"/>
        </w:rPr>
        <w:tab/>
        <w:t xml:space="preserve">Directive </w:t>
      </w:r>
      <w:hyperlink r:id="rId271" w:history="1">
        <w:r>
          <w:rPr>
            <w:rStyle w:val="Hyperlink"/>
            <w:rFonts w:cs="Arial"/>
            <w:szCs w:val="18"/>
            <w:lang w:val="fr-BE"/>
          </w:rPr>
          <w:t>2017/1564/EU</w:t>
        </w:r>
      </w:hyperlink>
      <w:r>
        <w:rPr>
          <w:rFonts w:cs="Arial"/>
          <w:szCs w:val="18"/>
          <w:lang w:val="fr-BE"/>
        </w:rPr>
        <w:t>.</w:t>
      </w:r>
    </w:p>
  </w:footnote>
  <w:footnote w:id="188">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72" w:history="1">
        <w:r>
          <w:rPr>
            <w:rStyle w:val="Hyperlink"/>
            <w:lang w:val="fr-BE"/>
          </w:rPr>
          <w:t>2014/42/EU</w:t>
        </w:r>
      </w:hyperlink>
      <w:r>
        <w:rPr>
          <w:rStyle w:val="Hyperlink"/>
          <w:color w:val="auto"/>
          <w:u w:val="none"/>
          <w:lang w:val="fr-BE"/>
        </w:rPr>
        <w:t>.</w:t>
      </w:r>
    </w:p>
  </w:footnote>
  <w:footnote w:id="189">
    <w:p>
      <w:pPr>
        <w:pStyle w:val="FootnoteText"/>
        <w:rPr>
          <w:lang w:val="fr-BE"/>
        </w:rPr>
      </w:pPr>
      <w:r>
        <w:rPr>
          <w:rStyle w:val="FootnoteReference"/>
        </w:rPr>
        <w:footnoteRef/>
      </w:r>
      <w:r>
        <w:rPr>
          <w:lang w:val="fr-BE"/>
        </w:rPr>
        <w:t xml:space="preserve"> </w:t>
      </w:r>
      <w:r>
        <w:rPr>
          <w:lang w:val="fr-BE"/>
        </w:rPr>
        <w:tab/>
        <w:t xml:space="preserve">Directive </w:t>
      </w:r>
      <w:hyperlink r:id="rId273" w:history="1">
        <w:r>
          <w:rPr>
            <w:rStyle w:val="Hyperlink"/>
            <w:rFonts w:cs="Arial"/>
            <w:szCs w:val="20"/>
            <w:lang w:val="fr-BE"/>
          </w:rPr>
          <w:t>2015/2302/EU</w:t>
        </w:r>
      </w:hyperlink>
      <w:r>
        <w:rPr>
          <w:rFonts w:cs="Arial"/>
          <w:szCs w:val="20"/>
          <w:lang w:val="fr-BE"/>
        </w:rPr>
        <w:t>.</w:t>
      </w:r>
    </w:p>
  </w:footnote>
  <w:footnote w:id="190">
    <w:p>
      <w:pPr>
        <w:pStyle w:val="FootnoteText"/>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effects. (Source: European Environment Agency)</w:t>
      </w:r>
    </w:p>
  </w:footnote>
  <w:footnote w:id="191">
    <w:p>
      <w:pPr>
        <w:pStyle w:val="FootnoteText"/>
      </w:pPr>
      <w:r>
        <w:rPr>
          <w:rStyle w:val="FootnoteReference"/>
        </w:rPr>
        <w:footnoteRef/>
      </w:r>
      <w:r>
        <w:t xml:space="preserve"> </w:t>
      </w:r>
      <w:r>
        <w:tab/>
        <w:t xml:space="preserve">Directive </w:t>
      </w:r>
      <w:hyperlink r:id="rId274" w:history="1">
        <w:r>
          <w:rPr>
            <w:rStyle w:val="Hyperlink"/>
          </w:rPr>
          <w:t>2008/50/EC</w:t>
        </w:r>
      </w:hyperlink>
      <w:r>
        <w:rPr>
          <w:rStyle w:val="Hyperlink"/>
        </w:rPr>
        <w:t>,</w:t>
      </w:r>
      <w:r>
        <w:rPr>
          <w:rStyle w:val="affairetitle"/>
          <w:lang w:val="en-US"/>
        </w:rPr>
        <w:t xml:space="preserve"> Commission v Romania,</w:t>
      </w:r>
      <w:r>
        <w:rPr>
          <w:rStyle w:val="Hyperlink"/>
          <w:lang w:val="en-US"/>
        </w:rPr>
        <w:t xml:space="preserve"> </w:t>
      </w:r>
      <w:hyperlink r:id="rId275" w:history="1">
        <w:r>
          <w:rPr>
            <w:rStyle w:val="Hyperlink"/>
            <w:lang w:val="en-US"/>
          </w:rPr>
          <w:t>C-638/18</w:t>
        </w:r>
      </w:hyperlink>
      <w:r>
        <w:rPr>
          <w:rStyle w:val="Hyperlink"/>
          <w:lang w:val="en-US"/>
        </w:rPr>
        <w:t xml:space="preserve">; </w:t>
      </w:r>
      <w:hyperlink r:id="rId276" w:history="1">
        <w:r>
          <w:rPr>
            <w:rStyle w:val="Hyperlink"/>
          </w:rPr>
          <w:t>IP/18/3450</w:t>
        </w:r>
      </w:hyperlink>
      <w:r>
        <w:rPr>
          <w:rStyle w:val="affairetitle"/>
          <w:lang w:val="en-US"/>
        </w:rPr>
        <w:t>.</w:t>
      </w:r>
    </w:p>
  </w:footnote>
  <w:footnote w:id="192">
    <w:p>
      <w:pPr>
        <w:pStyle w:val="FootnoteText"/>
      </w:pPr>
      <w:r>
        <w:rPr>
          <w:rStyle w:val="FootnoteReference"/>
        </w:rPr>
        <w:footnoteRef/>
      </w:r>
      <w:r>
        <w:t xml:space="preserve"> </w:t>
      </w:r>
      <w:r>
        <w:tab/>
      </w:r>
      <w:r>
        <w:rPr>
          <w:rStyle w:val="affairetitle"/>
        </w:rPr>
        <w:t>Commission v Romania,</w:t>
      </w:r>
      <w:r>
        <w:rPr>
          <w:rStyle w:val="Hyperlink"/>
        </w:rPr>
        <w:t xml:space="preserve"> </w:t>
      </w:r>
      <w:hyperlink r:id="rId277" w:history="1">
        <w:r>
          <w:rPr>
            <w:rStyle w:val="Hyperlink"/>
          </w:rPr>
          <w:t>C-116/18</w:t>
        </w:r>
      </w:hyperlink>
      <w:r>
        <w:rPr>
          <w:rStyle w:val="affairetitle"/>
        </w:rPr>
        <w:t xml:space="preserve"> -. </w:t>
      </w:r>
      <w:r>
        <w:t>Romania subsequently took the necessary steps to ensure compliance with EU law and the Commission has therefore withdrawn this case from the Court.</w:t>
      </w:r>
    </w:p>
  </w:footnote>
  <w:footnote w:id="193">
    <w:p>
      <w:pPr>
        <w:pStyle w:val="FootnoteText"/>
        <w:rPr>
          <w:lang w:val="it-IT"/>
        </w:rPr>
      </w:pPr>
      <w:r>
        <w:rPr>
          <w:rStyle w:val="FootnoteReference"/>
        </w:rPr>
        <w:footnoteRef/>
      </w:r>
      <w:r>
        <w:rPr>
          <w:lang w:val="it-IT"/>
        </w:rPr>
        <w:t xml:space="preserve"> </w:t>
      </w:r>
      <w:r>
        <w:rPr>
          <w:lang w:val="it-IT"/>
        </w:rPr>
        <w:tab/>
      </w:r>
      <w:r>
        <w:rPr>
          <w:rStyle w:val="affairetitle"/>
          <w:lang w:val="it-IT"/>
        </w:rPr>
        <w:t>Commission v Romania,</w:t>
      </w:r>
      <w:r>
        <w:rPr>
          <w:rStyle w:val="Hyperlink"/>
          <w:lang w:val="it-IT"/>
        </w:rPr>
        <w:t xml:space="preserve"> </w:t>
      </w:r>
      <w:hyperlink r:id="rId278" w:history="1">
        <w:r>
          <w:rPr>
            <w:rStyle w:val="Hyperlink"/>
            <w:lang w:val="it-IT"/>
          </w:rPr>
          <w:t>C-549/18</w:t>
        </w:r>
      </w:hyperlink>
      <w:r>
        <w:rPr>
          <w:rStyle w:val="affairetitle"/>
          <w:lang w:val="it-IT"/>
        </w:rPr>
        <w:t>,</w:t>
      </w:r>
      <w:r>
        <w:rPr>
          <w:lang w:val="it-IT"/>
        </w:rPr>
        <w:t xml:space="preserve"> </w:t>
      </w:r>
      <w:hyperlink r:id="rId279" w:history="1">
        <w:r>
          <w:rPr>
            <w:rStyle w:val="Hyperlink"/>
            <w:lang w:val="it-IT"/>
          </w:rPr>
          <w:t>IP/18/4491.</w:t>
        </w:r>
      </w:hyperlink>
    </w:p>
  </w:footnote>
  <w:footnote w:id="194">
    <w:p>
      <w:pPr>
        <w:pStyle w:val="FootnoteText"/>
        <w:rPr>
          <w:szCs w:val="18"/>
          <w:lang w:val="pt-PT"/>
        </w:rPr>
      </w:pPr>
      <w:r>
        <w:rPr>
          <w:rStyle w:val="FootnoteReference"/>
        </w:rPr>
        <w:footnoteRef/>
      </w:r>
      <w:r>
        <w:rPr>
          <w:lang w:val="pt-PT"/>
        </w:rPr>
        <w:t xml:space="preserve"> </w:t>
      </w:r>
      <w:r>
        <w:rPr>
          <w:lang w:val="pt-PT"/>
        </w:rPr>
        <w:tab/>
      </w:r>
      <w:r>
        <w:rPr>
          <w:szCs w:val="18"/>
          <w:lang w:val="pt-PT"/>
        </w:rPr>
        <w:t xml:space="preserve">Directive </w:t>
      </w:r>
      <w:hyperlink r:id="rId280" w:history="1">
        <w:r>
          <w:rPr>
            <w:rStyle w:val="Hyperlink"/>
            <w:rFonts w:cs="Arial"/>
            <w:szCs w:val="18"/>
            <w:lang w:val="pt-PT"/>
          </w:rPr>
          <w:t>2008/98/EC</w:t>
        </w:r>
      </w:hyperlink>
      <w:r>
        <w:rPr>
          <w:rFonts w:cs="Arial"/>
          <w:szCs w:val="18"/>
          <w:lang w:val="pt-PT"/>
        </w:rPr>
        <w:t>.</w:t>
      </w:r>
    </w:p>
  </w:footnote>
  <w:footnote w:id="195">
    <w:p>
      <w:pPr>
        <w:pStyle w:val="FootnoteText"/>
        <w:rPr>
          <w:lang w:val="pt-PT"/>
        </w:rPr>
      </w:pPr>
      <w:r>
        <w:rPr>
          <w:rStyle w:val="Caractresdenotedebasdepage"/>
          <w:vertAlign w:val="superscript"/>
        </w:rPr>
        <w:footnoteRef/>
      </w:r>
      <w:r>
        <w:rPr>
          <w:rStyle w:val="Caractresdenotedebasdepage"/>
          <w:lang w:val="pt-PT"/>
        </w:rPr>
        <w:tab/>
      </w:r>
      <w:r>
        <w:rPr>
          <w:lang w:val="pt-PT"/>
        </w:rPr>
        <w:t xml:space="preserve">Directive </w:t>
      </w:r>
      <w:hyperlink r:id="rId281">
        <w:r>
          <w:rPr>
            <w:rStyle w:val="LienInternet"/>
            <w:lang w:val="pt-PT"/>
          </w:rPr>
          <w:t>2014/94/EU</w:t>
        </w:r>
      </w:hyperlink>
      <w:r>
        <w:rPr>
          <w:lang w:val="pt-PT"/>
        </w:rPr>
        <w:t xml:space="preserve">, </w:t>
      </w:r>
      <w:hyperlink r:id="rId282">
        <w:r>
          <w:rPr>
            <w:rStyle w:val="LienInternet"/>
            <w:lang w:val="pt-PT"/>
          </w:rPr>
          <w:t>IP/18/358</w:t>
        </w:r>
      </w:hyperlink>
      <w:r>
        <w:rPr>
          <w:lang w:val="pt-PT"/>
        </w:rPr>
        <w:t xml:space="preserve">, </w:t>
      </w:r>
      <w:hyperlink r:id="rId283">
        <w:r>
          <w:rPr>
            <w:rStyle w:val="LienInternet"/>
            <w:lang w:val="pt-PT"/>
          </w:rPr>
          <w:t>IP/18/358</w:t>
        </w:r>
      </w:hyperlink>
      <w:r>
        <w:rPr>
          <w:lang w:val="pt-PT"/>
        </w:rPr>
        <w:t xml:space="preserve"> </w:t>
      </w:r>
    </w:p>
  </w:footnote>
  <w:footnote w:id="196">
    <w:p>
      <w:pPr>
        <w:pStyle w:val="FootnoteText"/>
        <w:rPr>
          <w:lang w:val="pt-PT"/>
        </w:rPr>
      </w:pPr>
      <w:r>
        <w:rPr>
          <w:rStyle w:val="FootnoteReference"/>
        </w:rPr>
        <w:footnoteRef/>
      </w:r>
      <w:r>
        <w:rPr>
          <w:lang w:val="pt-PT"/>
        </w:rPr>
        <w:t xml:space="preserve"> </w:t>
      </w:r>
      <w:r>
        <w:rPr>
          <w:lang w:val="pt-PT"/>
        </w:rPr>
        <w:tab/>
      </w:r>
      <w:hyperlink r:id="rId284" w:history="1">
        <w:r>
          <w:rPr>
            <w:rStyle w:val="Hyperlink"/>
            <w:lang w:val="pt-PT"/>
          </w:rPr>
          <w:t>IP/18/3459.</w:t>
        </w:r>
      </w:hyperlink>
    </w:p>
  </w:footnote>
  <w:footnote w:id="197">
    <w:p>
      <w:pPr>
        <w:pStyle w:val="FootnoteText"/>
        <w:rPr>
          <w:szCs w:val="18"/>
          <w:lang w:val="pt-PT"/>
        </w:rPr>
      </w:pPr>
      <w:r>
        <w:rPr>
          <w:rStyle w:val="FootnoteReference"/>
          <w:szCs w:val="18"/>
        </w:rPr>
        <w:footnoteRef/>
      </w:r>
      <w:r>
        <w:rPr>
          <w:szCs w:val="18"/>
          <w:lang w:val="pt-PT"/>
        </w:rPr>
        <w:t xml:space="preserve"> </w:t>
      </w:r>
      <w:r>
        <w:rPr>
          <w:szCs w:val="18"/>
          <w:lang w:val="pt-PT"/>
        </w:rPr>
        <w:tab/>
      </w:r>
      <w:r>
        <w:rPr>
          <w:lang w:val="pt-PT"/>
        </w:rPr>
        <w:t xml:space="preserve">Directive </w:t>
      </w:r>
      <w:hyperlink r:id="rId285" w:history="1">
        <w:r>
          <w:rPr>
            <w:rStyle w:val="Hyperlink"/>
            <w:lang w:val="pt-PT"/>
          </w:rPr>
          <w:t>2014/104/EU</w:t>
        </w:r>
      </w:hyperlink>
      <w:r>
        <w:rPr>
          <w:szCs w:val="18"/>
          <w:lang w:val="pt-PT"/>
        </w:rPr>
        <w:t xml:space="preserve">; </w:t>
      </w:r>
      <w:hyperlink r:id="rId286" w:history="1">
        <w:r>
          <w:rPr>
            <w:rStyle w:val="Hyperlink"/>
            <w:rFonts w:cs="Arial"/>
            <w:szCs w:val="18"/>
            <w:lang w:val="pt-PT"/>
          </w:rPr>
          <w:t>MEMO/18/1444</w:t>
        </w:r>
      </w:hyperlink>
      <w:r>
        <w:rPr>
          <w:rStyle w:val="Hyperlink"/>
          <w:rFonts w:cs="Arial"/>
          <w:szCs w:val="18"/>
          <w:lang w:val="pt-PT"/>
        </w:rPr>
        <w:t>.</w:t>
      </w:r>
    </w:p>
  </w:footnote>
  <w:footnote w:id="198">
    <w:p>
      <w:pPr>
        <w:pStyle w:val="FootnoteText"/>
        <w:rPr>
          <w:lang w:val="fr-BE"/>
        </w:rPr>
      </w:pPr>
      <w:r>
        <w:rPr>
          <w:rStyle w:val="FootnoteReference"/>
          <w:szCs w:val="18"/>
        </w:rPr>
        <w:footnoteRef/>
      </w:r>
      <w:r>
        <w:rPr>
          <w:szCs w:val="18"/>
          <w:lang w:val="fr-BE"/>
        </w:rPr>
        <w:t xml:space="preserve"> </w:t>
      </w:r>
      <w:r>
        <w:rPr>
          <w:szCs w:val="18"/>
          <w:lang w:val="fr-BE"/>
        </w:rPr>
        <w:tab/>
      </w:r>
      <w:r>
        <w:rPr>
          <w:rFonts w:cs="Arial"/>
          <w:szCs w:val="18"/>
          <w:lang w:val="fr-BE"/>
        </w:rPr>
        <w:t xml:space="preserve">Directive </w:t>
      </w:r>
      <w:hyperlink r:id="rId287" w:history="1">
        <w:r>
          <w:rPr>
            <w:rStyle w:val="Hyperlink"/>
            <w:rFonts w:cs="Arial"/>
            <w:szCs w:val="18"/>
            <w:lang w:val="fr-BE"/>
          </w:rPr>
          <w:t>2014/99/EU</w:t>
        </w:r>
      </w:hyperlink>
      <w:r>
        <w:rPr>
          <w:rFonts w:cs="Arial"/>
          <w:szCs w:val="18"/>
          <w:lang w:val="fr-BE"/>
        </w:rPr>
        <w:t>.</w:t>
      </w:r>
    </w:p>
  </w:footnote>
  <w:footnote w:id="199">
    <w:p>
      <w:pPr>
        <w:pStyle w:val="FootnoteText"/>
        <w:rPr>
          <w:lang w:val="fr-BE"/>
        </w:rPr>
      </w:pPr>
      <w:r>
        <w:rPr>
          <w:rStyle w:val="FootnoteReference"/>
        </w:rPr>
        <w:footnoteRef/>
      </w:r>
      <w:r>
        <w:rPr>
          <w:lang w:val="fr-BE"/>
        </w:rPr>
        <w:t xml:space="preserve"> </w:t>
      </w:r>
      <w:r>
        <w:rPr>
          <w:lang w:val="fr-BE"/>
        </w:rPr>
        <w:tab/>
        <w:t xml:space="preserve">Commission Directive </w:t>
      </w:r>
      <w:hyperlink r:id="rId288" w:history="1">
        <w:r>
          <w:rPr>
            <w:rStyle w:val="Hyperlink"/>
            <w:lang w:val="fr-BE"/>
          </w:rPr>
          <w:t>2016/1214/EU.</w:t>
        </w:r>
      </w:hyperlink>
    </w:p>
  </w:footnote>
  <w:footnote w:id="200">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89" w:history="1">
        <w:r>
          <w:rPr>
            <w:rStyle w:val="Hyperlink"/>
            <w:lang w:val="fr-BE"/>
          </w:rPr>
          <w:t>2017/1279</w:t>
        </w:r>
      </w:hyperlink>
      <w:r>
        <w:rPr>
          <w:rStyle w:val="Hyperlink"/>
          <w:lang w:val="fr-BE"/>
        </w:rPr>
        <w:t>/EU</w:t>
      </w:r>
      <w:r>
        <w:rPr>
          <w:lang w:val="fr-BE"/>
        </w:rPr>
        <w:t>.</w:t>
      </w:r>
    </w:p>
  </w:footnote>
  <w:footnote w:id="201">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90" w:history="1">
        <w:r>
          <w:rPr>
            <w:rStyle w:val="Hyperlink"/>
            <w:lang w:val="fr-BE"/>
          </w:rPr>
          <w:t>2014/91/EU</w:t>
        </w:r>
      </w:hyperlink>
      <w:r>
        <w:rPr>
          <w:lang w:val="fr-BE"/>
        </w:rPr>
        <w:t>.</w:t>
      </w:r>
    </w:p>
  </w:footnote>
  <w:footnote w:id="202">
    <w:p>
      <w:pPr>
        <w:pStyle w:val="FootnoteText"/>
        <w:rPr>
          <w:lang w:val="en-US"/>
        </w:rPr>
      </w:pPr>
      <w:r>
        <w:rPr>
          <w:rStyle w:val="FootnoteReference"/>
        </w:rPr>
        <w:footnoteRef/>
      </w:r>
      <w:r>
        <w:rPr>
          <w:lang w:val="en-US"/>
        </w:rPr>
        <w:t xml:space="preserve"> </w:t>
      </w:r>
      <w:r>
        <w:rPr>
          <w:lang w:val="en-US"/>
        </w:rPr>
        <w:tab/>
        <w:t xml:space="preserve">Directive </w:t>
      </w:r>
      <w:hyperlink r:id="rId291" w:history="1">
        <w:r>
          <w:rPr>
            <w:rStyle w:val="Hyperlink"/>
            <w:lang w:val="en-US"/>
          </w:rPr>
          <w:t>2013/30/EU</w:t>
        </w:r>
      </w:hyperlink>
      <w:r>
        <w:rPr>
          <w:lang w:val="en-US"/>
        </w:rPr>
        <w:t>.</w:t>
      </w:r>
    </w:p>
  </w:footnote>
  <w:footnote w:id="203">
    <w:p>
      <w:pPr>
        <w:pStyle w:val="FootnoteText"/>
        <w:rPr>
          <w:lang w:val="en-IE"/>
        </w:rPr>
      </w:pPr>
      <w:r>
        <w:rPr>
          <w:rStyle w:val="FootnoteReference"/>
        </w:rPr>
        <w:footnoteRef/>
      </w:r>
      <w:r>
        <w:t xml:space="preserve"> </w:t>
      </w:r>
      <w:r>
        <w:rPr>
          <w:lang w:val="en-IE"/>
        </w:rPr>
        <w:tab/>
      </w:r>
      <w:r>
        <w:rPr>
          <w:rStyle w:val="affairetitle"/>
          <w:rFonts w:cs="Arial"/>
          <w:szCs w:val="18"/>
        </w:rPr>
        <w:t>These rulings are almost exclusively handed down in infringement procedures.</w:t>
      </w:r>
    </w:p>
  </w:footnote>
  <w:footnote w:id="204">
    <w:p>
      <w:pPr>
        <w:pStyle w:val="FootnoteText"/>
        <w:rPr>
          <w:lang w:val="en-IE"/>
        </w:rPr>
      </w:pPr>
      <w:r>
        <w:rPr>
          <w:rStyle w:val="FootnoteReference"/>
        </w:rPr>
        <w:footnoteRef/>
      </w:r>
      <w:r>
        <w:rPr>
          <w:lang w:val="en-IE"/>
        </w:rPr>
        <w:t xml:space="preserve"> </w:t>
      </w:r>
      <w:r>
        <w:rPr>
          <w:lang w:val="en-IE"/>
        </w:rPr>
        <w:tab/>
        <w:t xml:space="preserve">Directive </w:t>
      </w:r>
      <w:hyperlink r:id="rId292" w:history="1">
        <w:r>
          <w:rPr>
            <w:rStyle w:val="Hyperlink"/>
            <w:lang w:val="en-IE"/>
          </w:rPr>
          <w:t>1999/31/EC</w:t>
        </w:r>
      </w:hyperlink>
      <w:r>
        <w:rPr>
          <w:rStyle w:val="affairetitle"/>
        </w:rPr>
        <w:t xml:space="preserve">, </w:t>
      </w:r>
      <w:r>
        <w:rPr>
          <w:rStyle w:val="affairetitle"/>
          <w:lang w:val="en-IE"/>
        </w:rPr>
        <w:t xml:space="preserve">Commission v Romania, </w:t>
      </w:r>
      <w:hyperlink r:id="rId293" w:history="1">
        <w:r>
          <w:rPr>
            <w:rStyle w:val="Hyperlink"/>
            <w:lang w:val="en-IE"/>
          </w:rPr>
          <w:t>C-301/17</w:t>
        </w:r>
      </w:hyperlink>
      <w:r>
        <w:rPr>
          <w:rStyle w:val="Hyperlink"/>
          <w:lang w:val="en-IE"/>
        </w:rPr>
        <w:t>.</w:t>
      </w:r>
    </w:p>
  </w:footnote>
  <w:footnote w:id="205">
    <w:p>
      <w:pPr>
        <w:pStyle w:val="FootnoteText"/>
      </w:pPr>
      <w:r>
        <w:rPr>
          <w:rStyle w:val="FootnoteReference"/>
        </w:rPr>
        <w:footnoteRef/>
      </w:r>
      <w:r>
        <w:t xml:space="preserve"> </w:t>
      </w:r>
      <w:r>
        <w:tab/>
      </w:r>
      <w:r>
        <w:rPr>
          <w:rStyle w:val="affairetitle"/>
        </w:rPr>
        <w:t xml:space="preserve">Sindicatul Familia Constanţa and Others, </w:t>
      </w:r>
      <w:hyperlink r:id="rId294" w:history="1">
        <w:r>
          <w:rPr>
            <w:rStyle w:val="Hyperlink"/>
          </w:rPr>
          <w:t>C-147/17</w:t>
        </w:r>
      </w:hyperlink>
      <w:r>
        <w:rPr>
          <w:rStyle w:val="affairetitle"/>
        </w:rPr>
        <w:t>.</w:t>
      </w:r>
    </w:p>
  </w:footnote>
  <w:footnote w:id="206">
    <w:p>
      <w:pPr>
        <w:pStyle w:val="FootnoteText"/>
        <w:rPr>
          <w:lang w:val="fr-BE"/>
        </w:rPr>
      </w:pPr>
      <w:r>
        <w:rPr>
          <w:rStyle w:val="FootnoteReference"/>
        </w:rPr>
        <w:footnoteRef/>
      </w:r>
      <w:r>
        <w:rPr>
          <w:lang w:val="fr-BE"/>
        </w:rPr>
        <w:t xml:space="preserve"> </w:t>
      </w:r>
      <w:r>
        <w:rPr>
          <w:lang w:val="fr-BE"/>
        </w:rPr>
        <w:tab/>
        <w:t>Coman</w:t>
      </w:r>
      <w:r>
        <w:rPr>
          <w:rStyle w:val="Hyperlink"/>
          <w:color w:val="auto"/>
          <w:u w:val="none"/>
          <w:lang w:val="fr-BE"/>
        </w:rPr>
        <w:t xml:space="preserve">, </w:t>
      </w:r>
      <w:r>
        <w:rPr>
          <w:rStyle w:val="Hyperlink"/>
          <w:lang w:val="fr-BE"/>
        </w:rPr>
        <w:t>C-673/16</w:t>
      </w:r>
      <w:r>
        <w:rPr>
          <w:lang w:val="fr-BE"/>
        </w:rPr>
        <w:t>.</w:t>
      </w:r>
    </w:p>
  </w:footnote>
  <w:footnote w:id="207">
    <w:p>
      <w:pPr>
        <w:pStyle w:val="FootnoteText"/>
        <w:rPr>
          <w:rFonts w:ascii="Times New Roman" w:hAnsi="Times New Roman" w:cs="Times New Roman"/>
          <w:sz w:val="20"/>
          <w:lang w:val="fr-BE"/>
        </w:rPr>
      </w:pPr>
      <w:r>
        <w:rPr>
          <w:rStyle w:val="FootnoteReference"/>
        </w:rPr>
        <w:footnoteRef/>
      </w:r>
      <w:r>
        <w:rPr>
          <w:lang w:val="fr-BE"/>
        </w:rPr>
        <w:t xml:space="preserve"> </w:t>
      </w:r>
      <w:r>
        <w:rPr>
          <w:lang w:val="fr-BE"/>
        </w:rPr>
        <w:tab/>
        <w:t xml:space="preserve">Dicu, </w:t>
      </w:r>
      <w:hyperlink r:id="rId295" w:history="1">
        <w:r>
          <w:rPr>
            <w:rStyle w:val="Hyperlink"/>
            <w:lang w:val="fr-BE"/>
          </w:rPr>
          <w:t>C-12/17</w:t>
        </w:r>
      </w:hyperlink>
      <w:r>
        <w:rPr>
          <w:rStyle w:val="Hyperlink"/>
          <w:lang w:val="fr-BE"/>
        </w:rPr>
        <w:t>.</w:t>
      </w:r>
    </w:p>
  </w:footnote>
  <w:footnote w:id="208">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96" w:history="1">
        <w:r>
          <w:rPr>
            <w:rStyle w:val="Hyperlink"/>
            <w:lang w:val="fr-BE"/>
          </w:rPr>
          <w:t>2016/97/EU</w:t>
        </w:r>
      </w:hyperlink>
      <w:r>
        <w:rPr>
          <w:lang w:val="fr-BE"/>
        </w:rPr>
        <w:t>.</w:t>
      </w:r>
    </w:p>
  </w:footnote>
  <w:footnote w:id="209">
    <w:p>
      <w:pPr>
        <w:pStyle w:val="FootnoteText"/>
        <w:rPr>
          <w:lang w:val="fr-BE"/>
        </w:rPr>
      </w:pPr>
      <w:r>
        <w:rPr>
          <w:rStyle w:val="FootnoteReference"/>
        </w:rPr>
        <w:footnoteRef/>
      </w:r>
      <w:r>
        <w:rPr>
          <w:lang w:val="fr-BE"/>
        </w:rPr>
        <w:t xml:space="preserve"> </w:t>
      </w:r>
      <w:r>
        <w:rPr>
          <w:lang w:val="fr-BE"/>
        </w:rPr>
        <w:tab/>
      </w:r>
      <w:r>
        <w:rPr>
          <w:rStyle w:val="Hyperlink"/>
          <w:color w:val="auto"/>
          <w:u w:val="none"/>
          <w:bdr w:val="none" w:sz="0" w:space="0" w:color="auto" w:frame="1"/>
          <w:lang w:val="fr-BE"/>
        </w:rPr>
        <w:t xml:space="preserve">Directive </w:t>
      </w:r>
      <w:hyperlink r:id="rId297" w:history="1">
        <w:r>
          <w:rPr>
            <w:rStyle w:val="Hyperlink"/>
            <w:bdr w:val="none" w:sz="0" w:space="0" w:color="auto" w:frame="1"/>
            <w:lang w:val="fr-BE"/>
          </w:rPr>
          <w:t>2014/65/EU</w:t>
        </w:r>
      </w:hyperlink>
      <w:r>
        <w:rPr>
          <w:lang w:val="fr-BE"/>
        </w:rPr>
        <w:t xml:space="preserve">; </w:t>
      </w:r>
      <w:hyperlink r:id="rId298" w:history="1">
        <w:r>
          <w:rPr>
            <w:rStyle w:val="Hyperlink"/>
            <w:lang w:val="fr-BE"/>
          </w:rPr>
          <w:t>MEMO/18/349</w:t>
        </w:r>
      </w:hyperlink>
      <w:r>
        <w:rPr>
          <w:lang w:val="fr-BE"/>
        </w:rPr>
        <w:t>.</w:t>
      </w:r>
    </w:p>
  </w:footnote>
  <w:footnote w:id="210">
    <w:p>
      <w:pPr>
        <w:pStyle w:val="FootnoteText"/>
        <w:rPr>
          <w:lang w:val="fr-BE"/>
        </w:rPr>
      </w:pPr>
      <w:r>
        <w:rPr>
          <w:rStyle w:val="FootnoteReference"/>
        </w:rPr>
        <w:footnoteRef/>
      </w:r>
      <w:r>
        <w:rPr>
          <w:lang w:val="fr-BE"/>
        </w:rPr>
        <w:t xml:space="preserve"> </w:t>
      </w:r>
      <w:r>
        <w:rPr>
          <w:lang w:val="fr-BE"/>
        </w:rPr>
        <w:tab/>
        <w:t xml:space="preserve">Commission Directive </w:t>
      </w:r>
      <w:hyperlink r:id="rId299" w:history="1">
        <w:r>
          <w:rPr>
            <w:rStyle w:val="Hyperlink"/>
            <w:lang w:val="fr-BE"/>
          </w:rPr>
          <w:t>2016/1214/EU.</w:t>
        </w:r>
      </w:hyperlink>
    </w:p>
  </w:footnote>
  <w:footnote w:id="211">
    <w:p>
      <w:pPr>
        <w:pStyle w:val="FootnoteText"/>
        <w:rPr>
          <w:lang w:val="fr-BE"/>
        </w:rPr>
      </w:pPr>
      <w:r>
        <w:rPr>
          <w:rStyle w:val="FootnoteReference"/>
        </w:rPr>
        <w:footnoteRef/>
      </w:r>
      <w:r>
        <w:rPr>
          <w:lang w:val="fr-BE"/>
        </w:rPr>
        <w:t xml:space="preserve"> </w:t>
      </w:r>
      <w:r>
        <w:rPr>
          <w:lang w:val="fr-BE"/>
        </w:rPr>
        <w:tab/>
        <w:t xml:space="preserve">Directive </w:t>
      </w:r>
      <w:hyperlink r:id="rId300" w:history="1">
        <w:r>
          <w:rPr>
            <w:rStyle w:val="Hyperlink"/>
            <w:lang w:val="fr-BE"/>
          </w:rPr>
          <w:t>2015/2193/EU</w:t>
        </w:r>
      </w:hyperlink>
      <w:r>
        <w:rPr>
          <w:lang w:val="fr-BE"/>
        </w:rPr>
        <w:t>.</w:t>
      </w:r>
    </w:p>
  </w:footnote>
  <w:footnote w:id="212">
    <w:p>
      <w:pPr>
        <w:pStyle w:val="FootnoteText"/>
        <w:rPr>
          <w:lang w:val="fr-BE"/>
        </w:rPr>
      </w:pPr>
      <w:r>
        <w:rPr>
          <w:rStyle w:val="FootnoteReference"/>
        </w:rPr>
        <w:footnoteRef/>
      </w:r>
      <w:r>
        <w:rPr>
          <w:lang w:val="fr-BE"/>
        </w:rPr>
        <w:t xml:space="preserve"> </w:t>
      </w:r>
      <w:r>
        <w:rPr>
          <w:lang w:val="fr-BE"/>
        </w:rPr>
        <w:tab/>
        <w:t xml:space="preserve">Directive </w:t>
      </w:r>
      <w:hyperlink r:id="rId301" w:history="1">
        <w:r>
          <w:rPr>
            <w:rStyle w:val="Hyperlink"/>
            <w:rFonts w:cs="Arial"/>
            <w:szCs w:val="18"/>
            <w:lang w:val="fr-BE"/>
          </w:rPr>
          <w:t>2017/1564/EU</w:t>
        </w:r>
      </w:hyperlink>
      <w:r>
        <w:rPr>
          <w:rFonts w:cs="Arial"/>
          <w:szCs w:val="18"/>
          <w:lang w:val="fr-BE"/>
        </w:rPr>
        <w:t>.</w:t>
      </w:r>
    </w:p>
  </w:footnote>
  <w:footnote w:id="213">
    <w:p>
      <w:pPr>
        <w:pStyle w:val="FootnoteText"/>
        <w:rPr>
          <w:lang w:val="fr-BE"/>
        </w:rPr>
      </w:pPr>
      <w:r>
        <w:rPr>
          <w:rStyle w:val="FootnoteReference"/>
        </w:rPr>
        <w:footnoteRef/>
      </w:r>
      <w:r>
        <w:rPr>
          <w:lang w:val="fr-BE"/>
        </w:rPr>
        <w:t xml:space="preserve"> </w:t>
      </w:r>
      <w:r>
        <w:rPr>
          <w:lang w:val="fr-BE"/>
        </w:rPr>
        <w:tab/>
        <w:t xml:space="preserve">Directive </w:t>
      </w:r>
      <w:hyperlink r:id="rId302" w:history="1">
        <w:r>
          <w:rPr>
            <w:rStyle w:val="Hyperlink"/>
            <w:rFonts w:cs="Arial"/>
            <w:szCs w:val="20"/>
            <w:lang w:val="fr-BE"/>
          </w:rPr>
          <w:t>2015/2302/EU</w:t>
        </w:r>
      </w:hyperlink>
      <w:r>
        <w:rPr>
          <w:rFonts w:cs="Arial"/>
          <w:szCs w:val="20"/>
          <w:lang w:val="fr-BE"/>
        </w:rPr>
        <w:t>.</w:t>
      </w:r>
    </w:p>
  </w:footnote>
  <w:footnote w:id="214">
    <w:p>
      <w:pPr>
        <w:pStyle w:val="FootnoteText"/>
        <w:rPr>
          <w:lang w:val="fr-BE"/>
        </w:rPr>
      </w:pPr>
      <w:r>
        <w:rPr>
          <w:rStyle w:val="FootnoteReference"/>
        </w:rPr>
        <w:footnoteRef/>
      </w:r>
      <w:r>
        <w:rPr>
          <w:lang w:val="fr-BE"/>
        </w:rPr>
        <w:t xml:space="preserve"> </w:t>
      </w:r>
      <w:r>
        <w:rPr>
          <w:lang w:val="fr-BE"/>
        </w:rPr>
        <w:tab/>
        <w:t xml:space="preserve">Directive </w:t>
      </w:r>
      <w:hyperlink r:id="rId303" w:history="1">
        <w:r>
          <w:rPr>
            <w:rStyle w:val="Hyperlink"/>
            <w:lang w:val="fr-BE"/>
          </w:rPr>
          <w:t>2016/680/EU</w:t>
        </w:r>
      </w:hyperlink>
      <w:r>
        <w:rPr>
          <w:lang w:val="fr-BE"/>
        </w:rPr>
        <w:t>.</w:t>
      </w:r>
    </w:p>
  </w:footnote>
  <w:footnote w:id="215">
    <w:p>
      <w:pPr>
        <w:pStyle w:val="FootnoteText"/>
        <w:rPr>
          <w:lang w:val="fr-BE"/>
        </w:rPr>
      </w:pPr>
      <w:r>
        <w:rPr>
          <w:rStyle w:val="FootnoteReference"/>
        </w:rPr>
        <w:footnoteRef/>
      </w:r>
      <w:r>
        <w:rPr>
          <w:lang w:val="fr-BE"/>
        </w:rPr>
        <w:t xml:space="preserve"> </w:t>
      </w:r>
      <w:r>
        <w:rPr>
          <w:lang w:val="fr-BE"/>
        </w:rPr>
        <w:tab/>
        <w:t xml:space="preserve">Commission v Slovenia, </w:t>
      </w:r>
      <w:hyperlink r:id="rId304" w:history="1">
        <w:r>
          <w:rPr>
            <w:rStyle w:val="Hyperlink"/>
            <w:lang w:val="fr-BE"/>
          </w:rPr>
          <w:t>C</w:t>
        </w:r>
        <w:r>
          <w:rPr>
            <w:rStyle w:val="Hyperlink"/>
            <w:rFonts w:ascii="Cambria Math" w:hAnsi="Cambria Math" w:cs="Cambria Math"/>
            <w:lang w:val="fr-BE"/>
          </w:rPr>
          <w:t>‑</w:t>
        </w:r>
        <w:r>
          <w:rPr>
            <w:rStyle w:val="Hyperlink"/>
            <w:lang w:val="fr-BE"/>
          </w:rPr>
          <w:t>140/14</w:t>
        </w:r>
      </w:hyperlink>
      <w:r>
        <w:rPr>
          <w:lang w:val="fr-BE"/>
        </w:rPr>
        <w:t xml:space="preserve">, </w:t>
      </w:r>
      <w:hyperlink r:id="rId305" w:history="1">
        <w:r>
          <w:rPr>
            <w:rStyle w:val="Hyperlink"/>
            <w:lang w:val="fr-BE"/>
          </w:rPr>
          <w:t>MEMO/18/3986</w:t>
        </w:r>
      </w:hyperlink>
      <w:r>
        <w:rPr>
          <w:lang w:val="fr-BE"/>
        </w:rPr>
        <w:t>.</w:t>
      </w:r>
    </w:p>
  </w:footnote>
  <w:footnote w:id="216">
    <w:p>
      <w:pPr>
        <w:pStyle w:val="FootnoteText"/>
        <w:rPr>
          <w:lang w:val="pt-PT"/>
        </w:rPr>
      </w:pPr>
      <w:r>
        <w:rPr>
          <w:rStyle w:val="FootnoteReference"/>
        </w:rPr>
        <w:footnoteRef/>
      </w:r>
      <w:r>
        <w:rPr>
          <w:lang w:val="pt-PT"/>
        </w:rPr>
        <w:t xml:space="preserve"> </w:t>
      </w:r>
      <w:r>
        <w:rPr>
          <w:lang w:val="pt-PT"/>
        </w:rPr>
        <w:tab/>
        <w:t xml:space="preserve">Directive </w:t>
      </w:r>
      <w:hyperlink r:id="rId306" w:history="1">
        <w:r>
          <w:rPr>
            <w:rStyle w:val="Hyperlink"/>
            <w:lang w:val="pt-PT"/>
          </w:rPr>
          <w:t>2011/70/Euratom</w:t>
        </w:r>
      </w:hyperlink>
      <w:r>
        <w:rPr>
          <w:rStyle w:val="Hyperlink"/>
          <w:lang w:val="pt-PT"/>
        </w:rPr>
        <w:t xml:space="preserve">, </w:t>
      </w:r>
      <w:hyperlink r:id="rId307" w:history="1">
        <w:r>
          <w:rPr>
            <w:rStyle w:val="Hyperlink"/>
            <w:lang w:val="pt-PT"/>
          </w:rPr>
          <w:t>MEMO/18/3446</w:t>
        </w:r>
      </w:hyperlink>
      <w:r>
        <w:rPr>
          <w:rStyle w:val="Hyperlink"/>
          <w:lang w:val="pt-PT"/>
        </w:rPr>
        <w:t>.</w:t>
      </w:r>
    </w:p>
  </w:footnote>
  <w:footnote w:id="217">
    <w:p>
      <w:pPr>
        <w:pStyle w:val="FootnoteText"/>
        <w:rPr>
          <w:lang w:val="pt-PT"/>
        </w:rPr>
      </w:pPr>
      <w:r>
        <w:rPr>
          <w:rStyle w:val="FootnoteReference"/>
        </w:rPr>
        <w:footnoteRef/>
      </w:r>
      <w:r>
        <w:rPr>
          <w:lang w:val="pt-PT"/>
        </w:rPr>
        <w:t xml:space="preserve"> </w:t>
      </w:r>
      <w:r>
        <w:rPr>
          <w:lang w:val="pt-PT"/>
        </w:rPr>
        <w:tab/>
        <w:t xml:space="preserve">Directive </w:t>
      </w:r>
      <w:hyperlink r:id="rId308" w:history="1">
        <w:r>
          <w:rPr>
            <w:rStyle w:val="Hyperlink"/>
            <w:lang w:val="pt-PT"/>
          </w:rPr>
          <w:t>2012/27/EU</w:t>
        </w:r>
      </w:hyperlink>
      <w:r>
        <w:rPr>
          <w:lang w:val="pt-PT"/>
        </w:rPr>
        <w:t xml:space="preserve">, </w:t>
      </w:r>
      <w:hyperlink r:id="rId309" w:history="1">
        <w:r>
          <w:rPr>
            <w:rStyle w:val="Hyperlink"/>
            <w:lang w:val="pt-PT"/>
          </w:rPr>
          <w:t>MEMO/18/4486</w:t>
        </w:r>
      </w:hyperlink>
      <w:r>
        <w:rPr>
          <w:rStyle w:val="Hyperlink"/>
          <w:lang w:val="pt-PT"/>
        </w:rPr>
        <w:t>.</w:t>
      </w:r>
    </w:p>
  </w:footnote>
  <w:footnote w:id="218">
    <w:p>
      <w:pPr>
        <w:pStyle w:val="FootnoteText"/>
        <w:rPr>
          <w:lang w:val="pt-PT"/>
        </w:rPr>
      </w:pPr>
      <w:r>
        <w:rPr>
          <w:rStyle w:val="FootnoteReference"/>
        </w:rPr>
        <w:footnoteRef/>
      </w:r>
      <w:r>
        <w:rPr>
          <w:lang w:val="pt-PT"/>
        </w:rPr>
        <w:t xml:space="preserve"> </w:t>
      </w:r>
      <w:r>
        <w:rPr>
          <w:lang w:val="pt-PT"/>
        </w:rPr>
        <w:tab/>
        <w:t xml:space="preserve">Directive </w:t>
      </w:r>
      <w:hyperlink r:id="rId310" w:history="1">
        <w:r>
          <w:rPr>
            <w:rStyle w:val="Hyperlink"/>
            <w:lang w:val="pt-PT"/>
          </w:rPr>
          <w:t>2010/31/EU</w:t>
        </w:r>
      </w:hyperlink>
      <w:r>
        <w:rPr>
          <w:lang w:val="pt-PT"/>
        </w:rPr>
        <w:t xml:space="preserve">, </w:t>
      </w:r>
      <w:hyperlink r:id="rId311" w:history="1">
        <w:r>
          <w:rPr>
            <w:rStyle w:val="Hyperlink"/>
            <w:lang w:val="pt-PT"/>
          </w:rPr>
          <w:t>MEMO/18/349</w:t>
        </w:r>
      </w:hyperlink>
      <w:r>
        <w:rPr>
          <w:rStyle w:val="Hyperlink"/>
          <w:lang w:val="pt-PT"/>
        </w:rPr>
        <w:t>.</w:t>
      </w:r>
    </w:p>
  </w:footnote>
  <w:footnote w:id="219">
    <w:p>
      <w:pPr>
        <w:pStyle w:val="FootnoteText"/>
        <w:rPr>
          <w:lang w:val="pt-PT"/>
        </w:rPr>
      </w:pPr>
      <w:r>
        <w:rPr>
          <w:rStyle w:val="FootnoteReference"/>
        </w:rPr>
        <w:footnoteRef/>
      </w:r>
      <w:r>
        <w:rPr>
          <w:lang w:val="pt-PT"/>
        </w:rPr>
        <w:t xml:space="preserve"> </w:t>
      </w:r>
      <w:r>
        <w:rPr>
          <w:lang w:val="pt-PT"/>
        </w:rPr>
        <w:tab/>
        <w:t xml:space="preserve">Directive </w:t>
      </w:r>
      <w:hyperlink r:id="rId312" w:history="1">
        <w:r>
          <w:rPr>
            <w:rStyle w:val="Hyperlink"/>
            <w:lang w:val="pt-PT"/>
          </w:rPr>
          <w:t>2005/36/EC</w:t>
        </w:r>
      </w:hyperlink>
      <w:r>
        <w:rPr>
          <w:rStyle w:val="Hyperlink"/>
          <w:lang w:val="pt-PT"/>
        </w:rPr>
        <w:t> </w:t>
      </w:r>
      <w:r>
        <w:rPr>
          <w:lang w:val="pt-PT"/>
        </w:rPr>
        <w:t xml:space="preserve">; </w:t>
      </w:r>
      <w:hyperlink r:id="rId313" w:history="1">
        <w:r>
          <w:rPr>
            <w:rStyle w:val="Hyperlink"/>
            <w:lang w:val="pt-PT"/>
          </w:rPr>
          <w:t>MEMO/18/4486</w:t>
        </w:r>
      </w:hyperlink>
      <w:r>
        <w:rPr>
          <w:rStyle w:val="Hyperlink"/>
          <w:lang w:val="pt-PT"/>
        </w:rPr>
        <w:t>.</w:t>
      </w:r>
    </w:p>
  </w:footnote>
  <w:footnote w:id="220">
    <w:p>
      <w:pPr>
        <w:pStyle w:val="FootnoteText"/>
        <w:rPr>
          <w:rFonts w:ascii="Times New Roman" w:hAnsi="Times New Roman" w:cs="Times New Roman"/>
          <w:sz w:val="20"/>
          <w:szCs w:val="20"/>
          <w:lang w:val="pt-PT"/>
        </w:rPr>
      </w:pPr>
      <w:r>
        <w:rPr>
          <w:rStyle w:val="FootnoteReference"/>
        </w:rPr>
        <w:footnoteRef/>
      </w:r>
      <w:r>
        <w:rPr>
          <w:lang w:val="pt-PT"/>
        </w:rPr>
        <w:t xml:space="preserve"> </w:t>
      </w:r>
      <w:r>
        <w:rPr>
          <w:lang w:val="pt-PT"/>
        </w:rPr>
        <w:tab/>
      </w:r>
      <w:r>
        <w:rPr>
          <w:rStyle w:val="affairetitle"/>
          <w:lang w:val="pt-PT"/>
        </w:rPr>
        <w:t>Commission v Slovenia,</w:t>
      </w:r>
      <w:r>
        <w:rPr>
          <w:lang w:val="pt-PT"/>
        </w:rPr>
        <w:t xml:space="preserve"> </w:t>
      </w:r>
      <w:hyperlink r:id="rId314" w:history="1">
        <w:r>
          <w:rPr>
            <w:rStyle w:val="Hyperlink"/>
            <w:lang w:val="pt-PT"/>
          </w:rPr>
          <w:t>C-631/18</w:t>
        </w:r>
      </w:hyperlink>
      <w:r>
        <w:rPr>
          <w:rStyle w:val="Hyperlink"/>
          <w:lang w:val="pt-PT"/>
        </w:rPr>
        <w:t>;</w:t>
      </w:r>
      <w:r>
        <w:rPr>
          <w:lang w:val="pt-PT"/>
        </w:rPr>
        <w:t xml:space="preserve"> Directive </w:t>
      </w:r>
      <w:hyperlink r:id="rId315" w:history="1">
        <w:r>
          <w:rPr>
            <w:rStyle w:val="Hyperlink"/>
            <w:lang w:val="pt-PT"/>
          </w:rPr>
          <w:t>2017/593EU</w:t>
        </w:r>
      </w:hyperlink>
      <w:r>
        <w:rPr>
          <w:rStyle w:val="Hyperlink"/>
          <w:lang w:val="pt-PT"/>
        </w:rPr>
        <w:t>.</w:t>
      </w:r>
    </w:p>
  </w:footnote>
  <w:footnote w:id="221">
    <w:p>
      <w:pPr>
        <w:pStyle w:val="FootnoteText"/>
        <w:rPr>
          <w:lang w:val="pt-PT"/>
        </w:rPr>
      </w:pPr>
      <w:r>
        <w:rPr>
          <w:rStyle w:val="FootnoteReference"/>
        </w:rPr>
        <w:footnoteRef/>
      </w:r>
      <w:r>
        <w:rPr>
          <w:lang w:val="pt-PT"/>
        </w:rPr>
        <w:t xml:space="preserve"> </w:t>
      </w:r>
      <w:r>
        <w:rPr>
          <w:lang w:val="pt-PT"/>
        </w:rPr>
        <w:tab/>
      </w:r>
      <w:r>
        <w:rPr>
          <w:rStyle w:val="affairetitle"/>
          <w:lang w:val="pt-PT"/>
        </w:rPr>
        <w:t>Commission v Slovenia</w:t>
      </w:r>
      <w:r>
        <w:rPr>
          <w:rStyle w:val="Hyperlink"/>
          <w:lang w:val="pt-PT"/>
        </w:rPr>
        <w:t xml:space="preserve"> </w:t>
      </w:r>
      <w:hyperlink r:id="rId316" w:history="1">
        <w:r>
          <w:rPr>
            <w:rStyle w:val="Hyperlink"/>
            <w:lang w:val="pt-PT"/>
          </w:rPr>
          <w:t>C-628/18</w:t>
        </w:r>
      </w:hyperlink>
      <w:r>
        <w:rPr>
          <w:rStyle w:val="affairetitle"/>
          <w:lang w:val="pt-PT"/>
        </w:rPr>
        <w:t>;</w:t>
      </w:r>
      <w:r>
        <w:rPr>
          <w:lang w:val="pt-PT"/>
        </w:rPr>
        <w:t xml:space="preserve"> </w:t>
      </w:r>
      <w:r>
        <w:rPr>
          <w:rStyle w:val="Hyperlink"/>
          <w:color w:val="auto"/>
          <w:u w:val="none"/>
          <w:bdr w:val="none" w:sz="0" w:space="0" w:color="auto" w:frame="1"/>
          <w:lang w:val="pt-PT"/>
        </w:rPr>
        <w:t xml:space="preserve">Directive </w:t>
      </w:r>
      <w:hyperlink r:id="rId317" w:history="1">
        <w:r>
          <w:rPr>
            <w:rStyle w:val="Hyperlink"/>
            <w:bdr w:val="none" w:sz="0" w:space="0" w:color="auto" w:frame="1"/>
            <w:lang w:val="pt-PT"/>
          </w:rPr>
          <w:t>2014/65/EU</w:t>
        </w:r>
      </w:hyperlink>
      <w:r>
        <w:rPr>
          <w:rStyle w:val="Hyperlink"/>
          <w:color w:val="347C98"/>
          <w:bdr w:val="none" w:sz="0" w:space="0" w:color="auto" w:frame="1"/>
          <w:lang w:val="pt-PT"/>
        </w:rPr>
        <w:t xml:space="preserve">; </w:t>
      </w:r>
      <w:hyperlink r:id="rId318" w:history="1">
        <w:r>
          <w:rPr>
            <w:rFonts w:cs="Arial"/>
            <w:color w:val="0000FF"/>
            <w:sz w:val="20"/>
            <w:szCs w:val="20"/>
            <w:u w:val="single"/>
            <w:lang w:val="pt-PT"/>
          </w:rPr>
          <w:t>IP/18/4530</w:t>
        </w:r>
      </w:hyperlink>
      <w:r>
        <w:rPr>
          <w:rStyle w:val="Hyperlink"/>
          <w:lang w:val="pt-PT"/>
        </w:rPr>
        <w:t>.</w:t>
      </w:r>
    </w:p>
  </w:footnote>
  <w:footnote w:id="222">
    <w:p>
      <w:pPr>
        <w:pStyle w:val="FootnoteText"/>
        <w:rPr>
          <w:lang w:val="pt-PT"/>
        </w:rPr>
      </w:pPr>
      <w:r>
        <w:rPr>
          <w:rStyle w:val="FootnoteReference"/>
        </w:rPr>
        <w:footnoteRef/>
      </w:r>
      <w:r>
        <w:rPr>
          <w:lang w:val="pt-PT"/>
        </w:rPr>
        <w:t xml:space="preserve"> </w:t>
      </w:r>
      <w:r>
        <w:rPr>
          <w:lang w:val="pt-PT"/>
        </w:rPr>
        <w:tab/>
      </w:r>
      <w:r>
        <w:rPr>
          <w:rStyle w:val="affairetitle"/>
          <w:lang w:val="pt-PT"/>
        </w:rPr>
        <w:t>Commission v Slovenia</w:t>
      </w:r>
      <w:r>
        <w:rPr>
          <w:rStyle w:val="Hyperlink"/>
          <w:lang w:val="pt-PT"/>
        </w:rPr>
        <w:t xml:space="preserve"> </w:t>
      </w:r>
      <w:hyperlink r:id="rId319" w:history="1">
        <w:r>
          <w:rPr>
            <w:rStyle w:val="Hyperlink"/>
            <w:lang w:val="pt-PT"/>
          </w:rPr>
          <w:t>C-69/18</w:t>
        </w:r>
      </w:hyperlink>
      <w:r>
        <w:rPr>
          <w:rStyle w:val="affairetitle"/>
          <w:lang w:val="pt-PT"/>
        </w:rPr>
        <w:t>;</w:t>
      </w:r>
      <w:r>
        <w:rPr>
          <w:rStyle w:val="Hyperlink"/>
          <w:lang w:val="pt-PT"/>
        </w:rPr>
        <w:t xml:space="preserve"> </w:t>
      </w:r>
      <w:hyperlink r:id="rId320" w:history="1">
        <w:r>
          <w:rPr>
            <w:rStyle w:val="Hyperlink"/>
            <w:lang w:val="pt-PT"/>
          </w:rPr>
          <w:t>Directive 2014/56/EU</w:t>
        </w:r>
      </w:hyperlink>
      <w:r>
        <w:rPr>
          <w:rStyle w:val="Hyperlink"/>
          <w:lang w:val="pt-PT"/>
        </w:rPr>
        <w:t xml:space="preserve">, </w:t>
      </w:r>
    </w:p>
  </w:footnote>
  <w:footnote w:id="223">
    <w:p>
      <w:pPr>
        <w:pStyle w:val="FootnoteText"/>
        <w:rPr>
          <w:lang w:val="pt-PT"/>
        </w:rPr>
      </w:pPr>
      <w:r>
        <w:rPr>
          <w:rStyle w:val="FootnoteReference"/>
        </w:rPr>
        <w:footnoteRef/>
      </w:r>
      <w:r>
        <w:rPr>
          <w:lang w:val="pt-PT"/>
        </w:rPr>
        <w:t xml:space="preserve"> </w:t>
      </w:r>
      <w:r>
        <w:rPr>
          <w:lang w:val="pt-PT"/>
        </w:rPr>
        <w:tab/>
      </w:r>
      <w:r>
        <w:rPr>
          <w:rStyle w:val="affairetitle"/>
          <w:lang w:val="pt-PT"/>
        </w:rPr>
        <w:t xml:space="preserve">Commission v Slovenia, </w:t>
      </w:r>
      <w:hyperlink r:id="rId321" w:history="1">
        <w:r>
          <w:rPr>
            <w:rStyle w:val="Hyperlink"/>
            <w:lang w:val="pt-PT"/>
          </w:rPr>
          <w:t>C-188/18</w:t>
        </w:r>
      </w:hyperlink>
      <w:r>
        <w:rPr>
          <w:rStyle w:val="Hyperlink"/>
          <w:lang w:val="pt-PT"/>
        </w:rPr>
        <w:t> </w:t>
      </w:r>
      <w:r>
        <w:rPr>
          <w:rStyle w:val="affairetitle"/>
          <w:lang w:val="pt-PT"/>
        </w:rPr>
        <w:t xml:space="preserve">; </w:t>
      </w:r>
      <w:r>
        <w:rPr>
          <w:lang w:val="pt-PT"/>
        </w:rPr>
        <w:t xml:space="preserve">Directive </w:t>
      </w:r>
      <w:hyperlink r:id="rId322" w:history="1">
        <w:r>
          <w:rPr>
            <w:rStyle w:val="Hyperlink"/>
            <w:lang w:val="pt-PT"/>
          </w:rPr>
          <w:t>2014/23/EU</w:t>
        </w:r>
      </w:hyperlink>
      <w:r>
        <w:rPr>
          <w:lang w:val="pt-PT"/>
        </w:rPr>
        <w:t>.</w:t>
      </w:r>
    </w:p>
  </w:footnote>
  <w:footnote w:id="224">
    <w:p>
      <w:pPr>
        <w:pStyle w:val="FootnoteText"/>
        <w:rPr>
          <w:lang w:val="fr-BE"/>
        </w:rPr>
      </w:pPr>
      <w:r>
        <w:rPr>
          <w:rStyle w:val="FootnoteReference"/>
        </w:rPr>
        <w:footnoteRef/>
      </w:r>
      <w:r>
        <w:rPr>
          <w:lang w:val="fr-BE"/>
        </w:rPr>
        <w:t xml:space="preserve"> </w:t>
      </w:r>
      <w:r>
        <w:rPr>
          <w:lang w:val="fr-BE"/>
        </w:rPr>
        <w:tab/>
        <w:t xml:space="preserve">Directive </w:t>
      </w:r>
      <w:hyperlink r:id="rId323" w:history="1">
        <w:r>
          <w:rPr>
            <w:rStyle w:val="Hyperlink"/>
            <w:lang w:val="fr-BE"/>
          </w:rPr>
          <w:t>2002/49/EC</w:t>
        </w:r>
      </w:hyperlink>
      <w:r>
        <w:rPr>
          <w:lang w:val="fr-BE"/>
        </w:rPr>
        <w:t>.</w:t>
      </w:r>
    </w:p>
  </w:footnote>
  <w:footnote w:id="225">
    <w:p>
      <w:pPr>
        <w:pStyle w:val="FootnoteText"/>
        <w:rPr>
          <w:lang w:val="fr-BE"/>
        </w:rPr>
      </w:pPr>
      <w:r>
        <w:rPr>
          <w:rStyle w:val="FootnoteReference"/>
        </w:rPr>
        <w:footnoteRef/>
      </w:r>
      <w:r>
        <w:rPr>
          <w:lang w:val="fr-BE"/>
        </w:rPr>
        <w:t xml:space="preserve"> </w:t>
      </w:r>
      <w:r>
        <w:rPr>
          <w:lang w:val="fr-BE"/>
        </w:rPr>
        <w:tab/>
        <w:t xml:space="preserve">Directives </w:t>
      </w:r>
      <w:hyperlink r:id="rId324" w:history="1">
        <w:r>
          <w:rPr>
            <w:rStyle w:val="Hyperlink"/>
            <w:lang w:val="fr-BE"/>
          </w:rPr>
          <w:t>2001/42/EC</w:t>
        </w:r>
      </w:hyperlink>
      <w:r>
        <w:rPr>
          <w:rStyle w:val="Hyperlink"/>
          <w:lang w:val="fr-BE"/>
        </w:rPr>
        <w:t xml:space="preserve"> and </w:t>
      </w:r>
      <w:hyperlink r:id="rId325" w:history="1">
        <w:r>
          <w:rPr>
            <w:rStyle w:val="Hyperlink"/>
            <w:lang w:val="fr-BE"/>
          </w:rPr>
          <w:t>2011/92/EU</w:t>
        </w:r>
      </w:hyperlink>
      <w:r>
        <w:rPr>
          <w:lang w:val="fr-BE"/>
        </w:rPr>
        <w:t>.</w:t>
      </w:r>
    </w:p>
  </w:footnote>
  <w:footnote w:id="226">
    <w:p>
      <w:pPr>
        <w:pStyle w:val="FootnoteText"/>
        <w:rPr>
          <w:lang w:val="fr-BE"/>
        </w:rPr>
      </w:pPr>
      <w:r>
        <w:rPr>
          <w:rStyle w:val="FootnoteReference"/>
        </w:rPr>
        <w:footnoteRef/>
      </w:r>
      <w:r>
        <w:rPr>
          <w:lang w:val="fr-BE"/>
        </w:rPr>
        <w:t xml:space="preserve"> </w:t>
      </w:r>
      <w:r>
        <w:rPr>
          <w:lang w:val="fr-BE"/>
        </w:rPr>
        <w:tab/>
        <w:t xml:space="preserve">Commission Directive </w:t>
      </w:r>
      <w:hyperlink r:id="rId326" w:history="1">
        <w:r>
          <w:rPr>
            <w:rStyle w:val="Hyperlink"/>
            <w:lang w:val="fr-BE"/>
          </w:rPr>
          <w:t>2016/1214/EU.</w:t>
        </w:r>
      </w:hyperlink>
    </w:p>
  </w:footnote>
  <w:footnote w:id="227">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327" w:history="1">
        <w:r>
          <w:rPr>
            <w:rStyle w:val="Hyperlink"/>
            <w:lang w:val="fr-BE"/>
          </w:rPr>
          <w:t>2014/42/EU</w:t>
        </w:r>
      </w:hyperlink>
      <w:r>
        <w:rPr>
          <w:rStyle w:val="Hyperlink"/>
          <w:color w:val="auto"/>
          <w:u w:val="none"/>
          <w:lang w:val="fr-BE"/>
        </w:rPr>
        <w:t>.</w:t>
      </w:r>
    </w:p>
  </w:footnote>
  <w:footnote w:id="228">
    <w:p>
      <w:pPr>
        <w:pStyle w:val="FootnoteText"/>
        <w:rPr>
          <w:lang w:val="fr-BE"/>
        </w:rPr>
      </w:pPr>
      <w:r>
        <w:rPr>
          <w:rStyle w:val="FootnoteReference"/>
        </w:rPr>
        <w:footnoteRef/>
      </w:r>
      <w:r>
        <w:rPr>
          <w:lang w:val="fr-BE"/>
        </w:rPr>
        <w:t xml:space="preserve"> </w:t>
      </w:r>
      <w:r>
        <w:rPr>
          <w:lang w:val="fr-BE"/>
        </w:rPr>
        <w:tab/>
        <w:t xml:space="preserve">Directive </w:t>
      </w:r>
      <w:hyperlink r:id="rId328" w:history="1">
        <w:r>
          <w:rPr>
            <w:rStyle w:val="Hyperlink"/>
            <w:lang w:val="fr-BE"/>
          </w:rPr>
          <w:t>2014/104/EU</w:t>
        </w:r>
      </w:hyperlink>
      <w:r>
        <w:rPr>
          <w:szCs w:val="18"/>
          <w:lang w:val="fr-BE"/>
        </w:rPr>
        <w:t xml:space="preserve">; </w:t>
      </w:r>
      <w:hyperlink r:id="rId329" w:history="1">
        <w:r>
          <w:rPr>
            <w:rStyle w:val="Hyperlink"/>
            <w:rFonts w:cs="Arial"/>
            <w:szCs w:val="18"/>
            <w:lang w:val="fr-BE"/>
          </w:rPr>
          <w:t>MEMO/18/1444</w:t>
        </w:r>
      </w:hyperlink>
      <w:r>
        <w:rPr>
          <w:rStyle w:val="Hyperlink"/>
          <w:rFonts w:cs="Arial"/>
          <w:szCs w:val="18"/>
          <w:lang w:val="fr-BE"/>
        </w:rPr>
        <w:t>.</w:t>
      </w:r>
    </w:p>
  </w:footnote>
  <w:footnote w:id="229">
    <w:p>
      <w:pPr>
        <w:pStyle w:val="FootnoteText"/>
        <w:rPr>
          <w:lang w:val="fr-BE"/>
        </w:rPr>
      </w:pPr>
      <w:r>
        <w:rPr>
          <w:rStyle w:val="FootnoteReference"/>
        </w:rPr>
        <w:footnoteRef/>
      </w:r>
      <w:r>
        <w:rPr>
          <w:lang w:val="fr-BE"/>
        </w:rPr>
        <w:t xml:space="preserve"> </w:t>
      </w:r>
      <w:r>
        <w:rPr>
          <w:lang w:val="fr-BE"/>
        </w:rPr>
        <w:tab/>
        <w:t xml:space="preserve">Directive </w:t>
      </w:r>
      <w:hyperlink r:id="rId330" w:history="1">
        <w:r>
          <w:rPr>
            <w:rStyle w:val="Hyperlink"/>
            <w:lang w:val="fr-BE"/>
          </w:rPr>
          <w:t>2015/2193/EU</w:t>
        </w:r>
      </w:hyperlink>
      <w:r>
        <w:rPr>
          <w:lang w:val="fr-BE"/>
        </w:rPr>
        <w:t>.</w:t>
      </w:r>
    </w:p>
  </w:footnote>
  <w:footnote w:id="230">
    <w:p>
      <w:pPr>
        <w:pStyle w:val="FootnoteText"/>
        <w:rPr>
          <w:lang w:val="fr-BE"/>
        </w:rPr>
      </w:pPr>
      <w:r>
        <w:rPr>
          <w:rStyle w:val="FootnoteReference"/>
        </w:rPr>
        <w:footnoteRef/>
      </w:r>
      <w:r>
        <w:rPr>
          <w:lang w:val="fr-BE"/>
        </w:rPr>
        <w:t xml:space="preserve"> </w:t>
      </w:r>
      <w:r>
        <w:rPr>
          <w:lang w:val="fr-BE"/>
        </w:rPr>
        <w:tab/>
        <w:t xml:space="preserve">Directive </w:t>
      </w:r>
      <w:hyperlink r:id="rId331" w:history="1">
        <w:r>
          <w:rPr>
            <w:rStyle w:val="Hyperlink"/>
            <w:lang w:val="fr-BE"/>
          </w:rPr>
          <w:t>2014/52/EU</w:t>
        </w:r>
      </w:hyperlink>
      <w:r>
        <w:rPr>
          <w:lang w:val="fr-BE"/>
        </w:rPr>
        <w:t>.</w:t>
      </w:r>
    </w:p>
  </w:footnote>
  <w:footnote w:id="231">
    <w:p>
      <w:pPr>
        <w:pStyle w:val="FootnoteText"/>
        <w:rPr>
          <w:lang w:val="fr-BE"/>
        </w:rPr>
      </w:pPr>
      <w:r>
        <w:rPr>
          <w:rStyle w:val="FootnoteReference"/>
        </w:rPr>
        <w:footnoteRef/>
      </w:r>
      <w:r>
        <w:rPr>
          <w:lang w:val="fr-BE"/>
        </w:rPr>
        <w:t xml:space="preserve"> </w:t>
      </w:r>
      <w:r>
        <w:rPr>
          <w:lang w:val="fr-BE"/>
        </w:rPr>
        <w:tab/>
        <w:t xml:space="preserve">Directive </w:t>
      </w:r>
      <w:hyperlink r:id="rId332" w:history="1">
        <w:r>
          <w:rPr>
            <w:rStyle w:val="Hyperlink"/>
            <w:lang w:val="fr-BE"/>
          </w:rPr>
          <w:t>2011/85/EU</w:t>
        </w:r>
      </w:hyperlink>
      <w:r>
        <w:rPr>
          <w:lang w:val="fr-BE"/>
        </w:rPr>
        <w:t>.</w:t>
      </w:r>
    </w:p>
  </w:footnote>
  <w:footnote w:id="232">
    <w:p>
      <w:pPr>
        <w:pStyle w:val="FootnoteText"/>
      </w:pPr>
      <w:r>
        <w:rPr>
          <w:rStyle w:val="FootnoteReference"/>
        </w:rPr>
        <w:footnoteRef/>
      </w:r>
      <w:r>
        <w:t xml:space="preserve"> </w:t>
      </w:r>
      <w:r>
        <w:tab/>
        <w:t xml:space="preserve">Directive </w:t>
      </w:r>
      <w:hyperlink r:id="rId333" w:history="1">
        <w:r>
          <w:rPr>
            <w:rStyle w:val="Hyperlink"/>
          </w:rPr>
          <w:t>2014/66/EU</w:t>
        </w:r>
      </w:hyperlink>
      <w:r>
        <w:t>.</w:t>
      </w:r>
    </w:p>
  </w:footnote>
  <w:footnote w:id="233">
    <w:p>
      <w:pPr>
        <w:pStyle w:val="FootnoteText"/>
      </w:pPr>
      <w:r>
        <w:rPr>
          <w:rStyle w:val="FootnoteReference"/>
        </w:rPr>
        <w:footnoteRef/>
      </w:r>
      <w:r>
        <w:t xml:space="preserve"> </w:t>
      </w:r>
      <w:r>
        <w:tab/>
        <w:t xml:space="preserve">Directive </w:t>
      </w:r>
      <w:hyperlink r:id="rId334" w:history="1">
        <w:r>
          <w:rPr>
            <w:rStyle w:val="Hyperlink"/>
          </w:rPr>
          <w:t>2014/87/Euratom</w:t>
        </w:r>
      </w:hyperlink>
      <w:r>
        <w:t>.</w:t>
      </w:r>
    </w:p>
  </w:footnote>
  <w:footnote w:id="234">
    <w:p>
      <w:pPr>
        <w:pStyle w:val="FootnoteText"/>
      </w:pPr>
      <w:r>
        <w:rPr>
          <w:rStyle w:val="FootnoteReference"/>
        </w:rPr>
        <w:footnoteRef/>
      </w:r>
      <w:r>
        <w:t xml:space="preserve"> </w:t>
      </w:r>
      <w:r>
        <w:tab/>
        <w:t>These rulings are almost exclusively handed down in infringement procedures.</w:t>
      </w:r>
    </w:p>
  </w:footnote>
  <w:footnote w:id="235">
    <w:p>
      <w:pPr>
        <w:pStyle w:val="FootnoteText"/>
      </w:pPr>
      <w:r>
        <w:rPr>
          <w:rStyle w:val="FootnoteReference"/>
        </w:rPr>
        <w:footnoteRef/>
      </w:r>
      <w:r>
        <w:t xml:space="preserve"> </w:t>
      </w:r>
      <w:r>
        <w:tab/>
        <w:t xml:space="preserve">Directive </w:t>
      </w:r>
      <w:hyperlink r:id="rId335" w:history="1">
        <w:r>
          <w:rPr>
            <w:rStyle w:val="Hyperlink"/>
          </w:rPr>
          <w:t>1999/31/EC</w:t>
        </w:r>
      </w:hyperlink>
      <w:r>
        <w:rPr>
          <w:rStyle w:val="affairetitle"/>
        </w:rPr>
        <w:t xml:space="preserve">, Commission v Slovenia, </w:t>
      </w:r>
      <w:hyperlink r:id="rId336" w:history="1">
        <w:r>
          <w:rPr>
            <w:rStyle w:val="Hyperlink"/>
          </w:rPr>
          <w:t>C-506/17</w:t>
        </w:r>
      </w:hyperlink>
      <w:r>
        <w:rPr>
          <w:rStyle w:val="Hyperlink"/>
        </w:rPr>
        <w:t>.</w:t>
      </w:r>
    </w:p>
  </w:footnote>
  <w:footnote w:id="236">
    <w:p>
      <w:pPr>
        <w:pStyle w:val="FootnoteText"/>
        <w:rPr>
          <w:lang w:val="sv-SE"/>
        </w:rPr>
      </w:pPr>
      <w:r>
        <w:rPr>
          <w:rStyle w:val="FootnoteReference"/>
        </w:rPr>
        <w:footnoteRef/>
      </w:r>
      <w:r>
        <w:rPr>
          <w:lang w:val="sv-SE"/>
        </w:rPr>
        <w:t xml:space="preserve"> </w:t>
      </w:r>
      <w:r>
        <w:rPr>
          <w:lang w:val="sv-SE"/>
        </w:rPr>
        <w:tab/>
      </w:r>
      <w:r>
        <w:rPr>
          <w:rFonts w:cs="Arial"/>
          <w:szCs w:val="18"/>
          <w:lang w:val="sv-SE"/>
        </w:rPr>
        <w:t xml:space="preserve">E.G. v Republika Slovenija, </w:t>
      </w:r>
      <w:hyperlink r:id="rId337" w:history="1">
        <w:r>
          <w:rPr>
            <w:rStyle w:val="Hyperlink"/>
            <w:rFonts w:cs="Arial"/>
            <w:szCs w:val="18"/>
            <w:lang w:val="sv-SE"/>
          </w:rPr>
          <w:t>C</w:t>
        </w:r>
        <w:r>
          <w:rPr>
            <w:rStyle w:val="Hyperlink"/>
            <w:rFonts w:ascii="Cambria Math" w:hAnsi="Cambria Math" w:cs="Cambria Math"/>
            <w:szCs w:val="18"/>
            <w:lang w:val="sv-SE"/>
          </w:rPr>
          <w:t>‑</w:t>
        </w:r>
        <w:r>
          <w:rPr>
            <w:rStyle w:val="Hyperlink"/>
            <w:rFonts w:cs="Arial"/>
            <w:szCs w:val="18"/>
            <w:lang w:val="sv-SE"/>
          </w:rPr>
          <w:t>662/17</w:t>
        </w:r>
      </w:hyperlink>
      <w:r>
        <w:rPr>
          <w:rStyle w:val="Hyperlink"/>
          <w:rFonts w:cs="Arial"/>
          <w:szCs w:val="18"/>
          <w:lang w:val="sv-SE"/>
        </w:rPr>
        <w:t>.</w:t>
      </w:r>
    </w:p>
  </w:footnote>
  <w:footnote w:id="237">
    <w:p>
      <w:pPr>
        <w:pStyle w:val="FootnoteText"/>
      </w:pPr>
      <w:r>
        <w:rPr>
          <w:rStyle w:val="FootnoteReference"/>
        </w:rPr>
        <w:footnoteRef/>
      </w:r>
      <w:r>
        <w:t xml:space="preserve"> </w:t>
      </w:r>
      <w:r>
        <w:tab/>
        <w:t xml:space="preserve">Directive </w:t>
      </w:r>
      <w:hyperlink r:id="rId338" w:history="1">
        <w:r>
          <w:rPr>
            <w:rStyle w:val="Hyperlink"/>
          </w:rPr>
          <w:t>2005/36/EC</w:t>
        </w:r>
      </w:hyperlink>
      <w:r>
        <w:t xml:space="preserve">, </w:t>
      </w:r>
      <w:hyperlink r:id="rId339" w:history="1">
        <w:r>
          <w:rPr>
            <w:rStyle w:val="Hyperlink"/>
          </w:rPr>
          <w:t>MEMO/18/4486</w:t>
        </w:r>
      </w:hyperlink>
      <w:r>
        <w:rPr>
          <w:rStyle w:val="Hyperlink"/>
        </w:rPr>
        <w:t>.</w:t>
      </w:r>
    </w:p>
  </w:footnote>
  <w:footnote w:id="238">
    <w:p>
      <w:pPr>
        <w:pStyle w:val="FootnoteText"/>
      </w:pPr>
      <w:r>
        <w:rPr>
          <w:rStyle w:val="FootnoteReference"/>
        </w:rPr>
        <w:footnoteRef/>
      </w:r>
      <w:r>
        <w:t xml:space="preserve"> </w:t>
      </w:r>
      <w:r>
        <w:tab/>
        <w:t xml:space="preserve">Directive </w:t>
      </w:r>
      <w:hyperlink r:id="rId340" w:history="1">
        <w:r>
          <w:rPr>
            <w:rStyle w:val="Hyperlink"/>
          </w:rPr>
          <w:t>2012/27/EU</w:t>
        </w:r>
      </w:hyperlink>
      <w:r>
        <w:t xml:space="preserve">, </w:t>
      </w:r>
      <w:hyperlink r:id="rId341" w:history="1">
        <w:r>
          <w:rPr>
            <w:rStyle w:val="Hyperlink"/>
          </w:rPr>
          <w:t>MEMO/18/6247</w:t>
        </w:r>
      </w:hyperlink>
      <w:r>
        <w:rPr>
          <w:rStyle w:val="Hyperlink"/>
        </w:rPr>
        <w:t>.</w:t>
      </w:r>
    </w:p>
  </w:footnote>
  <w:footnote w:id="239">
    <w:p>
      <w:pPr>
        <w:pStyle w:val="FootnoteText"/>
      </w:pPr>
      <w:r>
        <w:rPr>
          <w:rStyle w:val="FootnoteReference"/>
        </w:rPr>
        <w:footnoteRef/>
      </w:r>
      <w:r>
        <w:t xml:space="preserve"> </w:t>
      </w:r>
      <w:r>
        <w:tab/>
        <w:t xml:space="preserve">Directive </w:t>
      </w:r>
      <w:hyperlink r:id="rId342" w:history="1">
        <w:r>
          <w:rPr>
            <w:rStyle w:val="Hyperlink"/>
          </w:rPr>
          <w:t>2010/63/EU</w:t>
        </w:r>
      </w:hyperlink>
      <w:r>
        <w:rPr>
          <w:rStyle w:val="Hyperlink"/>
        </w:rPr>
        <w:t xml:space="preserve">, </w:t>
      </w:r>
      <w:hyperlink r:id="rId343" w:history="1">
        <w:r>
          <w:rPr>
            <w:rStyle w:val="Hyperlink"/>
          </w:rPr>
          <w:t>MEMO/18/4486</w:t>
        </w:r>
      </w:hyperlink>
      <w:r>
        <w:t>.</w:t>
      </w:r>
    </w:p>
  </w:footnote>
  <w:footnote w:id="240">
    <w:p>
      <w:pPr>
        <w:pStyle w:val="FootnoteText"/>
        <w:rPr>
          <w:lang w:val="fr-BE"/>
        </w:rPr>
      </w:pPr>
      <w:r>
        <w:rPr>
          <w:rStyle w:val="FootnoteReference"/>
        </w:rPr>
        <w:footnoteRef/>
      </w:r>
      <w:r>
        <w:rPr>
          <w:lang w:val="fr-BE"/>
        </w:rPr>
        <w:t xml:space="preserve"> </w:t>
      </w:r>
      <w:r>
        <w:rPr>
          <w:lang w:val="fr-BE"/>
        </w:rPr>
        <w:tab/>
        <w:t xml:space="preserve">Directives </w:t>
      </w:r>
      <w:hyperlink r:id="rId344" w:history="1">
        <w:r>
          <w:rPr>
            <w:rStyle w:val="Hyperlink"/>
            <w:lang w:val="fr-BE"/>
          </w:rPr>
          <w:t>92/43/EEC</w:t>
        </w:r>
      </w:hyperlink>
      <w:r>
        <w:rPr>
          <w:lang w:val="fr-BE"/>
        </w:rPr>
        <w:t xml:space="preserve"> and </w:t>
      </w:r>
      <w:hyperlink r:id="rId345" w:history="1">
        <w:r>
          <w:rPr>
            <w:rStyle w:val="Hyperlink"/>
            <w:lang w:val="fr-BE"/>
          </w:rPr>
          <w:t>2009/147/EC</w:t>
        </w:r>
      </w:hyperlink>
      <w:r>
        <w:rPr>
          <w:lang w:val="fr-BE"/>
        </w:rPr>
        <w:t>.</w:t>
      </w:r>
    </w:p>
  </w:footnote>
  <w:footnote w:id="241">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346" w:history="1">
        <w:r>
          <w:rPr>
            <w:rStyle w:val="Hyperlink"/>
            <w:lang w:val="fr-BE"/>
          </w:rPr>
          <w:t>2018/100</w:t>
        </w:r>
      </w:hyperlink>
      <w:r>
        <w:rPr>
          <w:rStyle w:val="Hyperlink"/>
          <w:lang w:val="fr-BE"/>
        </w:rPr>
        <w:t>/EU</w:t>
      </w:r>
      <w:r>
        <w:rPr>
          <w:lang w:val="fr-BE"/>
        </w:rPr>
        <w:t>.</w:t>
      </w:r>
    </w:p>
  </w:footnote>
  <w:footnote w:id="242">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347" w:history="1">
        <w:r>
          <w:rPr>
            <w:rStyle w:val="Hyperlink"/>
            <w:lang w:val="fr-BE"/>
          </w:rPr>
          <w:t>2017/1279</w:t>
        </w:r>
      </w:hyperlink>
      <w:r>
        <w:rPr>
          <w:rStyle w:val="Hyperlink"/>
          <w:lang w:val="fr-BE"/>
        </w:rPr>
        <w:t>/EU</w:t>
      </w:r>
      <w:r>
        <w:rPr>
          <w:lang w:val="fr-BE"/>
        </w:rPr>
        <w:t>.</w:t>
      </w:r>
    </w:p>
  </w:footnote>
  <w:footnote w:id="243">
    <w:p>
      <w:pPr>
        <w:pStyle w:val="FootnoteText"/>
        <w:rPr>
          <w:lang w:val="fr-BE"/>
        </w:rPr>
      </w:pPr>
      <w:r>
        <w:rPr>
          <w:rStyle w:val="FootnoteReference"/>
        </w:rPr>
        <w:footnoteRef/>
      </w:r>
      <w:r>
        <w:rPr>
          <w:lang w:val="fr-BE"/>
        </w:rPr>
        <w:t xml:space="preserve"> </w:t>
      </w:r>
      <w:r>
        <w:rPr>
          <w:lang w:val="fr-BE"/>
        </w:rPr>
        <w:tab/>
      </w:r>
      <w:r>
        <w:rPr>
          <w:rFonts w:cs="Arial"/>
          <w:szCs w:val="18"/>
          <w:lang w:val="fr-BE"/>
        </w:rPr>
        <w:t xml:space="preserve">Directive </w:t>
      </w:r>
      <w:hyperlink r:id="rId348" w:history="1">
        <w:r>
          <w:rPr>
            <w:rStyle w:val="Hyperlink"/>
            <w:rFonts w:cs="Arial"/>
            <w:szCs w:val="18"/>
            <w:lang w:val="fr-BE"/>
          </w:rPr>
          <w:t>2016/2102/EU</w:t>
        </w:r>
      </w:hyperlink>
      <w:r>
        <w:rPr>
          <w:rFonts w:cs="Arial"/>
          <w:szCs w:val="18"/>
          <w:lang w:val="fr-BE"/>
        </w:rPr>
        <w:t>.</w:t>
      </w:r>
    </w:p>
  </w:footnote>
  <w:footnote w:id="244">
    <w:p>
      <w:pPr>
        <w:pStyle w:val="FootnoteText"/>
        <w:rPr>
          <w:lang w:val="fr-BE"/>
        </w:rPr>
      </w:pPr>
      <w:r>
        <w:rPr>
          <w:rStyle w:val="FootnoteReference"/>
        </w:rPr>
        <w:footnoteRef/>
      </w:r>
      <w:r>
        <w:rPr>
          <w:lang w:val="fr-BE"/>
        </w:rPr>
        <w:t xml:space="preserve"> </w:t>
      </w:r>
      <w:r>
        <w:rPr>
          <w:lang w:val="fr-BE"/>
        </w:rPr>
        <w:tab/>
        <w:t xml:space="preserve">Directive </w:t>
      </w:r>
      <w:hyperlink r:id="rId349" w:history="1">
        <w:r>
          <w:rPr>
            <w:rStyle w:val="Hyperlink"/>
            <w:rFonts w:cs="Arial"/>
            <w:szCs w:val="20"/>
            <w:lang w:val="fr-BE"/>
          </w:rPr>
          <w:t>2015/2302/EU</w:t>
        </w:r>
      </w:hyperlink>
      <w:r>
        <w:rPr>
          <w:rFonts w:cs="Arial"/>
          <w:szCs w:val="20"/>
          <w:lang w:val="fr-BE"/>
        </w:rPr>
        <w:t>.</w:t>
      </w:r>
    </w:p>
  </w:footnote>
  <w:footnote w:id="245">
    <w:p>
      <w:pPr>
        <w:pStyle w:val="FootnoteText"/>
        <w:rPr>
          <w:lang w:val="fr-BE"/>
        </w:rPr>
      </w:pPr>
      <w:r>
        <w:rPr>
          <w:rStyle w:val="FootnoteReference"/>
        </w:rPr>
        <w:footnoteRef/>
      </w:r>
      <w:r>
        <w:rPr>
          <w:lang w:val="fr-BE"/>
        </w:rPr>
        <w:t xml:space="preserve"> </w:t>
      </w:r>
      <w:r>
        <w:rPr>
          <w:lang w:val="fr-BE"/>
        </w:rPr>
        <w:tab/>
        <w:t xml:space="preserve">Directive </w:t>
      </w:r>
      <w:hyperlink r:id="rId350" w:history="1">
        <w:r>
          <w:rPr>
            <w:rStyle w:val="Hyperlink"/>
            <w:lang w:val="fr-BE"/>
          </w:rPr>
          <w:t>2016/343/EU</w:t>
        </w:r>
      </w:hyperlink>
      <w:r>
        <w:rPr>
          <w:lang w:val="fr-BE"/>
        </w:rPr>
        <w:t>.</w:t>
      </w:r>
    </w:p>
  </w:footnote>
  <w:footnote w:id="246">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Slovakia,</w:t>
      </w:r>
      <w:r>
        <w:rPr>
          <w:rStyle w:val="Hyperlink"/>
          <w:lang w:val="fr-BE"/>
        </w:rPr>
        <w:t xml:space="preserve"> </w:t>
      </w:r>
      <w:hyperlink r:id="rId351" w:history="1">
        <w:r>
          <w:rPr>
            <w:rStyle w:val="Hyperlink"/>
            <w:lang w:val="fr-BE"/>
          </w:rPr>
          <w:t>C-614/18</w:t>
        </w:r>
      </w:hyperlink>
      <w:r>
        <w:rPr>
          <w:rStyle w:val="Hyperlink"/>
          <w:lang w:val="fr-BE"/>
        </w:rPr>
        <w:t>.</w:t>
      </w:r>
    </w:p>
  </w:footnote>
  <w:footnote w:id="247">
    <w:p>
      <w:pPr>
        <w:pStyle w:val="FootnoteText"/>
        <w:rPr>
          <w:lang w:val="fr-BE"/>
        </w:rPr>
      </w:pPr>
      <w:r>
        <w:rPr>
          <w:rStyle w:val="FootnoteReference"/>
        </w:rPr>
        <w:footnoteRef/>
      </w:r>
      <w:r>
        <w:rPr>
          <w:lang w:val="fr-BE"/>
        </w:rPr>
        <w:t xml:space="preserve"> </w:t>
      </w:r>
      <w:r>
        <w:rPr>
          <w:lang w:val="fr-BE"/>
        </w:rPr>
        <w:tab/>
      </w:r>
      <w:hyperlink r:id="rId352" w:history="1">
        <w:r>
          <w:rPr>
            <w:rStyle w:val="Hyperlink"/>
            <w:lang w:val="fr-BE"/>
          </w:rPr>
          <w:t>IP/18/3459.</w:t>
        </w:r>
      </w:hyperlink>
    </w:p>
  </w:footnote>
  <w:footnote w:id="248">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353" w:history="1">
        <w:r>
          <w:rPr>
            <w:rStyle w:val="Hyperlink"/>
            <w:lang w:val="fr-BE"/>
          </w:rPr>
          <w:t>2017/1279</w:t>
        </w:r>
      </w:hyperlink>
      <w:r>
        <w:rPr>
          <w:rStyle w:val="Hyperlink"/>
          <w:lang w:val="fr-BE"/>
        </w:rPr>
        <w:t>/EU</w:t>
      </w:r>
      <w:r>
        <w:rPr>
          <w:lang w:val="fr-BE"/>
        </w:rPr>
        <w:t>.</w:t>
      </w:r>
    </w:p>
  </w:footnote>
  <w:footnote w:id="249">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354" w:history="1">
        <w:r>
          <w:rPr>
            <w:rStyle w:val="Hyperlink"/>
            <w:lang w:val="fr-BE"/>
          </w:rPr>
          <w:t>2014/42/EU</w:t>
        </w:r>
      </w:hyperlink>
      <w:r>
        <w:rPr>
          <w:rStyle w:val="Hyperlink"/>
          <w:color w:val="auto"/>
          <w:u w:val="none"/>
          <w:lang w:val="fr-BE"/>
        </w:rPr>
        <w:t>.</w:t>
      </w:r>
    </w:p>
  </w:footnote>
  <w:footnote w:id="250">
    <w:p>
      <w:pPr>
        <w:pStyle w:val="FootnoteText"/>
        <w:rPr>
          <w:szCs w:val="18"/>
        </w:rPr>
      </w:pPr>
      <w:r>
        <w:rPr>
          <w:rStyle w:val="FootnoteReference"/>
          <w:szCs w:val="18"/>
        </w:rPr>
        <w:footnoteRef/>
      </w:r>
      <w:r>
        <w:rPr>
          <w:szCs w:val="18"/>
        </w:rPr>
        <w:t xml:space="preserve"> </w:t>
      </w:r>
      <w:r>
        <w:rPr>
          <w:szCs w:val="18"/>
        </w:rPr>
        <w:tab/>
        <w:t>These rulings are almost exclusively handed down on infringement procedures.</w:t>
      </w:r>
    </w:p>
  </w:footnote>
  <w:footnote w:id="251">
    <w:p>
      <w:pPr>
        <w:pStyle w:val="FootnoteText"/>
      </w:pPr>
      <w:r>
        <w:rPr>
          <w:rStyle w:val="FootnoteReference"/>
        </w:rPr>
        <w:footnoteRef/>
      </w:r>
      <w:r>
        <w:t xml:space="preserve"> </w:t>
      </w:r>
      <w:r>
        <w:tab/>
        <w:t xml:space="preserve">Commission v Slovakia, </w:t>
      </w:r>
      <w:hyperlink r:id="rId355" w:history="1">
        <w:r>
          <w:rPr>
            <w:rStyle w:val="Hyperlink"/>
          </w:rPr>
          <w:t>C-331/11</w:t>
        </w:r>
      </w:hyperlink>
      <w:r>
        <w:t>.</w:t>
      </w:r>
    </w:p>
  </w:footnote>
  <w:footnote w:id="252">
    <w:p>
      <w:pPr>
        <w:pStyle w:val="FootnoteText"/>
        <w:rPr>
          <w:lang w:val="en-IE"/>
        </w:rPr>
      </w:pPr>
      <w:r>
        <w:rPr>
          <w:rStyle w:val="FootnoteReference"/>
        </w:rPr>
        <w:footnoteRef/>
      </w:r>
      <w:r>
        <w:t xml:space="preserve"> </w:t>
      </w:r>
      <w:r>
        <w:rPr>
          <w:lang w:val="en-IE"/>
        </w:rPr>
        <w:tab/>
        <w:t xml:space="preserve">Directive </w:t>
      </w:r>
      <w:hyperlink r:id="rId356" w:history="1">
        <w:r>
          <w:rPr>
            <w:rStyle w:val="Hyperlink"/>
            <w:lang w:val="en-IE"/>
          </w:rPr>
          <w:t>1999/31/EC</w:t>
        </w:r>
      </w:hyperlink>
      <w:r>
        <w:t xml:space="preserve">, </w:t>
      </w:r>
      <w:r>
        <w:rPr>
          <w:rStyle w:val="affairetitle"/>
        </w:rPr>
        <w:t xml:space="preserve">Commission v Slovakia, </w:t>
      </w:r>
      <w:hyperlink r:id="rId357" w:history="1">
        <w:r>
          <w:rPr>
            <w:rStyle w:val="Hyperlink"/>
          </w:rPr>
          <w:t>C-626/16</w:t>
        </w:r>
      </w:hyperlink>
      <w:r>
        <w:rPr>
          <w:rStyle w:val="Hyperlink"/>
          <w:lang w:val="en-US"/>
        </w:rPr>
        <w:t xml:space="preserve"> </w:t>
      </w:r>
      <w:r>
        <w:rPr>
          <w:rStyle w:val="Hyperlink"/>
          <w:color w:val="auto"/>
          <w:u w:val="none"/>
          <w:lang w:val="en-US"/>
        </w:rPr>
        <w:t>and Court press release</w:t>
      </w:r>
      <w:r>
        <w:rPr>
          <w:rStyle w:val="Hyperlink"/>
          <w:color w:val="auto"/>
          <w:lang w:val="en-US"/>
        </w:rPr>
        <w:t xml:space="preserve"> </w:t>
      </w:r>
      <w:hyperlink r:id="rId358" w:history="1">
        <w:r>
          <w:rPr>
            <w:rStyle w:val="Hyperlink"/>
            <w:lang w:val="en-US"/>
          </w:rPr>
          <w:t>No 99/18</w:t>
        </w:r>
      </w:hyperlink>
      <w:r>
        <w:rPr>
          <w:rStyle w:val="Hyperlink"/>
          <w:lang w:val="en-US"/>
        </w:rPr>
        <w:t>.</w:t>
      </w:r>
    </w:p>
  </w:footnote>
  <w:footnote w:id="253">
    <w:p>
      <w:pPr>
        <w:pStyle w:val="FootnoteText"/>
        <w:rPr>
          <w:lang w:val="en-US"/>
        </w:rPr>
      </w:pPr>
      <w:r>
        <w:rPr>
          <w:rStyle w:val="FootnoteReference"/>
        </w:rPr>
        <w:footnoteRef/>
      </w:r>
      <w:r>
        <w:rPr>
          <w:lang w:val="en-US"/>
        </w:rPr>
        <w:t xml:space="preserve"> </w:t>
      </w:r>
      <w:r>
        <w:rPr>
          <w:lang w:val="en-US"/>
        </w:rPr>
        <w:tab/>
      </w:r>
      <w:r>
        <w:rPr>
          <w:rStyle w:val="affairetitle"/>
          <w:lang w:val="en-US"/>
        </w:rPr>
        <w:t>FENS,</w:t>
      </w:r>
      <w:r>
        <w:rPr>
          <w:rStyle w:val="Hyperlink"/>
          <w:lang w:val="en-US"/>
        </w:rPr>
        <w:t xml:space="preserve"> </w:t>
      </w:r>
      <w:hyperlink r:id="rId359" w:history="1">
        <w:r>
          <w:rPr>
            <w:rStyle w:val="Hyperlink"/>
            <w:lang w:val="en-US"/>
          </w:rPr>
          <w:t>C-305/17</w:t>
        </w:r>
      </w:hyperlink>
      <w:r>
        <w:rPr>
          <w:rStyle w:val="Hyperlink"/>
          <w:lang w:val="en-US"/>
        </w:rPr>
        <w:t xml:space="preserve"> </w:t>
      </w:r>
      <w:r>
        <w:rPr>
          <w:rStyle w:val="affairetitle"/>
        </w:rPr>
        <w:t xml:space="preserve">and Court press release </w:t>
      </w:r>
      <w:hyperlink r:id="rId360" w:history="1">
        <w:r>
          <w:rPr>
            <w:rStyle w:val="Hyperlink"/>
          </w:rPr>
          <w:t>No 189/18</w:t>
        </w:r>
      </w:hyperlink>
      <w:r>
        <w:rPr>
          <w:rStyle w:val="affairetitle"/>
        </w:rPr>
        <w:t>.</w:t>
      </w:r>
    </w:p>
  </w:footnote>
  <w:footnote w:id="254">
    <w:p>
      <w:pPr>
        <w:pStyle w:val="FootnoteText"/>
        <w:rPr>
          <w:lang w:val="pt-PT"/>
        </w:rPr>
      </w:pPr>
      <w:r>
        <w:rPr>
          <w:rStyle w:val="FootnoteReference"/>
        </w:rPr>
        <w:footnoteRef/>
      </w:r>
      <w:r>
        <w:rPr>
          <w:lang w:val="pt-PT"/>
        </w:rPr>
        <w:t xml:space="preserve"> </w:t>
      </w:r>
      <w:r>
        <w:rPr>
          <w:lang w:val="pt-PT"/>
        </w:rPr>
        <w:tab/>
        <w:t xml:space="preserve">Directive </w:t>
      </w:r>
      <w:hyperlink r:id="rId361" w:history="1">
        <w:r>
          <w:rPr>
            <w:rStyle w:val="Hyperlink"/>
            <w:lang w:val="pt-PT"/>
          </w:rPr>
          <w:t>2012/27/EU</w:t>
        </w:r>
      </w:hyperlink>
      <w:r>
        <w:rPr>
          <w:lang w:val="pt-PT"/>
        </w:rPr>
        <w:t xml:space="preserve">, </w:t>
      </w:r>
      <w:hyperlink r:id="rId362" w:history="1">
        <w:r>
          <w:rPr>
            <w:rStyle w:val="Hyperlink"/>
            <w:lang w:val="pt-PT"/>
          </w:rPr>
          <w:t>MEMO/18/6247</w:t>
        </w:r>
      </w:hyperlink>
      <w:r>
        <w:rPr>
          <w:rStyle w:val="Hyperlink"/>
          <w:lang w:val="pt-PT"/>
        </w:rPr>
        <w:t>.</w:t>
      </w:r>
    </w:p>
  </w:footnote>
  <w:footnote w:id="255">
    <w:p>
      <w:pPr>
        <w:pStyle w:val="FootnoteText"/>
        <w:rPr>
          <w:lang w:val="pt-PT"/>
        </w:rPr>
      </w:pPr>
      <w:r>
        <w:rPr>
          <w:rStyle w:val="FootnoteReference"/>
        </w:rPr>
        <w:footnoteRef/>
      </w:r>
      <w:r>
        <w:rPr>
          <w:lang w:val="pt-PT"/>
        </w:rPr>
        <w:t xml:space="preserve"> </w:t>
      </w:r>
      <w:r>
        <w:rPr>
          <w:lang w:val="pt-PT"/>
        </w:rPr>
        <w:tab/>
        <w:t xml:space="preserve">Directive </w:t>
      </w:r>
      <w:hyperlink r:id="rId363" w:history="1">
        <w:r>
          <w:rPr>
            <w:rStyle w:val="Hyperlink"/>
            <w:lang w:val="pt-PT"/>
          </w:rPr>
          <w:t>2009/147/EC</w:t>
        </w:r>
      </w:hyperlink>
      <w:r>
        <w:rPr>
          <w:lang w:val="pt-PT"/>
        </w:rPr>
        <w:t>,</w:t>
      </w:r>
      <w:r>
        <w:rPr>
          <w:rStyle w:val="Hyperlink"/>
          <w:lang w:val="pt-PT"/>
        </w:rPr>
        <w:t xml:space="preserve"> </w:t>
      </w:r>
      <w:hyperlink r:id="rId364" w:history="1">
        <w:r>
          <w:rPr>
            <w:rStyle w:val="Hyperlink"/>
            <w:lang w:val="pt-PT"/>
          </w:rPr>
          <w:t>IP/18/1446</w:t>
        </w:r>
      </w:hyperlink>
      <w:r>
        <w:rPr>
          <w:lang w:val="pt-PT"/>
        </w:rPr>
        <w:t>.</w:t>
      </w:r>
    </w:p>
  </w:footnote>
  <w:footnote w:id="256">
    <w:p>
      <w:pPr>
        <w:pStyle w:val="FootnoteText"/>
        <w:rPr>
          <w:lang w:val="pt-PT"/>
        </w:rPr>
      </w:pPr>
      <w:r>
        <w:rPr>
          <w:rStyle w:val="FootnoteReference"/>
        </w:rPr>
        <w:footnoteRef/>
      </w:r>
      <w:r>
        <w:rPr>
          <w:lang w:val="pt-PT"/>
        </w:rPr>
        <w:t xml:space="preserve"> </w:t>
      </w:r>
      <w:r>
        <w:rPr>
          <w:lang w:val="pt-PT"/>
        </w:rPr>
        <w:tab/>
        <w:t xml:space="preserve">Directive </w:t>
      </w:r>
      <w:hyperlink r:id="rId365" w:history="1">
        <w:r>
          <w:rPr>
            <w:rStyle w:val="Hyperlink"/>
            <w:lang w:val="pt-PT"/>
          </w:rPr>
          <w:t>2011/83/EU</w:t>
        </w:r>
      </w:hyperlink>
      <w:r>
        <w:rPr>
          <w:lang w:val="pt-PT"/>
        </w:rPr>
        <w:t>.</w:t>
      </w:r>
    </w:p>
  </w:footnote>
  <w:footnote w:id="257">
    <w:p>
      <w:pPr>
        <w:pStyle w:val="FootnoteText"/>
        <w:rPr>
          <w:lang w:val="pt-PT"/>
        </w:rPr>
      </w:pPr>
      <w:r>
        <w:rPr>
          <w:rStyle w:val="FootnoteReference"/>
        </w:rPr>
        <w:footnoteRef/>
      </w:r>
      <w:r>
        <w:rPr>
          <w:lang w:val="pt-PT"/>
        </w:rPr>
        <w:t xml:space="preserve"> </w:t>
      </w:r>
      <w:r>
        <w:rPr>
          <w:lang w:val="pt-PT"/>
        </w:rPr>
        <w:tab/>
        <w:t xml:space="preserve">Directive </w:t>
      </w:r>
      <w:hyperlink r:id="rId366" w:history="1">
        <w:r>
          <w:rPr>
            <w:rStyle w:val="Hyperlink"/>
            <w:lang w:val="pt-PT"/>
          </w:rPr>
          <w:t>2005/36/EC</w:t>
        </w:r>
      </w:hyperlink>
      <w:r>
        <w:rPr>
          <w:rStyle w:val="Hyperlink"/>
          <w:lang w:val="pt-PT"/>
        </w:rPr>
        <w:t>,</w:t>
      </w:r>
      <w:r>
        <w:rPr>
          <w:lang w:val="pt-PT"/>
        </w:rPr>
        <w:t xml:space="preserve"> </w:t>
      </w:r>
      <w:hyperlink r:id="rId367" w:history="1">
        <w:r>
          <w:rPr>
            <w:rStyle w:val="Hyperlink"/>
            <w:lang w:val="pt-PT"/>
          </w:rPr>
          <w:t>MEMO/18/4486</w:t>
        </w:r>
      </w:hyperlink>
      <w:r>
        <w:rPr>
          <w:rStyle w:val="Hyperlink"/>
          <w:lang w:val="pt-PT"/>
        </w:rPr>
        <w:t>.</w:t>
      </w:r>
    </w:p>
  </w:footnote>
  <w:footnote w:id="258">
    <w:p>
      <w:pPr>
        <w:pStyle w:val="FootnoteText"/>
        <w:rPr>
          <w:lang w:val="pt-PT"/>
        </w:rPr>
      </w:pPr>
      <w:r>
        <w:rPr>
          <w:rStyle w:val="FootnoteReference"/>
        </w:rPr>
        <w:footnoteRef/>
      </w:r>
      <w:r>
        <w:rPr>
          <w:lang w:val="pt-PT"/>
        </w:rPr>
        <w:t xml:space="preserve"> </w:t>
      </w:r>
      <w:r>
        <w:rPr>
          <w:lang w:val="pt-PT"/>
        </w:rPr>
        <w:tab/>
        <w:t xml:space="preserve">Directive </w:t>
      </w:r>
      <w:hyperlink r:id="rId368" w:history="1">
        <w:r>
          <w:rPr>
            <w:rStyle w:val="Hyperlink"/>
            <w:lang w:val="pt-PT"/>
          </w:rPr>
          <w:t>2013/59/Euratom</w:t>
        </w:r>
      </w:hyperlink>
      <w:r>
        <w:rPr>
          <w:lang w:val="pt-PT"/>
        </w:rPr>
        <w:t xml:space="preserve">, </w:t>
      </w:r>
      <w:hyperlink r:id="rId369" w:history="1">
        <w:r>
          <w:rPr>
            <w:rStyle w:val="Hyperlink"/>
            <w:lang w:val="pt-PT"/>
          </w:rPr>
          <w:t>MEMO/18/3446</w:t>
        </w:r>
      </w:hyperlink>
      <w:r>
        <w:rPr>
          <w:rStyle w:val="Hyperlink"/>
          <w:lang w:val="pt-PT"/>
        </w:rPr>
        <w:t>.</w:t>
      </w:r>
    </w:p>
  </w:footnote>
  <w:footnote w:id="259">
    <w:p>
      <w:pPr>
        <w:pStyle w:val="FootnoteText"/>
        <w:rPr>
          <w:lang w:val="pt-PT"/>
        </w:rPr>
      </w:pPr>
      <w:r>
        <w:rPr>
          <w:rStyle w:val="FootnoteReference"/>
        </w:rPr>
        <w:footnoteRef/>
      </w:r>
      <w:r>
        <w:rPr>
          <w:lang w:val="pt-PT"/>
        </w:rPr>
        <w:t xml:space="preserve"> </w:t>
      </w:r>
      <w:r>
        <w:rPr>
          <w:lang w:val="pt-PT"/>
        </w:rPr>
        <w:tab/>
        <w:t xml:space="preserve">Directive </w:t>
      </w:r>
      <w:hyperlink r:id="rId370" w:history="1">
        <w:r>
          <w:rPr>
            <w:rStyle w:val="Hyperlink"/>
            <w:lang w:val="pt-PT"/>
          </w:rPr>
          <w:t>2016/2284/EU</w:t>
        </w:r>
      </w:hyperlink>
      <w:r>
        <w:rPr>
          <w:lang w:val="pt-PT"/>
        </w:rPr>
        <w:t>.</w:t>
      </w:r>
    </w:p>
  </w:footnote>
  <w:footnote w:id="260">
    <w:p>
      <w:pPr>
        <w:pStyle w:val="FootnoteText"/>
        <w:rPr>
          <w:lang w:val="pt-PT"/>
        </w:rPr>
      </w:pPr>
      <w:r>
        <w:rPr>
          <w:rStyle w:val="FootnoteReference"/>
        </w:rPr>
        <w:footnoteRef/>
      </w:r>
      <w:r>
        <w:rPr>
          <w:lang w:val="pt-PT"/>
        </w:rPr>
        <w:t xml:space="preserve"> </w:t>
      </w:r>
      <w:r>
        <w:rPr>
          <w:lang w:val="pt-PT"/>
        </w:rPr>
        <w:tab/>
        <w:t xml:space="preserve">Directive </w:t>
      </w:r>
      <w:hyperlink r:id="rId371" w:history="1">
        <w:r>
          <w:rPr>
            <w:rStyle w:val="Hyperlink"/>
            <w:lang w:val="pt-PT"/>
          </w:rPr>
          <w:t>2016/2102</w:t>
        </w:r>
      </w:hyperlink>
      <w:r>
        <w:rPr>
          <w:rStyle w:val="Hyperlink"/>
          <w:lang w:val="pt-PT"/>
        </w:rPr>
        <w:t>/EU</w:t>
      </w:r>
      <w:r>
        <w:rPr>
          <w:lang w:val="pt-PT"/>
        </w:rPr>
        <w:t>.</w:t>
      </w:r>
    </w:p>
  </w:footnote>
  <w:footnote w:id="261">
    <w:p>
      <w:pPr>
        <w:pStyle w:val="FootnoteText"/>
        <w:rPr>
          <w:lang w:val="pt-PT"/>
        </w:rPr>
      </w:pPr>
      <w:r>
        <w:rPr>
          <w:rStyle w:val="FootnoteReference"/>
        </w:rPr>
        <w:footnoteRef/>
      </w:r>
      <w:r>
        <w:rPr>
          <w:lang w:val="pt-PT"/>
        </w:rPr>
        <w:t xml:space="preserve"> </w:t>
      </w:r>
      <w:r>
        <w:rPr>
          <w:lang w:val="pt-PT"/>
        </w:rPr>
        <w:tab/>
        <w:t xml:space="preserve">Directive </w:t>
      </w:r>
      <w:hyperlink r:id="rId372" w:history="1">
        <w:r>
          <w:rPr>
            <w:rStyle w:val="Hyperlink"/>
            <w:lang w:val="pt-PT"/>
          </w:rPr>
          <w:t>2017/1564</w:t>
        </w:r>
      </w:hyperlink>
      <w:r>
        <w:rPr>
          <w:rStyle w:val="Hyperlink"/>
          <w:lang w:val="pt-PT"/>
        </w:rPr>
        <w:t>/EU</w:t>
      </w:r>
      <w:r>
        <w:rPr>
          <w:lang w:val="pt-PT"/>
        </w:rPr>
        <w:t>.</w:t>
      </w:r>
    </w:p>
  </w:footnote>
  <w:footnote w:id="262">
    <w:p>
      <w:pPr>
        <w:pStyle w:val="FootnoteText"/>
        <w:rPr>
          <w:lang w:val="pt-PT"/>
        </w:rPr>
      </w:pPr>
      <w:r>
        <w:rPr>
          <w:rStyle w:val="FootnoteReference"/>
        </w:rPr>
        <w:footnoteRef/>
      </w:r>
      <w:r>
        <w:rPr>
          <w:lang w:val="pt-PT"/>
        </w:rPr>
        <w:t xml:space="preserve"> </w:t>
      </w:r>
      <w:r>
        <w:rPr>
          <w:lang w:val="pt-PT"/>
        </w:rPr>
        <w:tab/>
        <w:t xml:space="preserve">Directive </w:t>
      </w:r>
      <w:hyperlink r:id="rId373" w:history="1">
        <w:r>
          <w:rPr>
            <w:rStyle w:val="Hyperlink"/>
            <w:lang w:val="pt-PT"/>
          </w:rPr>
          <w:t>2016/680/EU</w:t>
        </w:r>
      </w:hyperlink>
      <w:r>
        <w:rPr>
          <w:lang w:val="pt-PT"/>
        </w:rPr>
        <w:t>.</w:t>
      </w:r>
    </w:p>
  </w:footnote>
  <w:footnote w:id="263">
    <w:p>
      <w:pPr>
        <w:pStyle w:val="FootnoteText"/>
        <w:rPr>
          <w:lang w:val="pt-PT"/>
        </w:rPr>
      </w:pPr>
      <w:r>
        <w:rPr>
          <w:rStyle w:val="FootnoteReference"/>
        </w:rPr>
        <w:footnoteRef/>
      </w:r>
      <w:r>
        <w:rPr>
          <w:lang w:val="pt-PT"/>
        </w:rPr>
        <w:t xml:space="preserve"> </w:t>
      </w:r>
      <w:r>
        <w:rPr>
          <w:lang w:val="pt-PT"/>
        </w:rPr>
        <w:tab/>
        <w:t xml:space="preserve">Directive </w:t>
      </w:r>
      <w:hyperlink r:id="rId374" w:history="1">
        <w:r>
          <w:rPr>
            <w:rStyle w:val="Hyperlink"/>
            <w:lang w:val="pt-PT"/>
          </w:rPr>
          <w:t>2003/4/EC</w:t>
        </w:r>
      </w:hyperlink>
      <w:r>
        <w:rPr>
          <w:lang w:val="pt-PT"/>
        </w:rPr>
        <w:t>.</w:t>
      </w:r>
    </w:p>
  </w:footnote>
  <w:footnote w:id="264">
    <w:p>
      <w:pPr>
        <w:pStyle w:val="FootnoteText"/>
        <w:rPr>
          <w:lang w:val="pt-PT"/>
        </w:rPr>
      </w:pPr>
      <w:r>
        <w:rPr>
          <w:rStyle w:val="FootnoteReference"/>
        </w:rPr>
        <w:footnoteRef/>
      </w:r>
      <w:r>
        <w:rPr>
          <w:lang w:val="pt-PT"/>
        </w:rPr>
        <w:t xml:space="preserve"> </w:t>
      </w:r>
      <w:r>
        <w:rPr>
          <w:lang w:val="pt-PT"/>
        </w:rPr>
        <w:tab/>
        <w:t xml:space="preserve">Directive </w:t>
      </w:r>
      <w:hyperlink r:id="rId375" w:history="1">
        <w:r>
          <w:rPr>
            <w:rStyle w:val="Hyperlink"/>
            <w:lang w:val="pt-PT"/>
          </w:rPr>
          <w:t>2005/29/EC</w:t>
        </w:r>
      </w:hyperlink>
      <w:r>
        <w:rPr>
          <w:lang w:val="pt-PT"/>
        </w:rPr>
        <w:t>.</w:t>
      </w:r>
    </w:p>
  </w:footnote>
  <w:footnote w:id="265">
    <w:p>
      <w:pPr>
        <w:pStyle w:val="FootnoteText"/>
        <w:rPr>
          <w:lang w:val="pt-PT"/>
        </w:rPr>
      </w:pPr>
      <w:r>
        <w:rPr>
          <w:rStyle w:val="FootnoteReference"/>
        </w:rPr>
        <w:footnoteRef/>
      </w:r>
      <w:r>
        <w:rPr>
          <w:lang w:val="pt-PT"/>
        </w:rPr>
        <w:t xml:space="preserve"> </w:t>
      </w:r>
      <w:r>
        <w:rPr>
          <w:lang w:val="pt-PT"/>
        </w:rPr>
        <w:tab/>
        <w:t xml:space="preserve">Directive </w:t>
      </w:r>
      <w:hyperlink r:id="rId376" w:history="1">
        <w:r>
          <w:rPr>
            <w:color w:val="0000FF" w:themeColor="hyperlink"/>
            <w:u w:val="single"/>
            <w:lang w:val="pt-PT"/>
          </w:rPr>
          <w:t>2009/12/EC</w:t>
        </w:r>
      </w:hyperlink>
    </w:p>
  </w:footnote>
  <w:footnote w:id="266">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377" w:history="1">
        <w:r>
          <w:rPr>
            <w:rStyle w:val="Hyperlink"/>
            <w:lang w:val="pt-PT"/>
          </w:rPr>
          <w:t>2014/17/EU</w:t>
        </w:r>
      </w:hyperlink>
      <w:r>
        <w:rPr>
          <w:rStyle w:val="Hyperlink"/>
          <w:lang w:val="pt-PT"/>
        </w:rPr>
        <w:t>,</w:t>
      </w:r>
      <w:r>
        <w:rPr>
          <w:rFonts w:eastAsia="Times New Roman"/>
          <w:lang w:val="pt-PT" w:eastAsia="en-GB"/>
        </w:rPr>
        <w:t xml:space="preserve"> </w:t>
      </w:r>
      <w:hyperlink r:id="rId378" w:history="1">
        <w:r>
          <w:rPr>
            <w:rStyle w:val="Hyperlink"/>
            <w:lang w:val="pt-PT"/>
          </w:rPr>
          <w:t>MEMO/18/1444</w:t>
        </w:r>
      </w:hyperlink>
      <w:r>
        <w:rPr>
          <w:rStyle w:val="Hyperlink"/>
          <w:lang w:val="pt-PT"/>
        </w:rPr>
        <w:t>.</w:t>
      </w:r>
    </w:p>
  </w:footnote>
  <w:footnote w:id="267">
    <w:p>
      <w:pPr>
        <w:pStyle w:val="FootnoteText"/>
        <w:rPr>
          <w:lang w:val="pt-PT"/>
        </w:rPr>
      </w:pPr>
      <w:r>
        <w:rPr>
          <w:rStyle w:val="FootnoteReference"/>
        </w:rPr>
        <w:footnoteRef/>
      </w:r>
      <w:r>
        <w:rPr>
          <w:lang w:val="pt-PT"/>
        </w:rPr>
        <w:t xml:space="preserve"> </w:t>
      </w:r>
      <w:r>
        <w:rPr>
          <w:lang w:val="pt-PT"/>
        </w:rPr>
        <w:tab/>
        <w:t xml:space="preserve">Directive </w:t>
      </w:r>
      <w:hyperlink r:id="rId379" w:history="1">
        <w:r>
          <w:rPr>
            <w:rStyle w:val="Hyperlink"/>
            <w:lang w:val="pt-PT"/>
          </w:rPr>
          <w:t>2014/40/EU</w:t>
        </w:r>
      </w:hyperlink>
      <w:r>
        <w:rPr>
          <w:lang w:val="pt-PT"/>
        </w:rPr>
        <w:t>.</w:t>
      </w:r>
    </w:p>
  </w:footnote>
  <w:footnote w:id="268">
    <w:p>
      <w:pPr>
        <w:pStyle w:val="FootnoteText"/>
        <w:rPr>
          <w:lang w:val="pt-PT"/>
        </w:rPr>
      </w:pPr>
      <w:r>
        <w:rPr>
          <w:rStyle w:val="FootnoteReference"/>
        </w:rPr>
        <w:footnoteRef/>
      </w:r>
      <w:r>
        <w:rPr>
          <w:lang w:val="pt-PT"/>
        </w:rPr>
        <w:t xml:space="preserve"> </w:t>
      </w:r>
      <w:r>
        <w:rPr>
          <w:lang w:val="pt-PT"/>
        </w:rPr>
        <w:tab/>
        <w:t xml:space="preserve">Directive </w:t>
      </w:r>
      <w:hyperlink r:id="rId380" w:history="1">
        <w:r>
          <w:rPr>
            <w:rStyle w:val="Hyperlink"/>
            <w:lang w:val="pt-PT"/>
          </w:rPr>
          <w:t>2014/36/EU</w:t>
        </w:r>
      </w:hyperlink>
      <w:r>
        <w:rPr>
          <w:lang w:val="pt-PT"/>
        </w:rPr>
        <w:t>.</w:t>
      </w:r>
    </w:p>
  </w:footnote>
  <w:footnote w:id="269">
    <w:p>
      <w:pPr>
        <w:pStyle w:val="FootnoteText"/>
        <w:rPr>
          <w:lang w:val="fr-BE"/>
        </w:rPr>
      </w:pPr>
      <w:r>
        <w:rPr>
          <w:rStyle w:val="FootnoteReference"/>
        </w:rPr>
        <w:footnoteRef/>
      </w:r>
      <w:r>
        <w:rPr>
          <w:lang w:val="fr-BE"/>
        </w:rPr>
        <w:t xml:space="preserve"> </w:t>
      </w:r>
      <w:r>
        <w:rPr>
          <w:lang w:val="fr-BE"/>
        </w:rPr>
        <w:tab/>
        <w:t xml:space="preserve">Directive </w:t>
      </w:r>
      <w:hyperlink r:id="rId381" w:history="1">
        <w:r>
          <w:rPr>
            <w:rStyle w:val="Hyperlink"/>
            <w:lang w:val="fr-BE"/>
          </w:rPr>
          <w:t>2014/66/EU</w:t>
        </w:r>
      </w:hyperlink>
      <w:r>
        <w:rPr>
          <w:lang w:val="fr-BE"/>
        </w:rPr>
        <w:t>.</w:t>
      </w:r>
    </w:p>
  </w:footnote>
  <w:footnote w:id="270">
    <w:p>
      <w:pPr>
        <w:pStyle w:val="FootnoteText"/>
        <w:jc w:val="both"/>
        <w:rPr>
          <w:lang w:val="en-IE"/>
        </w:rPr>
      </w:pPr>
      <w:r>
        <w:rPr>
          <w:rStyle w:val="FootnoteReference"/>
        </w:rPr>
        <w:footnoteRef/>
      </w:r>
      <w:r>
        <w:t xml:space="preserve"> </w:t>
      </w:r>
      <w:r>
        <w:rPr>
          <w:lang w:val="en-IE"/>
        </w:rPr>
        <w:tab/>
      </w:r>
      <w:r>
        <w:t xml:space="preserve">Convention for the Unification of Certain Rules for International Carriage by Air, concluded at Montreal on 28 May 1999 and approved on behalf of the European Community by Council Decision </w:t>
      </w:r>
      <w:hyperlink r:id="rId382">
        <w:r>
          <w:rPr>
            <w:rStyle w:val="LienInternet"/>
          </w:rPr>
          <w:t>2001/539/EC</w:t>
        </w:r>
      </w:hyperlink>
      <w:r>
        <w:t xml:space="preserve">, Finnair Oyj v Keskinäinen Vakuutusyhtiö Fennia, </w:t>
      </w:r>
      <w:hyperlink r:id="rId383">
        <w:r>
          <w:rPr>
            <w:rStyle w:val="LienInternet"/>
          </w:rPr>
          <w:t>C-258/16</w:t>
        </w:r>
      </w:hyperlink>
      <w:r>
        <w:t>.</w:t>
      </w:r>
    </w:p>
  </w:footnote>
  <w:footnote w:id="271">
    <w:p>
      <w:pPr>
        <w:pStyle w:val="FootnoteText"/>
        <w:rPr>
          <w:lang w:val="fi-FI"/>
        </w:rPr>
      </w:pPr>
      <w:r>
        <w:rPr>
          <w:rStyle w:val="FootnoteReference"/>
        </w:rPr>
        <w:footnoteRef/>
      </w:r>
      <w:r>
        <w:rPr>
          <w:lang w:val="fi-FI"/>
        </w:rPr>
        <w:t xml:space="preserve"> </w:t>
      </w:r>
      <w:r>
        <w:rPr>
          <w:lang w:val="fi-FI"/>
        </w:rPr>
        <w:tab/>
      </w:r>
      <w:r>
        <w:rPr>
          <w:rStyle w:val="affairetitle"/>
          <w:lang w:val="fi-FI"/>
        </w:rPr>
        <w:t>Raugevicius,</w:t>
      </w:r>
      <w:r>
        <w:rPr>
          <w:lang w:val="fi-FI"/>
        </w:rPr>
        <w:t xml:space="preserve"> </w:t>
      </w:r>
      <w:hyperlink r:id="rId384" w:history="1">
        <w:r>
          <w:rPr>
            <w:rStyle w:val="Hyperlink"/>
            <w:lang w:val="fi-FI"/>
          </w:rPr>
          <w:t>C</w:t>
        </w:r>
        <w:r>
          <w:rPr>
            <w:rStyle w:val="Hyperlink"/>
            <w:rFonts w:ascii="Cambria Math" w:hAnsi="Cambria Math" w:cs="Cambria Math"/>
            <w:lang w:val="fi-FI"/>
          </w:rPr>
          <w:t>‑</w:t>
        </w:r>
        <w:r>
          <w:rPr>
            <w:rStyle w:val="Hyperlink"/>
            <w:lang w:val="fi-FI"/>
          </w:rPr>
          <w:t>247/17</w:t>
        </w:r>
      </w:hyperlink>
      <w:r>
        <w:rPr>
          <w:rStyle w:val="affairetitle"/>
          <w:lang w:val="fi-FI"/>
        </w:rPr>
        <w:t>.</w:t>
      </w:r>
    </w:p>
  </w:footnote>
  <w:footnote w:id="272">
    <w:p>
      <w:pPr>
        <w:pStyle w:val="FootnoteText"/>
        <w:rPr>
          <w:lang w:val="fi-FI"/>
        </w:rPr>
      </w:pPr>
      <w:r>
        <w:rPr>
          <w:rStyle w:val="FootnoteReference"/>
        </w:rPr>
        <w:footnoteRef/>
      </w:r>
      <w:r>
        <w:rPr>
          <w:lang w:val="fi-FI"/>
        </w:rPr>
        <w:t xml:space="preserve"> </w:t>
      </w:r>
      <w:r>
        <w:rPr>
          <w:lang w:val="fi-FI"/>
        </w:rPr>
        <w:tab/>
        <w:t xml:space="preserve">E, </w:t>
      </w:r>
      <w:hyperlink r:id="rId385" w:history="1">
        <w:r>
          <w:rPr>
            <w:rStyle w:val="Hyperlink"/>
            <w:lang w:val="fi-FI"/>
          </w:rPr>
          <w:t>C-240/17</w:t>
        </w:r>
      </w:hyperlink>
      <w:r>
        <w:rPr>
          <w:rStyle w:val="Hyperlink"/>
          <w:lang w:val="fi-FI"/>
        </w:rPr>
        <w:t>.</w:t>
      </w:r>
    </w:p>
  </w:footnote>
  <w:footnote w:id="273">
    <w:p>
      <w:pPr>
        <w:pStyle w:val="FootnoteText"/>
        <w:rPr>
          <w:lang w:val="pt-PT"/>
        </w:rPr>
      </w:pPr>
      <w:r>
        <w:rPr>
          <w:rStyle w:val="FootnoteReference"/>
        </w:rPr>
        <w:footnoteRef/>
      </w:r>
      <w:r>
        <w:rPr>
          <w:lang w:val="pt-PT"/>
        </w:rPr>
        <w:t xml:space="preserve"> </w:t>
      </w:r>
      <w:r>
        <w:rPr>
          <w:lang w:val="pt-PT"/>
        </w:rPr>
        <w:tab/>
      </w:r>
      <w:r>
        <w:rPr>
          <w:rStyle w:val="affairetitle"/>
          <w:lang w:val="pt-PT"/>
        </w:rPr>
        <w:t>Jehovan todistajat,</w:t>
      </w:r>
      <w:r>
        <w:rPr>
          <w:lang w:val="pt-PT"/>
        </w:rPr>
        <w:t xml:space="preserve"> </w:t>
      </w:r>
      <w:hyperlink r:id="rId386" w:history="1">
        <w:r>
          <w:rPr>
            <w:rStyle w:val="Hyperlink"/>
            <w:lang w:val="pt-PT"/>
          </w:rPr>
          <w:t>C-25/17</w:t>
        </w:r>
      </w:hyperlink>
      <w:r>
        <w:rPr>
          <w:rStyle w:val="affairetitle"/>
          <w:lang w:val="pt-PT"/>
        </w:rPr>
        <w:t>.</w:t>
      </w:r>
    </w:p>
  </w:footnote>
  <w:footnote w:id="274">
    <w:p>
      <w:pPr>
        <w:pStyle w:val="FootnoteText"/>
        <w:rPr>
          <w:lang w:val="pt-PT"/>
        </w:rPr>
      </w:pPr>
      <w:r>
        <w:rPr>
          <w:rStyle w:val="FootnoteReference"/>
        </w:rPr>
        <w:footnoteRef/>
      </w:r>
      <w:r>
        <w:rPr>
          <w:lang w:val="pt-PT"/>
        </w:rPr>
        <w:t xml:space="preserve"> </w:t>
      </w:r>
      <w:r>
        <w:rPr>
          <w:lang w:val="pt-PT"/>
        </w:rPr>
        <w:tab/>
        <w:t xml:space="preserve">Directive </w:t>
      </w:r>
      <w:hyperlink r:id="rId387" w:history="1">
        <w:r>
          <w:rPr>
            <w:rStyle w:val="Hyperlink"/>
            <w:lang w:val="pt-PT"/>
          </w:rPr>
          <w:t>91/271/EEC </w:t>
        </w:r>
      </w:hyperlink>
      <w:r>
        <w:rPr>
          <w:lang w:val="pt-PT"/>
        </w:rPr>
        <w:t xml:space="preserve">; </w:t>
      </w:r>
      <w:hyperlink r:id="rId388" w:history="1">
        <w:r>
          <w:rPr>
            <w:rStyle w:val="Hyperlink"/>
            <w:lang w:val="pt-PT"/>
          </w:rPr>
          <w:t>MEMO/18/6247</w:t>
        </w:r>
      </w:hyperlink>
      <w:r>
        <w:rPr>
          <w:rStyle w:val="Hyperlink"/>
          <w:lang w:val="pt-PT"/>
        </w:rPr>
        <w:t>.</w:t>
      </w:r>
    </w:p>
  </w:footnote>
  <w:footnote w:id="275">
    <w:p>
      <w:pPr>
        <w:pStyle w:val="FootnoteText"/>
        <w:rPr>
          <w:lang w:val="pt-PT"/>
        </w:rPr>
      </w:pPr>
      <w:r>
        <w:rPr>
          <w:rStyle w:val="FootnoteReference"/>
        </w:rPr>
        <w:footnoteRef/>
      </w:r>
      <w:r>
        <w:rPr>
          <w:lang w:val="pt-PT"/>
        </w:rPr>
        <w:t xml:space="preserve"> </w:t>
      </w:r>
      <w:r>
        <w:rPr>
          <w:lang w:val="pt-PT"/>
        </w:rPr>
        <w:tab/>
        <w:t xml:space="preserve">Directive </w:t>
      </w:r>
      <w:hyperlink r:id="rId389" w:history="1">
        <w:r>
          <w:rPr>
            <w:rStyle w:val="Hyperlink"/>
            <w:lang w:val="pt-PT"/>
          </w:rPr>
          <w:t>2000/60/EC</w:t>
        </w:r>
      </w:hyperlink>
      <w:r>
        <w:rPr>
          <w:lang w:val="pt-PT"/>
        </w:rPr>
        <w:t xml:space="preserve">; </w:t>
      </w:r>
      <w:hyperlink r:id="rId390" w:history="1">
        <w:r>
          <w:rPr>
            <w:rStyle w:val="Hyperlink"/>
            <w:lang w:val="pt-PT"/>
          </w:rPr>
          <w:t>MEMO/18/349</w:t>
        </w:r>
      </w:hyperlink>
      <w:r>
        <w:rPr>
          <w:lang w:val="pt-PT"/>
        </w:rPr>
        <w:t>.</w:t>
      </w:r>
    </w:p>
  </w:footnote>
  <w:footnote w:id="276">
    <w:p>
      <w:pPr>
        <w:pStyle w:val="FootnoteText"/>
        <w:rPr>
          <w:lang w:val="pt-PT"/>
        </w:rPr>
      </w:pPr>
      <w:r>
        <w:rPr>
          <w:rStyle w:val="FootnoteReference"/>
        </w:rPr>
        <w:footnoteRef/>
      </w:r>
      <w:r>
        <w:rPr>
          <w:lang w:val="pt-PT"/>
        </w:rPr>
        <w:t xml:space="preserve"> </w:t>
      </w:r>
      <w:r>
        <w:rPr>
          <w:lang w:val="pt-PT"/>
        </w:rPr>
        <w:tab/>
        <w:t xml:space="preserve">Directive </w:t>
      </w:r>
      <w:hyperlink r:id="rId391" w:history="1">
        <w:r>
          <w:rPr>
            <w:rStyle w:val="Hyperlink"/>
            <w:lang w:val="pt-PT"/>
          </w:rPr>
          <w:t>2004/35/EC</w:t>
        </w:r>
      </w:hyperlink>
      <w:r>
        <w:rPr>
          <w:lang w:val="pt-PT"/>
        </w:rPr>
        <w:t xml:space="preserve">, </w:t>
      </w:r>
      <w:hyperlink r:id="rId392" w:history="1">
        <w:r>
          <w:rPr>
            <w:rStyle w:val="Hyperlink"/>
            <w:lang w:val="pt-PT"/>
          </w:rPr>
          <w:t>MEMO/18/4486</w:t>
        </w:r>
      </w:hyperlink>
      <w:r>
        <w:rPr>
          <w:rStyle w:val="Hyperlink"/>
          <w:lang w:val="pt-PT"/>
        </w:rPr>
        <w:t>.</w:t>
      </w:r>
    </w:p>
  </w:footnote>
  <w:footnote w:id="277">
    <w:p>
      <w:pPr>
        <w:pStyle w:val="FootnoteText"/>
        <w:rPr>
          <w:lang w:val="pt-PT"/>
        </w:rPr>
      </w:pPr>
      <w:r>
        <w:rPr>
          <w:rStyle w:val="FootnoteReference"/>
        </w:rPr>
        <w:footnoteRef/>
      </w:r>
      <w:r>
        <w:rPr>
          <w:lang w:val="pt-PT"/>
        </w:rPr>
        <w:t xml:space="preserve"> </w:t>
      </w:r>
      <w:r>
        <w:rPr>
          <w:lang w:val="pt-PT"/>
        </w:rPr>
        <w:tab/>
        <w:t xml:space="preserve">Directive </w:t>
      </w:r>
      <w:hyperlink r:id="rId393" w:history="1">
        <w:r>
          <w:rPr>
            <w:rStyle w:val="Hyperlink"/>
            <w:lang w:val="pt-PT"/>
          </w:rPr>
          <w:t>2005/29/EU</w:t>
        </w:r>
      </w:hyperlink>
      <w:r>
        <w:rPr>
          <w:lang w:val="pt-PT"/>
        </w:rPr>
        <w:t>.</w:t>
      </w:r>
    </w:p>
  </w:footnote>
  <w:footnote w:id="278">
    <w:p>
      <w:pPr>
        <w:pStyle w:val="FootnoteText"/>
        <w:rPr>
          <w:lang w:val="pt-PT"/>
        </w:rPr>
      </w:pPr>
      <w:r>
        <w:rPr>
          <w:rStyle w:val="FootnoteReference"/>
        </w:rPr>
        <w:footnoteRef/>
      </w:r>
      <w:r>
        <w:rPr>
          <w:lang w:val="pt-PT"/>
        </w:rPr>
        <w:t xml:space="preserve"> </w:t>
      </w:r>
      <w:r>
        <w:rPr>
          <w:lang w:val="pt-PT"/>
        </w:rPr>
        <w:tab/>
        <w:t xml:space="preserve">Directive </w:t>
      </w:r>
      <w:hyperlink r:id="rId394" w:history="1">
        <w:r>
          <w:rPr>
            <w:rStyle w:val="Hyperlink"/>
            <w:lang w:val="pt-PT"/>
          </w:rPr>
          <w:t>2005/36/EC</w:t>
        </w:r>
      </w:hyperlink>
      <w:r>
        <w:rPr>
          <w:lang w:val="pt-PT"/>
        </w:rPr>
        <w:t xml:space="preserve">, </w:t>
      </w:r>
      <w:hyperlink r:id="rId395" w:history="1">
        <w:r>
          <w:rPr>
            <w:rStyle w:val="Hyperlink"/>
            <w:lang w:val="pt-PT"/>
          </w:rPr>
          <w:t>MEMO/18/4486</w:t>
        </w:r>
      </w:hyperlink>
      <w:r>
        <w:rPr>
          <w:rStyle w:val="Hyperlink"/>
          <w:lang w:val="pt-PT"/>
        </w:rPr>
        <w:t>.</w:t>
      </w:r>
    </w:p>
  </w:footnote>
  <w:footnote w:id="279">
    <w:p>
      <w:pPr>
        <w:pStyle w:val="FootnoteText"/>
        <w:rPr>
          <w:lang w:val="pt-PT"/>
        </w:rPr>
      </w:pPr>
      <w:r>
        <w:rPr>
          <w:rStyle w:val="FootnoteReference"/>
        </w:rPr>
        <w:footnoteRef/>
      </w:r>
      <w:r>
        <w:rPr>
          <w:lang w:val="pt-PT"/>
        </w:rPr>
        <w:t xml:space="preserve"> </w:t>
      </w:r>
      <w:r>
        <w:rPr>
          <w:lang w:val="pt-PT"/>
        </w:rPr>
        <w:tab/>
        <w:t xml:space="preserve">Directive </w:t>
      </w:r>
      <w:hyperlink r:id="rId396" w:history="1">
        <w:r>
          <w:rPr>
            <w:rStyle w:val="Hyperlink"/>
            <w:lang w:val="pt-PT"/>
          </w:rPr>
          <w:t>2012/27/EU</w:t>
        </w:r>
      </w:hyperlink>
      <w:r>
        <w:rPr>
          <w:lang w:val="pt-PT"/>
        </w:rPr>
        <w:t xml:space="preserve">, </w:t>
      </w:r>
      <w:hyperlink r:id="rId397" w:history="1">
        <w:r>
          <w:rPr>
            <w:rStyle w:val="Hyperlink"/>
            <w:lang w:val="pt-PT"/>
          </w:rPr>
          <w:t>MEMO/18/4486</w:t>
        </w:r>
      </w:hyperlink>
      <w:r>
        <w:rPr>
          <w:rStyle w:val="Hyperlink"/>
          <w:lang w:val="pt-PT"/>
        </w:rPr>
        <w:t>.</w:t>
      </w:r>
    </w:p>
  </w:footnote>
  <w:footnote w:id="280">
    <w:p>
      <w:pPr>
        <w:pStyle w:val="FootnoteText"/>
        <w:rPr>
          <w:lang w:val="fr-BE"/>
        </w:rPr>
      </w:pPr>
      <w:r>
        <w:rPr>
          <w:rStyle w:val="FootnoteReference"/>
        </w:rPr>
        <w:footnoteRef/>
      </w:r>
      <w:r>
        <w:rPr>
          <w:lang w:val="fr-BE"/>
        </w:rPr>
        <w:t xml:space="preserve"> </w:t>
      </w:r>
      <w:r>
        <w:rPr>
          <w:lang w:val="fr-BE"/>
        </w:rPr>
        <w:tab/>
        <w:t xml:space="preserve">Directive </w:t>
      </w:r>
      <w:hyperlink r:id="rId398" w:history="1">
        <w:r>
          <w:rPr>
            <w:rStyle w:val="Hyperlink"/>
            <w:lang w:val="fr-BE"/>
          </w:rPr>
          <w:t>2015/2193/EU</w:t>
        </w:r>
      </w:hyperlink>
      <w:r>
        <w:rPr>
          <w:lang w:val="fr-BE"/>
        </w:rPr>
        <w:t>.</w:t>
      </w:r>
    </w:p>
  </w:footnote>
  <w:footnote w:id="281">
    <w:p>
      <w:pPr>
        <w:pStyle w:val="FootnoteText"/>
        <w:rPr>
          <w:lang w:val="fr-BE"/>
        </w:rPr>
      </w:pPr>
      <w:r>
        <w:rPr>
          <w:rStyle w:val="FootnoteReference"/>
        </w:rPr>
        <w:footnoteRef/>
      </w:r>
      <w:r>
        <w:rPr>
          <w:lang w:val="fr-BE"/>
        </w:rPr>
        <w:t xml:space="preserve"> </w:t>
      </w:r>
      <w:r>
        <w:rPr>
          <w:lang w:val="fr-BE"/>
        </w:rPr>
        <w:tab/>
        <w:t xml:space="preserve">Directive </w:t>
      </w:r>
      <w:hyperlink r:id="rId399" w:history="1">
        <w:r>
          <w:rPr>
            <w:rStyle w:val="Hyperlink"/>
            <w:lang w:val="fr-BE"/>
          </w:rPr>
          <w:t>2016/1214</w:t>
        </w:r>
      </w:hyperlink>
      <w:r>
        <w:rPr>
          <w:rStyle w:val="Hyperlink"/>
          <w:lang w:val="fr-BE"/>
        </w:rPr>
        <w:t>/EU</w:t>
      </w:r>
      <w:r>
        <w:rPr>
          <w:lang w:val="fr-BE"/>
        </w:rPr>
        <w:t>.</w:t>
      </w:r>
    </w:p>
  </w:footnote>
  <w:footnote w:id="282">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400" w:history="1">
        <w:r>
          <w:rPr>
            <w:rStyle w:val="Hyperlink"/>
            <w:lang w:val="fr-BE"/>
          </w:rPr>
          <w:t>2017/1279</w:t>
        </w:r>
      </w:hyperlink>
      <w:r>
        <w:rPr>
          <w:rStyle w:val="Hyperlink"/>
          <w:lang w:val="fr-BE"/>
        </w:rPr>
        <w:t>/EU</w:t>
      </w:r>
      <w:r>
        <w:rPr>
          <w:lang w:val="fr-BE"/>
        </w:rPr>
        <w:t>.</w:t>
      </w:r>
    </w:p>
  </w:footnote>
  <w:footnote w:id="283">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401" w:history="1">
        <w:r>
          <w:rPr>
            <w:rStyle w:val="Hyperlink"/>
            <w:lang w:val="pt-PT"/>
          </w:rPr>
          <w:t>2015/2366/EU</w:t>
        </w:r>
      </w:hyperlink>
      <w:r>
        <w:rPr>
          <w:lang w:val="pt-PT"/>
        </w:rPr>
        <w:t>.</w:t>
      </w:r>
    </w:p>
  </w:footnote>
  <w:footnote w:id="284">
    <w:p>
      <w:pPr>
        <w:pStyle w:val="FootnoteText"/>
        <w:rPr>
          <w:lang w:val="pt-PT"/>
        </w:rPr>
      </w:pPr>
      <w:r>
        <w:rPr>
          <w:rStyle w:val="FootnoteReference"/>
        </w:rPr>
        <w:footnoteRef/>
      </w:r>
      <w:r>
        <w:rPr>
          <w:lang w:val="pt-PT"/>
        </w:rPr>
        <w:t xml:space="preserve"> </w:t>
      </w:r>
      <w:r>
        <w:rPr>
          <w:lang w:val="pt-PT"/>
        </w:rPr>
        <w:tab/>
      </w:r>
      <w:r>
        <w:rPr>
          <w:rStyle w:val="Hyperlink"/>
          <w:color w:val="auto"/>
          <w:u w:val="none"/>
          <w:bdr w:val="none" w:sz="0" w:space="0" w:color="auto" w:frame="1"/>
          <w:lang w:val="pt-PT"/>
        </w:rPr>
        <w:t xml:space="preserve">Directive </w:t>
      </w:r>
      <w:hyperlink r:id="rId402" w:history="1">
        <w:r>
          <w:rPr>
            <w:rStyle w:val="Hyperlink"/>
            <w:bdr w:val="none" w:sz="0" w:space="0" w:color="auto" w:frame="1"/>
            <w:lang w:val="pt-PT"/>
          </w:rPr>
          <w:t>2014/65/EU</w:t>
        </w:r>
      </w:hyperlink>
      <w:r>
        <w:rPr>
          <w:lang w:val="pt-PT"/>
        </w:rPr>
        <w:t xml:space="preserve">; </w:t>
      </w:r>
      <w:hyperlink r:id="rId403" w:history="1">
        <w:r>
          <w:rPr>
            <w:rStyle w:val="Hyperlink"/>
            <w:lang w:val="pt-PT"/>
          </w:rPr>
          <w:t>MEMO/18/349</w:t>
        </w:r>
      </w:hyperlink>
      <w:r>
        <w:rPr>
          <w:lang w:val="pt-PT"/>
        </w:rPr>
        <w:t>.</w:t>
      </w:r>
    </w:p>
  </w:footnote>
  <w:footnote w:id="285">
    <w:p>
      <w:pPr>
        <w:pStyle w:val="FootnoteText"/>
        <w:rPr>
          <w:lang w:val="pt-PT"/>
        </w:rPr>
      </w:pPr>
      <w:r>
        <w:rPr>
          <w:rStyle w:val="FootnoteReference"/>
        </w:rPr>
        <w:footnoteRef/>
      </w:r>
      <w:r>
        <w:rPr>
          <w:lang w:val="pt-PT"/>
        </w:rPr>
        <w:t xml:space="preserve"> </w:t>
      </w:r>
      <w:r>
        <w:rPr>
          <w:lang w:val="pt-PT"/>
        </w:rPr>
        <w:tab/>
        <w:t xml:space="preserve">Directive </w:t>
      </w:r>
      <w:hyperlink r:id="rId404" w:history="1">
        <w:r>
          <w:rPr>
            <w:rStyle w:val="Hyperlink"/>
            <w:lang w:val="pt-PT"/>
          </w:rPr>
          <w:t>2013/59/Euratom</w:t>
        </w:r>
      </w:hyperlink>
      <w:r>
        <w:rPr>
          <w:lang w:val="pt-PT"/>
        </w:rPr>
        <w:t xml:space="preserve">, </w:t>
      </w:r>
      <w:hyperlink r:id="rId405" w:history="1">
        <w:r>
          <w:rPr>
            <w:rStyle w:val="Hyperlink"/>
            <w:lang w:val="pt-PT"/>
          </w:rPr>
          <w:t>MEMO/18/3446</w:t>
        </w:r>
      </w:hyperlink>
      <w:r>
        <w:rPr>
          <w:rStyle w:val="Hyperlink"/>
          <w:lang w:val="pt-PT"/>
        </w:rPr>
        <w:t>.</w:t>
      </w:r>
    </w:p>
  </w:footnote>
  <w:footnote w:id="286">
    <w:p>
      <w:pPr>
        <w:pStyle w:val="FootnoteText"/>
        <w:rPr>
          <w:lang w:val="pt-PT"/>
        </w:rPr>
      </w:pPr>
      <w:r>
        <w:rPr>
          <w:rStyle w:val="FootnoteReference"/>
        </w:rPr>
        <w:footnoteRef/>
      </w:r>
      <w:r>
        <w:rPr>
          <w:lang w:val="pt-PT"/>
        </w:rPr>
        <w:t xml:space="preserve"> </w:t>
      </w:r>
      <w:r>
        <w:rPr>
          <w:lang w:val="pt-PT"/>
        </w:rPr>
        <w:tab/>
        <w:t xml:space="preserve">Directive </w:t>
      </w:r>
      <w:hyperlink r:id="rId406" w:history="1">
        <w:r>
          <w:rPr>
            <w:rStyle w:val="Hyperlink"/>
            <w:lang w:val="pt-PT"/>
          </w:rPr>
          <w:t>2016/2102/EU</w:t>
        </w:r>
      </w:hyperlink>
      <w:r>
        <w:rPr>
          <w:lang w:val="pt-PT"/>
        </w:rPr>
        <w:t>.</w:t>
      </w:r>
    </w:p>
  </w:footnote>
  <w:footnote w:id="287">
    <w:p>
      <w:pPr>
        <w:pStyle w:val="FootnoteText"/>
        <w:rPr>
          <w:lang w:val="pt-PT"/>
        </w:rPr>
      </w:pPr>
      <w:r>
        <w:rPr>
          <w:rStyle w:val="FootnoteReference"/>
        </w:rPr>
        <w:footnoteRef/>
      </w:r>
      <w:r>
        <w:rPr>
          <w:lang w:val="pt-PT"/>
        </w:rPr>
        <w:t xml:space="preserve"> </w:t>
      </w:r>
      <w:r>
        <w:rPr>
          <w:lang w:val="pt-PT"/>
        </w:rPr>
        <w:tab/>
        <w:t xml:space="preserve">Directive </w:t>
      </w:r>
      <w:hyperlink r:id="rId407" w:history="1">
        <w:r>
          <w:rPr>
            <w:rStyle w:val="Hyperlink"/>
            <w:lang w:val="pt-PT"/>
          </w:rPr>
          <w:t>2015/2302/EU</w:t>
        </w:r>
      </w:hyperlink>
      <w:r>
        <w:rPr>
          <w:lang w:val="pt-PT"/>
        </w:rPr>
        <w:t>.</w:t>
      </w:r>
    </w:p>
  </w:footnote>
  <w:footnote w:id="288">
    <w:p>
      <w:pPr>
        <w:pStyle w:val="FootnoteText"/>
        <w:rPr>
          <w:lang w:val="pt-PT"/>
        </w:rPr>
      </w:pPr>
      <w:r>
        <w:rPr>
          <w:rStyle w:val="FootnoteReference"/>
        </w:rPr>
        <w:footnoteRef/>
      </w:r>
      <w:r>
        <w:rPr>
          <w:lang w:val="pt-PT"/>
        </w:rPr>
        <w:t xml:space="preserve"> </w:t>
      </w:r>
      <w:r>
        <w:rPr>
          <w:lang w:val="pt-PT"/>
        </w:rPr>
        <w:tab/>
        <w:t xml:space="preserve">Directive </w:t>
      </w:r>
      <w:hyperlink r:id="rId408" w:history="1">
        <w:r>
          <w:rPr>
            <w:rStyle w:val="Hyperlink"/>
            <w:lang w:val="pt-PT"/>
          </w:rPr>
          <w:t>2016/343/EU</w:t>
        </w:r>
      </w:hyperlink>
      <w:r>
        <w:rPr>
          <w:lang w:val="pt-PT"/>
        </w:rPr>
        <w:t>.</w:t>
      </w:r>
    </w:p>
  </w:footnote>
  <w:footnote w:id="289">
    <w:p>
      <w:pPr>
        <w:pStyle w:val="FootnoteText"/>
        <w:rPr>
          <w:lang w:val="pt-PT"/>
        </w:rPr>
      </w:pPr>
      <w:r>
        <w:rPr>
          <w:rStyle w:val="FootnoteReference"/>
        </w:rPr>
        <w:footnoteRef/>
      </w:r>
      <w:r>
        <w:rPr>
          <w:lang w:val="pt-PT"/>
        </w:rPr>
        <w:t xml:space="preserve"> </w:t>
      </w:r>
      <w:r>
        <w:rPr>
          <w:lang w:val="pt-PT"/>
        </w:rPr>
        <w:tab/>
        <w:t xml:space="preserve">Directive </w:t>
      </w:r>
      <w:hyperlink r:id="rId409" w:history="1">
        <w:r>
          <w:rPr>
            <w:rStyle w:val="Hyperlink"/>
            <w:lang w:val="pt-PT"/>
          </w:rPr>
          <w:t>2014/52/EU</w:t>
        </w:r>
      </w:hyperlink>
      <w:r>
        <w:rPr>
          <w:lang w:val="pt-PT"/>
        </w:rPr>
        <w:t>.</w:t>
      </w:r>
    </w:p>
  </w:footnote>
  <w:footnote w:id="290">
    <w:p>
      <w:pPr>
        <w:pStyle w:val="FootnoteText"/>
        <w:rPr>
          <w:lang w:val="pt-PT"/>
        </w:rPr>
      </w:pPr>
      <w:r>
        <w:rPr>
          <w:rStyle w:val="FootnoteReference"/>
        </w:rPr>
        <w:footnoteRef/>
      </w:r>
      <w:r>
        <w:rPr>
          <w:lang w:val="pt-PT"/>
        </w:rPr>
        <w:t xml:space="preserve"> </w:t>
      </w:r>
      <w:r>
        <w:rPr>
          <w:lang w:val="pt-PT"/>
        </w:rPr>
        <w:tab/>
        <w:t xml:space="preserve">Directive </w:t>
      </w:r>
      <w:hyperlink r:id="rId410" w:history="1">
        <w:r>
          <w:rPr>
            <w:rStyle w:val="Hyperlink"/>
            <w:lang w:val="pt-PT"/>
          </w:rPr>
          <w:t>2014/66/EU</w:t>
        </w:r>
      </w:hyperlink>
      <w:r>
        <w:rPr>
          <w:lang w:val="pt-PT"/>
        </w:rPr>
        <w:t>.</w:t>
      </w:r>
    </w:p>
  </w:footnote>
  <w:footnote w:id="291">
    <w:p>
      <w:pPr>
        <w:pStyle w:val="FootnoteText"/>
        <w:rPr>
          <w:lang w:val="pt-PT"/>
        </w:rPr>
      </w:pPr>
      <w:r>
        <w:rPr>
          <w:rStyle w:val="FootnoteReference"/>
        </w:rPr>
        <w:footnoteRef/>
      </w:r>
      <w:r>
        <w:rPr>
          <w:lang w:val="pt-PT"/>
        </w:rPr>
        <w:t xml:space="preserve"> </w:t>
      </w:r>
      <w:r>
        <w:rPr>
          <w:lang w:val="pt-PT"/>
        </w:rPr>
        <w:tab/>
        <w:t xml:space="preserve">Directive </w:t>
      </w:r>
      <w:hyperlink r:id="rId411" w:history="1">
        <w:r>
          <w:rPr>
            <w:rStyle w:val="Hyperlink"/>
            <w:lang w:val="pt-PT"/>
          </w:rPr>
          <w:t>652/2015/EC</w:t>
        </w:r>
      </w:hyperlink>
      <w:r>
        <w:rPr>
          <w:rStyle w:val="Hyperlink"/>
          <w:lang w:val="pt-PT"/>
        </w:rPr>
        <w:t>.</w:t>
      </w:r>
    </w:p>
  </w:footnote>
  <w:footnote w:id="292">
    <w:p>
      <w:pPr>
        <w:pStyle w:val="FootnoteText"/>
        <w:rPr>
          <w:lang w:val="pt-PT"/>
        </w:rPr>
      </w:pPr>
      <w:r>
        <w:rPr>
          <w:rStyle w:val="FootnoteReference"/>
        </w:rPr>
        <w:footnoteRef/>
      </w:r>
      <w:r>
        <w:rPr>
          <w:lang w:val="pt-PT"/>
        </w:rPr>
        <w:t xml:space="preserve"> </w:t>
      </w:r>
      <w:r>
        <w:rPr>
          <w:lang w:val="pt-PT"/>
        </w:rPr>
        <w:tab/>
        <w:t xml:space="preserve">Directive </w:t>
      </w:r>
      <w:hyperlink r:id="rId412" w:history="1">
        <w:r>
          <w:rPr>
            <w:rStyle w:val="Hyperlink"/>
            <w:lang w:val="pt-PT"/>
          </w:rPr>
          <w:t>2016/1214</w:t>
        </w:r>
      </w:hyperlink>
      <w:r>
        <w:rPr>
          <w:rStyle w:val="Hyperlink"/>
          <w:lang w:val="pt-PT"/>
        </w:rPr>
        <w:t>/EU</w:t>
      </w:r>
      <w:r>
        <w:rPr>
          <w:lang w:val="pt-PT"/>
        </w:rPr>
        <w:t>.</w:t>
      </w:r>
    </w:p>
  </w:footnote>
  <w:footnote w:id="293">
    <w:p>
      <w:pPr>
        <w:pStyle w:val="FootnoteText"/>
        <w:rPr>
          <w:lang w:val="pt-PT"/>
        </w:rPr>
      </w:pPr>
      <w:r>
        <w:rPr>
          <w:rStyle w:val="FootnoteReference"/>
        </w:rPr>
        <w:footnoteRef/>
      </w:r>
      <w:r>
        <w:rPr>
          <w:lang w:val="pt-PT"/>
        </w:rPr>
        <w:t xml:space="preserve"> </w:t>
      </w:r>
      <w:r>
        <w:rPr>
          <w:lang w:val="pt-PT"/>
        </w:rPr>
        <w:tab/>
        <w:t xml:space="preserve">Commission Implementing Directive </w:t>
      </w:r>
      <w:hyperlink r:id="rId413" w:history="1">
        <w:r>
          <w:rPr>
            <w:rStyle w:val="Hyperlink"/>
            <w:lang w:val="pt-PT"/>
          </w:rPr>
          <w:t>2017/1279</w:t>
        </w:r>
      </w:hyperlink>
      <w:r>
        <w:rPr>
          <w:rStyle w:val="Hyperlink"/>
          <w:lang w:val="pt-PT"/>
        </w:rPr>
        <w:t>/EU</w:t>
      </w:r>
      <w:r>
        <w:rPr>
          <w:lang w:val="pt-PT"/>
        </w:rPr>
        <w:t>.</w:t>
      </w:r>
    </w:p>
  </w:footnote>
  <w:footnote w:id="294">
    <w:p>
      <w:pPr>
        <w:pStyle w:val="FootnoteText"/>
        <w:rPr>
          <w:lang w:val="pt-PT"/>
        </w:rPr>
      </w:pPr>
      <w:r>
        <w:rPr>
          <w:rStyle w:val="FootnoteReference"/>
        </w:rPr>
        <w:footnoteRef/>
      </w:r>
      <w:r>
        <w:rPr>
          <w:lang w:val="pt-PT"/>
        </w:rPr>
        <w:t xml:space="preserve"> </w:t>
      </w:r>
      <w:r>
        <w:rPr>
          <w:lang w:val="pt-PT"/>
        </w:rPr>
        <w:tab/>
        <w:t xml:space="preserve">Directive </w:t>
      </w:r>
      <w:hyperlink r:id="rId414" w:history="1">
        <w:r>
          <w:rPr>
            <w:rStyle w:val="Hyperlink"/>
            <w:lang w:val="pt-PT"/>
          </w:rPr>
          <w:t>2014/36/EU</w:t>
        </w:r>
      </w:hyperlink>
      <w:r>
        <w:rPr>
          <w:lang w:val="pt-PT"/>
        </w:rPr>
        <w:t>.</w:t>
      </w:r>
    </w:p>
  </w:footnote>
  <w:footnote w:id="295">
    <w:p>
      <w:pPr>
        <w:pStyle w:val="FootnoteText"/>
      </w:pPr>
      <w:r>
        <w:rPr>
          <w:rStyle w:val="FootnoteReference"/>
          <w:sz w:val="16"/>
        </w:rPr>
        <w:footnoteRef/>
      </w:r>
      <w:r>
        <w:rPr>
          <w:sz w:val="16"/>
          <w:lang w:val="en-US"/>
        </w:rPr>
        <w:t xml:space="preserve"> </w:t>
      </w:r>
      <w:r>
        <w:rPr>
          <w:sz w:val="16"/>
          <w:lang w:val="en-US"/>
        </w:rPr>
        <w:tab/>
      </w:r>
      <w:r>
        <w:rPr>
          <w:lang w:val="en-US"/>
        </w:rPr>
        <w:t>These rulings are almost exclusi</w:t>
      </w:r>
      <w:r>
        <w:t>vely handed down in infringement procedures.</w:t>
      </w:r>
    </w:p>
  </w:footnote>
  <w:footnote w:id="296">
    <w:p>
      <w:pPr>
        <w:pStyle w:val="FootnoteText"/>
        <w:rPr>
          <w:lang w:val="en-US"/>
        </w:rPr>
      </w:pPr>
      <w:hyperlink r:id="rId415" w:history="1">
        <w:r>
          <w:rPr>
            <w:rStyle w:val="Hyperlink"/>
            <w:color w:val="auto"/>
            <w:u w:val="none"/>
            <w:vertAlign w:val="superscript"/>
          </w:rPr>
          <w:footnoteRef/>
        </w:r>
        <w:r>
          <w:rPr>
            <w:rStyle w:val="Hyperlink"/>
            <w:color w:val="auto"/>
            <w:u w:val="none"/>
            <w:lang w:val="en-US"/>
          </w:rPr>
          <w:t xml:space="preserve"> </w:t>
        </w:r>
        <w:r>
          <w:rPr>
            <w:rStyle w:val="Hyperlink"/>
            <w:color w:val="auto"/>
            <w:u w:val="none"/>
            <w:lang w:val="en-US"/>
          </w:rPr>
          <w:tab/>
        </w:r>
        <w:r>
          <w:rPr>
            <w:rFonts w:cs="Arial"/>
            <w:szCs w:val="18"/>
          </w:rPr>
          <w:t xml:space="preserve">A v Migrationsverket, </w:t>
        </w:r>
        <w:r>
          <w:rPr>
            <w:rStyle w:val="Hyperlink"/>
            <w:lang w:val="en-US"/>
          </w:rPr>
          <w:t>C</w:t>
        </w:r>
        <w:r>
          <w:rPr>
            <w:rStyle w:val="Hyperlink"/>
            <w:rFonts w:ascii="Cambria Math" w:hAnsi="Cambria Math" w:cs="Cambria Math"/>
            <w:lang w:val="en-US"/>
          </w:rPr>
          <w:t>‑</w:t>
        </w:r>
        <w:r>
          <w:rPr>
            <w:rStyle w:val="Hyperlink"/>
            <w:lang w:val="en-US"/>
          </w:rPr>
          <w:t>404/17</w:t>
        </w:r>
      </w:hyperlink>
      <w:r>
        <w:rPr>
          <w:rStyle w:val="Hyperlink"/>
          <w:lang w:val="en-US"/>
        </w:rPr>
        <w:t>.</w:t>
      </w:r>
    </w:p>
  </w:footnote>
  <w:footnote w:id="297">
    <w:p>
      <w:pPr>
        <w:pStyle w:val="FootnoteText"/>
        <w:rPr>
          <w:lang w:val="en-US"/>
        </w:rPr>
      </w:pPr>
      <w:r>
        <w:rPr>
          <w:rStyle w:val="FootnoteReference"/>
        </w:rPr>
        <w:footnoteRef/>
      </w:r>
      <w:r>
        <w:rPr>
          <w:lang w:val="en-US"/>
        </w:rPr>
        <w:t xml:space="preserve"> </w:t>
      </w:r>
      <w:r>
        <w:rPr>
          <w:lang w:val="en-US"/>
        </w:rPr>
        <w:tab/>
        <w:t xml:space="preserve">Article 45 </w:t>
      </w:r>
      <w:hyperlink r:id="rId416" w:history="1">
        <w:r>
          <w:rPr>
            <w:rStyle w:val="Hyperlink"/>
            <w:lang w:val="en-US"/>
          </w:rPr>
          <w:t>TFEU</w:t>
        </w:r>
      </w:hyperlink>
      <w:r>
        <w:rPr>
          <w:lang w:val="en-US"/>
        </w:rPr>
        <w:t xml:space="preserve"> and Regulation (EU) No </w:t>
      </w:r>
      <w:hyperlink r:id="rId417" w:history="1">
        <w:r>
          <w:rPr>
            <w:rStyle w:val="Hyperlink"/>
            <w:lang w:val="en-US"/>
          </w:rPr>
          <w:t>492/2011</w:t>
        </w:r>
      </w:hyperlink>
      <w:r>
        <w:rPr>
          <w:lang w:val="en-US"/>
        </w:rPr>
        <w:t>.</w:t>
      </w:r>
    </w:p>
  </w:footnote>
  <w:footnote w:id="298">
    <w:p>
      <w:pPr>
        <w:pStyle w:val="FootnoteText"/>
        <w:rPr>
          <w:lang w:val="en-US"/>
        </w:rPr>
      </w:pPr>
      <w:r>
        <w:rPr>
          <w:rStyle w:val="FootnoteReference"/>
        </w:rPr>
        <w:footnoteRef/>
      </w:r>
      <w:r>
        <w:rPr>
          <w:lang w:val="en-US"/>
        </w:rPr>
        <w:t xml:space="preserve"> </w:t>
      </w:r>
      <w:r>
        <w:rPr>
          <w:lang w:val="en-US"/>
        </w:rPr>
        <w:tab/>
      </w:r>
      <w:hyperlink r:id="rId418" w:history="1">
        <w:r>
          <w:rPr>
            <w:rStyle w:val="Hyperlink"/>
            <w:lang w:val="en-US"/>
          </w:rPr>
          <w:t>MEMO/18/6247</w:t>
        </w:r>
      </w:hyperlink>
      <w:r>
        <w:rPr>
          <w:lang w:val="en-US"/>
        </w:rPr>
        <w:t>.</w:t>
      </w:r>
    </w:p>
  </w:footnote>
  <w:footnote w:id="299">
    <w:p>
      <w:pPr>
        <w:pStyle w:val="FootnoteText"/>
      </w:pPr>
      <w:r>
        <w:rPr>
          <w:rStyle w:val="FootnoteReference"/>
        </w:rPr>
        <w:footnoteRef/>
      </w:r>
      <w:r>
        <w:t xml:space="preserve"> </w:t>
      </w:r>
      <w:r>
        <w:tab/>
      </w:r>
      <w:hyperlink r:id="rId419" w:history="1">
        <w:r>
          <w:rPr>
            <w:rStyle w:val="Hyperlink"/>
            <w:rFonts w:cs="Arial"/>
            <w:szCs w:val="18"/>
          </w:rPr>
          <w:t>IP/18/6265</w:t>
        </w:r>
      </w:hyperlink>
      <w:r>
        <w:rPr>
          <w:rStyle w:val="Hyperlink"/>
          <w:rFonts w:cs="Arial"/>
          <w:szCs w:val="18"/>
        </w:rPr>
        <w:t>.</w:t>
      </w:r>
    </w:p>
  </w:footnote>
  <w:footnote w:id="300">
    <w:p>
      <w:pPr>
        <w:pStyle w:val="FootnoteText"/>
      </w:pPr>
      <w:r>
        <w:rPr>
          <w:rStyle w:val="FootnoteReference"/>
        </w:rPr>
        <w:footnoteRef/>
      </w:r>
      <w:r>
        <w:t xml:space="preserve"> </w:t>
      </w:r>
      <w:r>
        <w:tab/>
        <w:t xml:space="preserve">Commission v United Kingdom, </w:t>
      </w:r>
      <w:hyperlink r:id="rId420" w:history="1">
        <w:r>
          <w:rPr>
            <w:rStyle w:val="Hyperlink"/>
          </w:rPr>
          <w:t>C-301/10</w:t>
        </w:r>
      </w:hyperlink>
      <w:r>
        <w:t>.</w:t>
      </w:r>
    </w:p>
  </w:footnote>
  <w:footnote w:id="301">
    <w:p>
      <w:pPr>
        <w:pStyle w:val="FootnoteText"/>
      </w:pPr>
      <w:r>
        <w:rPr>
          <w:rStyle w:val="FootnoteReference"/>
        </w:rPr>
        <w:footnoteRef/>
      </w:r>
      <w:r>
        <w:t xml:space="preserve"> </w:t>
      </w:r>
      <w:r>
        <w:tab/>
        <w:t xml:space="preserve">Commission v United Kingdom, </w:t>
      </w:r>
      <w:hyperlink r:id="rId421" w:history="1">
        <w:r>
          <w:rPr>
            <w:rStyle w:val="Hyperlink"/>
          </w:rPr>
          <w:t>C-502/15</w:t>
        </w:r>
      </w:hyperlink>
      <w:r>
        <w:t>.</w:t>
      </w:r>
    </w:p>
  </w:footnote>
  <w:footnote w:id="302">
    <w:p>
      <w:pPr>
        <w:pStyle w:val="FootnoteText"/>
        <w:rPr>
          <w:lang w:val="pt-PT"/>
        </w:rPr>
      </w:pPr>
      <w:r>
        <w:rPr>
          <w:rStyle w:val="FootnoteReference"/>
        </w:rPr>
        <w:footnoteRef/>
      </w:r>
      <w:r>
        <w:rPr>
          <w:lang w:val="pt-PT"/>
        </w:rPr>
        <w:t xml:space="preserve"> </w:t>
      </w:r>
      <w:r>
        <w:rPr>
          <w:lang w:val="pt-PT"/>
        </w:rPr>
        <w:tab/>
        <w:t xml:space="preserve">Directive </w:t>
      </w:r>
      <w:hyperlink r:id="rId422" w:history="1">
        <w:r>
          <w:rPr>
            <w:rStyle w:val="Hyperlink"/>
            <w:lang w:val="pt-PT"/>
          </w:rPr>
          <w:t>2009/21/EC</w:t>
        </w:r>
      </w:hyperlink>
      <w:r>
        <w:rPr>
          <w:lang w:val="pt-PT"/>
        </w:rPr>
        <w:t xml:space="preserve">; </w:t>
      </w:r>
      <w:hyperlink r:id="rId423" w:history="1">
        <w:r>
          <w:rPr>
            <w:rStyle w:val="Hyperlink"/>
            <w:lang w:val="pt-PT"/>
          </w:rPr>
          <w:t>MEMO/18/4486</w:t>
        </w:r>
      </w:hyperlink>
      <w:r>
        <w:rPr>
          <w:lang w:val="pt-PT"/>
        </w:rPr>
        <w:t>.</w:t>
      </w:r>
    </w:p>
  </w:footnote>
  <w:footnote w:id="303">
    <w:p>
      <w:pPr>
        <w:pStyle w:val="FootnoteText"/>
        <w:rPr>
          <w:lang w:val="pt-PT"/>
        </w:rPr>
      </w:pPr>
      <w:r>
        <w:rPr>
          <w:rStyle w:val="FootnoteReference"/>
        </w:rPr>
        <w:footnoteRef/>
      </w:r>
      <w:r>
        <w:rPr>
          <w:lang w:val="pt-PT"/>
        </w:rPr>
        <w:t xml:space="preserve"> </w:t>
      </w:r>
      <w:r>
        <w:rPr>
          <w:lang w:val="pt-PT"/>
        </w:rPr>
        <w:tab/>
        <w:t xml:space="preserve">Regulation </w:t>
      </w:r>
      <w:hyperlink r:id="rId424" w:history="1">
        <w:r>
          <w:rPr>
            <w:rStyle w:val="Hyperlink"/>
            <w:lang w:val="pt-PT"/>
          </w:rPr>
          <w:t>(EU) No 1379/2013</w:t>
        </w:r>
      </w:hyperlink>
      <w:r>
        <w:rPr>
          <w:rStyle w:val="Hyperlink"/>
          <w:lang w:val="pt-PT"/>
        </w:rPr>
        <w:t xml:space="preserve">, </w:t>
      </w:r>
      <w:hyperlink r:id="rId425" w:history="1">
        <w:r>
          <w:rPr>
            <w:rStyle w:val="Hyperlink"/>
            <w:szCs w:val="20"/>
            <w:lang w:val="pt-PT"/>
          </w:rPr>
          <w:t>MEMO/18/3446</w:t>
        </w:r>
      </w:hyperlink>
      <w:r>
        <w:rPr>
          <w:rStyle w:val="Hyperlink"/>
          <w:szCs w:val="20"/>
          <w:lang w:val="pt-PT"/>
        </w:rPr>
        <w:t xml:space="preserve">, </w:t>
      </w:r>
      <w:hyperlink r:id="rId426" w:history="1">
        <w:r>
          <w:rPr>
            <w:rStyle w:val="Hyperlink"/>
            <w:szCs w:val="20"/>
            <w:lang w:val="pt-PT"/>
          </w:rPr>
          <w:t>MEMO/18/6247</w:t>
        </w:r>
      </w:hyperlink>
      <w:r>
        <w:rPr>
          <w:rStyle w:val="Hyperlink"/>
          <w:szCs w:val="20"/>
          <w:lang w:val="pt-PT"/>
        </w:rPr>
        <w:t>.</w:t>
      </w:r>
    </w:p>
  </w:footnote>
  <w:footnote w:id="304">
    <w:p>
      <w:pPr>
        <w:pStyle w:val="FootnoteText"/>
        <w:rPr>
          <w:lang w:val="pt-PT"/>
        </w:rPr>
      </w:pPr>
      <w:r>
        <w:rPr>
          <w:rStyle w:val="FootnoteReference"/>
        </w:rPr>
        <w:footnoteRef/>
      </w:r>
      <w:r>
        <w:rPr>
          <w:lang w:val="pt-PT"/>
        </w:rPr>
        <w:t xml:space="preserve"> </w:t>
      </w:r>
      <w:r>
        <w:rPr>
          <w:lang w:val="pt-PT"/>
        </w:rPr>
        <w:tab/>
        <w:t xml:space="preserve">Directive </w:t>
      </w:r>
      <w:hyperlink r:id="rId427" w:history="1">
        <w:r>
          <w:rPr>
            <w:rStyle w:val="Hyperlink"/>
            <w:lang w:val="pt-PT"/>
          </w:rPr>
          <w:t>2012/27/EU</w:t>
        </w:r>
      </w:hyperlink>
      <w:r>
        <w:rPr>
          <w:lang w:val="pt-PT"/>
        </w:rPr>
        <w:t xml:space="preserve">, </w:t>
      </w:r>
      <w:hyperlink r:id="rId428" w:history="1">
        <w:r>
          <w:rPr>
            <w:rStyle w:val="Hyperlink"/>
            <w:lang w:val="pt-PT"/>
          </w:rPr>
          <w:t>MEMO/18/4486</w:t>
        </w:r>
      </w:hyperlink>
      <w:r>
        <w:rPr>
          <w:rStyle w:val="Hyperlink"/>
          <w:lang w:val="pt-PT"/>
        </w:rPr>
        <w:t>.</w:t>
      </w:r>
    </w:p>
  </w:footnote>
  <w:footnote w:id="305">
    <w:p>
      <w:pPr>
        <w:pStyle w:val="FootnoteText"/>
        <w:rPr>
          <w:lang w:val="pt-PT"/>
        </w:rPr>
      </w:pPr>
      <w:r>
        <w:rPr>
          <w:rStyle w:val="FootnoteReference"/>
        </w:rPr>
        <w:footnoteRef/>
      </w:r>
      <w:r>
        <w:rPr>
          <w:lang w:val="pt-PT"/>
        </w:rPr>
        <w:t xml:space="preserve"> </w:t>
      </w:r>
      <w:r>
        <w:rPr>
          <w:lang w:val="pt-PT"/>
        </w:rPr>
        <w:tab/>
        <w:t xml:space="preserve">Directive </w:t>
      </w:r>
      <w:hyperlink r:id="rId429" w:history="1">
        <w:r>
          <w:rPr>
            <w:rStyle w:val="Hyperlink"/>
            <w:lang w:val="pt-PT"/>
          </w:rPr>
          <w:t>2011/70/Euratom</w:t>
        </w:r>
      </w:hyperlink>
      <w:r>
        <w:rPr>
          <w:lang w:val="pt-PT"/>
        </w:rPr>
        <w:t xml:space="preserve">, </w:t>
      </w:r>
      <w:hyperlink r:id="rId430" w:history="1">
        <w:r>
          <w:rPr>
            <w:rStyle w:val="Hyperlink"/>
            <w:lang w:val="pt-PT"/>
          </w:rPr>
          <w:t>MEMO/18/3446</w:t>
        </w:r>
      </w:hyperlink>
      <w:r>
        <w:rPr>
          <w:rStyle w:val="Hyperlink"/>
          <w:lang w:val="pt-PT"/>
        </w:rPr>
        <w:t>.</w:t>
      </w:r>
    </w:p>
  </w:footnote>
  <w:footnote w:id="306">
    <w:p>
      <w:pPr>
        <w:pStyle w:val="FootnoteText"/>
        <w:rPr>
          <w:lang w:val="pt-PT"/>
        </w:rPr>
      </w:pPr>
      <w:r>
        <w:rPr>
          <w:rStyle w:val="FootnoteReference"/>
        </w:rPr>
        <w:footnoteRef/>
      </w:r>
      <w:r>
        <w:rPr>
          <w:lang w:val="pt-PT"/>
        </w:rPr>
        <w:t xml:space="preserve"> </w:t>
      </w:r>
      <w:r>
        <w:rPr>
          <w:lang w:val="pt-PT"/>
        </w:rPr>
        <w:tab/>
      </w:r>
      <w:hyperlink r:id="rId431" w:history="1">
        <w:r>
          <w:rPr>
            <w:rStyle w:val="Hyperlink"/>
            <w:lang w:val="pt-PT"/>
          </w:rPr>
          <w:t>MEMO/18/1444</w:t>
        </w:r>
      </w:hyperlink>
      <w:r>
        <w:rPr>
          <w:lang w:val="pt-PT"/>
        </w:rPr>
        <w:t xml:space="preserve">, </w:t>
      </w:r>
      <w:hyperlink r:id="rId432" w:history="1">
        <w:r>
          <w:rPr>
            <w:rStyle w:val="Hyperlink"/>
            <w:lang w:val="pt-PT"/>
          </w:rPr>
          <w:t>IP/18/5807</w:t>
        </w:r>
      </w:hyperlink>
      <w:r>
        <w:rPr>
          <w:lang w:val="pt-PT"/>
        </w:rPr>
        <w:t xml:space="preserve">; </w:t>
      </w:r>
      <w:hyperlink r:id="rId433" w:history="1">
        <w:r>
          <w:rPr>
            <w:rStyle w:val="Hyperlink"/>
            <w:lang w:val="pt-PT"/>
          </w:rPr>
          <w:t>C-213/19</w:t>
        </w:r>
      </w:hyperlink>
      <w:r>
        <w:rPr>
          <w:lang w:val="pt-PT"/>
        </w:rPr>
        <w:t>.</w:t>
      </w:r>
    </w:p>
  </w:footnote>
  <w:footnote w:id="307">
    <w:p>
      <w:pPr>
        <w:pStyle w:val="FootnoteText"/>
        <w:rPr>
          <w:lang w:val="pt-PT"/>
        </w:rPr>
      </w:pPr>
      <w:r>
        <w:rPr>
          <w:rStyle w:val="FootnoteReference"/>
        </w:rPr>
        <w:footnoteRef/>
      </w:r>
      <w:r>
        <w:rPr>
          <w:lang w:val="pt-PT"/>
        </w:rPr>
        <w:t xml:space="preserve"> </w:t>
      </w:r>
      <w:r>
        <w:rPr>
          <w:lang w:val="pt-PT"/>
        </w:rPr>
        <w:tab/>
        <w:t xml:space="preserve">Directive </w:t>
      </w:r>
      <w:hyperlink r:id="rId434" w:history="1">
        <w:r>
          <w:rPr>
            <w:rStyle w:val="Hyperlink"/>
            <w:lang w:val="pt-PT"/>
          </w:rPr>
          <w:t>2005/36/EC</w:t>
        </w:r>
      </w:hyperlink>
      <w:r>
        <w:rPr>
          <w:rStyle w:val="Hyperlink"/>
          <w:lang w:val="pt-PT"/>
        </w:rPr>
        <w:t>,</w:t>
      </w:r>
      <w:r>
        <w:rPr>
          <w:lang w:val="pt-PT"/>
        </w:rPr>
        <w:t xml:space="preserve"> </w:t>
      </w:r>
      <w:hyperlink r:id="rId435" w:history="1">
        <w:r>
          <w:rPr>
            <w:rStyle w:val="Hyperlink"/>
            <w:lang w:val="pt-PT"/>
          </w:rPr>
          <w:t>MEMO/18/4486</w:t>
        </w:r>
      </w:hyperlink>
      <w:r>
        <w:rPr>
          <w:rStyle w:val="Hyperlink"/>
          <w:lang w:val="pt-PT"/>
        </w:rPr>
        <w:t>.</w:t>
      </w:r>
    </w:p>
  </w:footnote>
  <w:footnote w:id="308">
    <w:p>
      <w:pPr>
        <w:pStyle w:val="FootnoteText"/>
        <w:rPr>
          <w:lang w:val="pt-PT"/>
        </w:rPr>
      </w:pPr>
      <w:r>
        <w:rPr>
          <w:rStyle w:val="FootnoteReference"/>
        </w:rPr>
        <w:footnoteRef/>
      </w:r>
      <w:r>
        <w:rPr>
          <w:lang w:val="pt-PT"/>
        </w:rPr>
        <w:t xml:space="preserve"> </w:t>
      </w:r>
      <w:r>
        <w:rPr>
          <w:lang w:val="pt-PT"/>
        </w:rPr>
        <w:tab/>
        <w:t xml:space="preserve">Commission Directive </w:t>
      </w:r>
      <w:hyperlink r:id="rId436" w:history="1">
        <w:r>
          <w:rPr>
            <w:rStyle w:val="Hyperlink"/>
            <w:lang w:val="pt-PT"/>
          </w:rPr>
          <w:t>2016/1214/EU.</w:t>
        </w:r>
      </w:hyperlink>
    </w:p>
  </w:footnote>
  <w:footnote w:id="309">
    <w:p>
      <w:pPr>
        <w:pStyle w:val="FootnoteText"/>
        <w:rPr>
          <w:lang w:val="pt-PT"/>
        </w:rPr>
      </w:pPr>
      <w:r>
        <w:rPr>
          <w:rStyle w:val="FootnoteReference"/>
        </w:rPr>
        <w:footnoteRef/>
      </w:r>
      <w:r>
        <w:rPr>
          <w:lang w:val="pt-PT"/>
        </w:rPr>
        <w:t xml:space="preserve"> </w:t>
      </w:r>
      <w:r>
        <w:rPr>
          <w:lang w:val="pt-PT"/>
        </w:rPr>
        <w:tab/>
        <w:t xml:space="preserve">Commission Implementing Directive </w:t>
      </w:r>
      <w:hyperlink r:id="rId437" w:history="1">
        <w:r>
          <w:rPr>
            <w:rStyle w:val="Hyperlink"/>
            <w:lang w:val="pt-PT"/>
          </w:rPr>
          <w:t>2017/1279</w:t>
        </w:r>
      </w:hyperlink>
      <w:r>
        <w:rPr>
          <w:rStyle w:val="Hyperlink"/>
          <w:lang w:val="pt-PT"/>
        </w:rPr>
        <w:t>/EU</w:t>
      </w:r>
      <w:r>
        <w:rPr>
          <w:lang w:val="pt-PT"/>
        </w:rPr>
        <w:t>.</w:t>
      </w:r>
    </w:p>
  </w:footnote>
  <w:footnote w:id="310">
    <w:p>
      <w:pPr>
        <w:pStyle w:val="FootnoteText"/>
        <w:rPr>
          <w:lang w:val="pt-PT"/>
        </w:rPr>
      </w:pPr>
      <w:r>
        <w:rPr>
          <w:rStyle w:val="FootnoteReference"/>
        </w:rPr>
        <w:footnoteRef/>
      </w:r>
      <w:r>
        <w:rPr>
          <w:lang w:val="pt-PT"/>
        </w:rPr>
        <w:t xml:space="preserve"> </w:t>
      </w:r>
      <w:r>
        <w:rPr>
          <w:lang w:val="pt-PT"/>
        </w:rPr>
        <w:tab/>
        <w:t xml:space="preserve">Commission Implementing Directive </w:t>
      </w:r>
      <w:hyperlink r:id="rId438" w:history="1">
        <w:r>
          <w:rPr>
            <w:rStyle w:val="Hyperlink"/>
            <w:lang w:val="pt-PT"/>
          </w:rPr>
          <w:t>2018/100/EU</w:t>
        </w:r>
      </w:hyperlink>
      <w:r>
        <w:rPr>
          <w:lang w:val="pt-PT"/>
        </w:rPr>
        <w:t>.</w:t>
      </w:r>
    </w:p>
  </w:footnote>
  <w:footnote w:id="311">
    <w:p>
      <w:pPr>
        <w:pStyle w:val="FootnoteText"/>
        <w:rPr>
          <w:lang w:val="pt-PT"/>
        </w:rPr>
      </w:pPr>
      <w:r>
        <w:rPr>
          <w:rStyle w:val="FootnoteReference"/>
        </w:rPr>
        <w:footnoteRef/>
      </w:r>
      <w:r>
        <w:rPr>
          <w:lang w:val="pt-PT"/>
        </w:rPr>
        <w:t xml:space="preserve"> </w:t>
      </w:r>
      <w:r>
        <w:rPr>
          <w:lang w:val="pt-PT"/>
        </w:rPr>
        <w:tab/>
        <w:t xml:space="preserve">Commission </w:t>
      </w:r>
      <w:r>
        <w:rPr>
          <w:rFonts w:cs="Arial"/>
          <w:szCs w:val="18"/>
          <w:lang w:val="pt-PT"/>
        </w:rPr>
        <w:t xml:space="preserve">Directive </w:t>
      </w:r>
      <w:hyperlink r:id="rId439" w:history="1">
        <w:r>
          <w:rPr>
            <w:rStyle w:val="Hyperlink"/>
            <w:rFonts w:cs="Arial"/>
            <w:szCs w:val="18"/>
            <w:lang w:val="pt-PT"/>
          </w:rPr>
          <w:t>2017/164</w:t>
        </w:r>
      </w:hyperlink>
      <w:r>
        <w:rPr>
          <w:rFonts w:cs="Arial"/>
          <w:szCs w:val="18"/>
          <w:lang w:val="pt-PT"/>
        </w:rPr>
        <w:t>.</w:t>
      </w:r>
    </w:p>
  </w:footnote>
  <w:footnote w:id="312">
    <w:p>
      <w:pPr>
        <w:pStyle w:val="FootnoteText"/>
        <w:rPr>
          <w:lang w:val="pt-PT"/>
        </w:rPr>
      </w:pPr>
      <w:r>
        <w:rPr>
          <w:rStyle w:val="FootnoteReference"/>
        </w:rPr>
        <w:footnoteRef/>
      </w:r>
      <w:r>
        <w:rPr>
          <w:lang w:val="pt-PT"/>
        </w:rPr>
        <w:t xml:space="preserve"> </w:t>
      </w:r>
      <w:r>
        <w:rPr>
          <w:lang w:val="pt-PT"/>
        </w:rPr>
        <w:tab/>
        <w:t xml:space="preserve">Directive </w:t>
      </w:r>
      <w:hyperlink r:id="rId440" w:history="1">
        <w:r>
          <w:rPr>
            <w:rStyle w:val="Hyperlink"/>
            <w:rFonts w:cs="Arial"/>
            <w:szCs w:val="18"/>
            <w:lang w:val="pt-PT"/>
          </w:rPr>
          <w:t>2017/1564/EU</w:t>
        </w:r>
      </w:hyperlink>
      <w:r>
        <w:rPr>
          <w:rFonts w:cs="Arial"/>
          <w:szCs w:val="18"/>
          <w:lang w:val="pt-PT"/>
        </w:rPr>
        <w:t>.</w:t>
      </w:r>
    </w:p>
  </w:footnote>
  <w:footnote w:id="313">
    <w:p>
      <w:pPr>
        <w:pStyle w:val="FootnoteText"/>
        <w:rPr>
          <w:lang w:val="pt-PT"/>
        </w:rPr>
      </w:pPr>
      <w:r>
        <w:rPr>
          <w:rStyle w:val="FootnoteReference"/>
        </w:rPr>
        <w:footnoteRef/>
      </w:r>
      <w:r>
        <w:rPr>
          <w:lang w:val="pt-PT"/>
        </w:rPr>
        <w:t xml:space="preserve"> </w:t>
      </w:r>
      <w:r>
        <w:rPr>
          <w:lang w:val="pt-PT"/>
        </w:rPr>
        <w:tab/>
        <w:t xml:space="preserve">Directive </w:t>
      </w:r>
      <w:hyperlink r:id="rId441" w:history="1">
        <w:r>
          <w:rPr>
            <w:rStyle w:val="Hyperlink"/>
            <w:lang w:val="pt-PT"/>
          </w:rPr>
          <w:t>2008/50/EC</w:t>
        </w:r>
      </w:hyperlink>
      <w:hyperlink r:id="rId442" w:history="1"/>
      <w:r>
        <w:rPr>
          <w:rStyle w:val="Hyperlink"/>
          <w:lang w:val="pt-PT"/>
        </w:rPr>
        <w:t>,</w:t>
      </w:r>
      <w:r>
        <w:rPr>
          <w:rStyle w:val="affairetitle"/>
          <w:lang w:val="pt-PT"/>
        </w:rPr>
        <w:t xml:space="preserve"> Commission v United Kingdom,</w:t>
      </w:r>
      <w:r>
        <w:rPr>
          <w:rStyle w:val="Hyperlink"/>
          <w:lang w:val="pt-PT"/>
        </w:rPr>
        <w:t xml:space="preserve"> </w:t>
      </w:r>
      <w:hyperlink r:id="rId443" w:history="1">
        <w:r>
          <w:rPr>
            <w:rStyle w:val="Hyperlink"/>
            <w:lang w:val="pt-PT"/>
          </w:rPr>
          <w:t>C-664/18</w:t>
        </w:r>
      </w:hyperlink>
      <w:r>
        <w:rPr>
          <w:rStyle w:val="Hyperlink"/>
          <w:lang w:val="pt-PT"/>
        </w:rPr>
        <w:t xml:space="preserve">; </w:t>
      </w:r>
      <w:hyperlink r:id="rId444" w:history="1">
        <w:r>
          <w:rPr>
            <w:rStyle w:val="Hyperlink"/>
            <w:lang w:val="pt-PT"/>
          </w:rPr>
          <w:t>IP/18/3450</w:t>
        </w:r>
      </w:hyperlink>
      <w:r>
        <w:rPr>
          <w:rStyle w:val="affairetitle"/>
          <w:lang w:val="pt-PT"/>
        </w:rPr>
        <w:t>.</w:t>
      </w:r>
    </w:p>
  </w:footnote>
  <w:footnote w:id="314">
    <w:p>
      <w:pPr>
        <w:pStyle w:val="FootnoteText"/>
        <w:rPr>
          <w:lang w:val="pt-PT"/>
        </w:rPr>
      </w:pPr>
      <w:r>
        <w:rPr>
          <w:rStyle w:val="FootnoteReference"/>
        </w:rPr>
        <w:footnoteRef/>
      </w:r>
      <w:r>
        <w:rPr>
          <w:lang w:val="pt-PT"/>
        </w:rPr>
        <w:t xml:space="preserve"> </w:t>
      </w:r>
      <w:r>
        <w:rPr>
          <w:lang w:val="pt-PT"/>
        </w:rPr>
        <w:tab/>
        <w:t xml:space="preserve">Directive </w:t>
      </w:r>
      <w:hyperlink r:id="rId445" w:history="1">
        <w:r>
          <w:rPr>
            <w:rStyle w:val="Hyperlink"/>
            <w:lang w:val="pt-PT"/>
          </w:rPr>
          <w:t>2001/80/EC</w:t>
        </w:r>
      </w:hyperlink>
      <w:r>
        <w:rPr>
          <w:lang w:val="pt-PT"/>
        </w:rPr>
        <w:t>.</w:t>
      </w:r>
    </w:p>
  </w:footnote>
  <w:footnote w:id="315">
    <w:p>
      <w:pPr>
        <w:pStyle w:val="FootnoteText"/>
        <w:rPr>
          <w:lang w:val="pt-PT"/>
        </w:rPr>
      </w:pPr>
      <w:r>
        <w:rPr>
          <w:rStyle w:val="FootnoteReference"/>
        </w:rPr>
        <w:footnoteRef/>
      </w:r>
      <w:r>
        <w:rPr>
          <w:lang w:val="pt-PT"/>
        </w:rPr>
        <w:t xml:space="preserve"> </w:t>
      </w:r>
      <w:r>
        <w:rPr>
          <w:lang w:val="pt-PT"/>
        </w:rPr>
        <w:tab/>
        <w:t xml:space="preserve">Directive </w:t>
      </w:r>
      <w:hyperlink r:id="rId446" w:history="1">
        <w:r>
          <w:rPr>
            <w:rStyle w:val="Hyperlink"/>
            <w:lang w:val="pt-PT"/>
          </w:rPr>
          <w:t>2001/42/EC</w:t>
        </w:r>
      </w:hyperlink>
      <w:r>
        <w:rPr>
          <w:lang w:val="pt-PT"/>
        </w:rPr>
        <w:t>.</w:t>
      </w:r>
    </w:p>
  </w:footnote>
  <w:footnote w:id="316">
    <w:p>
      <w:pPr>
        <w:pStyle w:val="FootnoteText"/>
        <w:rPr>
          <w:lang w:val="pt-PT"/>
        </w:rPr>
      </w:pPr>
      <w:r>
        <w:rPr>
          <w:rStyle w:val="FootnoteReference"/>
        </w:rPr>
        <w:footnoteRef/>
      </w:r>
      <w:r>
        <w:rPr>
          <w:lang w:val="pt-PT"/>
        </w:rPr>
        <w:t xml:space="preserve"> </w:t>
      </w:r>
      <w:r>
        <w:rPr>
          <w:lang w:val="pt-PT"/>
        </w:rPr>
        <w:tab/>
        <w:t xml:space="preserve">Directive </w:t>
      </w:r>
      <w:hyperlink r:id="rId447" w:history="1">
        <w:r>
          <w:rPr>
            <w:rStyle w:val="Hyperlink"/>
            <w:lang w:val="pt-PT"/>
          </w:rPr>
          <w:t>2016/1214/EU</w:t>
        </w:r>
      </w:hyperlink>
      <w:r>
        <w:rPr>
          <w:lang w:val="pt-PT"/>
        </w:rPr>
        <w:t>.</w:t>
      </w:r>
    </w:p>
  </w:footnote>
  <w:footnote w:id="317">
    <w:p>
      <w:pPr>
        <w:pStyle w:val="FootnoteText"/>
        <w:rPr>
          <w:lang w:val="pt-PT"/>
        </w:rPr>
      </w:pPr>
      <w:r>
        <w:rPr>
          <w:rStyle w:val="FootnoteReference"/>
        </w:rPr>
        <w:footnoteRef/>
      </w:r>
      <w:r>
        <w:rPr>
          <w:lang w:val="pt-PT"/>
        </w:rPr>
        <w:t xml:space="preserve"> </w:t>
      </w:r>
      <w:r>
        <w:rPr>
          <w:lang w:val="pt-PT"/>
        </w:rPr>
        <w:tab/>
        <w:t xml:space="preserve">Directive </w:t>
      </w:r>
      <w:hyperlink r:id="rId448" w:history="1">
        <w:r>
          <w:rPr>
            <w:rStyle w:val="Hyperlink"/>
            <w:lang w:val="pt-PT"/>
          </w:rPr>
          <w:t>2015/2203</w:t>
        </w:r>
      </w:hyperlink>
      <w:r>
        <w:rPr>
          <w:rStyle w:val="Hyperlink"/>
          <w:lang w:val="pt-PT"/>
        </w:rPr>
        <w:t>/EU</w:t>
      </w:r>
      <w:r>
        <w:rPr>
          <w:lang w:val="pt-PT"/>
        </w:rPr>
        <w:t>.</w:t>
      </w:r>
    </w:p>
  </w:footnote>
  <w:footnote w:id="318">
    <w:p>
      <w:pPr>
        <w:pStyle w:val="FootnoteText"/>
      </w:pPr>
      <w:r>
        <w:rPr>
          <w:rStyle w:val="FootnoteReference"/>
        </w:rPr>
        <w:footnoteRef/>
      </w:r>
      <w:r>
        <w:t xml:space="preserve"> </w:t>
      </w:r>
      <w:r>
        <w:tab/>
        <w:t xml:space="preserve">Directive </w:t>
      </w:r>
      <w:hyperlink r:id="rId449" w:history="1">
        <w:r>
          <w:rPr>
            <w:rStyle w:val="Hyperlink"/>
          </w:rPr>
          <w:t>652/2015/EC</w:t>
        </w:r>
      </w:hyperlink>
      <w:r>
        <w:rPr>
          <w:rStyle w:val="Hyperlink"/>
        </w:rPr>
        <w:t>.</w:t>
      </w:r>
    </w:p>
  </w:footnote>
  <w:footnote w:id="319">
    <w:p>
      <w:pPr>
        <w:pStyle w:val="FootnoteText"/>
      </w:pPr>
      <w:r>
        <w:rPr>
          <w:rStyle w:val="FootnoteReference"/>
          <w:sz w:val="16"/>
        </w:rPr>
        <w:footnoteRef/>
      </w:r>
      <w:r>
        <w:rPr>
          <w:sz w:val="16"/>
        </w:rPr>
        <w:t xml:space="preserve"> </w:t>
      </w:r>
      <w:r>
        <w:rPr>
          <w:sz w:val="16"/>
        </w:rPr>
        <w:tab/>
      </w:r>
      <w:r>
        <w:t>These rulings are almost exclusively handed down in infringement procedures.</w:t>
      </w:r>
    </w:p>
  </w:footnote>
  <w:footnote w:id="320">
    <w:p>
      <w:pPr>
        <w:pStyle w:val="FootnoteText"/>
        <w:rPr>
          <w:lang w:val="en-US"/>
        </w:rPr>
      </w:pPr>
      <w:r>
        <w:rPr>
          <w:rStyle w:val="FootnoteReference"/>
        </w:rPr>
        <w:footnoteRef/>
      </w:r>
      <w:r>
        <w:rPr>
          <w:lang w:val="en-US"/>
        </w:rPr>
        <w:t xml:space="preserve"> </w:t>
      </w:r>
      <w:r>
        <w:rPr>
          <w:lang w:val="en-US"/>
        </w:rPr>
        <w:tab/>
        <w:t xml:space="preserve">Directive </w:t>
      </w:r>
      <w:hyperlink r:id="rId450" w:history="1">
        <w:r>
          <w:rPr>
            <w:rStyle w:val="Hyperlink"/>
            <w:lang w:val="en-US"/>
          </w:rPr>
          <w:t>92/43/EEC</w:t>
        </w:r>
      </w:hyperlink>
      <w:r>
        <w:rPr>
          <w:lang w:val="en-US"/>
        </w:rPr>
        <w:t>, Commission v United Kingdom,</w:t>
      </w:r>
      <w:r>
        <w:rPr>
          <w:rStyle w:val="Hyperlink"/>
          <w:lang w:val="en-US"/>
        </w:rPr>
        <w:t xml:space="preserve"> </w:t>
      </w:r>
      <w:hyperlink r:id="rId451" w:history="1">
        <w:r>
          <w:rPr>
            <w:rStyle w:val="Hyperlink"/>
            <w:lang w:val="en-US"/>
          </w:rPr>
          <w:t>C-669/16</w:t>
        </w:r>
      </w:hyperlink>
      <w:r>
        <w:rPr>
          <w:rStyle w:val="Hyperlink"/>
          <w:lang w:val="en-US"/>
        </w:rPr>
        <w:t>.</w:t>
      </w:r>
    </w:p>
  </w:footnote>
  <w:footnote w:id="321">
    <w:p>
      <w:pPr>
        <w:pStyle w:val="FootnoteText"/>
        <w:rPr>
          <w:lang w:val="en-IE"/>
        </w:rPr>
      </w:pPr>
      <w:r>
        <w:rPr>
          <w:rStyle w:val="FootnoteReference"/>
        </w:rPr>
        <w:footnoteRef/>
      </w:r>
      <w:r>
        <w:t xml:space="preserve"> </w:t>
      </w:r>
      <w:r>
        <w:rPr>
          <w:lang w:val="en-IE"/>
        </w:rPr>
        <w:tab/>
      </w:r>
      <w:r>
        <w:t>Commission v. United Kingdom,</w:t>
      </w:r>
      <w:r>
        <w:rPr>
          <w:u w:val="single"/>
        </w:rPr>
        <w:t xml:space="preserve"> </w:t>
      </w:r>
      <w:hyperlink r:id="rId452" w:history="1">
        <w:r>
          <w:rPr>
            <w:rFonts w:cs="Arial"/>
            <w:color w:val="0563C1"/>
            <w:szCs w:val="18"/>
            <w:u w:val="single"/>
            <w:lang w:eastAsia="en-GB"/>
          </w:rPr>
          <w:t>C-503/17</w:t>
        </w:r>
      </w:hyperlink>
      <w:r>
        <w:rPr>
          <w:rFonts w:cs="Arial"/>
          <w:color w:val="0563C1"/>
          <w:szCs w:val="18"/>
          <w:u w:val="single"/>
          <w:lang w:eastAsia="en-GB"/>
        </w:rPr>
        <w:t>.</w:t>
      </w:r>
    </w:p>
  </w:footnote>
  <w:footnote w:id="322">
    <w:p>
      <w:pPr>
        <w:pStyle w:val="FootnoteText"/>
      </w:pPr>
      <w:r>
        <w:rPr>
          <w:rStyle w:val="FootnoteReference"/>
        </w:rPr>
        <w:footnoteRef/>
      </w:r>
      <w:r>
        <w:t xml:space="preserve"> </w:t>
      </w:r>
      <w:r>
        <w:tab/>
      </w:r>
      <w:r>
        <w:rPr>
          <w:rFonts w:cs="Arial"/>
          <w:szCs w:val="18"/>
        </w:rPr>
        <w:t xml:space="preserve">Wightman and Others, </w:t>
      </w:r>
      <w:hyperlink r:id="rId453" w:history="1">
        <w:r>
          <w:rPr>
            <w:rStyle w:val="Hyperlink"/>
            <w:rFonts w:cs="Arial"/>
            <w:szCs w:val="18"/>
          </w:rPr>
          <w:t>C-621/18</w:t>
        </w:r>
      </w:hyperlink>
      <w:r>
        <w:rPr>
          <w:rFonts w:cs="Arial"/>
          <w:szCs w:val="18"/>
        </w:rPr>
        <w:t xml:space="preserve">. </w:t>
      </w:r>
    </w:p>
  </w:footnote>
  <w:footnote w:id="323">
    <w:p>
      <w:pPr>
        <w:pStyle w:val="FootnoteText"/>
      </w:pPr>
      <w:r>
        <w:rPr>
          <w:rStyle w:val="FootnoteReference"/>
        </w:rPr>
        <w:footnoteRef/>
      </w:r>
      <w:r>
        <w:t xml:space="preserve"> </w:t>
      </w:r>
      <w:r>
        <w:tab/>
        <w:t xml:space="preserve">Swedish Match, </w:t>
      </w:r>
      <w:hyperlink r:id="rId454" w:history="1">
        <w:r>
          <w:rPr>
            <w:rStyle w:val="Hyperlink"/>
          </w:rPr>
          <w:t>C-151/17</w:t>
        </w:r>
      </w:hyperlink>
      <w:r>
        <w:t xml:space="preserve"> and </w:t>
      </w:r>
      <w:hyperlink r:id="rId455" w:history="1">
        <w:r>
          <w:rPr>
            <w:rStyle w:val="Hyperlink"/>
          </w:rPr>
          <w:t>press release</w:t>
        </w:r>
      </w:hyperlink>
      <w:r>
        <w:t>.</w:t>
      </w:r>
    </w:p>
  </w:footnote>
  <w:footnote w:id="324">
    <w:p>
      <w:pPr>
        <w:pStyle w:val="FootnoteText"/>
        <w:rPr>
          <w:lang w:val="en-US"/>
        </w:rPr>
      </w:pPr>
      <w:r>
        <w:rPr>
          <w:rStyle w:val="FootnoteReference"/>
        </w:rPr>
        <w:footnoteRef/>
      </w:r>
      <w:r>
        <w:t xml:space="preserve"> </w:t>
      </w:r>
      <w:r>
        <w:tab/>
        <w:t>Teva UK and Others,</w:t>
      </w:r>
      <w:r>
        <w:rPr>
          <w:rStyle w:val="Hyperlink"/>
        </w:rPr>
        <w:t xml:space="preserve"> </w:t>
      </w:r>
      <w:hyperlink r:id="rId456" w:history="1">
        <w:r>
          <w:rPr>
            <w:rStyle w:val="Hyperlink"/>
          </w:rPr>
          <w:t>C-121/17</w:t>
        </w:r>
      </w:hyperlink>
      <w:r>
        <w:t>.</w:t>
      </w:r>
    </w:p>
  </w:footnote>
  <w:footnote w:id="325">
    <w:p>
      <w:pPr>
        <w:pStyle w:val="FootnoteText"/>
      </w:pPr>
      <w:r>
        <w:rPr>
          <w:rStyle w:val="FootnoteReference"/>
        </w:rPr>
        <w:footnoteRef/>
      </w:r>
      <w:r>
        <w:t xml:space="preserve"> </w:t>
      </w:r>
      <w:r>
        <w:tab/>
        <w:t xml:space="preserve">Merck Sharp, </w:t>
      </w:r>
      <w:hyperlink r:id="rId457" w:history="1">
        <w:r>
          <w:rPr>
            <w:rStyle w:val="Hyperlink"/>
          </w:rPr>
          <w:t>C-567/16</w:t>
        </w:r>
      </w:hyperlink>
      <w:r>
        <w:t>.</w:t>
      </w:r>
    </w:p>
  </w:footnote>
  <w:footnote w:id="326">
    <w:p>
      <w:pPr>
        <w:pStyle w:val="FootnoteText"/>
      </w:pPr>
      <w:r>
        <w:rPr>
          <w:rStyle w:val="FootnoteReference"/>
        </w:rPr>
        <w:footnoteRef/>
      </w:r>
      <w:r>
        <w:tab/>
      </w:r>
      <w:r>
        <w:rPr>
          <w:rStyle w:val="affairetitle"/>
        </w:rPr>
        <w:t>Western Sahara Campaign UK,</w:t>
      </w:r>
      <w:r>
        <w:rPr>
          <w:rStyle w:val="Hyperlink"/>
        </w:rPr>
        <w:t xml:space="preserve"> </w:t>
      </w:r>
      <w:hyperlink r:id="rId458" w:history="1">
        <w:r>
          <w:rPr>
            <w:rStyle w:val="Hyperlink"/>
          </w:rPr>
          <w:t>C-266/16</w:t>
        </w:r>
      </w:hyperlink>
      <w:r>
        <w:rPr>
          <w:rStyle w:val="Hyperlink"/>
        </w:rPr>
        <w:t xml:space="preserve"> </w:t>
      </w:r>
      <w:r>
        <w:rPr>
          <w:rStyle w:val="Hyperlink"/>
          <w:color w:val="auto"/>
          <w:u w:val="none"/>
        </w:rPr>
        <w:t>and Court press release</w:t>
      </w:r>
      <w:r>
        <w:rPr>
          <w:rStyle w:val="Hyperlink"/>
          <w:color w:val="auto"/>
        </w:rPr>
        <w:t xml:space="preserve"> </w:t>
      </w:r>
      <w:hyperlink r:id="rId459" w:history="1">
        <w:r>
          <w:rPr>
            <w:rStyle w:val="Hyperlink"/>
          </w:rPr>
          <w:t>No 21/18</w:t>
        </w:r>
      </w:hyperlink>
      <w:r>
        <w:rPr>
          <w:rStyle w:val="Hyperlink"/>
        </w:rPr>
        <w:t>.</w:t>
      </w:r>
    </w:p>
  </w:footnote>
  <w:footnote w:id="327">
    <w:p>
      <w:pPr>
        <w:pStyle w:val="FootnoteText"/>
        <w:rPr>
          <w:rStyle w:val="Hyperlink"/>
          <w:rFonts w:asciiTheme="minorHAnsi" w:hAnsiTheme="minorHAnsi"/>
          <w:sz w:val="22"/>
          <w:lang w:val="fr-BE"/>
        </w:rPr>
      </w:pPr>
      <w:r>
        <w:rPr>
          <w:rStyle w:val="FootnoteReference"/>
        </w:rPr>
        <w:footnoteRef/>
      </w:r>
      <w:r>
        <w:rPr>
          <w:lang w:val="fr-BE"/>
        </w:rPr>
        <w:t xml:space="preserve"> </w:t>
      </w:r>
      <w:r>
        <w:rPr>
          <w:lang w:val="fr-BE"/>
        </w:rPr>
        <w:tab/>
      </w:r>
      <w:r>
        <w:rPr>
          <w:rStyle w:val="Hyperlink"/>
          <w:color w:val="auto"/>
          <w:u w:val="none"/>
          <w:lang w:val="fr-BE"/>
        </w:rPr>
        <w:t xml:space="preserve">Banger, </w:t>
      </w:r>
      <w:hyperlink r:id="rId460" w:history="1">
        <w:r>
          <w:rPr>
            <w:rStyle w:val="Hyperlink"/>
            <w:lang w:val="fr-BE"/>
          </w:rPr>
          <w:t>C-89/17</w:t>
        </w:r>
      </w:hyperlink>
      <w:r>
        <w:rPr>
          <w:rStyle w:val="Hyperlink"/>
          <w:lang w:val="fr-BE"/>
        </w:rPr>
        <w:t>.</w:t>
      </w:r>
    </w:p>
  </w:footnote>
  <w:footnote w:id="328">
    <w:p>
      <w:pPr>
        <w:pStyle w:val="FootnoteText"/>
        <w:rPr>
          <w:lang w:val="fr-BE"/>
        </w:rPr>
      </w:pPr>
      <w:r>
        <w:rPr>
          <w:rStyle w:val="Hyperlink"/>
          <w:color w:val="auto"/>
          <w:u w:val="none"/>
          <w:vertAlign w:val="superscript"/>
        </w:rPr>
        <w:footnoteRef/>
      </w:r>
      <w:r>
        <w:rPr>
          <w:rStyle w:val="Hyperlink"/>
          <w:color w:val="auto"/>
          <w:u w:val="none"/>
          <w:lang w:val="fr-BE"/>
        </w:rPr>
        <w:t xml:space="preserve"> </w:t>
      </w:r>
      <w:r>
        <w:rPr>
          <w:rStyle w:val="Hyperlink"/>
          <w:color w:val="auto"/>
          <w:u w:val="none"/>
          <w:lang w:val="fr-BE"/>
        </w:rPr>
        <w:tab/>
      </w:r>
      <w:r>
        <w:rPr>
          <w:rStyle w:val="affairetitle"/>
          <w:lang w:val="fr-BE"/>
        </w:rPr>
        <w:t xml:space="preserve">MP (Protection subsidiaire d'une victime de tortures passées), </w:t>
      </w:r>
      <w:hyperlink r:id="rId461" w:history="1">
        <w:r>
          <w:rPr>
            <w:rStyle w:val="Hyperlink"/>
            <w:lang w:val="fr-BE"/>
          </w:rPr>
          <w:t>C-353/16</w:t>
        </w:r>
      </w:hyperlink>
      <w:r>
        <w:rPr>
          <w:rStyle w:val="Hyperlink"/>
          <w:color w:val="auto"/>
          <w:u w:val="none"/>
          <w:lang w:val="fr-BE"/>
        </w:rPr>
        <w:t>.</w:t>
      </w:r>
    </w:p>
  </w:footnote>
  <w:footnote w:id="329">
    <w:p>
      <w:pPr>
        <w:pStyle w:val="FootnoteText"/>
        <w:rPr>
          <w:lang w:val="fr-BE"/>
        </w:rPr>
      </w:pPr>
      <w:r>
        <w:rPr>
          <w:rStyle w:val="FootnoteReference"/>
        </w:rPr>
        <w:footnoteRef/>
      </w:r>
      <w:r>
        <w:rPr>
          <w:lang w:val="fr-BE"/>
        </w:rPr>
        <w:t xml:space="preserve"> </w:t>
      </w:r>
      <w:r>
        <w:rPr>
          <w:lang w:val="fr-BE"/>
        </w:rPr>
        <w:tab/>
        <w:t>MB (Changement de sexe et pension de retraite),</w:t>
      </w:r>
      <w:r>
        <w:rPr>
          <w:rStyle w:val="Hyperlink"/>
          <w:color w:val="auto"/>
          <w:lang w:val="fr-BE"/>
        </w:rPr>
        <w:t xml:space="preserve"> </w:t>
      </w:r>
      <w:hyperlink r:id="rId462" w:history="1">
        <w:r>
          <w:rPr>
            <w:rStyle w:val="Hyperlink"/>
            <w:lang w:val="fr-BE"/>
          </w:rPr>
          <w:t>C-451/16</w:t>
        </w:r>
      </w:hyperlink>
      <w:r>
        <w:rPr>
          <w:rStyle w:val="Hyperlink"/>
          <w:lang w:val="fr-B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XwDQIAAPs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EmNfA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ADCF1F" id="Rectangle 670" o:spid="_x0000_s1026" style="position:absolute;margin-left:379.65pt;margin-top:23.65pt;width:144.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IPZA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FIAg9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F1B1F8" id="Rectangle 671" o:spid="_x0000_s1026" style="position:absolute;margin-left:-70.9pt;margin-top:23.65pt;width:142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1BYw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mNfdQW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9680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9pt;margin-top:49.65pt;width:595.25pt;height: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aJDgIAAPsDAAAOAAAAZHJzL2Uyb0RvYy54bWysU9tu2zAMfR+wfxD0vjjxkqY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mQyaJ&#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47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3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79218F" id="Rectangle 834" o:spid="_x0000_s1026" style="position:absolute;margin-left:379.65pt;margin-top:23.65pt;width:144.5pt;height:17.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wyVvE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9372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55C278" id="Rectangle 835" o:spid="_x0000_s1026" style="position:absolute;margin-left:-70.9pt;margin-top:23.65pt;width:142pt;height:17.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BqurBeZQIAAM4EAAAOAAAAAAAAAAAAAAAAAC4CAABk&#10;cnMvZTJvRG9jLnhtbFBLAQItABQABgAIAAAAIQCHUKNL4AAAAAoBAAAPAAAAAAAAAAAAAAAAAL8E&#10;AABkcnMvZG93bnJldi54bWxQSwUGAAAAAAQABADzAAAAzAU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-899795</wp:posOffset>
              </wp:positionH>
              <wp:positionV relativeFrom="paragraph">
                <wp:posOffset>43815</wp:posOffset>
              </wp:positionV>
              <wp:extent cx="7557135" cy="64008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400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Malta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0.85pt;margin-top:3.45pt;width:595.05pt;height: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Malta</w:t>
                    </w:r>
                  </w:p>
                </w:txbxContent>
              </v:textbox>
            </v:shape>
          </w:pict>
        </mc:Fallback>
      </mc:AlternateContent>
    </w:r>
    <w:r>
      <w:rPr>
        <w:noProof/>
        <w:lang w:eastAsia="en-GB"/>
      </w:rPr>
      <mc:AlternateContent>
        <mc:Choice Requires="wps">
          <w:drawing>
            <wp:anchor distT="0" distB="0" distL="114300" distR="114300" simplePos="0" relativeHeight="251592704" behindDoc="0" locked="0" layoutInCell="1" allowOverlap="1">
              <wp:simplePos x="0" y="0"/>
              <wp:positionH relativeFrom="column">
                <wp:posOffset>-899795</wp:posOffset>
              </wp:positionH>
              <wp:positionV relativeFrom="paragraph">
                <wp:posOffset>43815</wp:posOffset>
              </wp:positionV>
              <wp:extent cx="7557135" cy="640080"/>
              <wp:effectExtent l="0" t="0" r="0" b="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400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Malta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0.85pt;margin-top:3.45pt;width:595.05pt;height:50.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Malta</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0.9pt;margin-top:49.65pt;width:595.2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Oy4S3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0.9pt;margin-top:17.5pt;width:595.05pt;height:3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EFEAIAAPwDAAAOAAAAZHJzL2Uyb0RvYy54bWysU21v2yAQ/j5p/wHxfbHjx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17jR&#10;B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2380E3" id="Rectangle 675" o:spid="_x0000_s1026" style="position:absolute;margin-left:379.65pt;margin-top:23.65pt;width:144.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m++dH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74910D" id="Rectangle 676" o:spid="_x0000_s1026" style="position:absolute;margin-left:-70.9pt;margin-top:23.65pt;width:142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QZAIAAM4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EaHf5B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9168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0.9pt;margin-top:49.65pt;width:595.25pt;height: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T911k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886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EMq&#10;HTs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906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C8FF53" id="Rectangle 838" o:spid="_x0000_s1026" style="position:absolute;margin-left:379.65pt;margin-top:23.65pt;width:144.5pt;height:17.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3xZQIAAM4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3YR3x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896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AE5D04" id="Rectangle 839" o:spid="_x0000_s1026" style="position:absolute;margin-left:-70.9pt;margin-top:23.65pt;width:142pt;height:17.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F7+wr9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70.9pt;margin-top:49.65pt;width:595.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pA8UI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8DEB04" id="Rectangle 678" o:spid="_x0000_s1026" style="position:absolute;margin-left:379.65pt;margin-top:23.65pt;width:14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4H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WzY4H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B13CF6" id="Rectangle 679" o:spid="_x0000_s1026" style="position:absolute;margin-left:-70.9pt;margin-top:23.65pt;width:14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H9SUUl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0499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0.9pt;margin-top:49.65pt;width:595.25pt;height: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X0kbl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39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14ACC0" id="Rectangle 870" o:spid="_x0000_s1026" style="position:absolute;margin-left:379.65pt;margin-top:23.65pt;width:144.5pt;height:1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mZA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ZouZ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0294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6756E9" id="Rectangle 871" o:spid="_x0000_s1026" style="position:absolute;margin-left:-70.9pt;margin-top:23.65pt;width:142pt;height:17.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2oYwIAAM4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gZ9qG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-899795</wp:posOffset>
              </wp:positionH>
              <wp:positionV relativeFrom="paragraph">
                <wp:posOffset>43815</wp:posOffset>
              </wp:positionV>
              <wp:extent cx="7557135" cy="60960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Netherlands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0.85pt;margin-top:3.45pt;width:595.0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21Fl&#10;AxACAAD8AwAADgAAAAAAAAAAAAAAAAAuAgAAZHJzL2Uyb0RvYy54bWxQSwECLQAUAAYACAAAACEA&#10;E/RXeN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Netherlands</w:t>
                    </w:r>
                  </w:p>
                </w:txbxContent>
              </v:textbox>
            </v:shape>
          </w:pict>
        </mc:Fallback>
      </mc:AlternateContent>
    </w:r>
    <w:r>
      <w:rPr>
        <w:noProof/>
        <w:lang w:eastAsia="en-GB"/>
      </w:rPr>
      <mc:AlternateContent>
        <mc:Choice Requires="wps">
          <w:drawing>
            <wp:anchor distT="0" distB="0" distL="114300" distR="114300" simplePos="0" relativeHeight="251601920" behindDoc="0" locked="0" layoutInCell="1" allowOverlap="1">
              <wp:simplePos x="0" y="0"/>
              <wp:positionH relativeFrom="column">
                <wp:posOffset>-899795</wp:posOffset>
              </wp:positionH>
              <wp:positionV relativeFrom="paragraph">
                <wp:posOffset>43815</wp:posOffset>
              </wp:positionV>
              <wp:extent cx="7557135" cy="609600"/>
              <wp:effectExtent l="0" t="0" r="0" b="0"/>
              <wp:wrapNone/>
              <wp:docPr id="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Netherlands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0.85pt;margin-top:3.45pt;width:595.05pt;height:4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mecM&#10;jRACAAD8AwAADgAAAAAAAAAAAAAAAAAuAgAAZHJzL2Uyb0RvYy54bWxQSwECLQAUAAYACAAAACEA&#10;E/RXeN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Netherlands</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buFTR&#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9pt;margin-top:17.5pt;width:595.05pt;height:3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mEQIAAPwDAAAOAAAAZHJzL2Uyb0RvYy54bWysU9uO2yAQfa/Uf0C8N3bceJ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H7N&#10;RaY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2B59F5" id="Rectangle 683" o:spid="_x0000_s1026" style="position:absolute;margin-left:379.65pt;margin-top:23.65pt;width:144.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hf4Jo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1DFF6D" id="Rectangle 684" o:spid="_x0000_s1026" style="position:absolute;margin-left:-70.9pt;margin-top:23.65pt;width:142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RWZA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FLC5FZ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008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70.9pt;margin-top:49.65pt;width:595.25pt;height: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PCWpqw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782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0.9pt;margin-top:17.5pt;width:595.05pt;height:32.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qQY5&#10;i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998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B4B21F" id="Rectangle 874" o:spid="_x0000_s1026" style="position:absolute;margin-left:379.65pt;margin-top:23.65pt;width:144.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PZg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bFhcD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988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889403" id="Rectangle 875" o:spid="_x0000_s1026" style="position:absolute;margin-left:-70.9pt;margin-top:23.65pt;width:142pt;height:1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MXHg0F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840265" id="Rectangle 685" o:spid="_x0000_s1026" style="position:absolute;margin-left:379.65pt;margin-top:23.65pt;width:144.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107G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821B95" id="Rectangle 686" o:spid="_x0000_s1026" style="position:absolute;margin-left:-70.9pt;margin-top:23.65pt;width:142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PPZAIAAM4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Jsho89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13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A91AD2" id="Rectangle 904" o:spid="_x0000_s1026" style="position:absolute;margin-left:379.65pt;margin-top:23.65pt;width:144.5pt;height:1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upnt/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2035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FA96E2" id="Rectangle 905" o:spid="_x0000_s1026" style="position:absolute;margin-left:-70.9pt;margin-top:23.65pt;width:142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c5pDF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-899795</wp:posOffset>
              </wp:positionH>
              <wp:positionV relativeFrom="paragraph">
                <wp:posOffset>43815</wp:posOffset>
              </wp:positionV>
              <wp:extent cx="7557135" cy="662940"/>
              <wp:effectExtent l="0" t="0" r="0" b="381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Austria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70.85pt;margin-top:3.45pt;width:595.05pt;height:5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Austria</w:t>
                    </w:r>
                  </w:p>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simplePos x="0" y="0"/>
              <wp:positionH relativeFrom="column">
                <wp:posOffset>-899795</wp:posOffset>
              </wp:positionH>
              <wp:positionV relativeFrom="paragraph">
                <wp:posOffset>43815</wp:posOffset>
              </wp:positionV>
              <wp:extent cx="7557135" cy="662940"/>
              <wp:effectExtent l="0" t="0" r="0" b="3810"/>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Austria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70.85pt;margin-top:3.45pt;width:595.05pt;height:52.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Austria</w:t>
                    </w:r>
                  </w:p>
                </w:txbxContent>
              </v:textbox>
            </v:shape>
          </w:pict>
        </mc:Fallback>
      </mc:AlternateContent>
    </w:r>
  </w:p>
  <w:p>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-902970</wp:posOffset>
              </wp:positionH>
              <wp:positionV relativeFrom="paragraph">
                <wp:posOffset>363855</wp:posOffset>
              </wp:positionV>
              <wp:extent cx="7559675" cy="45085"/>
              <wp:effectExtent l="0" t="19050" r="0" b="1206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1.1pt;margin-top:28.65pt;width:595.2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2400" behindDoc="0" locked="0" layoutInCell="1" allowOverlap="1">
              <wp:simplePos x="0" y="0"/>
              <wp:positionH relativeFrom="column">
                <wp:posOffset>-902970</wp:posOffset>
              </wp:positionH>
              <wp:positionV relativeFrom="paragraph">
                <wp:posOffset>363855</wp:posOffset>
              </wp:positionV>
              <wp:extent cx="7559675" cy="45085"/>
              <wp:effectExtent l="0" t="19050" r="0" b="12065"/>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71.1pt;margin-top:28.65pt;width:595.25pt;height:3.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" filled="f" stroked="f">
              <v:textbox>
                <w:txbxContent>
                  <w:p>
                    <w:pPr>
                      <w:pStyle w:val="Priorities"/>
                      <w:ind w:right="555"/>
                      <w:jc w:val="both"/>
                      <w:rPr>
                        <w:color w:val="808080"/>
                        <w:lang w:val="de-DE"/>
                      </w:rPr>
                    </w:pP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9pt;margin-top:49.65pt;width:595.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YBTwH&#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9pt;margin-top:17.5pt;width:595.05pt;height:3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mPXW&#10;0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24952F" id="Rectangle 691" o:spid="_x0000_s1026" style="position:absolute;margin-left:379.65pt;margin-top:23.65pt;width:144.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1tZQIAAM4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zgW1t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833D86" id="Rectangle 692" o:spid="_x0000_s1026" style="position:absolute;margin-left:-70.9pt;margin-top:23.65pt;width:142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JP99bp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830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0.9pt;margin-top:49.65pt;width:595.2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bj0CA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42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0.9pt;margin-top:17.5pt;width:595.05pt;height:32.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I6Zv&#10;E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172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0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22434D" id="Rectangle 908" o:spid="_x0000_s1026" style="position:absolute;margin-left:379.65pt;margin-top:23.65pt;width:144.5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meZQ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a4gm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152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79C887" id="Rectangle 909" o:spid="_x0000_s1026" style="position:absolute;margin-left:-70.9pt;margin-top:23.65pt;width:142pt;height:1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M33W0GMCAADOBAAADgAAAAAAAAAAAAAAAAAuAgAAZHJz&#10;L2Uyb0RvYy54bWxQSwECLQAUAAYACAAAACEAh1CjS+AAAAAKAQAADwAAAAAAAAAAAAAAAAC9BAAA&#10;ZHJzL2Rvd25yZXYueG1sUEsFBgAAAAAEAAQA8wAAAMoFAAAAAA==&#10;" fillcolor="#004194" stroked="f" strokeweight="2pt">
              <v:path arrowok="t"/>
            </v:rect>
          </w:pict>
        </mc:Fallback>
      </mc:AlternateContent>
    </w:r>
  </w:p>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976D2D" id="Rectangle 693" o:spid="_x0000_s1026" style="position:absolute;margin-left:379.65pt;margin-top:23.65pt;width:144.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6Yir0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67BECD" id="Rectangle 694" o:spid="_x0000_s1026" style="position:absolute;margin-left:-70.9pt;margin-top:23.65pt;width:142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0zKYwIAAM4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id9Mym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285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59CD88" id="Rectangle 58" o:spid="_x0000_s1026" style="position:absolute;margin-left:379.65pt;margin-top:23.65pt;width:144.5pt;height:1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DSYw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wLCw0m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2752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845A21" id="Rectangle 59" o:spid="_x0000_s1026" style="position:absolute;margin-left:-70.9pt;margin-top:23.65pt;width:142pt;height:1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JBBUTmMCAADM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-899795</wp:posOffset>
              </wp:positionH>
              <wp:positionV relativeFrom="paragraph">
                <wp:posOffset>43815</wp:posOffset>
              </wp:positionV>
              <wp:extent cx="7557135" cy="662940"/>
              <wp:effectExtent l="0" t="0" r="0" b="381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70.85pt;margin-top:3.45pt;width:595.05pt;height:5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Poland</w:t>
                    </w:r>
                  </w:p>
                </w:txbxContent>
              </v:textbox>
            </v:shape>
          </w:pict>
        </mc:Fallback>
      </mc:AlternateContent>
    </w:r>
    <w:r>
      <w:rPr>
        <w:noProof/>
        <w:lang w:eastAsia="en-GB"/>
      </w:rPr>
      <mc:AlternateContent>
        <mc:Choice Requires="wps">
          <w:drawing>
            <wp:anchor distT="0" distB="0" distL="114300" distR="114300" simplePos="0" relativeHeight="251626496" behindDoc="0" locked="0" layoutInCell="1" allowOverlap="1">
              <wp:simplePos x="0" y="0"/>
              <wp:positionH relativeFrom="column">
                <wp:posOffset>-899795</wp:posOffset>
              </wp:positionH>
              <wp:positionV relativeFrom="paragraph">
                <wp:posOffset>43815</wp:posOffset>
              </wp:positionV>
              <wp:extent cx="7557135" cy="6629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0.85pt;margin-top:3.45pt;width:595.05pt;height:5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Poland</w:t>
                    </w:r>
                  </w:p>
                </w:txbxContent>
              </v:textbox>
            </v:shape>
          </w:pict>
        </mc:Fallback>
      </mc:AlternateContent>
    </w:r>
  </w:p>
  <w:p>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-902970</wp:posOffset>
              </wp:positionH>
              <wp:positionV relativeFrom="paragraph">
                <wp:posOffset>363855</wp:posOffset>
              </wp:positionV>
              <wp:extent cx="7559675" cy="45085"/>
              <wp:effectExtent l="0" t="19050" r="0" b="12065"/>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71.1pt;margin-top:28.65pt;width:595.2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9568" behindDoc="0" locked="0" layoutInCell="1" allowOverlap="1">
              <wp:simplePos x="0" y="0"/>
              <wp:positionH relativeFrom="column">
                <wp:posOffset>-902970</wp:posOffset>
              </wp:positionH>
              <wp:positionV relativeFrom="paragraph">
                <wp:posOffset>363855</wp:posOffset>
              </wp:positionV>
              <wp:extent cx="7559675" cy="45085"/>
              <wp:effectExtent l="0" t="19050" r="0" b="1206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71.1pt;margin-top:28.65pt;width:595.25pt;height:3.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" filled="f" stroked="f">
              <v:textbox>
                <w:txbxContent>
                  <w:p>
                    <w:pPr>
                      <w:pStyle w:val="Priorities"/>
                      <w:ind w:right="555"/>
                      <w:jc w:val="both"/>
                      <w:rPr>
                        <w:color w:val="808080"/>
                        <w:lang w:val="de-DE"/>
                      </w:rPr>
                    </w:pP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70.9pt;margin-top:49.65pt;width:595.2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iODQIAAPs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MjyCI4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0.9pt;margin-top:17.5pt;width:595.05pt;height:3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K9iq&#10;2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E3F0D9" id="Rectangle 771" o:spid="_x0000_s1026" style="position:absolute;margin-left:379.65pt;margin-top:23.65pt;width:144.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SZhL9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7C382D" id="Rectangle 772" o:spid="_x0000_s1026" style="position:absolute;margin-left:-70.9pt;margin-top:23.65pt;width:142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xoZAIAAM4EAAAOAAAAZHJzL2Uyb0RvYy54bWysVE1v2zAMvQ/YfxB0X21n6dI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TlHGh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54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70.9pt;margin-top:49.65pt;width:595.2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D7jG3A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8758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0.9pt;margin-top:17.5pt;width:595.05pt;height:32.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WtTew&#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244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B2216A" id="Rectangle 56" o:spid="_x0000_s1026" style="position:absolute;margin-left:379.65pt;margin-top:23.65pt;width:144.5pt;height:1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MZAIAAMw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H174Ax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34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E3AC63" id="Rectangle 57" o:spid="_x0000_s1026" style="position:absolute;margin-left:-70.9pt;margin-top:23.65pt;width:142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SQYwIAAMw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mdsEkGMCAADMBAAADgAAAAAAAAAAAAAAAAAuAgAAZHJz&#10;L2Uyb0RvYy54bWxQSwECLQAUAAYACAAAACEAh1CjS+AAAAAKAQAADwAAAAAAAAAAAAAAAAC9BAAA&#10;ZHJzL2Rvd25yZXYueG1sUEsFBgAAAAAEAAQA8wAAAMoFAAAAAA==&#10;" fillcolor="#004194" stroked="f" strokeweight="2pt">
              <v:path arrowok="t"/>
            </v:rect>
          </w:pict>
        </mc:Fallback>
      </mc:AlternateContent>
    </w:r>
  </w:p>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0615D6" id="Rectangle 773" o:spid="_x0000_s1026" style="position:absolute;margin-left:379.65pt;margin-top:23.65pt;width:144.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9esMm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849E34" id="Rectangle 774" o:spid="_x0000_s1026" style="position:absolute;margin-left:-70.9pt;margin-top:23.65pt;width:142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UYZQIAAM4EAAAOAAAAZHJzL2Uyb0RvYy54bWysVE1v2zAMvQ/YfxB0X21n6dI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DOx6UYZQIAAM4EAAAOAAAAAAAAAAAAAAAAAC4CAABk&#10;cnMvZTJvRG9jLnhtbFBLAQItABQABgAIAAAAIQCHUKNL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7ED7A0" id="Rectangle 935" o:spid="_x0000_s1026" style="position:absolute;margin-left:379.65pt;margin-top:23.65pt;width:144.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mgZg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RvTpo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B207C8" id="Rectangle 936" o:spid="_x0000_s1026" style="position:absolute;margin-left:-70.9pt;margin-top:23.65pt;width:142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CaIcXd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-899795</wp:posOffset>
              </wp:positionH>
              <wp:positionV relativeFrom="paragraph">
                <wp:posOffset>462915</wp:posOffset>
              </wp:positionV>
              <wp:extent cx="7559675" cy="83820"/>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838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70.85pt;margin-top:36.45pt;width:595.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-899795</wp:posOffset>
              </wp:positionH>
              <wp:positionV relativeFrom="paragraph">
                <wp:posOffset>43815</wp:posOffset>
              </wp:positionV>
              <wp:extent cx="7557135" cy="716280"/>
              <wp:effectExtent l="0" t="0" r="0" b="0"/>
              <wp:wrapNone/>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62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Portugal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70.85pt;margin-top:3.45pt;width:595.05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Portugal</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-899795</wp:posOffset>
              </wp:positionH>
              <wp:positionV relativeFrom="paragraph">
                <wp:posOffset>462915</wp:posOffset>
              </wp:positionV>
              <wp:extent cx="7559675" cy="83820"/>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838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70.85pt;margin-top:36.45pt;width:595.2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-899795</wp:posOffset>
              </wp:positionH>
              <wp:positionV relativeFrom="paragraph">
                <wp:posOffset>43815</wp:posOffset>
              </wp:positionV>
              <wp:extent cx="7557135" cy="716280"/>
              <wp:effectExtent l="0" t="0" r="0" b="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62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Portugal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70.85pt;margin-top:3.45pt;width:595.05pt;height:5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Portugal</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0.9pt;margin-top:49.65pt;width:595.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J/3Dgw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0.9pt;margin-top:17.5pt;width:595.05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ORzw&#10;U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06CDB7" id="Rectangle 780" o:spid="_x0000_s1026" style="position:absolute;margin-left:379.65pt;margin-top:23.65pt;width:144.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NBZA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K1NQ0F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8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63A7DF" id="Rectangle 781" o:spid="_x0000_s1026" style="position:absolute;margin-left:-70.9pt;margin-top:23.65pt;width:142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wPYwIAAM4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BNKcD2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0.9pt;margin-top:49.65pt;width:595.2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Cdt7z8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0.9pt;margin-top:17.5pt;width:595.05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ZUMx&#10;o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4FB06E" id="Rectangle 939" o:spid="_x0000_s1026" style="position:absolute;margin-left:379.65pt;margin-top:23.65pt;width:144.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tBZQ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ysJtB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52A64F" id="Rectangle 940" o:spid="_x0000_s1026" style="position:absolute;margin-left:-70.9pt;margin-top:23.65pt;width:142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C/93JmYgIAAM4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0.9pt;margin-top:49.65pt;width:595.2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f/7Jb&#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1290E2" id="Rectangle 784" o:spid="_x0000_s1026" style="position:absolute;margin-left:379.65pt;margin-top:23.65pt;width:144.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oZg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foy9q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8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94FC8C" id="Rectangle 785" o:spid="_x0000_s1026" style="position:absolute;margin-left:-70.9pt;margin-top:23.65pt;width:142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DXE2LmZQIAAM4EAAAOAAAAAAAAAAAAAAAAAC4CAABk&#10;cnMvZTJvRG9jLnhtbFBLAQItABQABgAIAAAAIQCHUKNL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6608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0.9pt;margin-top:49.65pt;width:595.25pt;height: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NK7Rhw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650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DA78FE" id="Rectangle 141" o:spid="_x0000_s1026" style="position:absolute;margin-left:379.65pt;margin-top:23.65pt;width:144.5pt;height:17.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B5yQKR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640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8A03C7" id="Rectangle 142" o:spid="_x0000_s1026" style="position:absolute;margin-left:-70.9pt;margin-top:23.65pt;width:142pt;height:17.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g7Yc2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Romania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70.85pt;margin-top:3.45pt;width:595.05pt;height:4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Romania</w:t>
                    </w:r>
                  </w:p>
                </w:txbxContent>
              </v:textbox>
            </v:shape>
          </w:pict>
        </mc:Fallback>
      </mc:AlternateContent>
    </w:r>
    <w:r>
      <w:rPr>
        <w:noProof/>
        <w:lang w:eastAsia="en-GB"/>
      </w:rPr>
      <mc:AlternateContent>
        <mc:Choice Requires="wps">
          <w:drawing>
            <wp:anchor distT="0" distB="0" distL="114300" distR="114300" simplePos="0" relativeHeight="251563008"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Romania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70.85pt;margin-top:3.45pt;width:595.05pt;height:48.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Romania</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70.9pt;margin-top:49.65pt;width:595.2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2p+BS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0.9pt;margin-top:17.5pt;width:595.05pt;height:3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dfre&#10;P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7362D8" id="Rectangle 789" o:spid="_x0000_s1026" style="position:absolute;margin-left:379.65pt;margin-top:23.65pt;width:144.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OutTo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CDE73F" id="Rectangle 790" o:spid="_x0000_s1026" style="position:absolute;margin-left:-70.9pt;margin-top:23.65pt;width:142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G70vMm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6198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70.9pt;margin-top:49.65pt;width:595.2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pXeG4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5891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70.9pt;margin-top:17.5pt;width:595.05pt;height:32.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OMDl&#10;q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609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0CBEE6" id="Rectangle 145" o:spid="_x0000_s1026" style="position:absolute;margin-left:379.65pt;margin-top:23.65pt;width:144.5pt;height:17.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Ns75N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5993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C46A71" id="Rectangle 146" o:spid="_x0000_s1026" style="position:absolute;margin-left:-70.9pt;margin-top:23.65pt;width:142pt;height:17.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rc8mmm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left:0;text-align:left;margin-left:-70.9pt;margin-top:49.65pt;width:595.2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sgDQIAAPs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KhZyyA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238553" id="Rectangle 792" o:spid="_x0000_s1026" style="position:absolute;margin-left:379.65pt;margin-top:23.65pt;width:144.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s6x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9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939C53" id="Rectangle 793" o:spid="_x0000_s1026" style="position:absolute;margin-left:-70.9pt;margin-top:23.65pt;width:142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BYscwp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8553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0.9pt;margin-top:49.65pt;width:595.25pt;height: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Mtxt1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8451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78355D" id="Rectangle 980" o:spid="_x0000_s1026" style="position:absolute;margin-left:379.65pt;margin-top:23.65pt;width:144.5pt;height:17.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COc46h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8348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8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44D8AA" id="Rectangle 981" o:spid="_x0000_s1026" style="position:absolute;margin-left:-70.9pt;margin-top:23.65pt;width:142pt;height:17.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igM85m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-899795</wp:posOffset>
              </wp:positionH>
              <wp:positionV relativeFrom="paragraph">
                <wp:posOffset>43815</wp:posOffset>
              </wp:positionV>
              <wp:extent cx="7557135" cy="594360"/>
              <wp:effectExtent l="0" t="0" r="0" b="0"/>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70.85pt;margin-top:3.45pt;width:595.05pt;height:4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Slovenia</w:t>
                    </w:r>
                  </w:p>
                </w:txbxContent>
              </v:textbox>
            </v:shape>
          </w:pict>
        </mc:Fallback>
      </mc:AlternateContent>
    </w:r>
    <w:r>
      <w:rPr>
        <w:noProof/>
        <w:lang w:eastAsia="en-GB"/>
      </w:rPr>
      <mc:AlternateContent>
        <mc:Choice Requires="wps">
          <w:drawing>
            <wp:anchor distT="0" distB="0" distL="114300" distR="114300" simplePos="0" relativeHeight="251582464" behindDoc="0" locked="0" layoutInCell="1" allowOverlap="1">
              <wp:simplePos x="0" y="0"/>
              <wp:positionH relativeFrom="column">
                <wp:posOffset>-899795</wp:posOffset>
              </wp:positionH>
              <wp:positionV relativeFrom="paragraph">
                <wp:posOffset>43815</wp:posOffset>
              </wp:positionV>
              <wp:extent cx="7557135" cy="594360"/>
              <wp:effectExtent l="0" t="0" r="0" b="0"/>
              <wp:wrapNone/>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0.85pt;margin-top:3.45pt;width:595.05pt;height:46.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Slovenia</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left:0;text-align:left;margin-left:-70.9pt;margin-top:49.65pt;width:59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2QmWA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70.9pt;margin-top:17.5pt;width:595.05pt;height:3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DjX&#10;VZw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F11EC5" id="Rectangle 797" o:spid="_x0000_s1026" style="position:absolute;margin-left:379.65pt;margin-top:23.65pt;width:144.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oAEkM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B7D881" id="Rectangle 798" o:spid="_x0000_s1026" style="position:absolute;margin-left:-70.9pt;margin-top:23.65pt;width:142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DijOm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8144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70.9pt;margin-top:49.65pt;width:595.25pt;height:3.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ZimBz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7836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70.9pt;margin-top:17.5pt;width:595.05pt;height:32.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wDbx&#10;V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8041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B92337" id="Rectangle 984" o:spid="_x0000_s1026" style="position:absolute;margin-left:379.65pt;margin-top:23.65pt;width:144.5pt;height:17.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8F0dQW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7939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2ACF03" id="Rectangle 985" o:spid="_x0000_s1026" style="position:absolute;margin-left:-70.9pt;margin-top:23.65pt;width:142pt;height:17.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BZwsIPZQIAAM4EAAAOAAAAAAAAAAAAAAAAAC4CAABk&#10;cnMvZTJvRG9jLnhtbFBLAQItABQABgAIAAAAIQCHUKNL4AAAAAoBAAAPAAAAAAAAAAAAAAAAAL8E&#10;AABkcnMvZG93bnJldi54bWxQSwUGAAAAAAQABADzAAAAzAUAAAAA&#10;" fillcolor="#004194" stroked="f" strokeweight="2pt">
              <v:path arrowok="t"/>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70.9pt;margin-top:49.65pt;width:595.2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QxIoCwIA&#10;APs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40"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7AE280" id="Rectangle 840" o:spid="_x0000_s1026" style="position:absolute;margin-left:379.65pt;margin-top:23.65pt;width:144.5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uYZA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JO5K5h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4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29A391" id="Rectangle 841" o:spid="_x0000_s1026" style="position:absolute;margin-left:-70.9pt;margin-top:23.65pt;width:142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Oib01m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742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70.9pt;margin-top:49.65pt;width:595.25pt;height: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s8O2N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732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671B55" id="Rectangle 177" o:spid="_x0000_s1026" style="position:absolute;margin-left:379.65pt;margin-top:23.65pt;width:144.5pt;height:17.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ChwcKp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722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3B1227" id="Rectangle 178" o:spid="_x0000_s1026" style="position:absolute;margin-left:-70.9pt;margin-top:23.65pt;width:142pt;height:17.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EianG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-899795</wp:posOffset>
              </wp:positionH>
              <wp:positionV relativeFrom="paragraph">
                <wp:posOffset>43815</wp:posOffset>
              </wp:positionV>
              <wp:extent cx="7557135" cy="632460"/>
              <wp:effectExtent l="0" t="0" r="0" b="0"/>
              <wp:wrapNone/>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324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Slovakia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70.85pt;margin-top:3.45pt;width:595.05pt;height:4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Slovakia</w:t>
                    </w:r>
                  </w:p>
                </w:txbxContent>
              </v:textbox>
            </v:shape>
          </w:pict>
        </mc:Fallback>
      </mc:AlternateContent>
    </w:r>
    <w:r>
      <w:rPr>
        <w:noProof/>
        <w:lang w:eastAsia="en-GB"/>
      </w:rPr>
      <mc:AlternateContent>
        <mc:Choice Requires="wps">
          <w:drawing>
            <wp:anchor distT="0" distB="0" distL="114300" distR="114300" simplePos="0" relativeHeight="251571200" behindDoc="0" locked="0" layoutInCell="1" allowOverlap="1">
              <wp:simplePos x="0" y="0"/>
              <wp:positionH relativeFrom="column">
                <wp:posOffset>-899795</wp:posOffset>
              </wp:positionH>
              <wp:positionV relativeFrom="paragraph">
                <wp:posOffset>43815</wp:posOffset>
              </wp:positionV>
              <wp:extent cx="7557135" cy="632460"/>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324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Slovakia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70.85pt;margin-top:3.45pt;width:595.05pt;height:49.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Slovakia</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70.9pt;margin-top:49.65pt;width:595.2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LLf3I0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70.9pt;margin-top:17.5pt;width:595.05pt;height:3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cjSo&#10;u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854005" id="Rectangle 845" o:spid="_x0000_s1026" style="position:absolute;margin-left:379.65pt;margin-top:23.65pt;width:144.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hArO0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FB10B3" id="Rectangle 846" o:spid="_x0000_s1026" style="position:absolute;margin-left:-70.9pt;margin-top:23.65pt;width:142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5HZWB2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7017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70.9pt;margin-top:49.65pt;width:595.25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x6eOA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6710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70.9pt;margin-top:17.5pt;width:595.05pt;height:32.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9d7D&#10;e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691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50480A" id="Rectangle 181" o:spid="_x0000_s1026" style="position:absolute;margin-left:379.65pt;margin-top:23.65pt;width:144.5pt;height:17.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O/0FYV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6812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67B692" id="Rectangle 182" o:spid="_x0000_s1026" style="position:absolute;margin-left:-70.9pt;margin-top:23.65pt;width:142pt;height:17.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j4iNUm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370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70.9pt;margin-top:49.65pt;width:595.2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0QCwIAAPs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wKo0QCwIA&#10;APs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62C2BC" id="Rectangle 848" o:spid="_x0000_s1026" style="position:absolute;margin-left:379.65pt;margin-top:23.65pt;width:144.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0PKeQ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F3EF56" id="Rectangle 849" o:spid="_x0000_s1026" style="position:absolute;margin-left:-70.9pt;margin-top:23.65pt;width:142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2jeN5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980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70.9pt;margin-top:49.65pt;width:595.2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0ImtX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87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D02288" id="Rectangle 71" o:spid="_x0000_s1026" style="position:absolute;margin-left:379.65pt;margin-top:23.65pt;width:144.5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99Yw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UKwvfW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3776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82393D" id="Rectangle 72" o:spid="_x0000_s1026" style="position:absolute;margin-left:-70.9pt;margin-top:23.65pt;width:142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sH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G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ppeLB2MCAADM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-899795</wp:posOffset>
              </wp:positionH>
              <wp:positionV relativeFrom="paragraph">
                <wp:posOffset>43815</wp:posOffset>
              </wp:positionV>
              <wp:extent cx="7557135" cy="579120"/>
              <wp:effectExtent l="0" t="0" r="0" b="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70.85pt;margin-top:3.45pt;width:595.05pt;height:4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Finland</w:t>
                    </w:r>
                  </w:p>
                </w:txbxContent>
              </v:textbox>
            </v:shape>
          </w:pict>
        </mc:Fallback>
      </mc:AlternateContent>
    </w:r>
    <w:r>
      <w:rPr>
        <w:noProof/>
        <w:lang w:eastAsia="en-GB"/>
      </w:rPr>
      <mc:AlternateContent>
        <mc:Choice Requires="wps">
          <w:drawing>
            <wp:anchor distT="0" distB="0" distL="114300" distR="114300" simplePos="0" relativeHeight="251635712" behindDoc="0" locked="0" layoutInCell="1" allowOverlap="1">
              <wp:simplePos x="0" y="0"/>
              <wp:positionH relativeFrom="column">
                <wp:posOffset>-899795</wp:posOffset>
              </wp:positionH>
              <wp:positionV relativeFrom="paragraph">
                <wp:posOffset>43815</wp:posOffset>
              </wp:positionV>
              <wp:extent cx="7557135" cy="5791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70.85pt;margin-top:3.45pt;width:595.05pt;height:4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Finland</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left:0;text-align:left;margin-left:-70.9pt;margin-top:49.65pt;width:595.2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AuzHe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70.9pt;margin-top:17.5pt;width:595.05pt;height:3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qhqV/&#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2F5A80" id="Rectangle 853" o:spid="_x0000_s1026" style="position:absolute;margin-left:379.65pt;margin-top:23.65pt;width:144.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88ZQIAAM4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FNd88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54"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A9549C" id="Rectangle 854" o:spid="_x0000_s1026" style="position:absolute;margin-left:-70.9pt;margin-top:23.65pt;width:142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kCZQ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D2iLkCZQIAAM4EAAAOAAAAAAAAAAAAAAAAAC4CAABk&#10;cnMvZTJvRG9jLnhtbFBLAQItABQABgAIAAAAIQCHUKNL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46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70.9pt;margin-top:49.65pt;width:595.25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36XjU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161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70.9pt;margin-top:17.5pt;width:595.05pt;height:3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M/JR&#10;6R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336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989524" id="Rectangle 75" o:spid="_x0000_s1026" style="position:absolute;margin-left:379.65pt;margin-top:23.65pt;width:144.5pt;height:1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9qZA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Wc32p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26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E67DC9" id="Rectangle 76" o:spid="_x0000_s1026" style="position:absolute;margin-left:-70.9pt;margin-top:23.65pt;width:142pt;height:1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sQYgIAAMw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DDp3sQ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4630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left:0;text-align:left;margin-left:-70.9pt;margin-top:49.65pt;width:595.2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nJZU6CwIA&#10;APs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413F05" id="Rectangle 856" o:spid="_x0000_s1026" style="position:absolute;margin-left:379.65pt;margin-top:23.65pt;width:144.5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Shjp0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AC602A" id="Rectangle 857" o:spid="_x0000_s1026" style="position:absolute;margin-left:-70.9pt;margin-top:23.65pt;width:142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U6ZA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PsZ5Tp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059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70.9pt;margin-top:49.65pt;width:595.2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AltjLsN&#10;AgAA/A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865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34B82D" id="Rectangle 1052" o:spid="_x0000_s1026" style="position:absolute;margin-left:379.65pt;margin-top:23.65pt;width:144.5pt;height:17.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LxFsAZQIAANA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7734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0E3A08" id="Rectangle 1053" o:spid="_x0000_s1026" style="position:absolute;margin-left:-70.9pt;margin-top:23.65pt;width:142pt;height:17.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HBdO0ZkAgAA0A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-899795</wp:posOffset>
              </wp:positionH>
              <wp:positionV relativeFrom="paragraph">
                <wp:posOffset>43815</wp:posOffset>
              </wp:positionV>
              <wp:extent cx="7557135" cy="594360"/>
              <wp:effectExtent l="0" t="0" r="0" b="0"/>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Sweden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70.85pt;margin-top:3.45pt;width:595.05pt;height:46.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Sweden</w:t>
                    </w:r>
                  </w:p>
                </w:txbxContent>
              </v:textbox>
            </v:shape>
          </w:pict>
        </mc:Fallback>
      </mc:AlternateContent>
    </w:r>
    <w:r>
      <w:rPr>
        <w:noProof/>
        <w:lang w:eastAsia="en-GB"/>
      </w:rPr>
      <mc:AlternateContent>
        <mc:Choice Requires="wps">
          <w:drawing>
            <wp:anchor distT="0" distB="0" distL="114300" distR="114300" simplePos="0" relativeHeight="251576320" behindDoc="0" locked="0" layoutInCell="1" allowOverlap="1">
              <wp:simplePos x="0" y="0"/>
              <wp:positionH relativeFrom="column">
                <wp:posOffset>-899795</wp:posOffset>
              </wp:positionH>
              <wp:positionV relativeFrom="paragraph">
                <wp:posOffset>43815</wp:posOffset>
              </wp:positionV>
              <wp:extent cx="7557135" cy="594360"/>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Sweden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70.85pt;margin-top:3.45pt;width:595.05pt;height:46.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Sweden</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left:0;text-align:left;margin-left:-70.9pt;margin-top:49.65pt;width:595.2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VfYec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0.9pt;margin-top:17.5pt;width:595.05pt;height:3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xD5P&#10;Y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4CECE6" id="Rectangle 861" o:spid="_x0000_s1026" style="position:absolute;margin-left:379.65pt;margin-top:23.65pt;width:144.5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g9hHb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71DD47" id="Rectangle 862" o:spid="_x0000_s1026" style="position:absolute;margin-left:-70.9pt;margin-top:23.65pt;width:142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kMYw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wIqJD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578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70.9pt;margin-top:49.65pt;width:595.25pt;height:3.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xzptl&#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5379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70.9pt;margin-top:17.5pt;width:595.05pt;height:32.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obsP&#10;+xACAAD9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568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B8A178" id="Rectangle 1056" o:spid="_x0000_s1026" style="position:absolute;margin-left:379.65pt;margin-top:23.65pt;width:144.5pt;height:17.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UB1Zy2YCAADQ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558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393B34" id="Rectangle 1057" o:spid="_x0000_s1026" style="position:absolute;margin-left:-70.9pt;margin-top:23.65pt;width:142pt;height:17.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OuEOY1kAgAA0A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1A87F3" id="Rectangle 863" o:spid="_x0000_s1026" style="position:absolute;margin-left:379.65pt;margin-top:23.65pt;width:144.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pFVZC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6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93B333" id="Rectangle 864" o:spid="_x0000_s1026" style="position:absolute;margin-left:-70.9pt;margin-top:23.65pt;width:142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B8ZA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qoMHx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21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3097E3" id="Rectangle 109" o:spid="_x0000_s1026" style="position:absolute;margin-left:379.65pt;margin-top:23.65pt;width:144.5pt;height:1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FaK/7N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113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B9CF9C" id="Rectangle 110" o:spid="_x0000_s1026" style="position:absolute;margin-left:-70.9pt;margin-top:23.65pt;width:142pt;height:1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DDjQRpYgIAAM4EAAAOAAAAAAAAAAAAAAAAAC4CAABkcnMv&#10;ZTJvRG9jLnhtbFBLAQItABQABgAIAAAAIQCHUKNL4AAAAAoBAAAPAAAAAAAAAAAAAAAAALwEAABk&#10;cnMvZG93bnJldi54bWxQSwUGAAAAAAQABADzAAAAyQU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-900430</wp:posOffset>
              </wp:positionH>
              <wp:positionV relativeFrom="paragraph">
                <wp:posOffset>462915</wp:posOffset>
              </wp:positionV>
              <wp:extent cx="7559675" cy="45085"/>
              <wp:effectExtent l="0" t="19050" r="0" b="12065"/>
              <wp:wrapNone/>
              <wp:docPr id="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70.9pt;margin-top:36.45pt;width:595.25pt;height: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simplePos x="0" y="0"/>
              <wp:positionH relativeFrom="column">
                <wp:posOffset>-900430</wp:posOffset>
              </wp:positionH>
              <wp:positionV relativeFrom="paragraph">
                <wp:posOffset>43815</wp:posOffset>
              </wp:positionV>
              <wp:extent cx="7557135" cy="601980"/>
              <wp:effectExtent l="0" t="0" r="0" b="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United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70.9pt;margin-top:3.45pt;width:595.05pt;height:4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United Kingdom</w:t>
                    </w:r>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simplePos x="0" y="0"/>
              <wp:positionH relativeFrom="column">
                <wp:posOffset>-900430</wp:posOffset>
              </wp:positionH>
              <wp:positionV relativeFrom="paragraph">
                <wp:posOffset>462915</wp:posOffset>
              </wp:positionV>
              <wp:extent cx="7559675" cy="45085"/>
              <wp:effectExtent l="0" t="19050" r="0" b="1206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70.9pt;margin-top:36.45pt;width:595.25pt;height:3.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0112" behindDoc="0" locked="0" layoutInCell="1" allowOverlap="1">
              <wp:simplePos x="0" y="0"/>
              <wp:positionH relativeFrom="column">
                <wp:posOffset>-900430</wp:posOffset>
              </wp:positionH>
              <wp:positionV relativeFrom="paragraph">
                <wp:posOffset>43815</wp:posOffset>
              </wp:positionV>
              <wp:extent cx="7557135" cy="60198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United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70.9pt;margin-top:3.45pt;width:595.05pt;height:47.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United Kingdom</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rPr>
        <w:rFonts w:ascii="Arial" w:hAnsi="Arial" w:cs="Arial"/>
      </w:rPr>
    </w:pPr>
    <w:r>
      <w:rPr>
        <w:noProof/>
        <w:lang w:eastAsia="en-GB"/>
      </w:rPr>
      <mc:AlternateContent>
        <mc:Choice Requires="wps">
          <w:drawing>
            <wp:anchor distT="0" distB="0" distL="114300" distR="114300" simplePos="0" relativeHeight="25176064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left:0;text-align:left;margin-left:-70.9pt;margin-top:49.65pt;width:595.2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EFdwVAwC&#10;AAD8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565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70.9pt;margin-top:17.5pt;width:595.05pt;height:3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26ce&#10;xRACAAD9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13938A" id="Rectangle 877" o:spid="_x0000_s1026" style="position:absolute;margin-left:379.65pt;margin-top:23.65pt;width:144.5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hyQA3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7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205E69" id="Rectangle 878" o:spid="_x0000_s1026" style="position:absolute;margin-left:-70.9pt;margin-top:23.65pt;width:142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NfHqAW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090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70.9pt;margin-top:49.65pt;width:595.25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pnuJLAwC&#10;AAD8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601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70.9pt;margin-top:17.5pt;width:595.05pt;height:3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fF5e&#10;QRACAAD9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080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1716A7" id="Rectangle 105" o:spid="_x0000_s1026" style="position:absolute;margin-left:379.65pt;margin-top:23.65pt;width:144.5pt;height:1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izo1S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070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0E2340" id="Rectangle 106" o:spid="_x0000_s1026" style="position:absolute;margin-left:-70.9pt;margin-top:23.65pt;width:142pt;height:1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ArIVhW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6A83A2" id="Rectangle 879" o:spid="_x0000_s1026" style="position:absolute;margin-left:379.65pt;margin-top:23.65pt;width:144.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cbjVP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5D0202" id="Rectangle 880" o:spid="_x0000_s1026" style="position:absolute;margin-left:-70.9pt;margin-top:23.65pt;width:142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D9K6Vm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FF5504" id="Rectangle 63" o:spid="_x0000_s1026" style="position:absolute;margin-left:379.65pt;margin-top:23.65pt;width:144.5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gPZAIAAMw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IsseA9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185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E16DB3" id="Rectangle 95" o:spid="_x0000_s1026" style="position:absolute;margin-left:-70.9pt;margin-top:23.65pt;width:142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KLuFTBkAgAAzA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-899795</wp:posOffset>
              </wp:positionH>
              <wp:positionV relativeFrom="paragraph">
                <wp:posOffset>45720</wp:posOffset>
              </wp:positionV>
              <wp:extent cx="7557770" cy="702945"/>
              <wp:effectExtent l="0" t="0" r="0" b="1905"/>
              <wp:wrapNone/>
              <wp:docPr id="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702945"/>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A6A6A6"/>
                              <w:sz w:val="20"/>
                            </w:rPr>
                          </w:pPr>
                          <w:r>
                            <w:rPr>
                              <w:rFonts w:ascii="Arial" w:hAnsi="Arial" w:cs="Arial"/>
                              <w:color w:val="A6A6A6"/>
                              <w:sz w:val="20"/>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70.85pt;margin-top:3.6pt;width:595.1pt;height:5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A6A6A6"/>
                        <w:sz w:val="20"/>
                      </w:rPr>
                    </w:pPr>
                    <w:r>
                      <w:rPr>
                        <w:rFonts w:ascii="Arial" w:hAnsi="Arial" w:cs="Arial"/>
                        <w:color w:val="A6A6A6"/>
                        <w:sz w:val="20"/>
                      </w:rPr>
                      <w:t>Methodology and explanations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-861695</wp:posOffset>
              </wp:positionH>
              <wp:positionV relativeFrom="paragraph">
                <wp:posOffset>579120</wp:posOffset>
              </wp:positionV>
              <wp:extent cx="7559675" cy="45720"/>
              <wp:effectExtent l="0" t="19050" r="0" b="11430"/>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67.85pt;margin-top:45.6pt;width:595.2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simplePos x="0" y="0"/>
              <wp:positionH relativeFrom="column">
                <wp:posOffset>-899795</wp:posOffset>
              </wp:positionH>
              <wp:positionV relativeFrom="paragraph">
                <wp:posOffset>45720</wp:posOffset>
              </wp:positionV>
              <wp:extent cx="7557770" cy="702945"/>
              <wp:effectExtent l="0" t="0" r="0" b="190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702945"/>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A6A6A6"/>
                              <w:sz w:val="20"/>
                            </w:rPr>
                          </w:pPr>
                          <w:r>
                            <w:rPr>
                              <w:rFonts w:ascii="Arial" w:hAnsi="Arial" w:cs="Arial"/>
                              <w:color w:val="A6A6A6"/>
                              <w:sz w:val="20"/>
                            </w:rPr>
                            <w:t>Methodology and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70.85pt;margin-top:3.6pt;width:595.1pt;height:55.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A6A6A6"/>
                        <w:sz w:val="20"/>
                      </w:rPr>
                    </w:pPr>
                    <w:r>
                      <w:rPr>
                        <w:rFonts w:ascii="Arial" w:hAnsi="Arial" w:cs="Arial"/>
                        <w:color w:val="A6A6A6"/>
                        <w:sz w:val="20"/>
                      </w:rPr>
                      <w:t>Methodology and explanations</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-861695</wp:posOffset>
              </wp:positionH>
              <wp:positionV relativeFrom="paragraph">
                <wp:posOffset>579120</wp:posOffset>
              </wp:positionV>
              <wp:extent cx="7559675" cy="45720"/>
              <wp:effectExtent l="0" t="19050" r="0" b="1143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67.85pt;margin-top:45.6pt;width:595.25pt;height:3.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" filled="f" stroked="f">
              <v:textbox>
                <w:txbxContent>
                  <w:p>
                    <w:pPr>
                      <w:pStyle w:val="Priorities"/>
                      <w:ind w:right="555"/>
                      <w:jc w:val="both"/>
                      <w:rPr>
                        <w:color w:val="808080"/>
                        <w:lang w:val="de-DE"/>
                      </w:rPr>
                    </w:pP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rPr>
        <w:rFonts w:ascii="Arial" w:hAnsi="Arial" w:cs="Arial"/>
      </w:rPr>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left:0;text-align:left;margin-left:-70.9pt;margin-top:49.65pt;width:595.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r2hlu&#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70.9pt;margin-top:17.5pt;width:595.05pt;height:3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HUg&#10;W/E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18823E" id="Rectangle 885" o:spid="_x0000_s1026" style="position:absolute;margin-left:379.65pt;margin-top:23.65pt;width:144.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dYyb8W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B6D873" id="Rectangle 886" o:spid="_x0000_s1026" style="position:absolute;margin-left:-70.9pt;margin-top:23.65pt;width:142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BXwAyZ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70.9pt;margin-top:49.65pt;width:595.2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DiU7gQN&#10;AgAA/A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70.9pt;margin-top:17.5pt;width:595.05pt;height:3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B2Q&#10;Mzk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1E42E9" id="Rectangle 312" o:spid="_x0000_s1026" style="position:absolute;margin-left:379.65pt;margin-top:23.65pt;width:144.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lxbw8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D451D2" id="Rectangle 313" o:spid="_x0000_s1026" style="position:absolute;margin-left:-70.9pt;margin-top:23.65pt;width:142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NyYwIAAM4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TFpjcm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pt;margin-top:49.65pt;width:595.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Pi7MKoKAgAA&#10;8w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17D95D" id="Rectangle 385" o:spid="_x0000_s1026" style="position:absolute;margin-left:379.65pt;margin-top:23.65pt;width:144.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PZgIAAM4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vnPQT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519C52" id="Rectangle 386" o:spid="_x0000_s1026" style="position:absolute;margin-left:-70.85pt;margin-top:23.65pt;width:142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N4PSJh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4355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9pt;margin-top:49.65pt;width:595.25pt;height:3.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O9MctsKAgAA&#10;+Q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445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36E891" id="Rectangle 17" o:spid="_x0000_s1026" style="position:absolute;margin-left:379.65pt;margin-top:23.65pt;width:144.5pt;height:17.2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E1MPQm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45600"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C5A563" id="Rectangle 18" o:spid="_x0000_s1026" style="position:absolute;margin-left:-70.85pt;margin-top:23.65pt;width:142pt;height:17.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Sji7A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0.85pt;margin-top:3.45pt;width:595.05pt;height:4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MADdb0P&#10;AgAA+w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v:textbox>
            </v:shape>
          </w:pict>
        </mc:Fallback>
      </mc:AlternateContent>
    </w:r>
    <w:r>
      <w:rPr>
        <w:noProof/>
        <w:lang w:eastAsia="en-GB"/>
      </w:rPr>
      <mc:AlternateContent>
        <mc:Choice Requires="wps">
          <w:drawing>
            <wp:anchor distT="0" distB="0" distL="114300" distR="114300" simplePos="0" relativeHeight="251546624"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85pt;margin-top:3.45pt;width:595.05pt;height:42.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HUXXLAP&#10;AgAA+g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v:textbox>
            </v:shape>
          </w:pict>
        </mc:Fallback>
      </mc:AlternateContent>
    </w: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5859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qCqr0Q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616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35CCF6" id="Rectangle 389" o:spid="_x0000_s1026" style="position:absolute;margin-left:379.65pt;margin-top:23.65pt;width:144.5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KN6Ku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7CE464" id="Rectangle 390" o:spid="_x0000_s1026" style="position:absolute;margin-left:-70.85pt;margin-top:23.65pt;width:142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B8wWXR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4764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9pt;margin-top:49.65pt;width:595.25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OkFJcCwIA&#10;APk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5072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406C0F" id="Rectangle 25" o:spid="_x0000_s1026" style="position:absolute;margin-left:379.65pt;margin-top:23.65pt;width:144.5pt;height:17.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BviB8N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95776"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01A46D" id="Rectangle 26" o:spid="_x0000_s1026" style="position:absolute;margin-left:-70.85pt;margin-top:23.65pt;width:142pt;height: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O5YgIAAMw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7dmjuW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-897255</wp:posOffset>
              </wp:positionH>
              <wp:positionV relativeFrom="paragraph">
                <wp:posOffset>33655</wp:posOffset>
              </wp:positionV>
              <wp:extent cx="7557135" cy="41910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0.65pt;margin-top:2.65pt;width:595.05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-897255</wp:posOffset>
              </wp:positionH>
              <wp:positionV relativeFrom="paragraph">
                <wp:posOffset>33655</wp:posOffset>
              </wp:positionV>
              <wp:extent cx="7557135" cy="4191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0.65pt;margin-top:2.65pt;width:595.0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p>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6576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pt;margin-top:49.65pt;width:595.2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2k2Fo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377886" id="Rectangle 654" o:spid="_x0000_s1026" style="position:absolute;margin-left:379.65pt;margin-top:23.65pt;width:144.5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0EZg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FbTdB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64C118" id="Rectangle 655" o:spid="_x0000_s1026" style="position:absolute;margin-left:-70.9pt;margin-top:23.65pt;width:142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C8KwJKZQIAAM4EAAAOAAAAAAAAAAAAAAAAAC4CAABk&#10;cnMvZTJvRG9jLnhtbFBLAQItABQABgAIAAAAIQCHUKNL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673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9pt;margin-top:49.65pt;width:595.2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Epg2bQ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62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7E8A17" id="Rectangle 628" o:spid="_x0000_s1026" style="position:absolute;margin-left:379.65pt;margin-top:23.65pt;width:144.5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WE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irRW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7529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803A84" id="Rectangle 629" o:spid="_x0000_s1026" style="position:absolute;margin-left:-70.9pt;margin-top:23.65pt;width:142pt;height:17.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syysp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-975995</wp:posOffset>
              </wp:positionH>
              <wp:positionV relativeFrom="paragraph">
                <wp:posOffset>43815</wp:posOffset>
              </wp:positionV>
              <wp:extent cx="7557135" cy="579120"/>
              <wp:effectExtent l="0" t="0" r="0" b="0"/>
              <wp:wrapNone/>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Hungary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6.85pt;margin-top:3.45pt;width:595.05pt;height:45.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Hungary</w:t>
                    </w:r>
                  </w:p>
                </w:txbxContent>
              </v:textbox>
            </v:shape>
          </w:pict>
        </mc:Fallback>
      </mc:AlternateContent>
    </w:r>
    <w:r>
      <w:rPr>
        <w:noProof/>
        <w:lang w:eastAsia="en-GB"/>
      </w:rPr>
      <mc:AlternateContent>
        <mc:Choice Requires="wps">
          <w:drawing>
            <wp:anchor distT="0" distB="0" distL="114300" distR="114300" simplePos="0" relativeHeight="251554816" behindDoc="0" locked="0" layoutInCell="1" allowOverlap="1">
              <wp:simplePos x="0" y="0"/>
              <wp:positionH relativeFrom="column">
                <wp:posOffset>-975995</wp:posOffset>
              </wp:positionH>
              <wp:positionV relativeFrom="paragraph">
                <wp:posOffset>43815</wp:posOffset>
              </wp:positionV>
              <wp:extent cx="7557135" cy="579120"/>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Hungary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6.85pt;margin-top:3.45pt;width:595.05pt;height:4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Hungary</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0.9pt;margin-top:49.65pt;width:595.2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h24GE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9pt;margin-top:17.5pt;width:595.05pt;height:3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PFO&#10;/BM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A4E561" id="Rectangle 667" o:spid="_x0000_s1026" style="position:absolute;margin-left:379.65pt;margin-top:23.65pt;width:144.5pt;height:1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0BQhC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A4BF17" id="Rectangle 668" o:spid="_x0000_s1026" style="position:absolute;margin-left:-70.9pt;margin-top:23.65pt;width:142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YD3id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5276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0.9pt;margin-top:49.65pt;width:595.25pt;height:3.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Lo7G2U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4867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0.9pt;margin-top:17.5pt;width:595.05pt;height:32.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HJh&#10;ml0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517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FF6037" id="Rectangle 632" o:spid="_x0000_s1026" style="position:absolute;margin-left:379.65pt;margin-top:23.65pt;width:144.5pt;height:17.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aJZQ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X1naJ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4969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8AAE23" id="Rectangle 633" o:spid="_x0000_s1026" style="position:absolute;margin-left:-70.9pt;margin-top:23.65pt;width:142pt;height:17.2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mpx2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8092"/>
        </w:tabs>
        <w:ind w:left="8092" w:hanging="360"/>
      </w:pPr>
    </w:lvl>
  </w:abstractNum>
  <w:abstractNum w:abstractNumId="1">
    <w:nsid w:val="FFFFFF82"/>
    <w:multiLevelType w:val="singleLevel"/>
    <w:tmpl w:val="43DA9020"/>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00294283"/>
    <w:multiLevelType w:val="hybridMultilevel"/>
    <w:tmpl w:val="CAFEED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05A33B5"/>
    <w:multiLevelType w:val="hybridMultilevel"/>
    <w:tmpl w:val="D47AD8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06E2A34"/>
    <w:multiLevelType w:val="hybridMultilevel"/>
    <w:tmpl w:val="AEA46382"/>
    <w:lvl w:ilvl="0" w:tplc="D93E9850">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8653D7"/>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0E1770F"/>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7">
    <w:nsid w:val="00EB5EA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2BA39C0"/>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2BA5506"/>
    <w:multiLevelType w:val="hybridMultilevel"/>
    <w:tmpl w:val="0DEECF90"/>
    <w:lvl w:ilvl="0" w:tplc="08090003">
      <w:start w:val="1"/>
      <w:numFmt w:val="bullet"/>
      <w:lvlText w:val="o"/>
      <w:lvlJc w:val="left"/>
      <w:pPr>
        <w:ind w:left="2792" w:hanging="360"/>
      </w:pPr>
      <w:rPr>
        <w:rFonts w:ascii="Courier New" w:hAnsi="Courier New" w:cs="Courier New" w:hint="default"/>
      </w:rPr>
    </w:lvl>
    <w:lvl w:ilvl="1" w:tplc="08090003">
      <w:start w:val="1"/>
      <w:numFmt w:val="bullet"/>
      <w:lvlText w:val="o"/>
      <w:lvlJc w:val="left"/>
      <w:pPr>
        <w:ind w:left="3512" w:hanging="360"/>
      </w:pPr>
      <w:rPr>
        <w:rFonts w:ascii="Courier New" w:hAnsi="Courier New" w:cs="Courier New" w:hint="default"/>
      </w:rPr>
    </w:lvl>
    <w:lvl w:ilvl="2" w:tplc="08090005" w:tentative="1">
      <w:start w:val="1"/>
      <w:numFmt w:val="bullet"/>
      <w:lvlText w:val=""/>
      <w:lvlJc w:val="left"/>
      <w:pPr>
        <w:ind w:left="4232" w:hanging="360"/>
      </w:pPr>
      <w:rPr>
        <w:rFonts w:ascii="Wingdings" w:hAnsi="Wingdings" w:hint="default"/>
      </w:rPr>
    </w:lvl>
    <w:lvl w:ilvl="3" w:tplc="08090001" w:tentative="1">
      <w:start w:val="1"/>
      <w:numFmt w:val="bullet"/>
      <w:lvlText w:val=""/>
      <w:lvlJc w:val="left"/>
      <w:pPr>
        <w:ind w:left="4952" w:hanging="360"/>
      </w:pPr>
      <w:rPr>
        <w:rFonts w:ascii="Symbol" w:hAnsi="Symbol" w:hint="default"/>
      </w:rPr>
    </w:lvl>
    <w:lvl w:ilvl="4" w:tplc="08090003" w:tentative="1">
      <w:start w:val="1"/>
      <w:numFmt w:val="bullet"/>
      <w:lvlText w:val="o"/>
      <w:lvlJc w:val="left"/>
      <w:pPr>
        <w:ind w:left="5672" w:hanging="360"/>
      </w:pPr>
      <w:rPr>
        <w:rFonts w:ascii="Courier New" w:hAnsi="Courier New" w:cs="Courier New" w:hint="default"/>
      </w:rPr>
    </w:lvl>
    <w:lvl w:ilvl="5" w:tplc="08090005" w:tentative="1">
      <w:start w:val="1"/>
      <w:numFmt w:val="bullet"/>
      <w:lvlText w:val=""/>
      <w:lvlJc w:val="left"/>
      <w:pPr>
        <w:ind w:left="6392" w:hanging="360"/>
      </w:pPr>
      <w:rPr>
        <w:rFonts w:ascii="Wingdings" w:hAnsi="Wingdings" w:hint="default"/>
      </w:rPr>
    </w:lvl>
    <w:lvl w:ilvl="6" w:tplc="08090001" w:tentative="1">
      <w:start w:val="1"/>
      <w:numFmt w:val="bullet"/>
      <w:lvlText w:val=""/>
      <w:lvlJc w:val="left"/>
      <w:pPr>
        <w:ind w:left="7112" w:hanging="360"/>
      </w:pPr>
      <w:rPr>
        <w:rFonts w:ascii="Symbol" w:hAnsi="Symbol" w:hint="default"/>
      </w:rPr>
    </w:lvl>
    <w:lvl w:ilvl="7" w:tplc="08090003" w:tentative="1">
      <w:start w:val="1"/>
      <w:numFmt w:val="bullet"/>
      <w:lvlText w:val="o"/>
      <w:lvlJc w:val="left"/>
      <w:pPr>
        <w:ind w:left="7832" w:hanging="360"/>
      </w:pPr>
      <w:rPr>
        <w:rFonts w:ascii="Courier New" w:hAnsi="Courier New" w:cs="Courier New" w:hint="default"/>
      </w:rPr>
    </w:lvl>
    <w:lvl w:ilvl="8" w:tplc="08090005" w:tentative="1">
      <w:start w:val="1"/>
      <w:numFmt w:val="bullet"/>
      <w:lvlText w:val=""/>
      <w:lvlJc w:val="left"/>
      <w:pPr>
        <w:ind w:left="8552" w:hanging="360"/>
      </w:pPr>
      <w:rPr>
        <w:rFonts w:ascii="Wingdings" w:hAnsi="Wingdings" w:hint="default"/>
      </w:rPr>
    </w:lvl>
  </w:abstractNum>
  <w:abstractNum w:abstractNumId="10">
    <w:nsid w:val="03080447"/>
    <w:multiLevelType w:val="hybridMultilevel"/>
    <w:tmpl w:val="4D7045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32A0FC0"/>
    <w:multiLevelType w:val="hybridMultilevel"/>
    <w:tmpl w:val="B24A6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3312520"/>
    <w:multiLevelType w:val="hybridMultilevel"/>
    <w:tmpl w:val="C714EE0C"/>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3">
    <w:nsid w:val="03796051"/>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4">
    <w:nsid w:val="03AE4A63"/>
    <w:multiLevelType w:val="hybridMultilevel"/>
    <w:tmpl w:val="4C8852B2"/>
    <w:lvl w:ilvl="0" w:tplc="08090001">
      <w:start w:val="1"/>
      <w:numFmt w:val="bullet"/>
      <w:lvlText w:val=""/>
      <w:lvlJc w:val="left"/>
      <w:pPr>
        <w:ind w:left="1779" w:hanging="360"/>
      </w:pPr>
      <w:rPr>
        <w:rFonts w:ascii="Symbol" w:hAnsi="Symbol" w:hint="default"/>
      </w:rPr>
    </w:lvl>
    <w:lvl w:ilvl="1" w:tplc="08090003">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5">
    <w:nsid w:val="041B21C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4E03609"/>
    <w:multiLevelType w:val="hybridMultilevel"/>
    <w:tmpl w:val="71A67D80"/>
    <w:lvl w:ilvl="0" w:tplc="08090001">
      <w:start w:val="1"/>
      <w:numFmt w:val="bullet"/>
      <w:lvlText w:val=""/>
      <w:lvlJc w:val="left"/>
      <w:pPr>
        <w:ind w:left="1779" w:hanging="360"/>
      </w:pPr>
      <w:rPr>
        <w:rFonts w:ascii="Symbol" w:hAnsi="Symbol" w:hint="default"/>
      </w:rPr>
    </w:lvl>
    <w:lvl w:ilvl="1" w:tplc="08090001">
      <w:start w:val="1"/>
      <w:numFmt w:val="bullet"/>
      <w:lvlText w:val=""/>
      <w:lvlJc w:val="left"/>
      <w:pPr>
        <w:ind w:left="2499" w:hanging="360"/>
      </w:pPr>
      <w:rPr>
        <w:rFonts w:ascii="Symbol" w:hAnsi="Symbol"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7">
    <w:nsid w:val="065223B4"/>
    <w:multiLevelType w:val="hybridMultilevel"/>
    <w:tmpl w:val="F63C257C"/>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8">
    <w:nsid w:val="06604AEF"/>
    <w:multiLevelType w:val="hybridMultilevel"/>
    <w:tmpl w:val="AC2A4AA8"/>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6D838E6"/>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0">
    <w:nsid w:val="070F7450"/>
    <w:multiLevelType w:val="hybridMultilevel"/>
    <w:tmpl w:val="AF7CDF5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073D70E7"/>
    <w:multiLevelType w:val="hybridMultilevel"/>
    <w:tmpl w:val="18582B24"/>
    <w:lvl w:ilvl="0" w:tplc="08090001">
      <w:start w:val="1"/>
      <w:numFmt w:val="bullet"/>
      <w:lvlText w:val=""/>
      <w:lvlJc w:val="left"/>
      <w:pPr>
        <w:ind w:left="2417" w:hanging="360"/>
      </w:pPr>
      <w:rPr>
        <w:rFonts w:ascii="Symbol" w:hAnsi="Symbol" w:hint="default"/>
      </w:rPr>
    </w:lvl>
    <w:lvl w:ilvl="1" w:tplc="08090003" w:tentative="1">
      <w:start w:val="1"/>
      <w:numFmt w:val="bullet"/>
      <w:lvlText w:val="o"/>
      <w:lvlJc w:val="left"/>
      <w:pPr>
        <w:ind w:left="3137" w:hanging="360"/>
      </w:pPr>
      <w:rPr>
        <w:rFonts w:ascii="Courier New" w:hAnsi="Courier New" w:cs="Courier New" w:hint="default"/>
      </w:rPr>
    </w:lvl>
    <w:lvl w:ilvl="2" w:tplc="08090005" w:tentative="1">
      <w:start w:val="1"/>
      <w:numFmt w:val="bullet"/>
      <w:lvlText w:val=""/>
      <w:lvlJc w:val="left"/>
      <w:pPr>
        <w:ind w:left="3857" w:hanging="360"/>
      </w:pPr>
      <w:rPr>
        <w:rFonts w:ascii="Wingdings" w:hAnsi="Wingdings" w:hint="default"/>
      </w:rPr>
    </w:lvl>
    <w:lvl w:ilvl="3" w:tplc="08090001" w:tentative="1">
      <w:start w:val="1"/>
      <w:numFmt w:val="bullet"/>
      <w:lvlText w:val=""/>
      <w:lvlJc w:val="left"/>
      <w:pPr>
        <w:ind w:left="4577" w:hanging="360"/>
      </w:pPr>
      <w:rPr>
        <w:rFonts w:ascii="Symbol" w:hAnsi="Symbol" w:hint="default"/>
      </w:rPr>
    </w:lvl>
    <w:lvl w:ilvl="4" w:tplc="08090003" w:tentative="1">
      <w:start w:val="1"/>
      <w:numFmt w:val="bullet"/>
      <w:lvlText w:val="o"/>
      <w:lvlJc w:val="left"/>
      <w:pPr>
        <w:ind w:left="5297" w:hanging="360"/>
      </w:pPr>
      <w:rPr>
        <w:rFonts w:ascii="Courier New" w:hAnsi="Courier New" w:cs="Courier New" w:hint="default"/>
      </w:rPr>
    </w:lvl>
    <w:lvl w:ilvl="5" w:tplc="08090005" w:tentative="1">
      <w:start w:val="1"/>
      <w:numFmt w:val="bullet"/>
      <w:lvlText w:val=""/>
      <w:lvlJc w:val="left"/>
      <w:pPr>
        <w:ind w:left="6017" w:hanging="360"/>
      </w:pPr>
      <w:rPr>
        <w:rFonts w:ascii="Wingdings" w:hAnsi="Wingdings" w:hint="default"/>
      </w:rPr>
    </w:lvl>
    <w:lvl w:ilvl="6" w:tplc="08090001" w:tentative="1">
      <w:start w:val="1"/>
      <w:numFmt w:val="bullet"/>
      <w:lvlText w:val=""/>
      <w:lvlJc w:val="left"/>
      <w:pPr>
        <w:ind w:left="6737" w:hanging="360"/>
      </w:pPr>
      <w:rPr>
        <w:rFonts w:ascii="Symbol" w:hAnsi="Symbol" w:hint="default"/>
      </w:rPr>
    </w:lvl>
    <w:lvl w:ilvl="7" w:tplc="08090003" w:tentative="1">
      <w:start w:val="1"/>
      <w:numFmt w:val="bullet"/>
      <w:lvlText w:val="o"/>
      <w:lvlJc w:val="left"/>
      <w:pPr>
        <w:ind w:left="7457" w:hanging="360"/>
      </w:pPr>
      <w:rPr>
        <w:rFonts w:ascii="Courier New" w:hAnsi="Courier New" w:cs="Courier New" w:hint="default"/>
      </w:rPr>
    </w:lvl>
    <w:lvl w:ilvl="8" w:tplc="08090005" w:tentative="1">
      <w:start w:val="1"/>
      <w:numFmt w:val="bullet"/>
      <w:lvlText w:val=""/>
      <w:lvlJc w:val="left"/>
      <w:pPr>
        <w:ind w:left="8177" w:hanging="360"/>
      </w:pPr>
      <w:rPr>
        <w:rFonts w:ascii="Wingdings" w:hAnsi="Wingdings" w:hint="default"/>
      </w:rPr>
    </w:lvl>
  </w:abstractNum>
  <w:abstractNum w:abstractNumId="22">
    <w:nsid w:val="08281322"/>
    <w:multiLevelType w:val="hybridMultilevel"/>
    <w:tmpl w:val="44A82CF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nsid w:val="093447B8"/>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4">
    <w:nsid w:val="09430762"/>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5">
    <w:nsid w:val="09621975"/>
    <w:multiLevelType w:val="hybridMultilevel"/>
    <w:tmpl w:val="BA980908"/>
    <w:lvl w:ilvl="0" w:tplc="434AE5A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9F06EE6"/>
    <w:multiLevelType w:val="hybridMultilevel"/>
    <w:tmpl w:val="2416B0D0"/>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0A312BAF"/>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0A993053"/>
    <w:multiLevelType w:val="hybridMultilevel"/>
    <w:tmpl w:val="31AE26E0"/>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nsid w:val="0B532109"/>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0C456AC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D3307CF"/>
    <w:multiLevelType w:val="hybridMultilevel"/>
    <w:tmpl w:val="BBE6E96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nsid w:val="0DEB2BE7"/>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0E3B1B91"/>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34">
    <w:nsid w:val="0E841D15"/>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0F24F4A"/>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13126AB"/>
    <w:multiLevelType w:val="hybridMultilevel"/>
    <w:tmpl w:val="666A8556"/>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7">
    <w:nsid w:val="135F4EB8"/>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3781455"/>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37A7003"/>
    <w:multiLevelType w:val="hybridMultilevel"/>
    <w:tmpl w:val="E5406C7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nsid w:val="137B097F"/>
    <w:multiLevelType w:val="hybridMultilevel"/>
    <w:tmpl w:val="E820B2C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nsid w:val="1381785E"/>
    <w:multiLevelType w:val="hybridMultilevel"/>
    <w:tmpl w:val="88A6E2A2"/>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44B31C0"/>
    <w:multiLevelType w:val="hybridMultilevel"/>
    <w:tmpl w:val="31AE26E0"/>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3">
    <w:nsid w:val="155062AD"/>
    <w:multiLevelType w:val="hybridMultilevel"/>
    <w:tmpl w:val="9810482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nsid w:val="158D7BEA"/>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45">
    <w:nsid w:val="15E359A3"/>
    <w:multiLevelType w:val="hybridMultilevel"/>
    <w:tmpl w:val="0E44A17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6">
    <w:nsid w:val="15E772D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1642169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7763D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8982D5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19AD4072"/>
    <w:multiLevelType w:val="hybridMultilevel"/>
    <w:tmpl w:val="4C84B82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1">
    <w:nsid w:val="1B5C52A0"/>
    <w:multiLevelType w:val="hybridMultilevel"/>
    <w:tmpl w:val="26304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1C825C8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1CDE3554"/>
    <w:multiLevelType w:val="hybridMultilevel"/>
    <w:tmpl w:val="258823E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nsid w:val="1DDF28AD"/>
    <w:multiLevelType w:val="hybridMultilevel"/>
    <w:tmpl w:val="70E2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DEC2975"/>
    <w:multiLevelType w:val="hybridMultilevel"/>
    <w:tmpl w:val="3ED03E1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nsid w:val="1F3F7A70"/>
    <w:multiLevelType w:val="hybridMultilevel"/>
    <w:tmpl w:val="D578EC6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nsid w:val="1F4E3B34"/>
    <w:multiLevelType w:val="hybridMultilevel"/>
    <w:tmpl w:val="51D6064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1F681C9E"/>
    <w:multiLevelType w:val="hybridMultilevel"/>
    <w:tmpl w:val="D254631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9">
    <w:nsid w:val="20F458CD"/>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60">
    <w:nsid w:val="210B48A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2307069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399584C"/>
    <w:multiLevelType w:val="hybridMultilevel"/>
    <w:tmpl w:val="95E29468"/>
    <w:lvl w:ilvl="0" w:tplc="18090017">
      <w:start w:val="1"/>
      <w:numFmt w:val="lowerLetter"/>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3A819F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23B46CD0"/>
    <w:multiLevelType w:val="hybridMultilevel"/>
    <w:tmpl w:val="59EC4AFE"/>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3215" w:hanging="360"/>
      </w:pPr>
      <w:rPr>
        <w:rFonts w:ascii="Courier New" w:hAnsi="Courier New" w:cs="Courier New" w:hint="default"/>
      </w:rPr>
    </w:lvl>
    <w:lvl w:ilvl="2" w:tplc="08090005" w:tentative="1">
      <w:start w:val="1"/>
      <w:numFmt w:val="bullet"/>
      <w:lvlText w:val=""/>
      <w:lvlJc w:val="left"/>
      <w:pPr>
        <w:ind w:left="3935" w:hanging="360"/>
      </w:pPr>
      <w:rPr>
        <w:rFonts w:ascii="Wingdings" w:hAnsi="Wingdings" w:hint="default"/>
      </w:rPr>
    </w:lvl>
    <w:lvl w:ilvl="3" w:tplc="08090001" w:tentative="1">
      <w:start w:val="1"/>
      <w:numFmt w:val="bullet"/>
      <w:lvlText w:val=""/>
      <w:lvlJc w:val="left"/>
      <w:pPr>
        <w:ind w:left="4655" w:hanging="360"/>
      </w:pPr>
      <w:rPr>
        <w:rFonts w:ascii="Symbol" w:hAnsi="Symbol" w:hint="default"/>
      </w:rPr>
    </w:lvl>
    <w:lvl w:ilvl="4" w:tplc="08090003" w:tentative="1">
      <w:start w:val="1"/>
      <w:numFmt w:val="bullet"/>
      <w:lvlText w:val="o"/>
      <w:lvlJc w:val="left"/>
      <w:pPr>
        <w:ind w:left="5375" w:hanging="360"/>
      </w:pPr>
      <w:rPr>
        <w:rFonts w:ascii="Courier New" w:hAnsi="Courier New" w:cs="Courier New" w:hint="default"/>
      </w:rPr>
    </w:lvl>
    <w:lvl w:ilvl="5" w:tplc="08090005" w:tentative="1">
      <w:start w:val="1"/>
      <w:numFmt w:val="bullet"/>
      <w:lvlText w:val=""/>
      <w:lvlJc w:val="left"/>
      <w:pPr>
        <w:ind w:left="6095" w:hanging="360"/>
      </w:pPr>
      <w:rPr>
        <w:rFonts w:ascii="Wingdings" w:hAnsi="Wingdings" w:hint="default"/>
      </w:rPr>
    </w:lvl>
    <w:lvl w:ilvl="6" w:tplc="08090001" w:tentative="1">
      <w:start w:val="1"/>
      <w:numFmt w:val="bullet"/>
      <w:lvlText w:val=""/>
      <w:lvlJc w:val="left"/>
      <w:pPr>
        <w:ind w:left="6815" w:hanging="360"/>
      </w:pPr>
      <w:rPr>
        <w:rFonts w:ascii="Symbol" w:hAnsi="Symbol" w:hint="default"/>
      </w:rPr>
    </w:lvl>
    <w:lvl w:ilvl="7" w:tplc="08090003" w:tentative="1">
      <w:start w:val="1"/>
      <w:numFmt w:val="bullet"/>
      <w:lvlText w:val="o"/>
      <w:lvlJc w:val="left"/>
      <w:pPr>
        <w:ind w:left="7535" w:hanging="360"/>
      </w:pPr>
      <w:rPr>
        <w:rFonts w:ascii="Courier New" w:hAnsi="Courier New" w:cs="Courier New" w:hint="default"/>
      </w:rPr>
    </w:lvl>
    <w:lvl w:ilvl="8" w:tplc="08090005" w:tentative="1">
      <w:start w:val="1"/>
      <w:numFmt w:val="bullet"/>
      <w:lvlText w:val=""/>
      <w:lvlJc w:val="left"/>
      <w:pPr>
        <w:ind w:left="8255" w:hanging="360"/>
      </w:pPr>
      <w:rPr>
        <w:rFonts w:ascii="Wingdings" w:hAnsi="Wingdings" w:hint="default"/>
      </w:rPr>
    </w:lvl>
  </w:abstractNum>
  <w:abstractNum w:abstractNumId="65">
    <w:nsid w:val="2409156B"/>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40E5BB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7">
    <w:nsid w:val="249B152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5557A07"/>
    <w:multiLevelType w:val="hybridMultilevel"/>
    <w:tmpl w:val="5186D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nsid w:val="260672F7"/>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6096900"/>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71">
    <w:nsid w:val="26540EC6"/>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272F7CA1"/>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3">
    <w:nsid w:val="2831295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4">
    <w:nsid w:val="28557096"/>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5">
    <w:nsid w:val="290730B6"/>
    <w:multiLevelType w:val="hybridMultilevel"/>
    <w:tmpl w:val="FE48B538"/>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29211456"/>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77">
    <w:nsid w:val="298B68CE"/>
    <w:multiLevelType w:val="hybridMultilevel"/>
    <w:tmpl w:val="D95AF5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8">
    <w:nsid w:val="29B842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29CA65B3"/>
    <w:multiLevelType w:val="hybridMultilevel"/>
    <w:tmpl w:val="88689B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29FB398F"/>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81">
    <w:nsid w:val="2A2A3EB8"/>
    <w:multiLevelType w:val="hybridMultilevel"/>
    <w:tmpl w:val="A684AC6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2">
    <w:nsid w:val="2A38660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2A7B59F7"/>
    <w:multiLevelType w:val="hybridMultilevel"/>
    <w:tmpl w:val="2884BDB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4">
    <w:nsid w:val="2AC21540"/>
    <w:multiLevelType w:val="hybridMultilevel"/>
    <w:tmpl w:val="E648FC1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5">
    <w:nsid w:val="2B1B58FB"/>
    <w:multiLevelType w:val="hybridMultilevel"/>
    <w:tmpl w:val="137CFFD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87">
    <w:nsid w:val="2C015A8C"/>
    <w:multiLevelType w:val="hybridMultilevel"/>
    <w:tmpl w:val="9CDE8F14"/>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8">
    <w:nsid w:val="2CD34EFA"/>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9">
    <w:nsid w:val="2DCE66FC"/>
    <w:multiLevelType w:val="hybridMultilevel"/>
    <w:tmpl w:val="2E304A08"/>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90">
    <w:nsid w:val="2E4F3C19"/>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2E82650E"/>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305F5D84"/>
    <w:multiLevelType w:val="hybridMultilevel"/>
    <w:tmpl w:val="7DD0F3E4"/>
    <w:lvl w:ilvl="0" w:tplc="367A2F8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nsid w:val="30916BA4"/>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33591EFB"/>
    <w:multiLevelType w:val="hybridMultilevel"/>
    <w:tmpl w:val="961402F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5">
    <w:nsid w:val="35D437E7"/>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96">
    <w:nsid w:val="35E2598F"/>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97">
    <w:nsid w:val="36BD41B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380B4B30"/>
    <w:multiLevelType w:val="hybridMultilevel"/>
    <w:tmpl w:val="2E12E522"/>
    <w:lvl w:ilvl="0" w:tplc="36A82380">
      <w:start w:val="1"/>
      <w:numFmt w:val="lowerLetter"/>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99">
    <w:nsid w:val="385E372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38D15DE9"/>
    <w:multiLevelType w:val="hybridMultilevel"/>
    <w:tmpl w:val="3E2ED4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1">
    <w:nsid w:val="3957096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39A07E05"/>
    <w:multiLevelType w:val="hybridMultilevel"/>
    <w:tmpl w:val="74B0FBA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3">
    <w:nsid w:val="39AE0B54"/>
    <w:multiLevelType w:val="hybridMultilevel"/>
    <w:tmpl w:val="A0CA07C0"/>
    <w:lvl w:ilvl="0" w:tplc="458EBEEA">
      <w:start w:val="3"/>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4">
    <w:nsid w:val="39DF70F8"/>
    <w:multiLevelType w:val="hybridMultilevel"/>
    <w:tmpl w:val="26F27AE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5">
    <w:nsid w:val="3A6A26DD"/>
    <w:multiLevelType w:val="hybridMultilevel"/>
    <w:tmpl w:val="6DC0BF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6">
    <w:nsid w:val="3BBF53B7"/>
    <w:multiLevelType w:val="hybridMultilevel"/>
    <w:tmpl w:val="C694A0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3BF7202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09">
    <w:nsid w:val="3D16419B"/>
    <w:multiLevelType w:val="hybridMultilevel"/>
    <w:tmpl w:val="9A8C8052"/>
    <w:lvl w:ilvl="0" w:tplc="08090001">
      <w:start w:val="1"/>
      <w:numFmt w:val="bullet"/>
      <w:lvlText w:val=""/>
      <w:lvlJc w:val="left"/>
      <w:pPr>
        <w:ind w:left="1199" w:hanging="360"/>
      </w:pPr>
      <w:rPr>
        <w:rFonts w:ascii="Symbol" w:hAnsi="Symbol" w:hint="default"/>
      </w:rPr>
    </w:lvl>
    <w:lvl w:ilvl="1" w:tplc="08090003">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110">
    <w:nsid w:val="3E9A66A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3EA3250B"/>
    <w:multiLevelType w:val="hybridMultilevel"/>
    <w:tmpl w:val="B9603A94"/>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12">
    <w:nsid w:val="3EF049AD"/>
    <w:multiLevelType w:val="hybridMultilevel"/>
    <w:tmpl w:val="1766036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3F9736CD"/>
    <w:multiLevelType w:val="hybridMultilevel"/>
    <w:tmpl w:val="F73699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4">
    <w:nsid w:val="409C603A"/>
    <w:multiLevelType w:val="hybridMultilevel"/>
    <w:tmpl w:val="986C0F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5">
    <w:nsid w:val="40F10D8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41300056"/>
    <w:multiLevelType w:val="hybridMultilevel"/>
    <w:tmpl w:val="BDC22CB2"/>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nsid w:val="41FC2F33"/>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18">
    <w:nsid w:val="424C0CB4"/>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42724476"/>
    <w:multiLevelType w:val="hybridMultilevel"/>
    <w:tmpl w:val="DFC41A3E"/>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432F174D"/>
    <w:multiLevelType w:val="hybridMultilevel"/>
    <w:tmpl w:val="32460114"/>
    <w:lvl w:ilvl="0" w:tplc="434AE5A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439911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440669CE"/>
    <w:multiLevelType w:val="hybridMultilevel"/>
    <w:tmpl w:val="B8703180"/>
    <w:lvl w:ilvl="0" w:tplc="18090001">
      <w:start w:val="1"/>
      <w:numFmt w:val="bullet"/>
      <w:lvlText w:val=""/>
      <w:lvlJc w:val="left"/>
      <w:pPr>
        <w:ind w:left="1931" w:hanging="360"/>
      </w:pPr>
      <w:rPr>
        <w:rFonts w:ascii="Symbol" w:hAnsi="Symbol" w:hint="default"/>
      </w:rPr>
    </w:lvl>
    <w:lvl w:ilvl="1" w:tplc="18090003" w:tentative="1">
      <w:start w:val="1"/>
      <w:numFmt w:val="bullet"/>
      <w:lvlText w:val="o"/>
      <w:lvlJc w:val="left"/>
      <w:pPr>
        <w:ind w:left="2651" w:hanging="360"/>
      </w:pPr>
      <w:rPr>
        <w:rFonts w:ascii="Courier New" w:hAnsi="Courier New" w:cs="Courier New" w:hint="default"/>
      </w:rPr>
    </w:lvl>
    <w:lvl w:ilvl="2" w:tplc="18090005" w:tentative="1">
      <w:start w:val="1"/>
      <w:numFmt w:val="bullet"/>
      <w:lvlText w:val=""/>
      <w:lvlJc w:val="left"/>
      <w:pPr>
        <w:ind w:left="3371" w:hanging="360"/>
      </w:pPr>
      <w:rPr>
        <w:rFonts w:ascii="Wingdings" w:hAnsi="Wingdings" w:hint="default"/>
      </w:rPr>
    </w:lvl>
    <w:lvl w:ilvl="3" w:tplc="18090001" w:tentative="1">
      <w:start w:val="1"/>
      <w:numFmt w:val="bullet"/>
      <w:lvlText w:val=""/>
      <w:lvlJc w:val="left"/>
      <w:pPr>
        <w:ind w:left="4091" w:hanging="360"/>
      </w:pPr>
      <w:rPr>
        <w:rFonts w:ascii="Symbol" w:hAnsi="Symbol" w:hint="default"/>
      </w:rPr>
    </w:lvl>
    <w:lvl w:ilvl="4" w:tplc="18090003" w:tentative="1">
      <w:start w:val="1"/>
      <w:numFmt w:val="bullet"/>
      <w:lvlText w:val="o"/>
      <w:lvlJc w:val="left"/>
      <w:pPr>
        <w:ind w:left="4811" w:hanging="360"/>
      </w:pPr>
      <w:rPr>
        <w:rFonts w:ascii="Courier New" w:hAnsi="Courier New" w:cs="Courier New" w:hint="default"/>
      </w:rPr>
    </w:lvl>
    <w:lvl w:ilvl="5" w:tplc="18090005" w:tentative="1">
      <w:start w:val="1"/>
      <w:numFmt w:val="bullet"/>
      <w:lvlText w:val=""/>
      <w:lvlJc w:val="left"/>
      <w:pPr>
        <w:ind w:left="5531" w:hanging="360"/>
      </w:pPr>
      <w:rPr>
        <w:rFonts w:ascii="Wingdings" w:hAnsi="Wingdings" w:hint="default"/>
      </w:rPr>
    </w:lvl>
    <w:lvl w:ilvl="6" w:tplc="18090001" w:tentative="1">
      <w:start w:val="1"/>
      <w:numFmt w:val="bullet"/>
      <w:lvlText w:val=""/>
      <w:lvlJc w:val="left"/>
      <w:pPr>
        <w:ind w:left="6251" w:hanging="360"/>
      </w:pPr>
      <w:rPr>
        <w:rFonts w:ascii="Symbol" w:hAnsi="Symbol" w:hint="default"/>
      </w:rPr>
    </w:lvl>
    <w:lvl w:ilvl="7" w:tplc="18090003" w:tentative="1">
      <w:start w:val="1"/>
      <w:numFmt w:val="bullet"/>
      <w:lvlText w:val="o"/>
      <w:lvlJc w:val="left"/>
      <w:pPr>
        <w:ind w:left="6971" w:hanging="360"/>
      </w:pPr>
      <w:rPr>
        <w:rFonts w:ascii="Courier New" w:hAnsi="Courier New" w:cs="Courier New" w:hint="default"/>
      </w:rPr>
    </w:lvl>
    <w:lvl w:ilvl="8" w:tplc="18090005" w:tentative="1">
      <w:start w:val="1"/>
      <w:numFmt w:val="bullet"/>
      <w:lvlText w:val=""/>
      <w:lvlJc w:val="left"/>
      <w:pPr>
        <w:ind w:left="7691" w:hanging="360"/>
      </w:pPr>
      <w:rPr>
        <w:rFonts w:ascii="Wingdings" w:hAnsi="Wingdings" w:hint="default"/>
      </w:rPr>
    </w:lvl>
  </w:abstractNum>
  <w:abstractNum w:abstractNumId="123">
    <w:nsid w:val="44DB4A89"/>
    <w:multiLevelType w:val="hybridMultilevel"/>
    <w:tmpl w:val="1766036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45A87C2F"/>
    <w:multiLevelType w:val="hybridMultilevel"/>
    <w:tmpl w:val="47A627B8"/>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25">
    <w:nsid w:val="45DA7EAA"/>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26">
    <w:nsid w:val="45E10D32"/>
    <w:multiLevelType w:val="hybridMultilevel"/>
    <w:tmpl w:val="BE8A350A"/>
    <w:lvl w:ilvl="0" w:tplc="434AE5A0">
      <w:start w:val="1"/>
      <w:numFmt w:val="bullet"/>
      <w:lvlText w:val=""/>
      <w:lvlJc w:val="left"/>
      <w:pPr>
        <w:ind w:left="1080" w:hanging="360"/>
      </w:pPr>
      <w:rPr>
        <w:rFonts w:ascii="Symbol" w:hAnsi="Symbol"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nsid w:val="465B552B"/>
    <w:multiLevelType w:val="hybridMultilevel"/>
    <w:tmpl w:val="2A043A5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8">
    <w:nsid w:val="47467D47"/>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477928BB"/>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47DF715B"/>
    <w:multiLevelType w:val="hybridMultilevel"/>
    <w:tmpl w:val="1AAED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nsid w:val="48745C51"/>
    <w:multiLevelType w:val="hybridMultilevel"/>
    <w:tmpl w:val="8C9CA1F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2">
    <w:nsid w:val="48B10185"/>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3">
    <w:nsid w:val="498B2780"/>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34">
    <w:nsid w:val="4A27783D"/>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35">
    <w:nsid w:val="4A3D4F09"/>
    <w:multiLevelType w:val="hybridMultilevel"/>
    <w:tmpl w:val="AED6E166"/>
    <w:lvl w:ilvl="0" w:tplc="434AE5A0">
      <w:start w:val="1"/>
      <w:numFmt w:val="bullet"/>
      <w:lvlText w:val=""/>
      <w:lvlJc w:val="left"/>
      <w:pPr>
        <w:ind w:left="1070" w:hanging="360"/>
      </w:pPr>
      <w:rPr>
        <w:rFonts w:ascii="Symbol" w:hAnsi="Symbol" w:hint="default"/>
        <w:sz w:val="20"/>
        <w:szCs w:val="20"/>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6">
    <w:nsid w:val="4B1350E8"/>
    <w:multiLevelType w:val="hybridMultilevel"/>
    <w:tmpl w:val="9CDE8F14"/>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7">
    <w:nsid w:val="4B2505D1"/>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4B391509"/>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B8C0C2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4CC73733"/>
    <w:multiLevelType w:val="hybridMultilevel"/>
    <w:tmpl w:val="BDC22CB2"/>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nsid w:val="4D725545"/>
    <w:multiLevelType w:val="hybridMultilevel"/>
    <w:tmpl w:val="E78445B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3">
    <w:nsid w:val="4E2D58A8"/>
    <w:multiLevelType w:val="multilevel"/>
    <w:tmpl w:val="FC2E05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4">
    <w:nsid w:val="4EFB302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4F68038C"/>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50B02CE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50C02E3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50C4262A"/>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9">
    <w:nsid w:val="516A0BB8"/>
    <w:multiLevelType w:val="hybridMultilevel"/>
    <w:tmpl w:val="DBC8430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50">
    <w:nsid w:val="518B1594"/>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51">
    <w:nsid w:val="51AD20A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51FC7203"/>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53">
    <w:nsid w:val="52152660"/>
    <w:multiLevelType w:val="hybridMultilevel"/>
    <w:tmpl w:val="DB8888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4">
    <w:nsid w:val="53647925"/>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544B7EC2"/>
    <w:multiLevelType w:val="hybridMultilevel"/>
    <w:tmpl w:val="543E4BA8"/>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56">
    <w:nsid w:val="54660A5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55393EB0"/>
    <w:multiLevelType w:val="hybridMultilevel"/>
    <w:tmpl w:val="31781160"/>
    <w:lvl w:ilvl="0" w:tplc="AAD8BA38">
      <w:start w:val="1"/>
      <w:numFmt w:val="upperRoman"/>
      <w:lvlText w:val="%1."/>
      <w:lvlJc w:val="righ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8">
    <w:nsid w:val="55B7273C"/>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55F3012A"/>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0">
    <w:nsid w:val="576C7FE1"/>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58516139"/>
    <w:multiLevelType w:val="hybridMultilevel"/>
    <w:tmpl w:val="0DE44D2C"/>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2">
    <w:nsid w:val="58CB22F3"/>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3">
    <w:nsid w:val="592939C7"/>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4">
    <w:nsid w:val="595851D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596673B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59AD0BA8"/>
    <w:multiLevelType w:val="hybridMultilevel"/>
    <w:tmpl w:val="A28ECE50"/>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nsid w:val="5A5C4D36"/>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68">
    <w:nsid w:val="5A8E327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5C2B222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nsid w:val="5C90474E"/>
    <w:multiLevelType w:val="hybridMultilevel"/>
    <w:tmpl w:val="F1F01BE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1">
    <w:nsid w:val="5CCF4AA7"/>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5E6470CC"/>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73">
    <w:nsid w:val="5EA36AE3"/>
    <w:multiLevelType w:val="hybridMultilevel"/>
    <w:tmpl w:val="3F062C18"/>
    <w:lvl w:ilvl="0" w:tplc="434AE5A0">
      <w:start w:val="1"/>
      <w:numFmt w:val="bullet"/>
      <w:lvlText w:val=""/>
      <w:lvlJc w:val="left"/>
      <w:pPr>
        <w:ind w:left="1070" w:hanging="360"/>
      </w:pPr>
      <w:rPr>
        <w:rFonts w:ascii="Symbol" w:hAnsi="Symbol" w:hint="default"/>
        <w:sz w:val="20"/>
        <w:szCs w:val="20"/>
      </w:rPr>
    </w:lvl>
    <w:lvl w:ilvl="1" w:tplc="08090001">
      <w:start w:val="1"/>
      <w:numFmt w:val="bullet"/>
      <w:lvlText w:val=""/>
      <w:lvlJc w:val="left"/>
      <w:pPr>
        <w:ind w:left="1800" w:hanging="360"/>
      </w:pPr>
      <w:rPr>
        <w:rFonts w:ascii="Symbol" w:hAnsi="Symbol" w:hint="default"/>
      </w:rPr>
    </w:lvl>
    <w:lvl w:ilvl="2" w:tplc="F38E26EC">
      <w:start w:val="1"/>
      <w:numFmt w:val="bullet"/>
      <w:lvlText w:val="o"/>
      <w:lvlJc w:val="left"/>
      <w:pPr>
        <w:ind w:left="3337" w:hanging="360"/>
      </w:pPr>
      <w:rPr>
        <w:rFonts w:ascii="Courier New" w:hAnsi="Courier New" w:cs="Courier New" w:hint="default"/>
        <w:sz w:val="18"/>
        <w:szCs w:val="18"/>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4">
    <w:nsid w:val="5F3253F2"/>
    <w:multiLevelType w:val="hybridMultilevel"/>
    <w:tmpl w:val="ACF607B4"/>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5">
    <w:nsid w:val="5F631A9C"/>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5F89580A"/>
    <w:multiLevelType w:val="hybridMultilevel"/>
    <w:tmpl w:val="7688CD0C"/>
    <w:lvl w:ilvl="0" w:tplc="434AE5A0">
      <w:start w:val="1"/>
      <w:numFmt w:val="bullet"/>
      <w:lvlText w:val=""/>
      <w:lvlJc w:val="left"/>
      <w:pPr>
        <w:ind w:left="1070" w:hanging="360"/>
      </w:pPr>
      <w:rPr>
        <w:rFonts w:ascii="Symbol" w:hAnsi="Symbol" w:hint="default"/>
        <w:sz w:val="20"/>
        <w:szCs w:val="20"/>
      </w:rPr>
    </w:lvl>
    <w:lvl w:ilvl="1" w:tplc="18090003">
      <w:start w:val="1"/>
      <w:numFmt w:val="bullet"/>
      <w:lvlText w:val="o"/>
      <w:lvlJc w:val="left"/>
      <w:pPr>
        <w:ind w:left="1800" w:hanging="360"/>
      </w:pPr>
      <w:rPr>
        <w:rFonts w:ascii="Courier New" w:hAnsi="Courier New" w:cs="Courier New" w:hint="default"/>
      </w:rPr>
    </w:lvl>
    <w:lvl w:ilvl="2" w:tplc="F38E26EC">
      <w:start w:val="1"/>
      <w:numFmt w:val="bullet"/>
      <w:lvlText w:val="o"/>
      <w:lvlJc w:val="left"/>
      <w:pPr>
        <w:ind w:left="3337" w:hanging="360"/>
      </w:pPr>
      <w:rPr>
        <w:rFonts w:ascii="Courier New" w:hAnsi="Courier New" w:cs="Courier New" w:hint="default"/>
        <w:sz w:val="18"/>
        <w:szCs w:val="18"/>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7">
    <w:nsid w:val="5FC41BE1"/>
    <w:multiLevelType w:val="hybridMultilevel"/>
    <w:tmpl w:val="88A6E2A2"/>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60126A48"/>
    <w:multiLevelType w:val="hybridMultilevel"/>
    <w:tmpl w:val="2B32873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9">
    <w:nsid w:val="61123460"/>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61E260BB"/>
    <w:multiLevelType w:val="hybridMultilevel"/>
    <w:tmpl w:val="6E56584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1">
    <w:nsid w:val="62040BB1"/>
    <w:multiLevelType w:val="hybridMultilevel"/>
    <w:tmpl w:val="859670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2">
    <w:nsid w:val="620A6FB1"/>
    <w:multiLevelType w:val="hybridMultilevel"/>
    <w:tmpl w:val="BDC22CB2"/>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3">
    <w:nsid w:val="62896274"/>
    <w:multiLevelType w:val="hybridMultilevel"/>
    <w:tmpl w:val="A5FA02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84">
    <w:nsid w:val="62AB7445"/>
    <w:multiLevelType w:val="hybridMultilevel"/>
    <w:tmpl w:val="9FCCD71C"/>
    <w:lvl w:ilvl="0" w:tplc="434AE5A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nsid w:val="62D00AE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63132E0C"/>
    <w:multiLevelType w:val="hybridMultilevel"/>
    <w:tmpl w:val="62C221EE"/>
    <w:lvl w:ilvl="0" w:tplc="18090017">
      <w:start w:val="1"/>
      <w:numFmt w:val="lowerLetter"/>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63DB09E5"/>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658A1F67"/>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nsid w:val="65AB0E12"/>
    <w:multiLevelType w:val="hybridMultilevel"/>
    <w:tmpl w:val="D9AAD268"/>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0">
    <w:nsid w:val="66436068"/>
    <w:multiLevelType w:val="hybridMultilevel"/>
    <w:tmpl w:val="66E6F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1">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675E468B"/>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68234EEB"/>
    <w:multiLevelType w:val="hybridMultilevel"/>
    <w:tmpl w:val="BDC22CB2"/>
    <w:lvl w:ilvl="0" w:tplc="3DC86BAE">
      <w:start w:val="1"/>
      <w:numFmt w:val="decimal"/>
      <w:lvlText w:val="%1."/>
      <w:lvlJc w:val="left"/>
      <w:pPr>
        <w:ind w:left="19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4">
    <w:nsid w:val="693A13B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694430D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nsid w:val="69C60D4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69C74045"/>
    <w:multiLevelType w:val="hybridMultilevel"/>
    <w:tmpl w:val="66E2427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8">
    <w:nsid w:val="6A77352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nsid w:val="6AAF037D"/>
    <w:multiLevelType w:val="hybridMultilevel"/>
    <w:tmpl w:val="0EC4BFA8"/>
    <w:lvl w:ilvl="0" w:tplc="434AE5A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6ACD0708"/>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6AFB60A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6D150EB5"/>
    <w:multiLevelType w:val="hybridMultilevel"/>
    <w:tmpl w:val="CCA692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3">
    <w:nsid w:val="6DCD18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6E631B27"/>
    <w:multiLevelType w:val="hybridMultilevel"/>
    <w:tmpl w:val="ADECCAE8"/>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nsid w:val="6E9064CA"/>
    <w:multiLevelType w:val="hybridMultilevel"/>
    <w:tmpl w:val="50AE921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06">
    <w:nsid w:val="6F380AD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nsid w:val="6F8767E3"/>
    <w:multiLevelType w:val="hybridMultilevel"/>
    <w:tmpl w:val="5D0A9D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08">
    <w:nsid w:val="6FBB3A0C"/>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09">
    <w:nsid w:val="6FD47019"/>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70327170"/>
    <w:multiLevelType w:val="hybridMultilevel"/>
    <w:tmpl w:val="60C61C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1">
    <w:nsid w:val="70680FA0"/>
    <w:multiLevelType w:val="hybridMultilevel"/>
    <w:tmpl w:val="D0FA9C8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3">
      <w:start w:val="1"/>
      <w:numFmt w:val="bullet"/>
      <w:lvlText w:val="o"/>
      <w:lvlJc w:val="left"/>
      <w:pPr>
        <w:ind w:left="2520" w:hanging="360"/>
      </w:pPr>
      <w:rPr>
        <w:rFonts w:ascii="Courier New" w:hAnsi="Courier New" w:cs="Courier New"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2">
    <w:nsid w:val="7113384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7224328E"/>
    <w:multiLevelType w:val="hybridMultilevel"/>
    <w:tmpl w:val="A5BEF9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4">
    <w:nsid w:val="722E2358"/>
    <w:multiLevelType w:val="hybridMultilevel"/>
    <w:tmpl w:val="4C9C8F8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5">
    <w:nsid w:val="7243554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748A342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74BF14E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nsid w:val="758B38D1"/>
    <w:multiLevelType w:val="hybridMultilevel"/>
    <w:tmpl w:val="E402C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nsid w:val="75FE575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nsid w:val="76710CEB"/>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21">
    <w:nsid w:val="76B8442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7750790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7785700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nsid w:val="77DB4EAD"/>
    <w:multiLevelType w:val="hybridMultilevel"/>
    <w:tmpl w:val="3362C2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5">
    <w:nsid w:val="784667D2"/>
    <w:multiLevelType w:val="hybridMultilevel"/>
    <w:tmpl w:val="DBE2E676"/>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nsid w:val="78E003F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nsid w:val="79976556"/>
    <w:multiLevelType w:val="hybridMultilevel"/>
    <w:tmpl w:val="A2E848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8">
    <w:nsid w:val="7A2D753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nsid w:val="7A433D35"/>
    <w:multiLevelType w:val="hybridMultilevel"/>
    <w:tmpl w:val="8FB0CD7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nsid w:val="7A667315"/>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31">
    <w:nsid w:val="7A961517"/>
    <w:multiLevelType w:val="hybridMultilevel"/>
    <w:tmpl w:val="3EF0F97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2">
    <w:nsid w:val="7AAE2984"/>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3">
    <w:nsid w:val="7AFB3FD1"/>
    <w:multiLevelType w:val="hybridMultilevel"/>
    <w:tmpl w:val="F7D448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4">
    <w:nsid w:val="7B1D6AD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nsid w:val="7B456A58"/>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nsid w:val="7B8910C7"/>
    <w:multiLevelType w:val="hybridMultilevel"/>
    <w:tmpl w:val="8C04E3AA"/>
    <w:lvl w:ilvl="0" w:tplc="08090001">
      <w:start w:val="1"/>
      <w:numFmt w:val="bullet"/>
      <w:lvlText w:val=""/>
      <w:lvlJc w:val="left"/>
      <w:pPr>
        <w:ind w:left="1440" w:hanging="360"/>
      </w:pPr>
      <w:rPr>
        <w:rFonts w:ascii="Symbol" w:hAnsi="Symbol" w:hint="default"/>
      </w:rPr>
    </w:lvl>
    <w:lvl w:ilvl="1" w:tplc="18090001">
      <w:start w:val="1"/>
      <w:numFmt w:val="bullet"/>
      <w:lvlText w:val=""/>
      <w:lvlJc w:val="left"/>
      <w:pPr>
        <w:ind w:left="2160" w:hanging="360"/>
      </w:pPr>
      <w:rPr>
        <w:rFonts w:ascii="Symbol" w:hAnsi="Symbol"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7">
    <w:nsid w:val="7BA35EE9"/>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38">
    <w:nsid w:val="7BBE030E"/>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39">
    <w:nsid w:val="7C5E7B69"/>
    <w:multiLevelType w:val="hybridMultilevel"/>
    <w:tmpl w:val="F4364984"/>
    <w:lvl w:ilvl="0" w:tplc="08090001">
      <w:start w:val="1"/>
      <w:numFmt w:val="bullet"/>
      <w:lvlText w:val=""/>
      <w:lvlJc w:val="left"/>
      <w:pPr>
        <w:ind w:left="1860" w:hanging="360"/>
      </w:pPr>
      <w:rPr>
        <w:rFonts w:ascii="Symbol" w:hAnsi="Symbol" w:hint="default"/>
      </w:rPr>
    </w:lvl>
    <w:lvl w:ilvl="1" w:tplc="08090003">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40">
    <w:nsid w:val="7D8518B2"/>
    <w:multiLevelType w:val="hybridMultilevel"/>
    <w:tmpl w:val="2F98584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1">
    <w:nsid w:val="7DE62C8B"/>
    <w:multiLevelType w:val="hybridMultilevel"/>
    <w:tmpl w:val="343A17CA"/>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18090013">
      <w:start w:val="1"/>
      <w:numFmt w:val="upperRoman"/>
      <w:lvlText w:val="%3."/>
      <w:lvlJc w:val="righ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2">
    <w:nsid w:val="7E8462AF"/>
    <w:multiLevelType w:val="hybridMultilevel"/>
    <w:tmpl w:val="3BD6FD32"/>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3">
    <w:nsid w:val="7EB82D18"/>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44">
    <w:nsid w:val="7EF678DA"/>
    <w:multiLevelType w:val="hybridMultilevel"/>
    <w:tmpl w:val="8A0207C8"/>
    <w:lvl w:ilvl="0" w:tplc="18090017">
      <w:start w:val="1"/>
      <w:numFmt w:val="lowerLetter"/>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4"/>
  </w:num>
  <w:num w:numId="2">
    <w:abstractNumId w:val="173"/>
  </w:num>
  <w:num w:numId="3">
    <w:abstractNumId w:val="174"/>
    <w:lvlOverride w:ilvl="0">
      <w:startOverride w:val="1"/>
    </w:lvlOverride>
  </w:num>
  <w:num w:numId="4">
    <w:abstractNumId w:val="174"/>
    <w:lvlOverride w:ilvl="0">
      <w:startOverride w:val="1"/>
    </w:lvlOverride>
  </w:num>
  <w:num w:numId="5">
    <w:abstractNumId w:val="174"/>
    <w:lvlOverride w:ilvl="0">
      <w:startOverride w:val="1"/>
    </w:lvlOverride>
  </w:num>
  <w:num w:numId="6">
    <w:abstractNumId w:val="174"/>
    <w:lvlOverride w:ilvl="0">
      <w:startOverride w:val="1"/>
    </w:lvlOverride>
  </w:num>
  <w:num w:numId="7">
    <w:abstractNumId w:val="108"/>
  </w:num>
  <w:num w:numId="8">
    <w:abstractNumId w:val="191"/>
  </w:num>
  <w:num w:numId="9">
    <w:abstractNumId w:val="188"/>
  </w:num>
  <w:num w:numId="10">
    <w:abstractNumId w:val="54"/>
  </w:num>
  <w:num w:numId="11">
    <w:abstractNumId w:val="174"/>
    <w:lvlOverride w:ilvl="0">
      <w:startOverride w:val="1"/>
    </w:lvlOverride>
  </w:num>
  <w:num w:numId="12">
    <w:abstractNumId w:val="174"/>
    <w:lvlOverride w:ilvl="0">
      <w:startOverride w:val="1"/>
    </w:lvlOverride>
  </w:num>
  <w:num w:numId="13">
    <w:abstractNumId w:val="174"/>
    <w:lvlOverride w:ilvl="0">
      <w:startOverride w:val="1"/>
    </w:lvlOverride>
  </w:num>
  <w:num w:numId="14">
    <w:abstractNumId w:val="174"/>
    <w:lvlOverride w:ilvl="0">
      <w:startOverride w:val="1"/>
    </w:lvlOverride>
  </w:num>
  <w:num w:numId="15">
    <w:abstractNumId w:val="174"/>
    <w:lvlOverride w:ilvl="0">
      <w:startOverride w:val="1"/>
    </w:lvlOverride>
  </w:num>
  <w:num w:numId="16">
    <w:abstractNumId w:val="44"/>
  </w:num>
  <w:num w:numId="17">
    <w:abstractNumId w:val="14"/>
  </w:num>
  <w:num w:numId="18">
    <w:abstractNumId w:val="31"/>
  </w:num>
  <w:num w:numId="19">
    <w:abstractNumId w:val="91"/>
    <w:lvlOverride w:ilvl="0">
      <w:startOverride w:val="1"/>
    </w:lvlOverride>
  </w:num>
  <w:num w:numId="20">
    <w:abstractNumId w:val="91"/>
    <w:lvlOverride w:ilvl="0">
      <w:startOverride w:val="1"/>
    </w:lvlOverride>
  </w:num>
  <w:num w:numId="21">
    <w:abstractNumId w:val="91"/>
    <w:lvlOverride w:ilvl="0">
      <w:startOverride w:val="1"/>
    </w:lvlOverride>
  </w:num>
  <w:num w:numId="22">
    <w:abstractNumId w:val="91"/>
    <w:lvlOverride w:ilvl="0">
      <w:startOverride w:val="1"/>
    </w:lvlOverride>
  </w:num>
  <w:num w:numId="23">
    <w:abstractNumId w:val="91"/>
    <w:lvlOverride w:ilvl="0">
      <w:startOverride w:val="1"/>
    </w:lvlOverride>
  </w:num>
  <w:num w:numId="24">
    <w:abstractNumId w:val="215"/>
  </w:num>
  <w:num w:numId="25">
    <w:abstractNumId w:val="228"/>
  </w:num>
  <w:num w:numId="26">
    <w:abstractNumId w:val="71"/>
  </w:num>
  <w:num w:numId="27">
    <w:abstractNumId w:val="78"/>
  </w:num>
  <w:num w:numId="28">
    <w:abstractNumId w:val="118"/>
  </w:num>
  <w:num w:numId="29">
    <w:abstractNumId w:val="8"/>
  </w:num>
  <w:num w:numId="30">
    <w:abstractNumId w:val="174"/>
    <w:lvlOverride w:ilvl="0">
      <w:startOverride w:val="1"/>
    </w:lvlOverride>
  </w:num>
  <w:num w:numId="31">
    <w:abstractNumId w:val="147"/>
  </w:num>
  <w:num w:numId="32">
    <w:abstractNumId w:val="151"/>
  </w:num>
  <w:num w:numId="33">
    <w:abstractNumId w:val="65"/>
  </w:num>
  <w:num w:numId="34">
    <w:abstractNumId w:val="209"/>
  </w:num>
  <w:num w:numId="35">
    <w:abstractNumId w:val="37"/>
  </w:num>
  <w:num w:numId="36">
    <w:abstractNumId w:val="137"/>
  </w:num>
  <w:num w:numId="37">
    <w:abstractNumId w:val="48"/>
  </w:num>
  <w:num w:numId="38">
    <w:abstractNumId w:val="121"/>
  </w:num>
  <w:num w:numId="39">
    <w:abstractNumId w:val="203"/>
  </w:num>
  <w:num w:numId="40">
    <w:abstractNumId w:val="93"/>
  </w:num>
  <w:num w:numId="41">
    <w:abstractNumId w:val="27"/>
  </w:num>
  <w:num w:numId="42">
    <w:abstractNumId w:val="38"/>
  </w:num>
  <w:num w:numId="43">
    <w:abstractNumId w:val="101"/>
  </w:num>
  <w:num w:numId="44">
    <w:abstractNumId w:val="35"/>
  </w:num>
  <w:num w:numId="45">
    <w:abstractNumId w:val="165"/>
  </w:num>
  <w:num w:numId="46">
    <w:abstractNumId w:val="15"/>
  </w:num>
  <w:num w:numId="47">
    <w:abstractNumId w:val="34"/>
  </w:num>
  <w:num w:numId="48">
    <w:abstractNumId w:val="129"/>
  </w:num>
  <w:num w:numId="49">
    <w:abstractNumId w:val="221"/>
  </w:num>
  <w:num w:numId="50">
    <w:abstractNumId w:val="187"/>
  </w:num>
  <w:num w:numId="51">
    <w:abstractNumId w:val="196"/>
  </w:num>
  <w:num w:numId="52">
    <w:abstractNumId w:val="110"/>
  </w:num>
  <w:num w:numId="53">
    <w:abstractNumId w:val="201"/>
  </w:num>
  <w:num w:numId="54">
    <w:abstractNumId w:val="99"/>
  </w:num>
  <w:num w:numId="55">
    <w:abstractNumId w:val="222"/>
  </w:num>
  <w:num w:numId="56">
    <w:abstractNumId w:val="97"/>
  </w:num>
  <w:num w:numId="57">
    <w:abstractNumId w:val="200"/>
  </w:num>
  <w:num w:numId="58">
    <w:abstractNumId w:val="29"/>
  </w:num>
  <w:num w:numId="59">
    <w:abstractNumId w:val="30"/>
  </w:num>
  <w:num w:numId="60">
    <w:abstractNumId w:val="179"/>
  </w:num>
  <w:num w:numId="61">
    <w:abstractNumId w:val="60"/>
  </w:num>
  <w:num w:numId="62">
    <w:abstractNumId w:val="107"/>
  </w:num>
  <w:num w:numId="63">
    <w:abstractNumId w:val="115"/>
  </w:num>
  <w:num w:numId="64">
    <w:abstractNumId w:val="63"/>
  </w:num>
  <w:num w:numId="65">
    <w:abstractNumId w:val="82"/>
  </w:num>
  <w:num w:numId="66">
    <w:abstractNumId w:val="4"/>
  </w:num>
  <w:num w:numId="67">
    <w:abstractNumId w:val="168"/>
  </w:num>
  <w:num w:numId="68">
    <w:abstractNumId w:val="219"/>
  </w:num>
  <w:num w:numId="69">
    <w:abstractNumId w:val="22"/>
  </w:num>
  <w:num w:numId="70">
    <w:abstractNumId w:val="207"/>
  </w:num>
  <w:num w:numId="71">
    <w:abstractNumId w:val="205"/>
  </w:num>
  <w:num w:numId="72">
    <w:abstractNumId w:val="100"/>
  </w:num>
  <w:num w:numId="73">
    <w:abstractNumId w:val="66"/>
  </w:num>
  <w:num w:numId="74">
    <w:abstractNumId w:val="149"/>
  </w:num>
  <w:num w:numId="75">
    <w:abstractNumId w:val="81"/>
  </w:num>
  <w:num w:numId="76">
    <w:abstractNumId w:val="178"/>
  </w:num>
  <w:num w:numId="77">
    <w:abstractNumId w:val="50"/>
  </w:num>
  <w:num w:numId="78">
    <w:abstractNumId w:val="102"/>
  </w:num>
  <w:num w:numId="79">
    <w:abstractNumId w:val="19"/>
  </w:num>
  <w:num w:numId="80">
    <w:abstractNumId w:val="72"/>
  </w:num>
  <w:num w:numId="81">
    <w:abstractNumId w:val="88"/>
  </w:num>
  <w:num w:numId="82">
    <w:abstractNumId w:val="104"/>
  </w:num>
  <w:num w:numId="83">
    <w:abstractNumId w:val="197"/>
  </w:num>
  <w:num w:numId="84">
    <w:abstractNumId w:val="58"/>
  </w:num>
  <w:num w:numId="85">
    <w:abstractNumId w:val="39"/>
  </w:num>
  <w:num w:numId="86">
    <w:abstractNumId w:val="163"/>
  </w:num>
  <w:num w:numId="87">
    <w:abstractNumId w:val="32"/>
  </w:num>
  <w:num w:numId="88">
    <w:abstractNumId w:val="132"/>
  </w:num>
  <w:num w:numId="89">
    <w:abstractNumId w:val="169"/>
  </w:num>
  <w:num w:numId="90">
    <w:abstractNumId w:val="208"/>
  </w:num>
  <w:num w:numId="91">
    <w:abstractNumId w:val="162"/>
  </w:num>
  <w:num w:numId="92">
    <w:abstractNumId w:val="148"/>
  </w:num>
  <w:num w:numId="93">
    <w:abstractNumId w:val="73"/>
  </w:num>
  <w:num w:numId="94">
    <w:abstractNumId w:val="232"/>
  </w:num>
  <w:num w:numId="95">
    <w:abstractNumId w:val="0"/>
  </w:num>
  <w:num w:numId="96">
    <w:abstractNumId w:val="153"/>
  </w:num>
  <w:num w:numId="97">
    <w:abstractNumId w:val="86"/>
  </w:num>
  <w:num w:numId="98">
    <w:abstractNumId w:val="174"/>
    <w:lvlOverride w:ilvl="0">
      <w:startOverride w:val="1"/>
    </w:lvlOverride>
  </w:num>
  <w:num w:numId="99">
    <w:abstractNumId w:val="128"/>
  </w:num>
  <w:num w:numId="100">
    <w:abstractNumId w:val="198"/>
  </w:num>
  <w:num w:numId="101">
    <w:abstractNumId w:val="217"/>
  </w:num>
  <w:num w:numId="102">
    <w:abstractNumId w:val="226"/>
  </w:num>
  <w:num w:numId="103">
    <w:abstractNumId w:val="145"/>
  </w:num>
  <w:num w:numId="104">
    <w:abstractNumId w:val="138"/>
  </w:num>
  <w:num w:numId="105">
    <w:abstractNumId w:val="177"/>
  </w:num>
  <w:num w:numId="106">
    <w:abstractNumId w:val="46"/>
  </w:num>
  <w:num w:numId="107">
    <w:abstractNumId w:val="164"/>
  </w:num>
  <w:num w:numId="108">
    <w:abstractNumId w:val="235"/>
  </w:num>
  <w:num w:numId="109">
    <w:abstractNumId w:val="194"/>
  </w:num>
  <w:num w:numId="110">
    <w:abstractNumId w:val="174"/>
    <w:lvlOverride w:ilvl="0">
      <w:startOverride w:val="1"/>
    </w:lvlOverride>
  </w:num>
  <w:num w:numId="111">
    <w:abstractNumId w:val="234"/>
  </w:num>
  <w:num w:numId="112">
    <w:abstractNumId w:val="216"/>
  </w:num>
  <w:num w:numId="113">
    <w:abstractNumId w:val="5"/>
  </w:num>
  <w:num w:numId="114">
    <w:abstractNumId w:val="144"/>
  </w:num>
  <w:num w:numId="115">
    <w:abstractNumId w:val="206"/>
  </w:num>
  <w:num w:numId="116">
    <w:abstractNumId w:val="47"/>
  </w:num>
  <w:num w:numId="117">
    <w:abstractNumId w:val="175"/>
  </w:num>
  <w:num w:numId="118">
    <w:abstractNumId w:val="195"/>
  </w:num>
  <w:num w:numId="119">
    <w:abstractNumId w:val="185"/>
  </w:num>
  <w:num w:numId="120">
    <w:abstractNumId w:val="69"/>
  </w:num>
  <w:num w:numId="121">
    <w:abstractNumId w:val="146"/>
  </w:num>
  <w:num w:numId="122">
    <w:abstractNumId w:val="156"/>
  </w:num>
  <w:num w:numId="123">
    <w:abstractNumId w:val="174"/>
    <w:lvlOverride w:ilvl="0">
      <w:startOverride w:val="1"/>
    </w:lvlOverride>
  </w:num>
  <w:num w:numId="124">
    <w:abstractNumId w:val="238"/>
  </w:num>
  <w:num w:numId="125">
    <w:abstractNumId w:val="80"/>
  </w:num>
  <w:num w:numId="126">
    <w:abstractNumId w:val="70"/>
  </w:num>
  <w:num w:numId="127">
    <w:abstractNumId w:val="172"/>
  </w:num>
  <w:num w:numId="128">
    <w:abstractNumId w:val="152"/>
  </w:num>
  <w:num w:numId="129">
    <w:abstractNumId w:val="23"/>
  </w:num>
  <w:num w:numId="130">
    <w:abstractNumId w:val="220"/>
  </w:num>
  <w:num w:numId="131">
    <w:abstractNumId w:val="6"/>
  </w:num>
  <w:num w:numId="132">
    <w:abstractNumId w:val="243"/>
  </w:num>
  <w:num w:numId="133">
    <w:abstractNumId w:val="150"/>
  </w:num>
  <w:num w:numId="134">
    <w:abstractNumId w:val="230"/>
  </w:num>
  <w:num w:numId="135">
    <w:abstractNumId w:val="167"/>
  </w:num>
  <w:num w:numId="136">
    <w:abstractNumId w:val="133"/>
  </w:num>
  <w:num w:numId="137">
    <w:abstractNumId w:val="59"/>
  </w:num>
  <w:num w:numId="138">
    <w:abstractNumId w:val="24"/>
  </w:num>
  <w:num w:numId="139">
    <w:abstractNumId w:val="95"/>
  </w:num>
  <w:num w:numId="140">
    <w:abstractNumId w:val="125"/>
  </w:num>
  <w:num w:numId="141">
    <w:abstractNumId w:val="134"/>
  </w:num>
  <w:num w:numId="142">
    <w:abstractNumId w:val="237"/>
  </w:num>
  <w:num w:numId="143">
    <w:abstractNumId w:val="117"/>
  </w:num>
  <w:num w:numId="144">
    <w:abstractNumId w:val="96"/>
  </w:num>
  <w:num w:numId="145">
    <w:abstractNumId w:val="76"/>
  </w:num>
  <w:num w:numId="146">
    <w:abstractNumId w:val="13"/>
  </w:num>
  <w:num w:numId="147">
    <w:abstractNumId w:val="33"/>
  </w:num>
  <w:num w:numId="148">
    <w:abstractNumId w:val="244"/>
  </w:num>
  <w:num w:numId="149">
    <w:abstractNumId w:val="62"/>
  </w:num>
  <w:num w:numId="150">
    <w:abstractNumId w:val="18"/>
  </w:num>
  <w:num w:numId="151">
    <w:abstractNumId w:val="57"/>
  </w:num>
  <w:num w:numId="152">
    <w:abstractNumId w:val="75"/>
  </w:num>
  <w:num w:numId="153">
    <w:abstractNumId w:val="229"/>
  </w:num>
  <w:num w:numId="154">
    <w:abstractNumId w:val="26"/>
  </w:num>
  <w:num w:numId="155">
    <w:abstractNumId w:val="119"/>
  </w:num>
  <w:num w:numId="156">
    <w:abstractNumId w:val="204"/>
  </w:num>
  <w:num w:numId="157">
    <w:abstractNumId w:val="225"/>
  </w:num>
  <w:num w:numId="158">
    <w:abstractNumId w:val="123"/>
  </w:num>
  <w:num w:numId="159">
    <w:abstractNumId w:val="112"/>
  </w:num>
  <w:num w:numId="160">
    <w:abstractNumId w:val="90"/>
  </w:num>
  <w:num w:numId="161">
    <w:abstractNumId w:val="106"/>
  </w:num>
  <w:num w:numId="162">
    <w:abstractNumId w:val="143"/>
  </w:num>
  <w:num w:numId="16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
  </w:num>
  <w:num w:numId="165">
    <w:abstractNumId w:val="109"/>
  </w:num>
  <w:num w:numId="166">
    <w:abstractNumId w:val="211"/>
  </w:num>
  <w:num w:numId="167">
    <w:abstractNumId w:val="139"/>
  </w:num>
  <w:num w:numId="168">
    <w:abstractNumId w:val="174"/>
  </w:num>
  <w:num w:numId="169">
    <w:abstractNumId w:val="174"/>
    <w:lvlOverride w:ilvl="0">
      <w:startOverride w:val="1"/>
    </w:lvlOverride>
    <w:lvlOverride w:ilvl="1">
      <w:startOverride w:val="9"/>
    </w:lvlOverride>
  </w:num>
  <w:num w:numId="170">
    <w:abstractNumId w:val="103"/>
  </w:num>
  <w:num w:numId="171">
    <w:abstractNumId w:val="154"/>
  </w:num>
  <w:num w:numId="172">
    <w:abstractNumId w:val="158"/>
  </w:num>
  <w:num w:numId="173">
    <w:abstractNumId w:val="49"/>
  </w:num>
  <w:num w:numId="174">
    <w:abstractNumId w:val="174"/>
    <w:lvlOverride w:ilvl="0">
      <w:startOverride w:val="1"/>
    </w:lvlOverride>
  </w:num>
  <w:num w:numId="175">
    <w:abstractNumId w:val="242"/>
  </w:num>
  <w:num w:numId="176">
    <w:abstractNumId w:val="174"/>
    <w:lvlOverride w:ilvl="0">
      <w:startOverride w:val="1"/>
    </w:lvlOverride>
  </w:num>
  <w:num w:numId="177">
    <w:abstractNumId w:val="174"/>
    <w:lvlOverride w:ilvl="0">
      <w:startOverride w:val="1"/>
    </w:lvlOverride>
  </w:num>
  <w:num w:numId="178">
    <w:abstractNumId w:val="174"/>
    <w:lvlOverride w:ilvl="0">
      <w:startOverride w:val="1"/>
    </w:lvlOverride>
  </w:num>
  <w:num w:numId="179">
    <w:abstractNumId w:val="174"/>
    <w:lvlOverride w:ilvl="0">
      <w:startOverride w:val="1"/>
    </w:lvlOverride>
  </w:num>
  <w:num w:numId="180">
    <w:abstractNumId w:val="174"/>
    <w:lvlOverride w:ilvl="0">
      <w:startOverride w:val="1"/>
    </w:lvlOverride>
  </w:num>
  <w:num w:numId="181">
    <w:abstractNumId w:val="174"/>
    <w:lvlOverride w:ilvl="0">
      <w:startOverride w:val="1"/>
    </w:lvlOverride>
  </w:num>
  <w:num w:numId="182">
    <w:abstractNumId w:val="223"/>
  </w:num>
  <w:num w:numId="183">
    <w:abstractNumId w:val="174"/>
    <w:lvlOverride w:ilvl="0">
      <w:startOverride w:val="1"/>
    </w:lvlOverride>
  </w:num>
  <w:num w:numId="184">
    <w:abstractNumId w:val="192"/>
  </w:num>
  <w:num w:numId="185">
    <w:abstractNumId w:val="52"/>
  </w:num>
  <w:num w:numId="186">
    <w:abstractNumId w:val="160"/>
  </w:num>
  <w:num w:numId="187">
    <w:abstractNumId w:val="174"/>
    <w:lvlOverride w:ilvl="0">
      <w:startOverride w:val="1"/>
    </w:lvlOverride>
  </w:num>
  <w:num w:numId="188">
    <w:abstractNumId w:val="98"/>
  </w:num>
  <w:num w:numId="189">
    <w:abstractNumId w:val="174"/>
    <w:lvlOverride w:ilvl="0">
      <w:startOverride w:val="1"/>
    </w:lvlOverride>
  </w:num>
  <w:num w:numId="190">
    <w:abstractNumId w:val="174"/>
    <w:lvlOverride w:ilvl="0">
      <w:startOverride w:val="1"/>
    </w:lvlOverride>
  </w:num>
  <w:num w:numId="191">
    <w:abstractNumId w:val="140"/>
  </w:num>
  <w:num w:numId="192">
    <w:abstractNumId w:val="212"/>
  </w:num>
  <w:num w:numId="193">
    <w:abstractNumId w:val="131"/>
  </w:num>
  <w:num w:numId="194">
    <w:abstractNumId w:val="113"/>
  </w:num>
  <w:num w:numId="195">
    <w:abstractNumId w:val="43"/>
  </w:num>
  <w:num w:numId="196">
    <w:abstractNumId w:val="21"/>
  </w:num>
  <w:num w:numId="197">
    <w:abstractNumId w:val="114"/>
  </w:num>
  <w:num w:numId="198">
    <w:abstractNumId w:val="155"/>
  </w:num>
  <w:num w:numId="199">
    <w:abstractNumId w:val="239"/>
  </w:num>
  <w:num w:numId="200">
    <w:abstractNumId w:val="233"/>
  </w:num>
  <w:num w:numId="201">
    <w:abstractNumId w:val="79"/>
  </w:num>
  <w:num w:numId="202">
    <w:abstractNumId w:val="36"/>
  </w:num>
  <w:num w:numId="203">
    <w:abstractNumId w:val="11"/>
  </w:num>
  <w:num w:numId="204">
    <w:abstractNumId w:val="89"/>
  </w:num>
  <w:num w:numId="205">
    <w:abstractNumId w:val="12"/>
  </w:num>
  <w:num w:numId="206">
    <w:abstractNumId w:val="55"/>
  </w:num>
  <w:num w:numId="207">
    <w:abstractNumId w:val="224"/>
  </w:num>
  <w:num w:numId="208">
    <w:abstractNumId w:val="170"/>
  </w:num>
  <w:num w:numId="209">
    <w:abstractNumId w:val="210"/>
  </w:num>
  <w:num w:numId="210">
    <w:abstractNumId w:val="186"/>
  </w:num>
  <w:num w:numId="211">
    <w:abstractNumId w:val="213"/>
  </w:num>
  <w:num w:numId="212">
    <w:abstractNumId w:val="3"/>
  </w:num>
  <w:num w:numId="213">
    <w:abstractNumId w:val="9"/>
  </w:num>
  <w:num w:numId="214">
    <w:abstractNumId w:val="17"/>
  </w:num>
  <w:num w:numId="215">
    <w:abstractNumId w:val="240"/>
  </w:num>
  <w:num w:numId="216">
    <w:abstractNumId w:val="231"/>
  </w:num>
  <w:num w:numId="217">
    <w:abstractNumId w:val="94"/>
  </w:num>
  <w:num w:numId="218">
    <w:abstractNumId w:val="181"/>
  </w:num>
  <w:num w:numId="219">
    <w:abstractNumId w:val="85"/>
  </w:num>
  <w:num w:numId="220">
    <w:abstractNumId w:val="124"/>
  </w:num>
  <w:num w:numId="221">
    <w:abstractNumId w:val="111"/>
  </w:num>
  <w:num w:numId="222">
    <w:abstractNumId w:val="214"/>
  </w:num>
  <w:num w:numId="223">
    <w:abstractNumId w:val="142"/>
  </w:num>
  <w:num w:numId="224">
    <w:abstractNumId w:val="56"/>
  </w:num>
  <w:num w:numId="225">
    <w:abstractNumId w:val="180"/>
  </w:num>
  <w:num w:numId="226">
    <w:abstractNumId w:val="20"/>
  </w:num>
  <w:num w:numId="227">
    <w:abstractNumId w:val="202"/>
  </w:num>
  <w:num w:numId="228">
    <w:abstractNumId w:val="77"/>
  </w:num>
  <w:num w:numId="229">
    <w:abstractNumId w:val="227"/>
  </w:num>
  <w:num w:numId="230">
    <w:abstractNumId w:val="105"/>
  </w:num>
  <w:num w:numId="231">
    <w:abstractNumId w:val="64"/>
  </w:num>
  <w:num w:numId="232">
    <w:abstractNumId w:val="83"/>
  </w:num>
  <w:num w:numId="233">
    <w:abstractNumId w:val="2"/>
  </w:num>
  <w:num w:numId="234">
    <w:abstractNumId w:val="183"/>
  </w:num>
  <w:num w:numId="235">
    <w:abstractNumId w:val="122"/>
  </w:num>
  <w:num w:numId="236">
    <w:abstractNumId w:val="92"/>
  </w:num>
  <w:num w:numId="237">
    <w:abstractNumId w:val="159"/>
  </w:num>
  <w:num w:numId="238">
    <w:abstractNumId w:val="84"/>
  </w:num>
  <w:num w:numId="239">
    <w:abstractNumId w:val="241"/>
  </w:num>
  <w:num w:numId="240">
    <w:abstractNumId w:val="141"/>
  </w:num>
  <w:num w:numId="241">
    <w:abstractNumId w:val="193"/>
  </w:num>
  <w:num w:numId="242">
    <w:abstractNumId w:val="116"/>
  </w:num>
  <w:num w:numId="243">
    <w:abstractNumId w:val="182"/>
  </w:num>
  <w:num w:numId="244">
    <w:abstractNumId w:val="189"/>
  </w:num>
  <w:num w:numId="245">
    <w:abstractNumId w:val="40"/>
  </w:num>
  <w:num w:numId="246">
    <w:abstractNumId w:val="45"/>
  </w:num>
  <w:num w:numId="247">
    <w:abstractNumId w:val="28"/>
  </w:num>
  <w:num w:numId="248">
    <w:abstractNumId w:val="42"/>
  </w:num>
  <w:num w:numId="249">
    <w:abstractNumId w:val="61"/>
  </w:num>
  <w:num w:numId="250">
    <w:abstractNumId w:val="7"/>
  </w:num>
  <w:num w:numId="251">
    <w:abstractNumId w:val="67"/>
  </w:num>
  <w:num w:numId="252">
    <w:abstractNumId w:val="74"/>
  </w:num>
  <w:num w:numId="253">
    <w:abstractNumId w:val="171"/>
  </w:num>
  <w:num w:numId="254">
    <w:abstractNumId w:val="136"/>
  </w:num>
  <w:num w:numId="255">
    <w:abstractNumId w:val="87"/>
  </w:num>
  <w:num w:numId="256">
    <w:abstractNumId w:val="236"/>
  </w:num>
  <w:num w:numId="257">
    <w:abstractNumId w:val="51"/>
  </w:num>
  <w:num w:numId="258">
    <w:abstractNumId w:val="16"/>
  </w:num>
  <w:num w:numId="259">
    <w:abstractNumId w:val="190"/>
  </w:num>
  <w:num w:numId="260">
    <w:abstractNumId w:val="218"/>
  </w:num>
  <w:num w:numId="261">
    <w:abstractNumId w:val="127"/>
  </w:num>
  <w:num w:numId="262">
    <w:abstractNumId w:val="53"/>
  </w:num>
  <w:num w:numId="263">
    <w:abstractNumId w:val="135"/>
  </w:num>
  <w:num w:numId="264">
    <w:abstractNumId w:val="126"/>
  </w:num>
  <w:num w:numId="265">
    <w:abstractNumId w:val="199"/>
  </w:num>
  <w:num w:numId="266">
    <w:abstractNumId w:val="184"/>
  </w:num>
  <w:num w:numId="267">
    <w:abstractNumId w:val="25"/>
  </w:num>
  <w:num w:numId="268">
    <w:abstractNumId w:val="120"/>
  </w:num>
  <w:num w:numId="269">
    <w:abstractNumId w:val="176"/>
  </w:num>
  <w:num w:numId="270">
    <w:abstractNumId w:val="157"/>
  </w:num>
  <w:num w:numId="271">
    <w:abstractNumId w:val="41"/>
  </w:num>
  <w:num w:numId="272">
    <w:abstractNumId w:val="161"/>
  </w:num>
  <w:num w:numId="273">
    <w:abstractNumId w:val="166"/>
  </w:num>
  <w:num w:numId="274">
    <w:abstractNumId w:val="83"/>
  </w:num>
  <w:num w:numId="275">
    <w:abstractNumId w:val="1"/>
  </w:num>
  <w:num w:numId="276">
    <w:abstractNumId w:val="131"/>
  </w:num>
  <w:num w:numId="277">
    <w:abstractNumId w:val="224"/>
  </w:num>
  <w:num w:numId="278">
    <w:abstractNumId w:val="68"/>
  </w:num>
  <w:num w:numId="279">
    <w:abstractNumId w:val="130"/>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1" w:dllVersion="512" w:checkStyle="1"/>
  <w:activeWritingStyle w:appName="MSWord" w:lang="nl-BE" w:vendorID="1" w:dllVersion="512" w:checkStyle="1"/>
  <w:activeWritingStyle w:appName="MSWord" w:lang="pt-PT" w:vendorID="13" w:dllVersion="513" w:checkStyle="1"/>
  <w:activeWritingStyle w:appName="MSWord" w:lang="da-DK" w:vendorID="22" w:dllVersion="513" w:checkStyle="1"/>
  <w:activeWritingStyle w:appName="MSWord" w:lang="sv-SE" w:vendorID="22" w:dllVersion="513" w:checkStyle="1"/>
  <w:activeWritingStyle w:appName="MSWord" w:lang="it-IT" w:vendorID="3" w:dllVersion="517" w:checkStyle="1"/>
  <w:activeWritingStyle w:appName="MSWord" w:lang="pl-PL" w:vendorID="12" w:dllVersion="512" w:checkStyle="1"/>
  <w:activeWritingStyle w:appName="MSWord" w:lang="fi-FI" w:vendorID="22" w:dllVersion="513" w:checkStyle="1"/>
  <w:activeWritingStyle w:appName="MSWord" w:lang="hu-HU" w:vendorID="7" w:dllVersion="513" w:checkStyle="1"/>
  <w:activeWritingStyle w:appName="MSWord" w:lang="nb-NO" w:vendorID="22" w:dllVersion="513" w:checkStyle="1"/>
  <w:revisionView w:markup="0"/>
  <w:defaultTabStop w:val="720"/>
  <w:hyphenationZone w:val="425"/>
  <w:characterSpacingControl w:val="doNotCompress"/>
  <w:hdrShapeDefaults>
    <o:shapedefaults v:ext="edit" spidmax="51201"/>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F244EC4-D833-4FDA-811C-1EAFDA3BA44A"/>
    <w:docVar w:name="LW_COVERPAGE_TYPE" w:val="1"/>
    <w:docVar w:name="LW_CROSSREFERENCE" w:val="{COM(2019) 319 final} - {SWD(2019) 285 final} - {SWD(2019) 286 final}"/>
    <w:docVar w:name="LW_DocType" w:val="NORMAL"/>
    <w:docVar w:name="LW_EMISSION" w:val="4.7.2019"/>
    <w:docVar w:name="LW_EMISSION_ISODATE" w:val="2019-07-0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Monitoring the application of European Union law_x000b_2018 Annual Report"/>
    <w:docVar w:name="LW_PART_NBR" w:val="2"/>
    <w:docVar w:name="LW_PART_NBR_TOTAL" w:val="2"/>
    <w:docVar w:name="LW_REF.INST.NEW" w:val="SWD"/>
    <w:docVar w:name="LW_REF.INST.NEW_ADOPTED" w:val="final"/>
    <w:docVar w:name="LW_REF.INST.NEW_TEXT" w:val="(2019) 28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rt III: Member States"/>
    <w:docVar w:name="LW_TYPE.DOC.CP" w:val="COMMISSION STAFF WORKING DOCUMENT"/>
    <w:docVar w:name="LW_TYPEACTEPRINCIPAL.CP" w:val="Report from the Commission"/>
    <w:docVar w:name="Stamp" w:val="\\dossiers.dgt.cec.eu.int\dossiers\SG\SG-2016-00297\SG-2016-00297-00-02-EN-REV-00.DOCX"/>
  </w:docVar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locked/>
    <w:pPr>
      <w:spacing w:after="160" w:line="259" w:lineRule="auto"/>
    </w:pPr>
    <w:rPr>
      <w:rFonts w:asciiTheme="minorHAnsi" w:eastAsiaTheme="minorHAnsi" w:hAnsiTheme="minorHAnsi" w:cstheme="minorBidi"/>
      <w:sz w:val="22"/>
      <w:szCs w:val="22"/>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link w:val="FootnotesymbolCarZchn"/>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lang w:val="en-US" w:eastAsia="en-US" w:bidi="ar-SA"/>
    </w:rPr>
  </w:style>
  <w:style w:type="paragraph" w:customStyle="1" w:styleId="kop2">
    <w:name w:val="kop 2"/>
    <w:basedOn w:val="Normal"/>
    <w:next w:val="Normal"/>
    <w:link w:val="kop2Char"/>
    <w:uiPriority w:val="1"/>
    <w:unhideWhenUsed/>
    <w:qFormat/>
    <w:pPr>
      <w:keepNext/>
      <w:keepLines/>
      <w:spacing w:after="120"/>
      <w:ind w:left="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ind w:left="2869" w:hanging="180"/>
    </w:pPr>
  </w:style>
  <w:style w:type="character" w:customStyle="1" w:styleId="kop2Char">
    <w:name w:val="kop 2 Char"/>
    <w:link w:val="kop2"/>
    <w:uiPriority w:val="1"/>
    <w:rPr>
      <w:rFonts w:ascii="Arial" w:eastAsia="MS Gothic" w:hAnsi="Arial" w:cs="Arial"/>
      <w:caps/>
      <w:color w:val="4F81BD"/>
      <w:kern w:val="20"/>
      <w:sz w:val="24"/>
      <w:szCs w:val="24"/>
      <w:lang w:eastAsia="en-US" w:bidi="ar-SA"/>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spacing w:after="120"/>
      <w:ind w:left="107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olor w:val="BFBFBF"/>
      <w:sz w:val="24"/>
      <w:szCs w:val="24"/>
      <w:lang w:eastAsia="en-US" w:bidi="ar-SA"/>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semiHidden/>
    <w:rPr>
      <w:rFonts w:ascii="Tahoma" w:eastAsia="Times New Roman" w:hAnsi="Tahoma" w:cs="Tahoma"/>
      <w:sz w:val="16"/>
      <w:szCs w:val="16"/>
      <w:lang w:eastAsia="en-US" w:bidi="ar-SA"/>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character" w:customStyle="1" w:styleId="HeaderChar">
    <w:name w:val="Header Char"/>
    <w:link w:val="Header"/>
    <w:uiPriority w:val="99"/>
    <w:rPr>
      <w:rFonts w:ascii="Times New Roman" w:hAnsi="Times New Roman"/>
      <w:sz w:val="24"/>
      <w:szCs w:val="22"/>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rPr>
  </w:style>
  <w:style w:type="character" w:customStyle="1" w:styleId="FooterChar">
    <w:name w:val="Footer Char"/>
    <w:link w:val="Footer"/>
    <w:uiPriority w:val="99"/>
    <w:rPr>
      <w:rFonts w:ascii="Times New Roman" w:hAnsi="Times New Roman"/>
      <w:sz w:val="24"/>
      <w:szCs w:val="22"/>
      <w:lang w:eastAsia="en-US" w:bidi="ar-SA"/>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lang w:eastAsia="en-US" w:bidi="ar-SA"/>
    </w:rPr>
  </w:style>
  <w:style w:type="paragraph" w:styleId="Subtitle">
    <w:name w:val="Subtitle"/>
    <w:basedOn w:val="Normal"/>
    <w:link w:val="SubtitleChar"/>
    <w:autoRedefine/>
    <w:qFormat/>
    <w:pPr>
      <w:spacing w:before="240"/>
      <w:ind w:left="1980" w:hanging="360"/>
      <w:outlineLvl w:val="1"/>
    </w:pPr>
    <w:rPr>
      <w:rFonts w:ascii="Arial" w:hAnsi="Arial"/>
      <w:color w:val="002060"/>
    </w:rPr>
  </w:style>
  <w:style w:type="character" w:customStyle="1" w:styleId="SubtitleChar">
    <w:name w:val="Subtitle Char"/>
    <w:link w:val="Subtitle"/>
    <w:rPr>
      <w:rFonts w:ascii="Arial" w:eastAsiaTheme="minorHAnsi" w:hAnsi="Arial" w:cstheme="minorBidi"/>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lang w:eastAsia="en-US" w:bidi="ar-SA"/>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bCs/>
      <w:color w:val="A6A6A6"/>
      <w:sz w:val="24"/>
      <w:szCs w:val="28"/>
      <w:lang w:eastAsia="en-US" w:bidi="ar-SA"/>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lang w:eastAsia="en-US" w:bidi="ar-SA"/>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7"/>
      </w:numPr>
    </w:pPr>
    <w:rPr>
      <w:rFonts w:ascii="Arial" w:hAnsi="Arial"/>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sz w:val="24"/>
      <w:lang w:eastAsia="en-US" w:bidi="ar-SA"/>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heme="minorHAnsi" w:hAnsi="Times New Roman"/>
      <w:sz w:val="24"/>
      <w:szCs w:val="22"/>
      <w:lang w:eastAsia="en-US" w:bidi="ar-SA"/>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Pr>
      <w:rFonts w:ascii="Times New Roman" w:eastAsiaTheme="minorHAnsi" w:hAnsi="Times New Roman"/>
      <w:sz w:val="24"/>
      <w:szCs w:val="22"/>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sz w:val="16"/>
      <w:lang w:eastAsia="en-US" w:bidi="ar-SA"/>
    </w:rPr>
  </w:style>
  <w:style w:type="character" w:customStyle="1" w:styleId="Heading3Char">
    <w:name w:val="Heading 3 Char"/>
    <w:link w:val="Heading3"/>
    <w:rPr>
      <w:rFonts w:ascii="Cambria" w:eastAsia="SimSun" w:hAnsi="Cambria"/>
      <w:b/>
      <w:bCs/>
      <w:color w:val="4F81BD"/>
      <w:sz w:val="24"/>
      <w:lang w:eastAsia="en-US" w:bidi="ar-SA"/>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pPr>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3">
    <w:name w:val="Text 3"/>
    <w:basedOn w:val="Normal"/>
    <w:pPr>
      <w:tabs>
        <w:tab w:val="left" w:pos="2302"/>
      </w:tabs>
      <w:ind w:left="1202"/>
    </w:pPr>
    <w:rPr>
      <w:rFonts w:ascii="Arial" w:hAnsi="Arial"/>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spacing w:before="360" w:after="120"/>
      <w:ind w:left="360" w:hanging="36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outlineLvl w:val="1"/>
    </w:pPr>
    <w:rPr>
      <w:rFonts w:ascii="Arial" w:hAnsi="Arial"/>
      <w:color w:val="002060"/>
    </w:rPr>
  </w:style>
  <w:style w:type="character" w:customStyle="1" w:styleId="AnnualReport1Char">
    <w:name w:val="Annual Report §1 Char"/>
    <w:link w:val="AnnualReport1"/>
    <w:rPr>
      <w:rFonts w:ascii="Arial" w:eastAsia="MS Gothic" w:hAnsi="Arial" w:cs="Arial"/>
      <w:caps/>
      <w:color w:val="4F81BD"/>
      <w:kern w:val="20"/>
      <w:sz w:val="22"/>
      <w:szCs w:val="24"/>
      <w:lang w:eastAsia="en-US" w:bidi="ar-SA"/>
    </w:rPr>
  </w:style>
  <w:style w:type="character" w:customStyle="1" w:styleId="AnnualReport2Char">
    <w:name w:val="Annual Report §2 Char"/>
    <w:link w:val="AnnualReport2"/>
    <w:rPr>
      <w:rFonts w:ascii="Arial" w:eastAsia="Times New Roman" w:hAnsi="Arial"/>
      <w:color w:val="002060"/>
      <w:sz w:val="22"/>
      <w:szCs w:val="22"/>
      <w:lang w:eastAsia="en-US" w:bidi="ar-SA"/>
    </w:rPr>
  </w:style>
  <w:style w:type="character" w:customStyle="1" w:styleId="Heading2Char">
    <w:name w:val="Heading 2 Char"/>
    <w:link w:val="Heading2"/>
    <w:rPr>
      <w:rFonts w:ascii="Arial" w:eastAsia="Times New Roman" w:hAnsi="Arial"/>
      <w:b/>
      <w:sz w:val="22"/>
      <w:lang w:eastAsia="en-US" w:bidi="ar-SA"/>
    </w:rPr>
  </w:style>
  <w:style w:type="character" w:customStyle="1" w:styleId="Heading4Char">
    <w:name w:val="Heading 4 Char"/>
    <w:link w:val="Heading4"/>
    <w:rPr>
      <w:rFonts w:ascii="Arial" w:eastAsia="Times New Roman" w:hAnsi="Arial"/>
      <w:sz w:val="22"/>
      <w:lang w:eastAsia="en-US" w:bidi="ar-SA"/>
    </w:rPr>
  </w:style>
  <w:style w:type="paragraph" w:customStyle="1" w:styleId="Text4">
    <w:name w:val="Text 4"/>
    <w:basedOn w:val="Normal"/>
    <w:pPr>
      <w:tabs>
        <w:tab w:val="left" w:pos="2302"/>
      </w:tabs>
      <w:ind w:left="1202"/>
    </w:pPr>
    <w:rPr>
      <w:rFonts w:ascii="Arial" w:hAnsi="Arial"/>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lang w:eastAsia="en-US" w:bidi="ar-SA"/>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95"/>
      </w:numPr>
    </w:pPr>
    <w:rPr>
      <w:lang w:eastAsia="en-GB"/>
    </w:rPr>
  </w:style>
  <w:style w:type="paragraph" w:customStyle="1" w:styleId="Basis">
    <w:name w:val="Basis"/>
    <w:basedOn w:val="Normal"/>
    <w:link w:val="BasisChar"/>
    <w:qFormat/>
    <w:pPr>
      <w:ind w:left="720"/>
    </w:pPr>
    <w:rPr>
      <w:rFonts w:ascii="Verdana" w:hAnsi="Verdana"/>
      <w:sz w:val="20"/>
      <w:lang w:val="en-US" w:eastAsia="en-GB"/>
    </w:rPr>
  </w:style>
  <w:style w:type="character" w:customStyle="1" w:styleId="BasisChar">
    <w:name w:val="Basis Char"/>
    <w:link w:val="Basis"/>
    <w:rPr>
      <w:rFonts w:ascii="Verdana" w:eastAsia="Times New Roman" w:hAnsi="Verdana"/>
      <w:szCs w:val="22"/>
      <w:lang w:val="en-US" w:bidi="ar-SA"/>
    </w:rPr>
  </w:style>
  <w:style w:type="character" w:customStyle="1" w:styleId="bold">
    <w:name w:val="bold"/>
  </w:style>
  <w:style w:type="paragraph" w:customStyle="1" w:styleId="ListBullet1">
    <w:name w:val="List Bullet 1"/>
    <w:basedOn w:val="Normal"/>
    <w:pPr>
      <w:numPr>
        <w:numId w:val="97"/>
      </w:numPr>
    </w:pPr>
  </w:style>
  <w:style w:type="numbering" w:customStyle="1" w:styleId="NoList1">
    <w:name w:val="No List1"/>
    <w:next w:val="NoList"/>
    <w:uiPriority w:val="99"/>
    <w:semiHidden/>
    <w:unhideWhenUsed/>
  </w:style>
  <w:style w:type="table" w:customStyle="1" w:styleId="Style128">
    <w:name w:val="Style128"/>
    <w:basedOn w:val="TableNormal"/>
    <w:rPr>
      <w:rFonts w:ascii="Times New Roman" w:eastAsia="Times New Roman" w:hAnsi="Times New Roman"/>
    </w:rPr>
    <w:tblPr/>
  </w:style>
  <w:style w:type="table" w:customStyle="1" w:styleId="Style1110">
    <w:name w:val="Style1110"/>
    <w:basedOn w:val="TableNormal"/>
    <w:rPr>
      <w:rFonts w:ascii="Times New Roman" w:eastAsia="Times New Roman" w:hAnsi="Times New Roman"/>
    </w:rPr>
    <w:tblPr/>
  </w:style>
  <w:style w:type="table" w:customStyle="1" w:styleId="Style129">
    <w:name w:val="Style129"/>
    <w:basedOn w:val="TableNormal"/>
    <w:rPr>
      <w:rFonts w:ascii="Times New Roman" w:eastAsia="Times New Roman" w:hAnsi="Times New Roman"/>
    </w:rPr>
    <w:tblPr/>
  </w:style>
  <w:style w:type="table" w:customStyle="1" w:styleId="Style131">
    <w:name w:val="Style131"/>
    <w:basedOn w:val="TableNormal"/>
    <w:rPr>
      <w:rFonts w:ascii="Times New Roman" w:eastAsia="Times New Roman" w:hAnsi="Times New Roman"/>
    </w:rPr>
    <w:tblPr/>
  </w:style>
  <w:style w:type="table" w:customStyle="1" w:styleId="Style141">
    <w:name w:val="Style141"/>
    <w:basedOn w:val="TableNormal"/>
    <w:rPr>
      <w:rFonts w:ascii="Times New Roman" w:eastAsia="Times New Roman" w:hAnsi="Times New Roman"/>
    </w:rPr>
    <w:tblPr/>
  </w:style>
  <w:style w:type="table" w:customStyle="1" w:styleId="Style151">
    <w:name w:val="Style151"/>
    <w:basedOn w:val="TableNormal"/>
    <w:rPr>
      <w:rFonts w:ascii="Times New Roman" w:eastAsia="Times New Roman" w:hAnsi="Times New Roman"/>
    </w:rPr>
    <w:tblPr/>
  </w:style>
  <w:style w:type="table" w:customStyle="1" w:styleId="Style161">
    <w:name w:val="Style161"/>
    <w:basedOn w:val="TableNormal"/>
    <w:rPr>
      <w:rFonts w:ascii="Times New Roman" w:eastAsia="Times New Roman" w:hAnsi="Times New Roman"/>
    </w:rPr>
    <w:tblPr/>
  </w:style>
  <w:style w:type="table" w:customStyle="1" w:styleId="Style171">
    <w:name w:val="Style171"/>
    <w:basedOn w:val="TableNormal"/>
    <w:rPr>
      <w:rFonts w:ascii="Times New Roman" w:eastAsia="Times New Roman" w:hAnsi="Times New Roman"/>
    </w:rPr>
    <w:tblPr/>
  </w:style>
  <w:style w:type="table" w:customStyle="1" w:styleId="Style181">
    <w:name w:val="Style181"/>
    <w:basedOn w:val="TableNormal"/>
    <w:rPr>
      <w:rFonts w:ascii="Times New Roman" w:eastAsia="Times New Roman" w:hAnsi="Times New Roman"/>
    </w:rPr>
    <w:tblPr/>
  </w:style>
  <w:style w:type="table" w:customStyle="1" w:styleId="Style191">
    <w:name w:val="Style191"/>
    <w:basedOn w:val="TableNormal"/>
    <w:rPr>
      <w:rFonts w:ascii="Times New Roman" w:eastAsia="Times New Roman" w:hAnsi="Times New Roman"/>
    </w:rPr>
    <w:tblPr/>
  </w:style>
  <w:style w:type="table" w:customStyle="1" w:styleId="Style1101">
    <w:name w:val="Style1101"/>
    <w:basedOn w:val="TableNormal"/>
    <w:rPr>
      <w:rFonts w:ascii="Times New Roman" w:eastAsia="Times New Roman" w:hAnsi="Times New Roman"/>
    </w:rPr>
    <w:tblPr/>
  </w:style>
  <w:style w:type="table" w:customStyle="1" w:styleId="Style1111">
    <w:name w:val="Style1111"/>
    <w:basedOn w:val="TableNormal"/>
    <w:rPr>
      <w:rFonts w:ascii="Times New Roman" w:eastAsia="Times New Roman" w:hAnsi="Times New Roman"/>
    </w:rPr>
    <w:tblPr/>
  </w:style>
  <w:style w:type="table" w:customStyle="1" w:styleId="Style1121">
    <w:name w:val="Style1121"/>
    <w:basedOn w:val="TableNormal"/>
    <w:rPr>
      <w:rFonts w:ascii="Times New Roman" w:eastAsia="Times New Roman" w:hAnsi="Times New Roman"/>
    </w:rPr>
    <w:tblPr/>
  </w:style>
  <w:style w:type="table" w:customStyle="1" w:styleId="Style1131">
    <w:name w:val="Style1131"/>
    <w:basedOn w:val="TableNormal"/>
    <w:rPr>
      <w:rFonts w:ascii="Times New Roman" w:eastAsia="Times New Roman" w:hAnsi="Times New Roman"/>
    </w:rPr>
    <w:tblPr/>
  </w:style>
  <w:style w:type="table" w:customStyle="1" w:styleId="Style1141">
    <w:name w:val="Style1141"/>
    <w:basedOn w:val="TableNormal"/>
    <w:rPr>
      <w:rFonts w:ascii="Times New Roman" w:eastAsia="Times New Roman" w:hAnsi="Times New Roman"/>
    </w:rPr>
    <w:tblPr/>
  </w:style>
  <w:style w:type="table" w:customStyle="1" w:styleId="Style1151">
    <w:name w:val="Style1151"/>
    <w:basedOn w:val="TableNormal"/>
    <w:rPr>
      <w:rFonts w:ascii="Times New Roman" w:eastAsia="Times New Roman" w:hAnsi="Times New Roman"/>
    </w:rPr>
    <w:tblPr/>
  </w:style>
  <w:style w:type="table" w:customStyle="1" w:styleId="Style1161">
    <w:name w:val="Style1161"/>
    <w:basedOn w:val="TableNormal"/>
    <w:rPr>
      <w:rFonts w:ascii="Times New Roman" w:eastAsia="Times New Roman" w:hAnsi="Times New Roman"/>
    </w:rPr>
    <w:tblPr/>
  </w:style>
  <w:style w:type="table" w:customStyle="1" w:styleId="Style1171">
    <w:name w:val="Style1171"/>
    <w:basedOn w:val="TableNormal"/>
    <w:rPr>
      <w:rFonts w:ascii="Times New Roman" w:eastAsia="Times New Roman" w:hAnsi="Times New Roman"/>
    </w:rPr>
    <w:tblPr/>
  </w:style>
  <w:style w:type="table" w:customStyle="1" w:styleId="Style1181">
    <w:name w:val="Style1181"/>
    <w:basedOn w:val="TableNormal"/>
    <w:rPr>
      <w:rFonts w:ascii="Times New Roman" w:eastAsia="Times New Roman" w:hAnsi="Times New Roman"/>
    </w:rPr>
    <w:tblPr/>
  </w:style>
  <w:style w:type="table" w:customStyle="1" w:styleId="Style1191">
    <w:name w:val="Style1191"/>
    <w:basedOn w:val="TableNormal"/>
    <w:rPr>
      <w:rFonts w:ascii="Times New Roman" w:eastAsia="Times New Roman" w:hAnsi="Times New Roman"/>
    </w:rPr>
    <w:tblPr/>
  </w:style>
  <w:style w:type="table" w:customStyle="1" w:styleId="Style1201">
    <w:name w:val="Style1201"/>
    <w:basedOn w:val="TableNormal"/>
    <w:rPr>
      <w:rFonts w:ascii="Times New Roman" w:eastAsia="Times New Roman" w:hAnsi="Times New Roman"/>
    </w:rPr>
    <w:tblPr/>
  </w:style>
  <w:style w:type="table" w:customStyle="1" w:styleId="Style1211">
    <w:name w:val="Style1211"/>
    <w:basedOn w:val="TableNormal"/>
    <w:rPr>
      <w:rFonts w:ascii="Times New Roman" w:eastAsia="Times New Roman" w:hAnsi="Times New Roman"/>
    </w:rPr>
    <w:tblPr/>
  </w:style>
  <w:style w:type="table" w:customStyle="1" w:styleId="Style1221">
    <w:name w:val="Style1221"/>
    <w:basedOn w:val="TableNormal"/>
    <w:rPr>
      <w:rFonts w:ascii="Times New Roman" w:eastAsia="Times New Roman" w:hAnsi="Times New Roman"/>
    </w:rPr>
    <w:tblPr/>
  </w:style>
  <w:style w:type="table" w:customStyle="1" w:styleId="Style1231">
    <w:name w:val="Style1231"/>
    <w:basedOn w:val="TableNormal"/>
    <w:rPr>
      <w:rFonts w:ascii="Times New Roman" w:eastAsia="Times New Roman" w:hAnsi="Times New Roman"/>
    </w:rPr>
    <w:tblPr/>
  </w:style>
  <w:style w:type="table" w:customStyle="1" w:styleId="Style1241">
    <w:name w:val="Style1241"/>
    <w:basedOn w:val="TableNormal"/>
    <w:rPr>
      <w:rFonts w:ascii="Times New Roman" w:eastAsia="Times New Roman" w:hAnsi="Times New Roman"/>
    </w:rPr>
    <w:tblPr/>
  </w:style>
  <w:style w:type="table" w:customStyle="1" w:styleId="Style1251">
    <w:name w:val="Style1251"/>
    <w:basedOn w:val="TableNormal"/>
    <w:rPr>
      <w:rFonts w:ascii="Times New Roman" w:eastAsia="Times New Roman" w:hAnsi="Times New Roman"/>
    </w:rPr>
    <w:tblPr/>
  </w:style>
  <w:style w:type="table" w:customStyle="1" w:styleId="Style1261">
    <w:name w:val="Style1261"/>
    <w:basedOn w:val="TableNormal"/>
    <w:rPr>
      <w:rFonts w:ascii="Times New Roman" w:eastAsia="Times New Roman" w:hAnsi="Times New Roman"/>
    </w:rPr>
    <w:tblPr/>
  </w:style>
  <w:style w:type="table" w:customStyle="1" w:styleId="Style1271">
    <w:name w:val="Style1271"/>
    <w:basedOn w:val="TableNormal"/>
    <w:rPr>
      <w:rFonts w:ascii="Times New Roman" w:eastAsia="Times New Roman" w:hAnsi="Times New Roman"/>
    </w:rPr>
    <w:tbl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heme="minorHAnsi" w:hAnsi="Courier New" w:cstheme="minorBidi"/>
      <w:szCs w:val="22"/>
      <w:lang w:eastAsia="en-US" w:bidi="ar-SA"/>
    </w:rPr>
  </w:style>
  <w:style w:type="character" w:customStyle="1" w:styleId="LienInternet">
    <w:name w:val="Lien Internet"/>
    <w:rPr>
      <w:color w:val="0000FF"/>
      <w:u w:val="single"/>
    </w:rPr>
  </w:style>
  <w:style w:type="character" w:customStyle="1" w:styleId="Caractresdenotedebasdepage">
    <w:name w:val="Caractères de note de bas de page"/>
    <w:qFormat/>
  </w:style>
  <w:style w:type="character" w:customStyle="1" w:styleId="LienInternetvisit">
    <w:name w:val="Lien Internet visité"/>
    <w:rPr>
      <w:color w:val="800000"/>
      <w:u w:val="single"/>
    </w:rPr>
  </w:style>
  <w:style w:type="character" w:customStyle="1" w:styleId="textblock">
    <w:name w:val="textblock"/>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rFonts w:ascii="Calibri" w:eastAsia="Calibri" w:hAnsi="Calibri" w:cs="Times New Roman"/>
      <w:sz w:val="20"/>
      <w:szCs w:val="20"/>
      <w:vertAlign w:val="superscript"/>
      <w:lang w:eastAsia="en-GB" w:bidi="th-TH"/>
    </w:rPr>
  </w:style>
  <w:style w:type="paragraph" w:customStyle="1" w:styleId="BulletPoint2">
    <w:name w:val="Bullet Point 2"/>
    <w:basedOn w:val="NormalIndent"/>
    <w:pPr>
      <w:numPr>
        <w:numId w:val="167"/>
      </w:numPr>
      <w:spacing w:after="120" w:line="240" w:lineRule="auto"/>
      <w:ind w:left="1077" w:hanging="357"/>
    </w:pPr>
    <w:rPr>
      <w:rFonts w:ascii="Verdana" w:eastAsia="Times New Roman" w:hAnsi="Verdana" w:cs="Times New Roman"/>
      <w:sz w:val="18"/>
      <w:lang w:eastAsia="en-GB"/>
    </w:rPr>
  </w:style>
  <w:style w:type="paragraph" w:styleId="NormalIndent">
    <w:name w:val="Normal Indent"/>
    <w:basedOn w:val="Normal"/>
    <w:uiPriority w:val="99"/>
    <w:semiHidden/>
    <w:unhideWhenUsed/>
    <w:pPr>
      <w:ind w:left="720"/>
    </w:pPr>
  </w:style>
  <w:style w:type="character" w:customStyle="1" w:styleId="Ancredenotedebasdepage">
    <w:name w:val="Ancre de note de bas de page"/>
    <w:rPr>
      <w:vertAlign w:val="superscript"/>
    </w:rPr>
  </w:style>
  <w:style w:type="character" w:customStyle="1" w:styleId="outputecliaff">
    <w:name w:val="outputecliaff"/>
    <w:basedOn w:val="DefaultParagraphFont"/>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heme="minorHAnsi" w:eastAsiaTheme="minorHAnsi" w:hAnsiTheme="minorHAnsi" w:cstheme="minorBidi"/>
      <w:sz w:val="22"/>
      <w:szCs w:val="22"/>
      <w:lang w:eastAsia="en-US" w:bidi="ar-SA"/>
    </w:rPr>
  </w:style>
  <w:style w:type="character" w:customStyle="1" w:styleId="ListParagraphChar">
    <w:name w:val="List Paragraph Char"/>
    <w:basedOn w:val="DefaultParagraphFont"/>
    <w:link w:val="ListParagraph"/>
    <w:uiPriority w:val="34"/>
    <w:rPr>
      <w:rFonts w:asciiTheme="minorHAnsi" w:eastAsiaTheme="minorHAnsi" w:hAnsiTheme="minorHAnsi" w:cstheme="minorBidi"/>
      <w:sz w:val="22"/>
      <w:szCs w:val="22"/>
      <w:lang w:eastAsia="en-US" w:bidi="ar-SA"/>
    </w:rPr>
  </w:style>
  <w:style w:type="paragraph" w:styleId="Index9">
    <w:name w:val="index 9"/>
    <w:basedOn w:val="Normal"/>
    <w:next w:val="Normal"/>
    <w:autoRedefine/>
    <w:semiHidden/>
    <w:pPr>
      <w:ind w:left="2160" w:hanging="240"/>
    </w:pPr>
  </w:style>
  <w:style w:type="paragraph" w:styleId="ListBullet3">
    <w:name w:val="List Bullet 3"/>
    <w:basedOn w:val="Normal"/>
    <w:uiPriority w:val="99"/>
    <w:semiHidden/>
    <w:unhideWhenUsed/>
    <w:pPr>
      <w:numPr>
        <w:numId w:val="275"/>
      </w:numPr>
      <w:contextualSpacing/>
    </w:pPr>
  </w:style>
  <w:style w:type="table" w:styleId="TableGrid">
    <w:name w:val="Table Grid"/>
    <w:basedOn w:val="TableNormal"/>
    <w:uiPriority w:val="59"/>
    <w:rPr>
      <w:rFonts w:asciiTheme="minorHAnsi" w:eastAsiaTheme="minorHAnsi" w:hAnsiTheme="minorHAnsi" w:cstheme="minorBidi"/>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locked/>
    <w:pPr>
      <w:spacing w:after="160" w:line="259" w:lineRule="auto"/>
    </w:pPr>
    <w:rPr>
      <w:rFonts w:asciiTheme="minorHAnsi" w:eastAsiaTheme="minorHAnsi" w:hAnsiTheme="minorHAnsi" w:cstheme="minorBidi"/>
      <w:sz w:val="22"/>
      <w:szCs w:val="22"/>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link w:val="FootnotesymbolCarZchn"/>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lang w:val="en-US" w:eastAsia="en-US" w:bidi="ar-SA"/>
    </w:rPr>
  </w:style>
  <w:style w:type="paragraph" w:customStyle="1" w:styleId="kop2">
    <w:name w:val="kop 2"/>
    <w:basedOn w:val="Normal"/>
    <w:next w:val="Normal"/>
    <w:link w:val="kop2Char"/>
    <w:uiPriority w:val="1"/>
    <w:unhideWhenUsed/>
    <w:qFormat/>
    <w:pPr>
      <w:keepNext/>
      <w:keepLines/>
      <w:spacing w:after="120"/>
      <w:ind w:left="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ind w:left="2869" w:hanging="180"/>
    </w:pPr>
  </w:style>
  <w:style w:type="character" w:customStyle="1" w:styleId="kop2Char">
    <w:name w:val="kop 2 Char"/>
    <w:link w:val="kop2"/>
    <w:uiPriority w:val="1"/>
    <w:rPr>
      <w:rFonts w:ascii="Arial" w:eastAsia="MS Gothic" w:hAnsi="Arial" w:cs="Arial"/>
      <w:caps/>
      <w:color w:val="4F81BD"/>
      <w:kern w:val="20"/>
      <w:sz w:val="24"/>
      <w:szCs w:val="24"/>
      <w:lang w:eastAsia="en-US" w:bidi="ar-SA"/>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spacing w:after="120"/>
      <w:ind w:left="107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olor w:val="BFBFBF"/>
      <w:sz w:val="24"/>
      <w:szCs w:val="24"/>
      <w:lang w:eastAsia="en-US" w:bidi="ar-SA"/>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semiHidden/>
    <w:rPr>
      <w:rFonts w:ascii="Tahoma" w:eastAsia="Times New Roman" w:hAnsi="Tahoma" w:cs="Tahoma"/>
      <w:sz w:val="16"/>
      <w:szCs w:val="16"/>
      <w:lang w:eastAsia="en-US" w:bidi="ar-SA"/>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character" w:customStyle="1" w:styleId="HeaderChar">
    <w:name w:val="Header Char"/>
    <w:link w:val="Header"/>
    <w:uiPriority w:val="99"/>
    <w:rPr>
      <w:rFonts w:ascii="Times New Roman" w:hAnsi="Times New Roman"/>
      <w:sz w:val="24"/>
      <w:szCs w:val="22"/>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rPr>
  </w:style>
  <w:style w:type="character" w:customStyle="1" w:styleId="FooterChar">
    <w:name w:val="Footer Char"/>
    <w:link w:val="Footer"/>
    <w:uiPriority w:val="99"/>
    <w:rPr>
      <w:rFonts w:ascii="Times New Roman" w:hAnsi="Times New Roman"/>
      <w:sz w:val="24"/>
      <w:szCs w:val="22"/>
      <w:lang w:eastAsia="en-US" w:bidi="ar-SA"/>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lang w:eastAsia="en-US" w:bidi="ar-SA"/>
    </w:rPr>
  </w:style>
  <w:style w:type="paragraph" w:styleId="Subtitle">
    <w:name w:val="Subtitle"/>
    <w:basedOn w:val="Normal"/>
    <w:link w:val="SubtitleChar"/>
    <w:autoRedefine/>
    <w:qFormat/>
    <w:pPr>
      <w:spacing w:before="240"/>
      <w:ind w:left="1980" w:hanging="360"/>
      <w:outlineLvl w:val="1"/>
    </w:pPr>
    <w:rPr>
      <w:rFonts w:ascii="Arial" w:hAnsi="Arial"/>
      <w:color w:val="002060"/>
    </w:rPr>
  </w:style>
  <w:style w:type="character" w:customStyle="1" w:styleId="SubtitleChar">
    <w:name w:val="Subtitle Char"/>
    <w:link w:val="Subtitle"/>
    <w:rPr>
      <w:rFonts w:ascii="Arial" w:eastAsiaTheme="minorHAnsi" w:hAnsi="Arial" w:cstheme="minorBidi"/>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lang w:eastAsia="en-US" w:bidi="ar-SA"/>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bCs/>
      <w:color w:val="A6A6A6"/>
      <w:sz w:val="24"/>
      <w:szCs w:val="28"/>
      <w:lang w:eastAsia="en-US" w:bidi="ar-SA"/>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lang w:eastAsia="en-US" w:bidi="ar-SA"/>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7"/>
      </w:numPr>
    </w:pPr>
    <w:rPr>
      <w:rFonts w:ascii="Arial" w:hAnsi="Arial"/>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sz w:val="24"/>
      <w:lang w:eastAsia="en-US" w:bidi="ar-SA"/>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heme="minorHAnsi" w:hAnsi="Times New Roman"/>
      <w:sz w:val="24"/>
      <w:szCs w:val="22"/>
      <w:lang w:eastAsia="en-US" w:bidi="ar-SA"/>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Pr>
      <w:rFonts w:ascii="Times New Roman" w:eastAsiaTheme="minorHAnsi" w:hAnsi="Times New Roman"/>
      <w:sz w:val="24"/>
      <w:szCs w:val="22"/>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sz w:val="16"/>
      <w:lang w:eastAsia="en-US" w:bidi="ar-SA"/>
    </w:rPr>
  </w:style>
  <w:style w:type="character" w:customStyle="1" w:styleId="Heading3Char">
    <w:name w:val="Heading 3 Char"/>
    <w:link w:val="Heading3"/>
    <w:rPr>
      <w:rFonts w:ascii="Cambria" w:eastAsia="SimSun" w:hAnsi="Cambria"/>
      <w:b/>
      <w:bCs/>
      <w:color w:val="4F81BD"/>
      <w:sz w:val="24"/>
      <w:lang w:eastAsia="en-US" w:bidi="ar-SA"/>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pPr>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3">
    <w:name w:val="Text 3"/>
    <w:basedOn w:val="Normal"/>
    <w:pPr>
      <w:tabs>
        <w:tab w:val="left" w:pos="2302"/>
      </w:tabs>
      <w:ind w:left="1202"/>
    </w:pPr>
    <w:rPr>
      <w:rFonts w:ascii="Arial" w:hAnsi="Arial"/>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spacing w:before="360" w:after="120"/>
      <w:ind w:left="360" w:hanging="36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outlineLvl w:val="1"/>
    </w:pPr>
    <w:rPr>
      <w:rFonts w:ascii="Arial" w:hAnsi="Arial"/>
      <w:color w:val="002060"/>
    </w:rPr>
  </w:style>
  <w:style w:type="character" w:customStyle="1" w:styleId="AnnualReport1Char">
    <w:name w:val="Annual Report §1 Char"/>
    <w:link w:val="AnnualReport1"/>
    <w:rPr>
      <w:rFonts w:ascii="Arial" w:eastAsia="MS Gothic" w:hAnsi="Arial" w:cs="Arial"/>
      <w:caps/>
      <w:color w:val="4F81BD"/>
      <w:kern w:val="20"/>
      <w:sz w:val="22"/>
      <w:szCs w:val="24"/>
      <w:lang w:eastAsia="en-US" w:bidi="ar-SA"/>
    </w:rPr>
  </w:style>
  <w:style w:type="character" w:customStyle="1" w:styleId="AnnualReport2Char">
    <w:name w:val="Annual Report §2 Char"/>
    <w:link w:val="AnnualReport2"/>
    <w:rPr>
      <w:rFonts w:ascii="Arial" w:eastAsia="Times New Roman" w:hAnsi="Arial"/>
      <w:color w:val="002060"/>
      <w:sz w:val="22"/>
      <w:szCs w:val="22"/>
      <w:lang w:eastAsia="en-US" w:bidi="ar-SA"/>
    </w:rPr>
  </w:style>
  <w:style w:type="character" w:customStyle="1" w:styleId="Heading2Char">
    <w:name w:val="Heading 2 Char"/>
    <w:link w:val="Heading2"/>
    <w:rPr>
      <w:rFonts w:ascii="Arial" w:eastAsia="Times New Roman" w:hAnsi="Arial"/>
      <w:b/>
      <w:sz w:val="22"/>
      <w:lang w:eastAsia="en-US" w:bidi="ar-SA"/>
    </w:rPr>
  </w:style>
  <w:style w:type="character" w:customStyle="1" w:styleId="Heading4Char">
    <w:name w:val="Heading 4 Char"/>
    <w:link w:val="Heading4"/>
    <w:rPr>
      <w:rFonts w:ascii="Arial" w:eastAsia="Times New Roman" w:hAnsi="Arial"/>
      <w:sz w:val="22"/>
      <w:lang w:eastAsia="en-US" w:bidi="ar-SA"/>
    </w:rPr>
  </w:style>
  <w:style w:type="paragraph" w:customStyle="1" w:styleId="Text4">
    <w:name w:val="Text 4"/>
    <w:basedOn w:val="Normal"/>
    <w:pPr>
      <w:tabs>
        <w:tab w:val="left" w:pos="2302"/>
      </w:tabs>
      <w:ind w:left="1202"/>
    </w:pPr>
    <w:rPr>
      <w:rFonts w:ascii="Arial" w:hAnsi="Arial"/>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lang w:eastAsia="en-US" w:bidi="ar-SA"/>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95"/>
      </w:numPr>
    </w:pPr>
    <w:rPr>
      <w:lang w:eastAsia="en-GB"/>
    </w:rPr>
  </w:style>
  <w:style w:type="paragraph" w:customStyle="1" w:styleId="Basis">
    <w:name w:val="Basis"/>
    <w:basedOn w:val="Normal"/>
    <w:link w:val="BasisChar"/>
    <w:qFormat/>
    <w:pPr>
      <w:ind w:left="720"/>
    </w:pPr>
    <w:rPr>
      <w:rFonts w:ascii="Verdana" w:hAnsi="Verdana"/>
      <w:sz w:val="20"/>
      <w:lang w:val="en-US" w:eastAsia="en-GB"/>
    </w:rPr>
  </w:style>
  <w:style w:type="character" w:customStyle="1" w:styleId="BasisChar">
    <w:name w:val="Basis Char"/>
    <w:link w:val="Basis"/>
    <w:rPr>
      <w:rFonts w:ascii="Verdana" w:eastAsia="Times New Roman" w:hAnsi="Verdana"/>
      <w:szCs w:val="22"/>
      <w:lang w:val="en-US" w:bidi="ar-SA"/>
    </w:rPr>
  </w:style>
  <w:style w:type="character" w:customStyle="1" w:styleId="bold">
    <w:name w:val="bold"/>
  </w:style>
  <w:style w:type="paragraph" w:customStyle="1" w:styleId="ListBullet1">
    <w:name w:val="List Bullet 1"/>
    <w:basedOn w:val="Normal"/>
    <w:pPr>
      <w:numPr>
        <w:numId w:val="97"/>
      </w:numPr>
    </w:pPr>
  </w:style>
  <w:style w:type="numbering" w:customStyle="1" w:styleId="NoList1">
    <w:name w:val="No List1"/>
    <w:next w:val="NoList"/>
    <w:uiPriority w:val="99"/>
    <w:semiHidden/>
    <w:unhideWhenUsed/>
  </w:style>
  <w:style w:type="table" w:customStyle="1" w:styleId="Style128">
    <w:name w:val="Style128"/>
    <w:basedOn w:val="TableNormal"/>
    <w:rPr>
      <w:rFonts w:ascii="Times New Roman" w:eastAsia="Times New Roman" w:hAnsi="Times New Roman"/>
    </w:rPr>
    <w:tblPr/>
  </w:style>
  <w:style w:type="table" w:customStyle="1" w:styleId="Style1110">
    <w:name w:val="Style1110"/>
    <w:basedOn w:val="TableNormal"/>
    <w:rPr>
      <w:rFonts w:ascii="Times New Roman" w:eastAsia="Times New Roman" w:hAnsi="Times New Roman"/>
    </w:rPr>
    <w:tblPr/>
  </w:style>
  <w:style w:type="table" w:customStyle="1" w:styleId="Style129">
    <w:name w:val="Style129"/>
    <w:basedOn w:val="TableNormal"/>
    <w:rPr>
      <w:rFonts w:ascii="Times New Roman" w:eastAsia="Times New Roman" w:hAnsi="Times New Roman"/>
    </w:rPr>
    <w:tblPr/>
  </w:style>
  <w:style w:type="table" w:customStyle="1" w:styleId="Style131">
    <w:name w:val="Style131"/>
    <w:basedOn w:val="TableNormal"/>
    <w:rPr>
      <w:rFonts w:ascii="Times New Roman" w:eastAsia="Times New Roman" w:hAnsi="Times New Roman"/>
    </w:rPr>
    <w:tblPr/>
  </w:style>
  <w:style w:type="table" w:customStyle="1" w:styleId="Style141">
    <w:name w:val="Style141"/>
    <w:basedOn w:val="TableNormal"/>
    <w:rPr>
      <w:rFonts w:ascii="Times New Roman" w:eastAsia="Times New Roman" w:hAnsi="Times New Roman"/>
    </w:rPr>
    <w:tblPr/>
  </w:style>
  <w:style w:type="table" w:customStyle="1" w:styleId="Style151">
    <w:name w:val="Style151"/>
    <w:basedOn w:val="TableNormal"/>
    <w:rPr>
      <w:rFonts w:ascii="Times New Roman" w:eastAsia="Times New Roman" w:hAnsi="Times New Roman"/>
    </w:rPr>
    <w:tblPr/>
  </w:style>
  <w:style w:type="table" w:customStyle="1" w:styleId="Style161">
    <w:name w:val="Style161"/>
    <w:basedOn w:val="TableNormal"/>
    <w:rPr>
      <w:rFonts w:ascii="Times New Roman" w:eastAsia="Times New Roman" w:hAnsi="Times New Roman"/>
    </w:rPr>
    <w:tblPr/>
  </w:style>
  <w:style w:type="table" w:customStyle="1" w:styleId="Style171">
    <w:name w:val="Style171"/>
    <w:basedOn w:val="TableNormal"/>
    <w:rPr>
      <w:rFonts w:ascii="Times New Roman" w:eastAsia="Times New Roman" w:hAnsi="Times New Roman"/>
    </w:rPr>
    <w:tblPr/>
  </w:style>
  <w:style w:type="table" w:customStyle="1" w:styleId="Style181">
    <w:name w:val="Style181"/>
    <w:basedOn w:val="TableNormal"/>
    <w:rPr>
      <w:rFonts w:ascii="Times New Roman" w:eastAsia="Times New Roman" w:hAnsi="Times New Roman"/>
    </w:rPr>
    <w:tblPr/>
  </w:style>
  <w:style w:type="table" w:customStyle="1" w:styleId="Style191">
    <w:name w:val="Style191"/>
    <w:basedOn w:val="TableNormal"/>
    <w:rPr>
      <w:rFonts w:ascii="Times New Roman" w:eastAsia="Times New Roman" w:hAnsi="Times New Roman"/>
    </w:rPr>
    <w:tblPr/>
  </w:style>
  <w:style w:type="table" w:customStyle="1" w:styleId="Style1101">
    <w:name w:val="Style1101"/>
    <w:basedOn w:val="TableNormal"/>
    <w:rPr>
      <w:rFonts w:ascii="Times New Roman" w:eastAsia="Times New Roman" w:hAnsi="Times New Roman"/>
    </w:rPr>
    <w:tblPr/>
  </w:style>
  <w:style w:type="table" w:customStyle="1" w:styleId="Style1111">
    <w:name w:val="Style1111"/>
    <w:basedOn w:val="TableNormal"/>
    <w:rPr>
      <w:rFonts w:ascii="Times New Roman" w:eastAsia="Times New Roman" w:hAnsi="Times New Roman"/>
    </w:rPr>
    <w:tblPr/>
  </w:style>
  <w:style w:type="table" w:customStyle="1" w:styleId="Style1121">
    <w:name w:val="Style1121"/>
    <w:basedOn w:val="TableNormal"/>
    <w:rPr>
      <w:rFonts w:ascii="Times New Roman" w:eastAsia="Times New Roman" w:hAnsi="Times New Roman"/>
    </w:rPr>
    <w:tblPr/>
  </w:style>
  <w:style w:type="table" w:customStyle="1" w:styleId="Style1131">
    <w:name w:val="Style1131"/>
    <w:basedOn w:val="TableNormal"/>
    <w:rPr>
      <w:rFonts w:ascii="Times New Roman" w:eastAsia="Times New Roman" w:hAnsi="Times New Roman"/>
    </w:rPr>
    <w:tblPr/>
  </w:style>
  <w:style w:type="table" w:customStyle="1" w:styleId="Style1141">
    <w:name w:val="Style1141"/>
    <w:basedOn w:val="TableNormal"/>
    <w:rPr>
      <w:rFonts w:ascii="Times New Roman" w:eastAsia="Times New Roman" w:hAnsi="Times New Roman"/>
    </w:rPr>
    <w:tblPr/>
  </w:style>
  <w:style w:type="table" w:customStyle="1" w:styleId="Style1151">
    <w:name w:val="Style1151"/>
    <w:basedOn w:val="TableNormal"/>
    <w:rPr>
      <w:rFonts w:ascii="Times New Roman" w:eastAsia="Times New Roman" w:hAnsi="Times New Roman"/>
    </w:rPr>
    <w:tblPr/>
  </w:style>
  <w:style w:type="table" w:customStyle="1" w:styleId="Style1161">
    <w:name w:val="Style1161"/>
    <w:basedOn w:val="TableNormal"/>
    <w:rPr>
      <w:rFonts w:ascii="Times New Roman" w:eastAsia="Times New Roman" w:hAnsi="Times New Roman"/>
    </w:rPr>
    <w:tblPr/>
  </w:style>
  <w:style w:type="table" w:customStyle="1" w:styleId="Style1171">
    <w:name w:val="Style1171"/>
    <w:basedOn w:val="TableNormal"/>
    <w:rPr>
      <w:rFonts w:ascii="Times New Roman" w:eastAsia="Times New Roman" w:hAnsi="Times New Roman"/>
    </w:rPr>
    <w:tblPr/>
  </w:style>
  <w:style w:type="table" w:customStyle="1" w:styleId="Style1181">
    <w:name w:val="Style1181"/>
    <w:basedOn w:val="TableNormal"/>
    <w:rPr>
      <w:rFonts w:ascii="Times New Roman" w:eastAsia="Times New Roman" w:hAnsi="Times New Roman"/>
    </w:rPr>
    <w:tblPr/>
  </w:style>
  <w:style w:type="table" w:customStyle="1" w:styleId="Style1191">
    <w:name w:val="Style1191"/>
    <w:basedOn w:val="TableNormal"/>
    <w:rPr>
      <w:rFonts w:ascii="Times New Roman" w:eastAsia="Times New Roman" w:hAnsi="Times New Roman"/>
    </w:rPr>
    <w:tblPr/>
  </w:style>
  <w:style w:type="table" w:customStyle="1" w:styleId="Style1201">
    <w:name w:val="Style1201"/>
    <w:basedOn w:val="TableNormal"/>
    <w:rPr>
      <w:rFonts w:ascii="Times New Roman" w:eastAsia="Times New Roman" w:hAnsi="Times New Roman"/>
    </w:rPr>
    <w:tblPr/>
  </w:style>
  <w:style w:type="table" w:customStyle="1" w:styleId="Style1211">
    <w:name w:val="Style1211"/>
    <w:basedOn w:val="TableNormal"/>
    <w:rPr>
      <w:rFonts w:ascii="Times New Roman" w:eastAsia="Times New Roman" w:hAnsi="Times New Roman"/>
    </w:rPr>
    <w:tblPr/>
  </w:style>
  <w:style w:type="table" w:customStyle="1" w:styleId="Style1221">
    <w:name w:val="Style1221"/>
    <w:basedOn w:val="TableNormal"/>
    <w:rPr>
      <w:rFonts w:ascii="Times New Roman" w:eastAsia="Times New Roman" w:hAnsi="Times New Roman"/>
    </w:rPr>
    <w:tblPr/>
  </w:style>
  <w:style w:type="table" w:customStyle="1" w:styleId="Style1231">
    <w:name w:val="Style1231"/>
    <w:basedOn w:val="TableNormal"/>
    <w:rPr>
      <w:rFonts w:ascii="Times New Roman" w:eastAsia="Times New Roman" w:hAnsi="Times New Roman"/>
    </w:rPr>
    <w:tblPr/>
  </w:style>
  <w:style w:type="table" w:customStyle="1" w:styleId="Style1241">
    <w:name w:val="Style1241"/>
    <w:basedOn w:val="TableNormal"/>
    <w:rPr>
      <w:rFonts w:ascii="Times New Roman" w:eastAsia="Times New Roman" w:hAnsi="Times New Roman"/>
    </w:rPr>
    <w:tblPr/>
  </w:style>
  <w:style w:type="table" w:customStyle="1" w:styleId="Style1251">
    <w:name w:val="Style1251"/>
    <w:basedOn w:val="TableNormal"/>
    <w:rPr>
      <w:rFonts w:ascii="Times New Roman" w:eastAsia="Times New Roman" w:hAnsi="Times New Roman"/>
    </w:rPr>
    <w:tblPr/>
  </w:style>
  <w:style w:type="table" w:customStyle="1" w:styleId="Style1261">
    <w:name w:val="Style1261"/>
    <w:basedOn w:val="TableNormal"/>
    <w:rPr>
      <w:rFonts w:ascii="Times New Roman" w:eastAsia="Times New Roman" w:hAnsi="Times New Roman"/>
    </w:rPr>
    <w:tblPr/>
  </w:style>
  <w:style w:type="table" w:customStyle="1" w:styleId="Style1271">
    <w:name w:val="Style1271"/>
    <w:basedOn w:val="TableNormal"/>
    <w:rPr>
      <w:rFonts w:ascii="Times New Roman" w:eastAsia="Times New Roman" w:hAnsi="Times New Roman"/>
    </w:rPr>
    <w:tbl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heme="minorHAnsi" w:hAnsi="Courier New" w:cstheme="minorBidi"/>
      <w:szCs w:val="22"/>
      <w:lang w:eastAsia="en-US" w:bidi="ar-SA"/>
    </w:rPr>
  </w:style>
  <w:style w:type="character" w:customStyle="1" w:styleId="LienInternet">
    <w:name w:val="Lien Internet"/>
    <w:rPr>
      <w:color w:val="0000FF"/>
      <w:u w:val="single"/>
    </w:rPr>
  </w:style>
  <w:style w:type="character" w:customStyle="1" w:styleId="Caractresdenotedebasdepage">
    <w:name w:val="Caractères de note de bas de page"/>
    <w:qFormat/>
  </w:style>
  <w:style w:type="character" w:customStyle="1" w:styleId="LienInternetvisit">
    <w:name w:val="Lien Internet visité"/>
    <w:rPr>
      <w:color w:val="800000"/>
      <w:u w:val="single"/>
    </w:rPr>
  </w:style>
  <w:style w:type="character" w:customStyle="1" w:styleId="textblock">
    <w:name w:val="textblock"/>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rFonts w:ascii="Calibri" w:eastAsia="Calibri" w:hAnsi="Calibri" w:cs="Times New Roman"/>
      <w:sz w:val="20"/>
      <w:szCs w:val="20"/>
      <w:vertAlign w:val="superscript"/>
      <w:lang w:eastAsia="en-GB" w:bidi="th-TH"/>
    </w:rPr>
  </w:style>
  <w:style w:type="paragraph" w:customStyle="1" w:styleId="BulletPoint2">
    <w:name w:val="Bullet Point 2"/>
    <w:basedOn w:val="NormalIndent"/>
    <w:pPr>
      <w:numPr>
        <w:numId w:val="167"/>
      </w:numPr>
      <w:spacing w:after="120" w:line="240" w:lineRule="auto"/>
      <w:ind w:left="1077" w:hanging="357"/>
    </w:pPr>
    <w:rPr>
      <w:rFonts w:ascii="Verdana" w:eastAsia="Times New Roman" w:hAnsi="Verdana" w:cs="Times New Roman"/>
      <w:sz w:val="18"/>
      <w:lang w:eastAsia="en-GB"/>
    </w:rPr>
  </w:style>
  <w:style w:type="paragraph" w:styleId="NormalIndent">
    <w:name w:val="Normal Indent"/>
    <w:basedOn w:val="Normal"/>
    <w:uiPriority w:val="99"/>
    <w:semiHidden/>
    <w:unhideWhenUsed/>
    <w:pPr>
      <w:ind w:left="720"/>
    </w:pPr>
  </w:style>
  <w:style w:type="character" w:customStyle="1" w:styleId="Ancredenotedebasdepage">
    <w:name w:val="Ancre de note de bas de page"/>
    <w:rPr>
      <w:vertAlign w:val="superscript"/>
    </w:rPr>
  </w:style>
  <w:style w:type="character" w:customStyle="1" w:styleId="outputecliaff">
    <w:name w:val="outputecliaff"/>
    <w:basedOn w:val="DefaultParagraphFont"/>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heme="minorHAnsi" w:eastAsiaTheme="minorHAnsi" w:hAnsiTheme="minorHAnsi" w:cstheme="minorBidi"/>
      <w:sz w:val="22"/>
      <w:szCs w:val="22"/>
      <w:lang w:eastAsia="en-US" w:bidi="ar-SA"/>
    </w:rPr>
  </w:style>
  <w:style w:type="character" w:customStyle="1" w:styleId="ListParagraphChar">
    <w:name w:val="List Paragraph Char"/>
    <w:basedOn w:val="DefaultParagraphFont"/>
    <w:link w:val="ListParagraph"/>
    <w:uiPriority w:val="34"/>
    <w:rPr>
      <w:rFonts w:asciiTheme="minorHAnsi" w:eastAsiaTheme="minorHAnsi" w:hAnsiTheme="minorHAnsi" w:cstheme="minorBidi"/>
      <w:sz w:val="22"/>
      <w:szCs w:val="22"/>
      <w:lang w:eastAsia="en-US" w:bidi="ar-SA"/>
    </w:rPr>
  </w:style>
  <w:style w:type="paragraph" w:styleId="Index9">
    <w:name w:val="index 9"/>
    <w:basedOn w:val="Normal"/>
    <w:next w:val="Normal"/>
    <w:autoRedefine/>
    <w:semiHidden/>
    <w:pPr>
      <w:ind w:left="2160" w:hanging="240"/>
    </w:pPr>
  </w:style>
  <w:style w:type="paragraph" w:styleId="ListBullet3">
    <w:name w:val="List Bullet 3"/>
    <w:basedOn w:val="Normal"/>
    <w:uiPriority w:val="99"/>
    <w:semiHidden/>
    <w:unhideWhenUsed/>
    <w:pPr>
      <w:numPr>
        <w:numId w:val="275"/>
      </w:numPr>
      <w:contextualSpacing/>
    </w:pPr>
  </w:style>
  <w:style w:type="table" w:styleId="TableGrid">
    <w:name w:val="Table Grid"/>
    <w:basedOn w:val="TableNormal"/>
    <w:uiPriority w:val="59"/>
    <w:rPr>
      <w:rFonts w:asciiTheme="minorHAnsi" w:eastAsiaTheme="minorHAnsi" w:hAnsiTheme="minorHAnsi" w:cstheme="minorBidi"/>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27">
      <w:bodyDiv w:val="1"/>
      <w:marLeft w:val="0"/>
      <w:marRight w:val="0"/>
      <w:marTop w:val="0"/>
      <w:marBottom w:val="0"/>
      <w:divBdr>
        <w:top w:val="none" w:sz="0" w:space="0" w:color="auto"/>
        <w:left w:val="none" w:sz="0" w:space="0" w:color="auto"/>
        <w:bottom w:val="none" w:sz="0" w:space="0" w:color="auto"/>
        <w:right w:val="none" w:sz="0" w:space="0" w:color="auto"/>
      </w:divBdr>
    </w:div>
    <w:div w:id="12926978">
      <w:bodyDiv w:val="1"/>
      <w:marLeft w:val="0"/>
      <w:marRight w:val="0"/>
      <w:marTop w:val="0"/>
      <w:marBottom w:val="0"/>
      <w:divBdr>
        <w:top w:val="none" w:sz="0" w:space="0" w:color="auto"/>
        <w:left w:val="none" w:sz="0" w:space="0" w:color="auto"/>
        <w:bottom w:val="none" w:sz="0" w:space="0" w:color="auto"/>
        <w:right w:val="none" w:sz="0" w:space="0" w:color="auto"/>
      </w:divBdr>
    </w:div>
    <w:div w:id="15546630">
      <w:bodyDiv w:val="1"/>
      <w:marLeft w:val="0"/>
      <w:marRight w:val="0"/>
      <w:marTop w:val="0"/>
      <w:marBottom w:val="0"/>
      <w:divBdr>
        <w:top w:val="none" w:sz="0" w:space="0" w:color="auto"/>
        <w:left w:val="none" w:sz="0" w:space="0" w:color="auto"/>
        <w:bottom w:val="none" w:sz="0" w:space="0" w:color="auto"/>
        <w:right w:val="none" w:sz="0" w:space="0" w:color="auto"/>
      </w:divBdr>
    </w:div>
    <w:div w:id="47269707">
      <w:bodyDiv w:val="1"/>
      <w:marLeft w:val="0"/>
      <w:marRight w:val="0"/>
      <w:marTop w:val="0"/>
      <w:marBottom w:val="0"/>
      <w:divBdr>
        <w:top w:val="none" w:sz="0" w:space="0" w:color="auto"/>
        <w:left w:val="none" w:sz="0" w:space="0" w:color="auto"/>
        <w:bottom w:val="none" w:sz="0" w:space="0" w:color="auto"/>
        <w:right w:val="none" w:sz="0" w:space="0" w:color="auto"/>
      </w:divBdr>
    </w:div>
    <w:div w:id="64886025">
      <w:bodyDiv w:val="1"/>
      <w:marLeft w:val="0"/>
      <w:marRight w:val="0"/>
      <w:marTop w:val="0"/>
      <w:marBottom w:val="0"/>
      <w:divBdr>
        <w:top w:val="none" w:sz="0" w:space="0" w:color="auto"/>
        <w:left w:val="none" w:sz="0" w:space="0" w:color="auto"/>
        <w:bottom w:val="none" w:sz="0" w:space="0" w:color="auto"/>
        <w:right w:val="none" w:sz="0" w:space="0" w:color="auto"/>
      </w:divBdr>
    </w:div>
    <w:div w:id="69667509">
      <w:bodyDiv w:val="1"/>
      <w:marLeft w:val="0"/>
      <w:marRight w:val="0"/>
      <w:marTop w:val="0"/>
      <w:marBottom w:val="0"/>
      <w:divBdr>
        <w:top w:val="none" w:sz="0" w:space="0" w:color="auto"/>
        <w:left w:val="none" w:sz="0" w:space="0" w:color="auto"/>
        <w:bottom w:val="none" w:sz="0" w:space="0" w:color="auto"/>
        <w:right w:val="none" w:sz="0" w:space="0" w:color="auto"/>
      </w:divBdr>
    </w:div>
    <w:div w:id="83887983">
      <w:bodyDiv w:val="1"/>
      <w:marLeft w:val="0"/>
      <w:marRight w:val="0"/>
      <w:marTop w:val="0"/>
      <w:marBottom w:val="0"/>
      <w:divBdr>
        <w:top w:val="none" w:sz="0" w:space="0" w:color="auto"/>
        <w:left w:val="none" w:sz="0" w:space="0" w:color="auto"/>
        <w:bottom w:val="none" w:sz="0" w:space="0" w:color="auto"/>
        <w:right w:val="none" w:sz="0" w:space="0" w:color="auto"/>
      </w:divBdr>
    </w:div>
    <w:div w:id="88742016">
      <w:bodyDiv w:val="1"/>
      <w:marLeft w:val="0"/>
      <w:marRight w:val="0"/>
      <w:marTop w:val="0"/>
      <w:marBottom w:val="0"/>
      <w:divBdr>
        <w:top w:val="none" w:sz="0" w:space="0" w:color="auto"/>
        <w:left w:val="none" w:sz="0" w:space="0" w:color="auto"/>
        <w:bottom w:val="none" w:sz="0" w:space="0" w:color="auto"/>
        <w:right w:val="none" w:sz="0" w:space="0" w:color="auto"/>
      </w:divBdr>
    </w:div>
    <w:div w:id="113908812">
      <w:bodyDiv w:val="1"/>
      <w:marLeft w:val="0"/>
      <w:marRight w:val="0"/>
      <w:marTop w:val="0"/>
      <w:marBottom w:val="0"/>
      <w:divBdr>
        <w:top w:val="none" w:sz="0" w:space="0" w:color="auto"/>
        <w:left w:val="none" w:sz="0" w:space="0" w:color="auto"/>
        <w:bottom w:val="none" w:sz="0" w:space="0" w:color="auto"/>
        <w:right w:val="none" w:sz="0" w:space="0" w:color="auto"/>
      </w:divBdr>
    </w:div>
    <w:div w:id="132452471">
      <w:bodyDiv w:val="1"/>
      <w:marLeft w:val="0"/>
      <w:marRight w:val="0"/>
      <w:marTop w:val="0"/>
      <w:marBottom w:val="0"/>
      <w:divBdr>
        <w:top w:val="none" w:sz="0" w:space="0" w:color="auto"/>
        <w:left w:val="none" w:sz="0" w:space="0" w:color="auto"/>
        <w:bottom w:val="none" w:sz="0" w:space="0" w:color="auto"/>
        <w:right w:val="none" w:sz="0" w:space="0" w:color="auto"/>
      </w:divBdr>
    </w:div>
    <w:div w:id="133648872">
      <w:bodyDiv w:val="1"/>
      <w:marLeft w:val="0"/>
      <w:marRight w:val="0"/>
      <w:marTop w:val="0"/>
      <w:marBottom w:val="0"/>
      <w:divBdr>
        <w:top w:val="none" w:sz="0" w:space="0" w:color="auto"/>
        <w:left w:val="none" w:sz="0" w:space="0" w:color="auto"/>
        <w:bottom w:val="none" w:sz="0" w:space="0" w:color="auto"/>
        <w:right w:val="none" w:sz="0" w:space="0" w:color="auto"/>
      </w:divBdr>
    </w:div>
    <w:div w:id="136731970">
      <w:bodyDiv w:val="1"/>
      <w:marLeft w:val="0"/>
      <w:marRight w:val="0"/>
      <w:marTop w:val="0"/>
      <w:marBottom w:val="0"/>
      <w:divBdr>
        <w:top w:val="none" w:sz="0" w:space="0" w:color="auto"/>
        <w:left w:val="none" w:sz="0" w:space="0" w:color="auto"/>
        <w:bottom w:val="none" w:sz="0" w:space="0" w:color="auto"/>
        <w:right w:val="none" w:sz="0" w:space="0" w:color="auto"/>
      </w:divBdr>
    </w:div>
    <w:div w:id="153880632">
      <w:bodyDiv w:val="1"/>
      <w:marLeft w:val="0"/>
      <w:marRight w:val="0"/>
      <w:marTop w:val="0"/>
      <w:marBottom w:val="0"/>
      <w:divBdr>
        <w:top w:val="none" w:sz="0" w:space="0" w:color="auto"/>
        <w:left w:val="none" w:sz="0" w:space="0" w:color="auto"/>
        <w:bottom w:val="none" w:sz="0" w:space="0" w:color="auto"/>
        <w:right w:val="none" w:sz="0" w:space="0" w:color="auto"/>
      </w:divBdr>
      <w:divsChild>
        <w:div w:id="521669573">
          <w:marLeft w:val="0"/>
          <w:marRight w:val="0"/>
          <w:marTop w:val="0"/>
          <w:marBottom w:val="0"/>
          <w:divBdr>
            <w:top w:val="none" w:sz="0" w:space="0" w:color="auto"/>
            <w:left w:val="none" w:sz="0" w:space="0" w:color="auto"/>
            <w:bottom w:val="none" w:sz="0" w:space="0" w:color="auto"/>
            <w:right w:val="none" w:sz="0" w:space="0" w:color="auto"/>
          </w:divBdr>
          <w:divsChild>
            <w:div w:id="950745430">
              <w:marLeft w:val="0"/>
              <w:marRight w:val="0"/>
              <w:marTop w:val="0"/>
              <w:marBottom w:val="0"/>
              <w:divBdr>
                <w:top w:val="none" w:sz="0" w:space="0" w:color="auto"/>
                <w:left w:val="none" w:sz="0" w:space="0" w:color="auto"/>
                <w:bottom w:val="none" w:sz="0" w:space="0" w:color="auto"/>
                <w:right w:val="none" w:sz="0" w:space="0" w:color="auto"/>
              </w:divBdr>
              <w:divsChild>
                <w:div w:id="92677281">
                  <w:marLeft w:val="0"/>
                  <w:marRight w:val="0"/>
                  <w:marTop w:val="0"/>
                  <w:marBottom w:val="0"/>
                  <w:divBdr>
                    <w:top w:val="none" w:sz="0" w:space="0" w:color="auto"/>
                    <w:left w:val="none" w:sz="0" w:space="0" w:color="auto"/>
                    <w:bottom w:val="none" w:sz="0" w:space="0" w:color="auto"/>
                    <w:right w:val="none" w:sz="0" w:space="0" w:color="auto"/>
                  </w:divBdr>
                  <w:divsChild>
                    <w:div w:id="1046293747">
                      <w:marLeft w:val="0"/>
                      <w:marRight w:val="0"/>
                      <w:marTop w:val="0"/>
                      <w:marBottom w:val="0"/>
                      <w:divBdr>
                        <w:top w:val="none" w:sz="0" w:space="0" w:color="auto"/>
                        <w:left w:val="none" w:sz="0" w:space="0" w:color="auto"/>
                        <w:bottom w:val="none" w:sz="0" w:space="0" w:color="auto"/>
                        <w:right w:val="none" w:sz="0" w:space="0" w:color="auto"/>
                      </w:divBdr>
                      <w:divsChild>
                        <w:div w:id="1632250834">
                          <w:marLeft w:val="0"/>
                          <w:marRight w:val="0"/>
                          <w:marTop w:val="0"/>
                          <w:marBottom w:val="0"/>
                          <w:divBdr>
                            <w:top w:val="none" w:sz="0" w:space="0" w:color="auto"/>
                            <w:left w:val="none" w:sz="0" w:space="0" w:color="auto"/>
                            <w:bottom w:val="none" w:sz="0" w:space="0" w:color="auto"/>
                            <w:right w:val="none" w:sz="0" w:space="0" w:color="auto"/>
                          </w:divBdr>
                          <w:divsChild>
                            <w:div w:id="159463627">
                              <w:marLeft w:val="0"/>
                              <w:marRight w:val="0"/>
                              <w:marTop w:val="0"/>
                              <w:marBottom w:val="0"/>
                              <w:divBdr>
                                <w:top w:val="none" w:sz="0" w:space="0" w:color="auto"/>
                                <w:left w:val="none" w:sz="0" w:space="0" w:color="auto"/>
                                <w:bottom w:val="none" w:sz="0" w:space="0" w:color="auto"/>
                                <w:right w:val="none" w:sz="0" w:space="0" w:color="auto"/>
                              </w:divBdr>
                              <w:divsChild>
                                <w:div w:id="53503200">
                                  <w:marLeft w:val="0"/>
                                  <w:marRight w:val="0"/>
                                  <w:marTop w:val="0"/>
                                  <w:marBottom w:val="0"/>
                                  <w:divBdr>
                                    <w:top w:val="none" w:sz="0" w:space="0" w:color="auto"/>
                                    <w:left w:val="none" w:sz="0" w:space="0" w:color="auto"/>
                                    <w:bottom w:val="none" w:sz="0" w:space="0" w:color="auto"/>
                                    <w:right w:val="none" w:sz="0" w:space="0" w:color="auto"/>
                                  </w:divBdr>
                                  <w:divsChild>
                                    <w:div w:id="13246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1653">
      <w:bodyDiv w:val="1"/>
      <w:marLeft w:val="0"/>
      <w:marRight w:val="0"/>
      <w:marTop w:val="0"/>
      <w:marBottom w:val="0"/>
      <w:divBdr>
        <w:top w:val="none" w:sz="0" w:space="0" w:color="auto"/>
        <w:left w:val="none" w:sz="0" w:space="0" w:color="auto"/>
        <w:bottom w:val="none" w:sz="0" w:space="0" w:color="auto"/>
        <w:right w:val="none" w:sz="0" w:space="0" w:color="auto"/>
      </w:divBdr>
    </w:div>
    <w:div w:id="163594572">
      <w:bodyDiv w:val="1"/>
      <w:marLeft w:val="0"/>
      <w:marRight w:val="0"/>
      <w:marTop w:val="0"/>
      <w:marBottom w:val="0"/>
      <w:divBdr>
        <w:top w:val="none" w:sz="0" w:space="0" w:color="auto"/>
        <w:left w:val="none" w:sz="0" w:space="0" w:color="auto"/>
        <w:bottom w:val="none" w:sz="0" w:space="0" w:color="auto"/>
        <w:right w:val="none" w:sz="0" w:space="0" w:color="auto"/>
      </w:divBdr>
    </w:div>
    <w:div w:id="164444687">
      <w:bodyDiv w:val="1"/>
      <w:marLeft w:val="0"/>
      <w:marRight w:val="0"/>
      <w:marTop w:val="0"/>
      <w:marBottom w:val="0"/>
      <w:divBdr>
        <w:top w:val="none" w:sz="0" w:space="0" w:color="auto"/>
        <w:left w:val="none" w:sz="0" w:space="0" w:color="auto"/>
        <w:bottom w:val="none" w:sz="0" w:space="0" w:color="auto"/>
        <w:right w:val="none" w:sz="0" w:space="0" w:color="auto"/>
      </w:divBdr>
    </w:div>
    <w:div w:id="173882585">
      <w:bodyDiv w:val="1"/>
      <w:marLeft w:val="0"/>
      <w:marRight w:val="0"/>
      <w:marTop w:val="0"/>
      <w:marBottom w:val="0"/>
      <w:divBdr>
        <w:top w:val="none" w:sz="0" w:space="0" w:color="auto"/>
        <w:left w:val="none" w:sz="0" w:space="0" w:color="auto"/>
        <w:bottom w:val="none" w:sz="0" w:space="0" w:color="auto"/>
        <w:right w:val="none" w:sz="0" w:space="0" w:color="auto"/>
      </w:divBdr>
    </w:div>
    <w:div w:id="184952051">
      <w:bodyDiv w:val="1"/>
      <w:marLeft w:val="0"/>
      <w:marRight w:val="0"/>
      <w:marTop w:val="0"/>
      <w:marBottom w:val="0"/>
      <w:divBdr>
        <w:top w:val="none" w:sz="0" w:space="0" w:color="auto"/>
        <w:left w:val="none" w:sz="0" w:space="0" w:color="auto"/>
        <w:bottom w:val="none" w:sz="0" w:space="0" w:color="auto"/>
        <w:right w:val="none" w:sz="0" w:space="0" w:color="auto"/>
      </w:divBdr>
    </w:div>
    <w:div w:id="200363207">
      <w:bodyDiv w:val="1"/>
      <w:marLeft w:val="0"/>
      <w:marRight w:val="0"/>
      <w:marTop w:val="0"/>
      <w:marBottom w:val="0"/>
      <w:divBdr>
        <w:top w:val="none" w:sz="0" w:space="0" w:color="auto"/>
        <w:left w:val="none" w:sz="0" w:space="0" w:color="auto"/>
        <w:bottom w:val="none" w:sz="0" w:space="0" w:color="auto"/>
        <w:right w:val="none" w:sz="0" w:space="0" w:color="auto"/>
      </w:divBdr>
    </w:div>
    <w:div w:id="206990373">
      <w:bodyDiv w:val="1"/>
      <w:marLeft w:val="0"/>
      <w:marRight w:val="0"/>
      <w:marTop w:val="0"/>
      <w:marBottom w:val="0"/>
      <w:divBdr>
        <w:top w:val="none" w:sz="0" w:space="0" w:color="auto"/>
        <w:left w:val="none" w:sz="0" w:space="0" w:color="auto"/>
        <w:bottom w:val="none" w:sz="0" w:space="0" w:color="auto"/>
        <w:right w:val="none" w:sz="0" w:space="0" w:color="auto"/>
      </w:divBdr>
    </w:div>
    <w:div w:id="210730174">
      <w:bodyDiv w:val="1"/>
      <w:marLeft w:val="0"/>
      <w:marRight w:val="0"/>
      <w:marTop w:val="0"/>
      <w:marBottom w:val="0"/>
      <w:divBdr>
        <w:top w:val="none" w:sz="0" w:space="0" w:color="auto"/>
        <w:left w:val="none" w:sz="0" w:space="0" w:color="auto"/>
        <w:bottom w:val="none" w:sz="0" w:space="0" w:color="auto"/>
        <w:right w:val="none" w:sz="0" w:space="0" w:color="auto"/>
      </w:divBdr>
    </w:div>
    <w:div w:id="214587553">
      <w:bodyDiv w:val="1"/>
      <w:marLeft w:val="0"/>
      <w:marRight w:val="0"/>
      <w:marTop w:val="0"/>
      <w:marBottom w:val="0"/>
      <w:divBdr>
        <w:top w:val="none" w:sz="0" w:space="0" w:color="auto"/>
        <w:left w:val="none" w:sz="0" w:space="0" w:color="auto"/>
        <w:bottom w:val="none" w:sz="0" w:space="0" w:color="auto"/>
        <w:right w:val="none" w:sz="0" w:space="0" w:color="auto"/>
      </w:divBdr>
    </w:div>
    <w:div w:id="228544657">
      <w:bodyDiv w:val="1"/>
      <w:marLeft w:val="0"/>
      <w:marRight w:val="0"/>
      <w:marTop w:val="0"/>
      <w:marBottom w:val="0"/>
      <w:divBdr>
        <w:top w:val="none" w:sz="0" w:space="0" w:color="auto"/>
        <w:left w:val="none" w:sz="0" w:space="0" w:color="auto"/>
        <w:bottom w:val="none" w:sz="0" w:space="0" w:color="auto"/>
        <w:right w:val="none" w:sz="0" w:space="0" w:color="auto"/>
      </w:divBdr>
    </w:div>
    <w:div w:id="234777100">
      <w:bodyDiv w:val="1"/>
      <w:marLeft w:val="0"/>
      <w:marRight w:val="0"/>
      <w:marTop w:val="0"/>
      <w:marBottom w:val="0"/>
      <w:divBdr>
        <w:top w:val="none" w:sz="0" w:space="0" w:color="auto"/>
        <w:left w:val="none" w:sz="0" w:space="0" w:color="auto"/>
        <w:bottom w:val="none" w:sz="0" w:space="0" w:color="auto"/>
        <w:right w:val="none" w:sz="0" w:space="0" w:color="auto"/>
      </w:divBdr>
    </w:div>
    <w:div w:id="237784682">
      <w:bodyDiv w:val="1"/>
      <w:marLeft w:val="0"/>
      <w:marRight w:val="0"/>
      <w:marTop w:val="0"/>
      <w:marBottom w:val="0"/>
      <w:divBdr>
        <w:top w:val="none" w:sz="0" w:space="0" w:color="auto"/>
        <w:left w:val="none" w:sz="0" w:space="0" w:color="auto"/>
        <w:bottom w:val="none" w:sz="0" w:space="0" w:color="auto"/>
        <w:right w:val="none" w:sz="0" w:space="0" w:color="auto"/>
      </w:divBdr>
    </w:div>
    <w:div w:id="262343959">
      <w:bodyDiv w:val="1"/>
      <w:marLeft w:val="0"/>
      <w:marRight w:val="0"/>
      <w:marTop w:val="0"/>
      <w:marBottom w:val="0"/>
      <w:divBdr>
        <w:top w:val="none" w:sz="0" w:space="0" w:color="auto"/>
        <w:left w:val="none" w:sz="0" w:space="0" w:color="auto"/>
        <w:bottom w:val="none" w:sz="0" w:space="0" w:color="auto"/>
        <w:right w:val="none" w:sz="0" w:space="0" w:color="auto"/>
      </w:divBdr>
    </w:div>
    <w:div w:id="264927036">
      <w:bodyDiv w:val="1"/>
      <w:marLeft w:val="0"/>
      <w:marRight w:val="0"/>
      <w:marTop w:val="0"/>
      <w:marBottom w:val="0"/>
      <w:divBdr>
        <w:top w:val="none" w:sz="0" w:space="0" w:color="auto"/>
        <w:left w:val="none" w:sz="0" w:space="0" w:color="auto"/>
        <w:bottom w:val="none" w:sz="0" w:space="0" w:color="auto"/>
        <w:right w:val="none" w:sz="0" w:space="0" w:color="auto"/>
      </w:divBdr>
    </w:div>
    <w:div w:id="273756425">
      <w:bodyDiv w:val="1"/>
      <w:marLeft w:val="0"/>
      <w:marRight w:val="0"/>
      <w:marTop w:val="0"/>
      <w:marBottom w:val="0"/>
      <w:divBdr>
        <w:top w:val="none" w:sz="0" w:space="0" w:color="auto"/>
        <w:left w:val="none" w:sz="0" w:space="0" w:color="auto"/>
        <w:bottom w:val="none" w:sz="0" w:space="0" w:color="auto"/>
        <w:right w:val="none" w:sz="0" w:space="0" w:color="auto"/>
      </w:divBdr>
    </w:div>
    <w:div w:id="307054311">
      <w:bodyDiv w:val="1"/>
      <w:marLeft w:val="0"/>
      <w:marRight w:val="0"/>
      <w:marTop w:val="0"/>
      <w:marBottom w:val="0"/>
      <w:divBdr>
        <w:top w:val="none" w:sz="0" w:space="0" w:color="auto"/>
        <w:left w:val="none" w:sz="0" w:space="0" w:color="auto"/>
        <w:bottom w:val="none" w:sz="0" w:space="0" w:color="auto"/>
        <w:right w:val="none" w:sz="0" w:space="0" w:color="auto"/>
      </w:divBdr>
    </w:div>
    <w:div w:id="310133436">
      <w:bodyDiv w:val="1"/>
      <w:marLeft w:val="0"/>
      <w:marRight w:val="0"/>
      <w:marTop w:val="0"/>
      <w:marBottom w:val="0"/>
      <w:divBdr>
        <w:top w:val="none" w:sz="0" w:space="0" w:color="auto"/>
        <w:left w:val="none" w:sz="0" w:space="0" w:color="auto"/>
        <w:bottom w:val="none" w:sz="0" w:space="0" w:color="auto"/>
        <w:right w:val="none" w:sz="0" w:space="0" w:color="auto"/>
      </w:divBdr>
    </w:div>
    <w:div w:id="320040036">
      <w:bodyDiv w:val="1"/>
      <w:marLeft w:val="0"/>
      <w:marRight w:val="0"/>
      <w:marTop w:val="0"/>
      <w:marBottom w:val="0"/>
      <w:divBdr>
        <w:top w:val="none" w:sz="0" w:space="0" w:color="auto"/>
        <w:left w:val="none" w:sz="0" w:space="0" w:color="auto"/>
        <w:bottom w:val="none" w:sz="0" w:space="0" w:color="auto"/>
        <w:right w:val="none" w:sz="0" w:space="0" w:color="auto"/>
      </w:divBdr>
    </w:div>
    <w:div w:id="328026044">
      <w:bodyDiv w:val="1"/>
      <w:marLeft w:val="0"/>
      <w:marRight w:val="0"/>
      <w:marTop w:val="0"/>
      <w:marBottom w:val="0"/>
      <w:divBdr>
        <w:top w:val="none" w:sz="0" w:space="0" w:color="auto"/>
        <w:left w:val="none" w:sz="0" w:space="0" w:color="auto"/>
        <w:bottom w:val="none" w:sz="0" w:space="0" w:color="auto"/>
        <w:right w:val="none" w:sz="0" w:space="0" w:color="auto"/>
      </w:divBdr>
    </w:div>
    <w:div w:id="328141135">
      <w:bodyDiv w:val="1"/>
      <w:marLeft w:val="0"/>
      <w:marRight w:val="0"/>
      <w:marTop w:val="0"/>
      <w:marBottom w:val="0"/>
      <w:divBdr>
        <w:top w:val="none" w:sz="0" w:space="0" w:color="auto"/>
        <w:left w:val="none" w:sz="0" w:space="0" w:color="auto"/>
        <w:bottom w:val="none" w:sz="0" w:space="0" w:color="auto"/>
        <w:right w:val="none" w:sz="0" w:space="0" w:color="auto"/>
      </w:divBdr>
    </w:div>
    <w:div w:id="328605550">
      <w:bodyDiv w:val="1"/>
      <w:marLeft w:val="0"/>
      <w:marRight w:val="0"/>
      <w:marTop w:val="0"/>
      <w:marBottom w:val="0"/>
      <w:divBdr>
        <w:top w:val="none" w:sz="0" w:space="0" w:color="auto"/>
        <w:left w:val="none" w:sz="0" w:space="0" w:color="auto"/>
        <w:bottom w:val="none" w:sz="0" w:space="0" w:color="auto"/>
        <w:right w:val="none" w:sz="0" w:space="0" w:color="auto"/>
      </w:divBdr>
    </w:div>
    <w:div w:id="330455700">
      <w:bodyDiv w:val="1"/>
      <w:marLeft w:val="0"/>
      <w:marRight w:val="0"/>
      <w:marTop w:val="0"/>
      <w:marBottom w:val="0"/>
      <w:divBdr>
        <w:top w:val="none" w:sz="0" w:space="0" w:color="auto"/>
        <w:left w:val="none" w:sz="0" w:space="0" w:color="auto"/>
        <w:bottom w:val="none" w:sz="0" w:space="0" w:color="auto"/>
        <w:right w:val="none" w:sz="0" w:space="0" w:color="auto"/>
      </w:divBdr>
    </w:div>
    <w:div w:id="341393613">
      <w:bodyDiv w:val="1"/>
      <w:marLeft w:val="0"/>
      <w:marRight w:val="0"/>
      <w:marTop w:val="0"/>
      <w:marBottom w:val="0"/>
      <w:divBdr>
        <w:top w:val="none" w:sz="0" w:space="0" w:color="auto"/>
        <w:left w:val="none" w:sz="0" w:space="0" w:color="auto"/>
        <w:bottom w:val="none" w:sz="0" w:space="0" w:color="auto"/>
        <w:right w:val="none" w:sz="0" w:space="0" w:color="auto"/>
      </w:divBdr>
    </w:div>
    <w:div w:id="342900163">
      <w:bodyDiv w:val="1"/>
      <w:marLeft w:val="0"/>
      <w:marRight w:val="0"/>
      <w:marTop w:val="0"/>
      <w:marBottom w:val="0"/>
      <w:divBdr>
        <w:top w:val="none" w:sz="0" w:space="0" w:color="auto"/>
        <w:left w:val="none" w:sz="0" w:space="0" w:color="auto"/>
        <w:bottom w:val="none" w:sz="0" w:space="0" w:color="auto"/>
        <w:right w:val="none" w:sz="0" w:space="0" w:color="auto"/>
      </w:divBdr>
    </w:div>
    <w:div w:id="355620763">
      <w:bodyDiv w:val="1"/>
      <w:marLeft w:val="0"/>
      <w:marRight w:val="0"/>
      <w:marTop w:val="0"/>
      <w:marBottom w:val="0"/>
      <w:divBdr>
        <w:top w:val="none" w:sz="0" w:space="0" w:color="auto"/>
        <w:left w:val="none" w:sz="0" w:space="0" w:color="auto"/>
        <w:bottom w:val="none" w:sz="0" w:space="0" w:color="auto"/>
        <w:right w:val="none" w:sz="0" w:space="0" w:color="auto"/>
      </w:divBdr>
    </w:div>
    <w:div w:id="365057384">
      <w:bodyDiv w:val="1"/>
      <w:marLeft w:val="0"/>
      <w:marRight w:val="0"/>
      <w:marTop w:val="0"/>
      <w:marBottom w:val="0"/>
      <w:divBdr>
        <w:top w:val="none" w:sz="0" w:space="0" w:color="auto"/>
        <w:left w:val="none" w:sz="0" w:space="0" w:color="auto"/>
        <w:bottom w:val="none" w:sz="0" w:space="0" w:color="auto"/>
        <w:right w:val="none" w:sz="0" w:space="0" w:color="auto"/>
      </w:divBdr>
    </w:div>
    <w:div w:id="369115679">
      <w:bodyDiv w:val="1"/>
      <w:marLeft w:val="0"/>
      <w:marRight w:val="0"/>
      <w:marTop w:val="0"/>
      <w:marBottom w:val="0"/>
      <w:divBdr>
        <w:top w:val="none" w:sz="0" w:space="0" w:color="auto"/>
        <w:left w:val="none" w:sz="0" w:space="0" w:color="auto"/>
        <w:bottom w:val="none" w:sz="0" w:space="0" w:color="auto"/>
        <w:right w:val="none" w:sz="0" w:space="0" w:color="auto"/>
      </w:divBdr>
    </w:div>
    <w:div w:id="419958377">
      <w:bodyDiv w:val="1"/>
      <w:marLeft w:val="0"/>
      <w:marRight w:val="0"/>
      <w:marTop w:val="0"/>
      <w:marBottom w:val="0"/>
      <w:divBdr>
        <w:top w:val="none" w:sz="0" w:space="0" w:color="auto"/>
        <w:left w:val="none" w:sz="0" w:space="0" w:color="auto"/>
        <w:bottom w:val="none" w:sz="0" w:space="0" w:color="auto"/>
        <w:right w:val="none" w:sz="0" w:space="0" w:color="auto"/>
      </w:divBdr>
    </w:div>
    <w:div w:id="463699528">
      <w:bodyDiv w:val="1"/>
      <w:marLeft w:val="0"/>
      <w:marRight w:val="0"/>
      <w:marTop w:val="0"/>
      <w:marBottom w:val="0"/>
      <w:divBdr>
        <w:top w:val="none" w:sz="0" w:space="0" w:color="auto"/>
        <w:left w:val="none" w:sz="0" w:space="0" w:color="auto"/>
        <w:bottom w:val="none" w:sz="0" w:space="0" w:color="auto"/>
        <w:right w:val="none" w:sz="0" w:space="0" w:color="auto"/>
      </w:divBdr>
    </w:div>
    <w:div w:id="494304660">
      <w:bodyDiv w:val="1"/>
      <w:marLeft w:val="0"/>
      <w:marRight w:val="0"/>
      <w:marTop w:val="0"/>
      <w:marBottom w:val="0"/>
      <w:divBdr>
        <w:top w:val="none" w:sz="0" w:space="0" w:color="auto"/>
        <w:left w:val="none" w:sz="0" w:space="0" w:color="auto"/>
        <w:bottom w:val="none" w:sz="0" w:space="0" w:color="auto"/>
        <w:right w:val="none" w:sz="0" w:space="0" w:color="auto"/>
      </w:divBdr>
    </w:div>
    <w:div w:id="499347134">
      <w:bodyDiv w:val="1"/>
      <w:marLeft w:val="0"/>
      <w:marRight w:val="0"/>
      <w:marTop w:val="0"/>
      <w:marBottom w:val="0"/>
      <w:divBdr>
        <w:top w:val="none" w:sz="0" w:space="0" w:color="auto"/>
        <w:left w:val="none" w:sz="0" w:space="0" w:color="auto"/>
        <w:bottom w:val="none" w:sz="0" w:space="0" w:color="auto"/>
        <w:right w:val="none" w:sz="0" w:space="0" w:color="auto"/>
      </w:divBdr>
    </w:div>
    <w:div w:id="503591298">
      <w:bodyDiv w:val="1"/>
      <w:marLeft w:val="0"/>
      <w:marRight w:val="0"/>
      <w:marTop w:val="0"/>
      <w:marBottom w:val="0"/>
      <w:divBdr>
        <w:top w:val="none" w:sz="0" w:space="0" w:color="auto"/>
        <w:left w:val="none" w:sz="0" w:space="0" w:color="auto"/>
        <w:bottom w:val="none" w:sz="0" w:space="0" w:color="auto"/>
        <w:right w:val="none" w:sz="0" w:space="0" w:color="auto"/>
      </w:divBdr>
    </w:div>
    <w:div w:id="510291882">
      <w:bodyDiv w:val="1"/>
      <w:marLeft w:val="0"/>
      <w:marRight w:val="0"/>
      <w:marTop w:val="0"/>
      <w:marBottom w:val="0"/>
      <w:divBdr>
        <w:top w:val="none" w:sz="0" w:space="0" w:color="auto"/>
        <w:left w:val="none" w:sz="0" w:space="0" w:color="auto"/>
        <w:bottom w:val="none" w:sz="0" w:space="0" w:color="auto"/>
        <w:right w:val="none" w:sz="0" w:space="0" w:color="auto"/>
      </w:divBdr>
    </w:div>
    <w:div w:id="510342454">
      <w:bodyDiv w:val="1"/>
      <w:marLeft w:val="0"/>
      <w:marRight w:val="0"/>
      <w:marTop w:val="0"/>
      <w:marBottom w:val="0"/>
      <w:divBdr>
        <w:top w:val="none" w:sz="0" w:space="0" w:color="auto"/>
        <w:left w:val="none" w:sz="0" w:space="0" w:color="auto"/>
        <w:bottom w:val="none" w:sz="0" w:space="0" w:color="auto"/>
        <w:right w:val="none" w:sz="0" w:space="0" w:color="auto"/>
      </w:divBdr>
      <w:divsChild>
        <w:div w:id="1498425888">
          <w:marLeft w:val="0"/>
          <w:marRight w:val="0"/>
          <w:marTop w:val="0"/>
          <w:marBottom w:val="0"/>
          <w:divBdr>
            <w:top w:val="none" w:sz="0" w:space="0" w:color="auto"/>
            <w:left w:val="none" w:sz="0" w:space="0" w:color="auto"/>
            <w:bottom w:val="none" w:sz="0" w:space="0" w:color="auto"/>
            <w:right w:val="none" w:sz="0" w:space="0" w:color="auto"/>
          </w:divBdr>
          <w:divsChild>
            <w:div w:id="623267961">
              <w:marLeft w:val="0"/>
              <w:marRight w:val="0"/>
              <w:marTop w:val="0"/>
              <w:marBottom w:val="0"/>
              <w:divBdr>
                <w:top w:val="none" w:sz="0" w:space="0" w:color="auto"/>
                <w:left w:val="none" w:sz="0" w:space="0" w:color="auto"/>
                <w:bottom w:val="none" w:sz="0" w:space="0" w:color="auto"/>
                <w:right w:val="none" w:sz="0" w:space="0" w:color="auto"/>
              </w:divBdr>
              <w:divsChild>
                <w:div w:id="597252353">
                  <w:marLeft w:val="0"/>
                  <w:marRight w:val="0"/>
                  <w:marTop w:val="0"/>
                  <w:marBottom w:val="0"/>
                  <w:divBdr>
                    <w:top w:val="none" w:sz="0" w:space="0" w:color="auto"/>
                    <w:left w:val="none" w:sz="0" w:space="0" w:color="auto"/>
                    <w:bottom w:val="none" w:sz="0" w:space="0" w:color="auto"/>
                    <w:right w:val="none" w:sz="0" w:space="0" w:color="auto"/>
                  </w:divBdr>
                  <w:divsChild>
                    <w:div w:id="1817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11079">
      <w:bodyDiv w:val="1"/>
      <w:marLeft w:val="0"/>
      <w:marRight w:val="0"/>
      <w:marTop w:val="0"/>
      <w:marBottom w:val="0"/>
      <w:divBdr>
        <w:top w:val="none" w:sz="0" w:space="0" w:color="auto"/>
        <w:left w:val="none" w:sz="0" w:space="0" w:color="auto"/>
        <w:bottom w:val="none" w:sz="0" w:space="0" w:color="auto"/>
        <w:right w:val="none" w:sz="0" w:space="0" w:color="auto"/>
      </w:divBdr>
    </w:div>
    <w:div w:id="522087249">
      <w:bodyDiv w:val="1"/>
      <w:marLeft w:val="0"/>
      <w:marRight w:val="0"/>
      <w:marTop w:val="0"/>
      <w:marBottom w:val="0"/>
      <w:divBdr>
        <w:top w:val="none" w:sz="0" w:space="0" w:color="auto"/>
        <w:left w:val="none" w:sz="0" w:space="0" w:color="auto"/>
        <w:bottom w:val="none" w:sz="0" w:space="0" w:color="auto"/>
        <w:right w:val="none" w:sz="0" w:space="0" w:color="auto"/>
      </w:divBdr>
    </w:div>
    <w:div w:id="526600790">
      <w:bodyDiv w:val="1"/>
      <w:marLeft w:val="0"/>
      <w:marRight w:val="0"/>
      <w:marTop w:val="0"/>
      <w:marBottom w:val="0"/>
      <w:divBdr>
        <w:top w:val="none" w:sz="0" w:space="0" w:color="auto"/>
        <w:left w:val="none" w:sz="0" w:space="0" w:color="auto"/>
        <w:bottom w:val="none" w:sz="0" w:space="0" w:color="auto"/>
        <w:right w:val="none" w:sz="0" w:space="0" w:color="auto"/>
      </w:divBdr>
    </w:div>
    <w:div w:id="533691472">
      <w:bodyDiv w:val="1"/>
      <w:marLeft w:val="0"/>
      <w:marRight w:val="0"/>
      <w:marTop w:val="0"/>
      <w:marBottom w:val="0"/>
      <w:divBdr>
        <w:top w:val="none" w:sz="0" w:space="0" w:color="auto"/>
        <w:left w:val="none" w:sz="0" w:space="0" w:color="auto"/>
        <w:bottom w:val="none" w:sz="0" w:space="0" w:color="auto"/>
        <w:right w:val="none" w:sz="0" w:space="0" w:color="auto"/>
      </w:divBdr>
    </w:div>
    <w:div w:id="534777936">
      <w:bodyDiv w:val="1"/>
      <w:marLeft w:val="0"/>
      <w:marRight w:val="0"/>
      <w:marTop w:val="0"/>
      <w:marBottom w:val="0"/>
      <w:divBdr>
        <w:top w:val="none" w:sz="0" w:space="0" w:color="auto"/>
        <w:left w:val="none" w:sz="0" w:space="0" w:color="auto"/>
        <w:bottom w:val="none" w:sz="0" w:space="0" w:color="auto"/>
        <w:right w:val="none" w:sz="0" w:space="0" w:color="auto"/>
      </w:divBdr>
    </w:div>
    <w:div w:id="535625997">
      <w:bodyDiv w:val="1"/>
      <w:marLeft w:val="0"/>
      <w:marRight w:val="0"/>
      <w:marTop w:val="0"/>
      <w:marBottom w:val="0"/>
      <w:divBdr>
        <w:top w:val="none" w:sz="0" w:space="0" w:color="auto"/>
        <w:left w:val="none" w:sz="0" w:space="0" w:color="auto"/>
        <w:bottom w:val="none" w:sz="0" w:space="0" w:color="auto"/>
        <w:right w:val="none" w:sz="0" w:space="0" w:color="auto"/>
      </w:divBdr>
    </w:div>
    <w:div w:id="545219765">
      <w:bodyDiv w:val="1"/>
      <w:marLeft w:val="0"/>
      <w:marRight w:val="0"/>
      <w:marTop w:val="0"/>
      <w:marBottom w:val="0"/>
      <w:divBdr>
        <w:top w:val="none" w:sz="0" w:space="0" w:color="auto"/>
        <w:left w:val="none" w:sz="0" w:space="0" w:color="auto"/>
        <w:bottom w:val="none" w:sz="0" w:space="0" w:color="auto"/>
        <w:right w:val="none" w:sz="0" w:space="0" w:color="auto"/>
      </w:divBdr>
    </w:div>
    <w:div w:id="5477601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555556302">
      <w:bodyDiv w:val="1"/>
      <w:marLeft w:val="0"/>
      <w:marRight w:val="0"/>
      <w:marTop w:val="0"/>
      <w:marBottom w:val="0"/>
      <w:divBdr>
        <w:top w:val="none" w:sz="0" w:space="0" w:color="auto"/>
        <w:left w:val="none" w:sz="0" w:space="0" w:color="auto"/>
        <w:bottom w:val="none" w:sz="0" w:space="0" w:color="auto"/>
        <w:right w:val="none" w:sz="0" w:space="0" w:color="auto"/>
      </w:divBdr>
    </w:div>
    <w:div w:id="566839814">
      <w:bodyDiv w:val="1"/>
      <w:marLeft w:val="0"/>
      <w:marRight w:val="0"/>
      <w:marTop w:val="0"/>
      <w:marBottom w:val="0"/>
      <w:divBdr>
        <w:top w:val="none" w:sz="0" w:space="0" w:color="auto"/>
        <w:left w:val="none" w:sz="0" w:space="0" w:color="auto"/>
        <w:bottom w:val="none" w:sz="0" w:space="0" w:color="auto"/>
        <w:right w:val="none" w:sz="0" w:space="0" w:color="auto"/>
      </w:divBdr>
    </w:div>
    <w:div w:id="567568476">
      <w:bodyDiv w:val="1"/>
      <w:marLeft w:val="0"/>
      <w:marRight w:val="0"/>
      <w:marTop w:val="0"/>
      <w:marBottom w:val="0"/>
      <w:divBdr>
        <w:top w:val="none" w:sz="0" w:space="0" w:color="auto"/>
        <w:left w:val="none" w:sz="0" w:space="0" w:color="auto"/>
        <w:bottom w:val="none" w:sz="0" w:space="0" w:color="auto"/>
        <w:right w:val="none" w:sz="0" w:space="0" w:color="auto"/>
      </w:divBdr>
    </w:div>
    <w:div w:id="569116562">
      <w:bodyDiv w:val="1"/>
      <w:marLeft w:val="0"/>
      <w:marRight w:val="0"/>
      <w:marTop w:val="0"/>
      <w:marBottom w:val="0"/>
      <w:divBdr>
        <w:top w:val="none" w:sz="0" w:space="0" w:color="auto"/>
        <w:left w:val="none" w:sz="0" w:space="0" w:color="auto"/>
        <w:bottom w:val="none" w:sz="0" w:space="0" w:color="auto"/>
        <w:right w:val="none" w:sz="0" w:space="0" w:color="auto"/>
      </w:divBdr>
    </w:div>
    <w:div w:id="571546149">
      <w:bodyDiv w:val="1"/>
      <w:marLeft w:val="0"/>
      <w:marRight w:val="0"/>
      <w:marTop w:val="0"/>
      <w:marBottom w:val="0"/>
      <w:divBdr>
        <w:top w:val="none" w:sz="0" w:space="0" w:color="auto"/>
        <w:left w:val="none" w:sz="0" w:space="0" w:color="auto"/>
        <w:bottom w:val="none" w:sz="0" w:space="0" w:color="auto"/>
        <w:right w:val="none" w:sz="0" w:space="0" w:color="auto"/>
      </w:divBdr>
    </w:div>
    <w:div w:id="573898883">
      <w:bodyDiv w:val="1"/>
      <w:marLeft w:val="0"/>
      <w:marRight w:val="0"/>
      <w:marTop w:val="0"/>
      <w:marBottom w:val="0"/>
      <w:divBdr>
        <w:top w:val="none" w:sz="0" w:space="0" w:color="auto"/>
        <w:left w:val="none" w:sz="0" w:space="0" w:color="auto"/>
        <w:bottom w:val="none" w:sz="0" w:space="0" w:color="auto"/>
        <w:right w:val="none" w:sz="0" w:space="0" w:color="auto"/>
      </w:divBdr>
    </w:div>
    <w:div w:id="586235576">
      <w:bodyDiv w:val="1"/>
      <w:marLeft w:val="0"/>
      <w:marRight w:val="0"/>
      <w:marTop w:val="0"/>
      <w:marBottom w:val="0"/>
      <w:divBdr>
        <w:top w:val="none" w:sz="0" w:space="0" w:color="auto"/>
        <w:left w:val="none" w:sz="0" w:space="0" w:color="auto"/>
        <w:bottom w:val="none" w:sz="0" w:space="0" w:color="auto"/>
        <w:right w:val="none" w:sz="0" w:space="0" w:color="auto"/>
      </w:divBdr>
    </w:div>
    <w:div w:id="600839182">
      <w:bodyDiv w:val="1"/>
      <w:marLeft w:val="0"/>
      <w:marRight w:val="0"/>
      <w:marTop w:val="0"/>
      <w:marBottom w:val="0"/>
      <w:divBdr>
        <w:top w:val="none" w:sz="0" w:space="0" w:color="auto"/>
        <w:left w:val="none" w:sz="0" w:space="0" w:color="auto"/>
        <w:bottom w:val="none" w:sz="0" w:space="0" w:color="auto"/>
        <w:right w:val="none" w:sz="0" w:space="0" w:color="auto"/>
      </w:divBdr>
    </w:div>
    <w:div w:id="607391356">
      <w:bodyDiv w:val="1"/>
      <w:marLeft w:val="0"/>
      <w:marRight w:val="0"/>
      <w:marTop w:val="0"/>
      <w:marBottom w:val="0"/>
      <w:divBdr>
        <w:top w:val="none" w:sz="0" w:space="0" w:color="auto"/>
        <w:left w:val="none" w:sz="0" w:space="0" w:color="auto"/>
        <w:bottom w:val="none" w:sz="0" w:space="0" w:color="auto"/>
        <w:right w:val="none" w:sz="0" w:space="0" w:color="auto"/>
      </w:divBdr>
    </w:div>
    <w:div w:id="620304923">
      <w:bodyDiv w:val="1"/>
      <w:marLeft w:val="0"/>
      <w:marRight w:val="0"/>
      <w:marTop w:val="0"/>
      <w:marBottom w:val="0"/>
      <w:divBdr>
        <w:top w:val="none" w:sz="0" w:space="0" w:color="auto"/>
        <w:left w:val="none" w:sz="0" w:space="0" w:color="auto"/>
        <w:bottom w:val="none" w:sz="0" w:space="0" w:color="auto"/>
        <w:right w:val="none" w:sz="0" w:space="0" w:color="auto"/>
      </w:divBdr>
    </w:div>
    <w:div w:id="632558217">
      <w:bodyDiv w:val="1"/>
      <w:marLeft w:val="0"/>
      <w:marRight w:val="0"/>
      <w:marTop w:val="0"/>
      <w:marBottom w:val="0"/>
      <w:divBdr>
        <w:top w:val="none" w:sz="0" w:space="0" w:color="auto"/>
        <w:left w:val="none" w:sz="0" w:space="0" w:color="auto"/>
        <w:bottom w:val="none" w:sz="0" w:space="0" w:color="auto"/>
        <w:right w:val="none" w:sz="0" w:space="0" w:color="auto"/>
      </w:divBdr>
    </w:div>
    <w:div w:id="632759366">
      <w:bodyDiv w:val="1"/>
      <w:marLeft w:val="0"/>
      <w:marRight w:val="0"/>
      <w:marTop w:val="0"/>
      <w:marBottom w:val="0"/>
      <w:divBdr>
        <w:top w:val="none" w:sz="0" w:space="0" w:color="auto"/>
        <w:left w:val="none" w:sz="0" w:space="0" w:color="auto"/>
        <w:bottom w:val="none" w:sz="0" w:space="0" w:color="auto"/>
        <w:right w:val="none" w:sz="0" w:space="0" w:color="auto"/>
      </w:divBdr>
    </w:div>
    <w:div w:id="634457737">
      <w:bodyDiv w:val="1"/>
      <w:marLeft w:val="0"/>
      <w:marRight w:val="0"/>
      <w:marTop w:val="0"/>
      <w:marBottom w:val="0"/>
      <w:divBdr>
        <w:top w:val="none" w:sz="0" w:space="0" w:color="auto"/>
        <w:left w:val="none" w:sz="0" w:space="0" w:color="auto"/>
        <w:bottom w:val="none" w:sz="0" w:space="0" w:color="auto"/>
        <w:right w:val="none" w:sz="0" w:space="0" w:color="auto"/>
      </w:divBdr>
    </w:div>
    <w:div w:id="641542525">
      <w:bodyDiv w:val="1"/>
      <w:marLeft w:val="0"/>
      <w:marRight w:val="0"/>
      <w:marTop w:val="0"/>
      <w:marBottom w:val="0"/>
      <w:divBdr>
        <w:top w:val="none" w:sz="0" w:space="0" w:color="auto"/>
        <w:left w:val="none" w:sz="0" w:space="0" w:color="auto"/>
        <w:bottom w:val="none" w:sz="0" w:space="0" w:color="auto"/>
        <w:right w:val="none" w:sz="0" w:space="0" w:color="auto"/>
      </w:divBdr>
    </w:div>
    <w:div w:id="647829593">
      <w:bodyDiv w:val="1"/>
      <w:marLeft w:val="0"/>
      <w:marRight w:val="0"/>
      <w:marTop w:val="0"/>
      <w:marBottom w:val="0"/>
      <w:divBdr>
        <w:top w:val="none" w:sz="0" w:space="0" w:color="auto"/>
        <w:left w:val="none" w:sz="0" w:space="0" w:color="auto"/>
        <w:bottom w:val="none" w:sz="0" w:space="0" w:color="auto"/>
        <w:right w:val="none" w:sz="0" w:space="0" w:color="auto"/>
      </w:divBdr>
    </w:div>
    <w:div w:id="658120723">
      <w:bodyDiv w:val="1"/>
      <w:marLeft w:val="0"/>
      <w:marRight w:val="0"/>
      <w:marTop w:val="0"/>
      <w:marBottom w:val="0"/>
      <w:divBdr>
        <w:top w:val="none" w:sz="0" w:space="0" w:color="auto"/>
        <w:left w:val="none" w:sz="0" w:space="0" w:color="auto"/>
        <w:bottom w:val="none" w:sz="0" w:space="0" w:color="auto"/>
        <w:right w:val="none" w:sz="0" w:space="0" w:color="auto"/>
      </w:divBdr>
    </w:div>
    <w:div w:id="663434729">
      <w:bodyDiv w:val="1"/>
      <w:marLeft w:val="0"/>
      <w:marRight w:val="0"/>
      <w:marTop w:val="0"/>
      <w:marBottom w:val="0"/>
      <w:divBdr>
        <w:top w:val="none" w:sz="0" w:space="0" w:color="auto"/>
        <w:left w:val="none" w:sz="0" w:space="0" w:color="auto"/>
        <w:bottom w:val="none" w:sz="0" w:space="0" w:color="auto"/>
        <w:right w:val="none" w:sz="0" w:space="0" w:color="auto"/>
      </w:divBdr>
    </w:div>
    <w:div w:id="668483851">
      <w:bodyDiv w:val="1"/>
      <w:marLeft w:val="0"/>
      <w:marRight w:val="0"/>
      <w:marTop w:val="0"/>
      <w:marBottom w:val="0"/>
      <w:divBdr>
        <w:top w:val="none" w:sz="0" w:space="0" w:color="auto"/>
        <w:left w:val="none" w:sz="0" w:space="0" w:color="auto"/>
        <w:bottom w:val="none" w:sz="0" w:space="0" w:color="auto"/>
        <w:right w:val="none" w:sz="0" w:space="0" w:color="auto"/>
      </w:divBdr>
    </w:div>
    <w:div w:id="678778313">
      <w:bodyDiv w:val="1"/>
      <w:marLeft w:val="0"/>
      <w:marRight w:val="0"/>
      <w:marTop w:val="0"/>
      <w:marBottom w:val="0"/>
      <w:divBdr>
        <w:top w:val="none" w:sz="0" w:space="0" w:color="auto"/>
        <w:left w:val="none" w:sz="0" w:space="0" w:color="auto"/>
        <w:bottom w:val="none" w:sz="0" w:space="0" w:color="auto"/>
        <w:right w:val="none" w:sz="0" w:space="0" w:color="auto"/>
      </w:divBdr>
    </w:div>
    <w:div w:id="688987737">
      <w:bodyDiv w:val="1"/>
      <w:marLeft w:val="0"/>
      <w:marRight w:val="0"/>
      <w:marTop w:val="0"/>
      <w:marBottom w:val="0"/>
      <w:divBdr>
        <w:top w:val="none" w:sz="0" w:space="0" w:color="auto"/>
        <w:left w:val="none" w:sz="0" w:space="0" w:color="auto"/>
        <w:bottom w:val="none" w:sz="0" w:space="0" w:color="auto"/>
        <w:right w:val="none" w:sz="0" w:space="0" w:color="auto"/>
      </w:divBdr>
    </w:div>
    <w:div w:id="690497544">
      <w:bodyDiv w:val="1"/>
      <w:marLeft w:val="0"/>
      <w:marRight w:val="0"/>
      <w:marTop w:val="0"/>
      <w:marBottom w:val="0"/>
      <w:divBdr>
        <w:top w:val="none" w:sz="0" w:space="0" w:color="auto"/>
        <w:left w:val="none" w:sz="0" w:space="0" w:color="auto"/>
        <w:bottom w:val="none" w:sz="0" w:space="0" w:color="auto"/>
        <w:right w:val="none" w:sz="0" w:space="0" w:color="auto"/>
      </w:divBdr>
    </w:div>
    <w:div w:id="697006296">
      <w:bodyDiv w:val="1"/>
      <w:marLeft w:val="0"/>
      <w:marRight w:val="0"/>
      <w:marTop w:val="0"/>
      <w:marBottom w:val="0"/>
      <w:divBdr>
        <w:top w:val="none" w:sz="0" w:space="0" w:color="auto"/>
        <w:left w:val="none" w:sz="0" w:space="0" w:color="auto"/>
        <w:bottom w:val="none" w:sz="0" w:space="0" w:color="auto"/>
        <w:right w:val="none" w:sz="0" w:space="0" w:color="auto"/>
      </w:divBdr>
    </w:div>
    <w:div w:id="697853805">
      <w:bodyDiv w:val="1"/>
      <w:marLeft w:val="0"/>
      <w:marRight w:val="0"/>
      <w:marTop w:val="0"/>
      <w:marBottom w:val="0"/>
      <w:divBdr>
        <w:top w:val="none" w:sz="0" w:space="0" w:color="auto"/>
        <w:left w:val="none" w:sz="0" w:space="0" w:color="auto"/>
        <w:bottom w:val="none" w:sz="0" w:space="0" w:color="auto"/>
        <w:right w:val="none" w:sz="0" w:space="0" w:color="auto"/>
      </w:divBdr>
    </w:div>
    <w:div w:id="722484950">
      <w:bodyDiv w:val="1"/>
      <w:marLeft w:val="0"/>
      <w:marRight w:val="0"/>
      <w:marTop w:val="0"/>
      <w:marBottom w:val="0"/>
      <w:divBdr>
        <w:top w:val="none" w:sz="0" w:space="0" w:color="auto"/>
        <w:left w:val="none" w:sz="0" w:space="0" w:color="auto"/>
        <w:bottom w:val="none" w:sz="0" w:space="0" w:color="auto"/>
        <w:right w:val="none" w:sz="0" w:space="0" w:color="auto"/>
      </w:divBdr>
    </w:div>
    <w:div w:id="736326016">
      <w:bodyDiv w:val="1"/>
      <w:marLeft w:val="0"/>
      <w:marRight w:val="0"/>
      <w:marTop w:val="0"/>
      <w:marBottom w:val="0"/>
      <w:divBdr>
        <w:top w:val="none" w:sz="0" w:space="0" w:color="auto"/>
        <w:left w:val="none" w:sz="0" w:space="0" w:color="auto"/>
        <w:bottom w:val="none" w:sz="0" w:space="0" w:color="auto"/>
        <w:right w:val="none" w:sz="0" w:space="0" w:color="auto"/>
      </w:divBdr>
    </w:div>
    <w:div w:id="750927889">
      <w:bodyDiv w:val="1"/>
      <w:marLeft w:val="0"/>
      <w:marRight w:val="0"/>
      <w:marTop w:val="0"/>
      <w:marBottom w:val="0"/>
      <w:divBdr>
        <w:top w:val="none" w:sz="0" w:space="0" w:color="auto"/>
        <w:left w:val="none" w:sz="0" w:space="0" w:color="auto"/>
        <w:bottom w:val="none" w:sz="0" w:space="0" w:color="auto"/>
        <w:right w:val="none" w:sz="0" w:space="0" w:color="auto"/>
      </w:divBdr>
    </w:div>
    <w:div w:id="753091913">
      <w:bodyDiv w:val="1"/>
      <w:marLeft w:val="0"/>
      <w:marRight w:val="0"/>
      <w:marTop w:val="0"/>
      <w:marBottom w:val="0"/>
      <w:divBdr>
        <w:top w:val="none" w:sz="0" w:space="0" w:color="auto"/>
        <w:left w:val="none" w:sz="0" w:space="0" w:color="auto"/>
        <w:bottom w:val="none" w:sz="0" w:space="0" w:color="auto"/>
        <w:right w:val="none" w:sz="0" w:space="0" w:color="auto"/>
      </w:divBdr>
    </w:div>
    <w:div w:id="766582491">
      <w:bodyDiv w:val="1"/>
      <w:marLeft w:val="0"/>
      <w:marRight w:val="0"/>
      <w:marTop w:val="0"/>
      <w:marBottom w:val="0"/>
      <w:divBdr>
        <w:top w:val="none" w:sz="0" w:space="0" w:color="auto"/>
        <w:left w:val="none" w:sz="0" w:space="0" w:color="auto"/>
        <w:bottom w:val="none" w:sz="0" w:space="0" w:color="auto"/>
        <w:right w:val="none" w:sz="0" w:space="0" w:color="auto"/>
      </w:divBdr>
    </w:div>
    <w:div w:id="768162369">
      <w:bodyDiv w:val="1"/>
      <w:marLeft w:val="0"/>
      <w:marRight w:val="0"/>
      <w:marTop w:val="0"/>
      <w:marBottom w:val="0"/>
      <w:divBdr>
        <w:top w:val="none" w:sz="0" w:space="0" w:color="auto"/>
        <w:left w:val="none" w:sz="0" w:space="0" w:color="auto"/>
        <w:bottom w:val="none" w:sz="0" w:space="0" w:color="auto"/>
        <w:right w:val="none" w:sz="0" w:space="0" w:color="auto"/>
      </w:divBdr>
    </w:div>
    <w:div w:id="768310119">
      <w:bodyDiv w:val="1"/>
      <w:marLeft w:val="0"/>
      <w:marRight w:val="0"/>
      <w:marTop w:val="0"/>
      <w:marBottom w:val="0"/>
      <w:divBdr>
        <w:top w:val="none" w:sz="0" w:space="0" w:color="auto"/>
        <w:left w:val="none" w:sz="0" w:space="0" w:color="auto"/>
        <w:bottom w:val="none" w:sz="0" w:space="0" w:color="auto"/>
        <w:right w:val="none" w:sz="0" w:space="0" w:color="auto"/>
      </w:divBdr>
    </w:div>
    <w:div w:id="776876256">
      <w:bodyDiv w:val="1"/>
      <w:marLeft w:val="0"/>
      <w:marRight w:val="0"/>
      <w:marTop w:val="0"/>
      <w:marBottom w:val="0"/>
      <w:divBdr>
        <w:top w:val="none" w:sz="0" w:space="0" w:color="auto"/>
        <w:left w:val="none" w:sz="0" w:space="0" w:color="auto"/>
        <w:bottom w:val="none" w:sz="0" w:space="0" w:color="auto"/>
        <w:right w:val="none" w:sz="0" w:space="0" w:color="auto"/>
      </w:divBdr>
    </w:div>
    <w:div w:id="799036549">
      <w:bodyDiv w:val="1"/>
      <w:marLeft w:val="0"/>
      <w:marRight w:val="0"/>
      <w:marTop w:val="0"/>
      <w:marBottom w:val="0"/>
      <w:divBdr>
        <w:top w:val="none" w:sz="0" w:space="0" w:color="auto"/>
        <w:left w:val="none" w:sz="0" w:space="0" w:color="auto"/>
        <w:bottom w:val="none" w:sz="0" w:space="0" w:color="auto"/>
        <w:right w:val="none" w:sz="0" w:space="0" w:color="auto"/>
      </w:divBdr>
    </w:div>
    <w:div w:id="804347013">
      <w:bodyDiv w:val="1"/>
      <w:marLeft w:val="0"/>
      <w:marRight w:val="0"/>
      <w:marTop w:val="0"/>
      <w:marBottom w:val="0"/>
      <w:divBdr>
        <w:top w:val="none" w:sz="0" w:space="0" w:color="auto"/>
        <w:left w:val="none" w:sz="0" w:space="0" w:color="auto"/>
        <w:bottom w:val="none" w:sz="0" w:space="0" w:color="auto"/>
        <w:right w:val="none" w:sz="0" w:space="0" w:color="auto"/>
      </w:divBdr>
    </w:div>
    <w:div w:id="808284974">
      <w:bodyDiv w:val="1"/>
      <w:marLeft w:val="0"/>
      <w:marRight w:val="0"/>
      <w:marTop w:val="0"/>
      <w:marBottom w:val="0"/>
      <w:divBdr>
        <w:top w:val="none" w:sz="0" w:space="0" w:color="auto"/>
        <w:left w:val="none" w:sz="0" w:space="0" w:color="auto"/>
        <w:bottom w:val="none" w:sz="0" w:space="0" w:color="auto"/>
        <w:right w:val="none" w:sz="0" w:space="0" w:color="auto"/>
      </w:divBdr>
      <w:divsChild>
        <w:div w:id="80030280">
          <w:marLeft w:val="0"/>
          <w:marRight w:val="0"/>
          <w:marTop w:val="0"/>
          <w:marBottom w:val="0"/>
          <w:divBdr>
            <w:top w:val="none" w:sz="0" w:space="0" w:color="auto"/>
            <w:left w:val="none" w:sz="0" w:space="0" w:color="auto"/>
            <w:bottom w:val="none" w:sz="0" w:space="0" w:color="auto"/>
            <w:right w:val="none" w:sz="0" w:space="0" w:color="auto"/>
          </w:divBdr>
          <w:divsChild>
            <w:div w:id="805317859">
              <w:marLeft w:val="0"/>
              <w:marRight w:val="0"/>
              <w:marTop w:val="0"/>
              <w:marBottom w:val="0"/>
              <w:divBdr>
                <w:top w:val="none" w:sz="0" w:space="0" w:color="auto"/>
                <w:left w:val="none" w:sz="0" w:space="0" w:color="auto"/>
                <w:bottom w:val="none" w:sz="0" w:space="0" w:color="auto"/>
                <w:right w:val="none" w:sz="0" w:space="0" w:color="auto"/>
              </w:divBdr>
              <w:divsChild>
                <w:div w:id="1296717114">
                  <w:marLeft w:val="0"/>
                  <w:marRight w:val="0"/>
                  <w:marTop w:val="0"/>
                  <w:marBottom w:val="0"/>
                  <w:divBdr>
                    <w:top w:val="none" w:sz="0" w:space="0" w:color="auto"/>
                    <w:left w:val="none" w:sz="0" w:space="0" w:color="auto"/>
                    <w:bottom w:val="none" w:sz="0" w:space="0" w:color="auto"/>
                    <w:right w:val="none" w:sz="0" w:space="0" w:color="auto"/>
                  </w:divBdr>
                  <w:divsChild>
                    <w:div w:id="983853786">
                      <w:marLeft w:val="0"/>
                      <w:marRight w:val="0"/>
                      <w:marTop w:val="0"/>
                      <w:marBottom w:val="0"/>
                      <w:divBdr>
                        <w:top w:val="none" w:sz="0" w:space="0" w:color="auto"/>
                        <w:left w:val="none" w:sz="0" w:space="0" w:color="auto"/>
                        <w:bottom w:val="none" w:sz="0" w:space="0" w:color="auto"/>
                        <w:right w:val="none" w:sz="0" w:space="0" w:color="auto"/>
                      </w:divBdr>
                      <w:divsChild>
                        <w:div w:id="1370184208">
                          <w:marLeft w:val="0"/>
                          <w:marRight w:val="0"/>
                          <w:marTop w:val="0"/>
                          <w:marBottom w:val="0"/>
                          <w:divBdr>
                            <w:top w:val="none" w:sz="0" w:space="0" w:color="auto"/>
                            <w:left w:val="none" w:sz="0" w:space="0" w:color="auto"/>
                            <w:bottom w:val="none" w:sz="0" w:space="0" w:color="auto"/>
                            <w:right w:val="none" w:sz="0" w:space="0" w:color="auto"/>
                          </w:divBdr>
                          <w:divsChild>
                            <w:div w:id="194805491">
                              <w:marLeft w:val="0"/>
                              <w:marRight w:val="0"/>
                              <w:marTop w:val="0"/>
                              <w:marBottom w:val="0"/>
                              <w:divBdr>
                                <w:top w:val="none" w:sz="0" w:space="0" w:color="auto"/>
                                <w:left w:val="none" w:sz="0" w:space="0" w:color="auto"/>
                                <w:bottom w:val="none" w:sz="0" w:space="0" w:color="auto"/>
                                <w:right w:val="none" w:sz="0" w:space="0" w:color="auto"/>
                              </w:divBdr>
                              <w:divsChild>
                                <w:div w:id="1526169029">
                                  <w:marLeft w:val="0"/>
                                  <w:marRight w:val="0"/>
                                  <w:marTop w:val="0"/>
                                  <w:marBottom w:val="0"/>
                                  <w:divBdr>
                                    <w:top w:val="none" w:sz="0" w:space="0" w:color="auto"/>
                                    <w:left w:val="none" w:sz="0" w:space="0" w:color="auto"/>
                                    <w:bottom w:val="none" w:sz="0" w:space="0" w:color="auto"/>
                                    <w:right w:val="none" w:sz="0" w:space="0" w:color="auto"/>
                                  </w:divBdr>
                                  <w:divsChild>
                                    <w:div w:id="251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02271">
      <w:bodyDiv w:val="1"/>
      <w:marLeft w:val="0"/>
      <w:marRight w:val="0"/>
      <w:marTop w:val="0"/>
      <w:marBottom w:val="0"/>
      <w:divBdr>
        <w:top w:val="none" w:sz="0" w:space="0" w:color="auto"/>
        <w:left w:val="none" w:sz="0" w:space="0" w:color="auto"/>
        <w:bottom w:val="none" w:sz="0" w:space="0" w:color="auto"/>
        <w:right w:val="none" w:sz="0" w:space="0" w:color="auto"/>
      </w:divBdr>
    </w:div>
    <w:div w:id="817964657">
      <w:bodyDiv w:val="1"/>
      <w:marLeft w:val="0"/>
      <w:marRight w:val="0"/>
      <w:marTop w:val="0"/>
      <w:marBottom w:val="0"/>
      <w:divBdr>
        <w:top w:val="none" w:sz="0" w:space="0" w:color="auto"/>
        <w:left w:val="none" w:sz="0" w:space="0" w:color="auto"/>
        <w:bottom w:val="none" w:sz="0" w:space="0" w:color="auto"/>
        <w:right w:val="none" w:sz="0" w:space="0" w:color="auto"/>
      </w:divBdr>
    </w:div>
    <w:div w:id="822547063">
      <w:bodyDiv w:val="1"/>
      <w:marLeft w:val="0"/>
      <w:marRight w:val="0"/>
      <w:marTop w:val="0"/>
      <w:marBottom w:val="0"/>
      <w:divBdr>
        <w:top w:val="none" w:sz="0" w:space="0" w:color="auto"/>
        <w:left w:val="none" w:sz="0" w:space="0" w:color="auto"/>
        <w:bottom w:val="none" w:sz="0" w:space="0" w:color="auto"/>
        <w:right w:val="none" w:sz="0" w:space="0" w:color="auto"/>
      </w:divBdr>
    </w:div>
    <w:div w:id="823396326">
      <w:bodyDiv w:val="1"/>
      <w:marLeft w:val="0"/>
      <w:marRight w:val="0"/>
      <w:marTop w:val="0"/>
      <w:marBottom w:val="0"/>
      <w:divBdr>
        <w:top w:val="none" w:sz="0" w:space="0" w:color="auto"/>
        <w:left w:val="none" w:sz="0" w:space="0" w:color="auto"/>
        <w:bottom w:val="none" w:sz="0" w:space="0" w:color="auto"/>
        <w:right w:val="none" w:sz="0" w:space="0" w:color="auto"/>
      </w:divBdr>
    </w:div>
    <w:div w:id="829634639">
      <w:bodyDiv w:val="1"/>
      <w:marLeft w:val="0"/>
      <w:marRight w:val="0"/>
      <w:marTop w:val="0"/>
      <w:marBottom w:val="0"/>
      <w:divBdr>
        <w:top w:val="none" w:sz="0" w:space="0" w:color="auto"/>
        <w:left w:val="none" w:sz="0" w:space="0" w:color="auto"/>
        <w:bottom w:val="none" w:sz="0" w:space="0" w:color="auto"/>
        <w:right w:val="none" w:sz="0" w:space="0" w:color="auto"/>
      </w:divBdr>
    </w:div>
    <w:div w:id="835002751">
      <w:bodyDiv w:val="1"/>
      <w:marLeft w:val="0"/>
      <w:marRight w:val="0"/>
      <w:marTop w:val="0"/>
      <w:marBottom w:val="0"/>
      <w:divBdr>
        <w:top w:val="none" w:sz="0" w:space="0" w:color="auto"/>
        <w:left w:val="none" w:sz="0" w:space="0" w:color="auto"/>
        <w:bottom w:val="none" w:sz="0" w:space="0" w:color="auto"/>
        <w:right w:val="none" w:sz="0" w:space="0" w:color="auto"/>
      </w:divBdr>
    </w:div>
    <w:div w:id="837817263">
      <w:bodyDiv w:val="1"/>
      <w:marLeft w:val="0"/>
      <w:marRight w:val="0"/>
      <w:marTop w:val="0"/>
      <w:marBottom w:val="0"/>
      <w:divBdr>
        <w:top w:val="none" w:sz="0" w:space="0" w:color="auto"/>
        <w:left w:val="none" w:sz="0" w:space="0" w:color="auto"/>
        <w:bottom w:val="none" w:sz="0" w:space="0" w:color="auto"/>
        <w:right w:val="none" w:sz="0" w:space="0" w:color="auto"/>
      </w:divBdr>
    </w:div>
    <w:div w:id="842207614">
      <w:bodyDiv w:val="1"/>
      <w:marLeft w:val="0"/>
      <w:marRight w:val="0"/>
      <w:marTop w:val="0"/>
      <w:marBottom w:val="0"/>
      <w:divBdr>
        <w:top w:val="none" w:sz="0" w:space="0" w:color="auto"/>
        <w:left w:val="none" w:sz="0" w:space="0" w:color="auto"/>
        <w:bottom w:val="none" w:sz="0" w:space="0" w:color="auto"/>
        <w:right w:val="none" w:sz="0" w:space="0" w:color="auto"/>
      </w:divBdr>
    </w:div>
    <w:div w:id="846556232">
      <w:bodyDiv w:val="1"/>
      <w:marLeft w:val="0"/>
      <w:marRight w:val="0"/>
      <w:marTop w:val="0"/>
      <w:marBottom w:val="0"/>
      <w:divBdr>
        <w:top w:val="none" w:sz="0" w:space="0" w:color="auto"/>
        <w:left w:val="none" w:sz="0" w:space="0" w:color="auto"/>
        <w:bottom w:val="none" w:sz="0" w:space="0" w:color="auto"/>
        <w:right w:val="none" w:sz="0" w:space="0" w:color="auto"/>
      </w:divBdr>
    </w:div>
    <w:div w:id="858397992">
      <w:bodyDiv w:val="1"/>
      <w:marLeft w:val="0"/>
      <w:marRight w:val="0"/>
      <w:marTop w:val="0"/>
      <w:marBottom w:val="0"/>
      <w:divBdr>
        <w:top w:val="none" w:sz="0" w:space="0" w:color="auto"/>
        <w:left w:val="none" w:sz="0" w:space="0" w:color="auto"/>
        <w:bottom w:val="none" w:sz="0" w:space="0" w:color="auto"/>
        <w:right w:val="none" w:sz="0" w:space="0" w:color="auto"/>
      </w:divBdr>
    </w:div>
    <w:div w:id="862789533">
      <w:bodyDiv w:val="1"/>
      <w:marLeft w:val="0"/>
      <w:marRight w:val="0"/>
      <w:marTop w:val="0"/>
      <w:marBottom w:val="0"/>
      <w:divBdr>
        <w:top w:val="none" w:sz="0" w:space="0" w:color="auto"/>
        <w:left w:val="none" w:sz="0" w:space="0" w:color="auto"/>
        <w:bottom w:val="none" w:sz="0" w:space="0" w:color="auto"/>
        <w:right w:val="none" w:sz="0" w:space="0" w:color="auto"/>
      </w:divBdr>
    </w:div>
    <w:div w:id="875436434">
      <w:bodyDiv w:val="1"/>
      <w:marLeft w:val="0"/>
      <w:marRight w:val="0"/>
      <w:marTop w:val="0"/>
      <w:marBottom w:val="0"/>
      <w:divBdr>
        <w:top w:val="none" w:sz="0" w:space="0" w:color="auto"/>
        <w:left w:val="none" w:sz="0" w:space="0" w:color="auto"/>
        <w:bottom w:val="none" w:sz="0" w:space="0" w:color="auto"/>
        <w:right w:val="none" w:sz="0" w:space="0" w:color="auto"/>
      </w:divBdr>
    </w:div>
    <w:div w:id="886527721">
      <w:bodyDiv w:val="1"/>
      <w:marLeft w:val="0"/>
      <w:marRight w:val="0"/>
      <w:marTop w:val="0"/>
      <w:marBottom w:val="0"/>
      <w:divBdr>
        <w:top w:val="none" w:sz="0" w:space="0" w:color="auto"/>
        <w:left w:val="none" w:sz="0" w:space="0" w:color="auto"/>
        <w:bottom w:val="none" w:sz="0" w:space="0" w:color="auto"/>
        <w:right w:val="none" w:sz="0" w:space="0" w:color="auto"/>
      </w:divBdr>
    </w:div>
    <w:div w:id="887182147">
      <w:bodyDiv w:val="1"/>
      <w:marLeft w:val="0"/>
      <w:marRight w:val="0"/>
      <w:marTop w:val="0"/>
      <w:marBottom w:val="0"/>
      <w:divBdr>
        <w:top w:val="none" w:sz="0" w:space="0" w:color="auto"/>
        <w:left w:val="none" w:sz="0" w:space="0" w:color="auto"/>
        <w:bottom w:val="none" w:sz="0" w:space="0" w:color="auto"/>
        <w:right w:val="none" w:sz="0" w:space="0" w:color="auto"/>
      </w:divBdr>
    </w:div>
    <w:div w:id="890918381">
      <w:bodyDiv w:val="1"/>
      <w:marLeft w:val="0"/>
      <w:marRight w:val="0"/>
      <w:marTop w:val="0"/>
      <w:marBottom w:val="0"/>
      <w:divBdr>
        <w:top w:val="none" w:sz="0" w:space="0" w:color="auto"/>
        <w:left w:val="none" w:sz="0" w:space="0" w:color="auto"/>
        <w:bottom w:val="none" w:sz="0" w:space="0" w:color="auto"/>
        <w:right w:val="none" w:sz="0" w:space="0" w:color="auto"/>
      </w:divBdr>
    </w:div>
    <w:div w:id="903569429">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42298816">
      <w:bodyDiv w:val="1"/>
      <w:marLeft w:val="0"/>
      <w:marRight w:val="0"/>
      <w:marTop w:val="0"/>
      <w:marBottom w:val="0"/>
      <w:divBdr>
        <w:top w:val="none" w:sz="0" w:space="0" w:color="auto"/>
        <w:left w:val="none" w:sz="0" w:space="0" w:color="auto"/>
        <w:bottom w:val="none" w:sz="0" w:space="0" w:color="auto"/>
        <w:right w:val="none" w:sz="0" w:space="0" w:color="auto"/>
      </w:divBdr>
    </w:div>
    <w:div w:id="953369259">
      <w:bodyDiv w:val="1"/>
      <w:marLeft w:val="0"/>
      <w:marRight w:val="0"/>
      <w:marTop w:val="0"/>
      <w:marBottom w:val="0"/>
      <w:divBdr>
        <w:top w:val="none" w:sz="0" w:space="0" w:color="auto"/>
        <w:left w:val="none" w:sz="0" w:space="0" w:color="auto"/>
        <w:bottom w:val="none" w:sz="0" w:space="0" w:color="auto"/>
        <w:right w:val="none" w:sz="0" w:space="0" w:color="auto"/>
      </w:divBdr>
    </w:div>
    <w:div w:id="958294008">
      <w:bodyDiv w:val="1"/>
      <w:marLeft w:val="0"/>
      <w:marRight w:val="0"/>
      <w:marTop w:val="0"/>
      <w:marBottom w:val="0"/>
      <w:divBdr>
        <w:top w:val="none" w:sz="0" w:space="0" w:color="auto"/>
        <w:left w:val="none" w:sz="0" w:space="0" w:color="auto"/>
        <w:bottom w:val="none" w:sz="0" w:space="0" w:color="auto"/>
        <w:right w:val="none" w:sz="0" w:space="0" w:color="auto"/>
      </w:divBdr>
    </w:div>
    <w:div w:id="959651925">
      <w:bodyDiv w:val="1"/>
      <w:marLeft w:val="0"/>
      <w:marRight w:val="0"/>
      <w:marTop w:val="0"/>
      <w:marBottom w:val="0"/>
      <w:divBdr>
        <w:top w:val="none" w:sz="0" w:space="0" w:color="auto"/>
        <w:left w:val="none" w:sz="0" w:space="0" w:color="auto"/>
        <w:bottom w:val="none" w:sz="0" w:space="0" w:color="auto"/>
        <w:right w:val="none" w:sz="0" w:space="0" w:color="auto"/>
      </w:divBdr>
    </w:div>
    <w:div w:id="989020368">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33774623">
      <w:bodyDiv w:val="1"/>
      <w:marLeft w:val="0"/>
      <w:marRight w:val="0"/>
      <w:marTop w:val="0"/>
      <w:marBottom w:val="0"/>
      <w:divBdr>
        <w:top w:val="none" w:sz="0" w:space="0" w:color="auto"/>
        <w:left w:val="none" w:sz="0" w:space="0" w:color="auto"/>
        <w:bottom w:val="none" w:sz="0" w:space="0" w:color="auto"/>
        <w:right w:val="none" w:sz="0" w:space="0" w:color="auto"/>
      </w:divBdr>
    </w:div>
    <w:div w:id="1052265916">
      <w:bodyDiv w:val="1"/>
      <w:marLeft w:val="0"/>
      <w:marRight w:val="0"/>
      <w:marTop w:val="0"/>
      <w:marBottom w:val="0"/>
      <w:divBdr>
        <w:top w:val="none" w:sz="0" w:space="0" w:color="auto"/>
        <w:left w:val="none" w:sz="0" w:space="0" w:color="auto"/>
        <w:bottom w:val="none" w:sz="0" w:space="0" w:color="auto"/>
        <w:right w:val="none" w:sz="0" w:space="0" w:color="auto"/>
      </w:divBdr>
    </w:div>
    <w:div w:id="1069571327">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078861928">
      <w:bodyDiv w:val="1"/>
      <w:marLeft w:val="0"/>
      <w:marRight w:val="0"/>
      <w:marTop w:val="0"/>
      <w:marBottom w:val="0"/>
      <w:divBdr>
        <w:top w:val="none" w:sz="0" w:space="0" w:color="auto"/>
        <w:left w:val="none" w:sz="0" w:space="0" w:color="auto"/>
        <w:bottom w:val="none" w:sz="0" w:space="0" w:color="auto"/>
        <w:right w:val="none" w:sz="0" w:space="0" w:color="auto"/>
      </w:divBdr>
    </w:div>
    <w:div w:id="1078940943">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11434722">
      <w:bodyDiv w:val="1"/>
      <w:marLeft w:val="0"/>
      <w:marRight w:val="0"/>
      <w:marTop w:val="0"/>
      <w:marBottom w:val="0"/>
      <w:divBdr>
        <w:top w:val="none" w:sz="0" w:space="0" w:color="auto"/>
        <w:left w:val="none" w:sz="0" w:space="0" w:color="auto"/>
        <w:bottom w:val="none" w:sz="0" w:space="0" w:color="auto"/>
        <w:right w:val="none" w:sz="0" w:space="0" w:color="auto"/>
      </w:divBdr>
    </w:div>
    <w:div w:id="1119034145">
      <w:bodyDiv w:val="1"/>
      <w:marLeft w:val="0"/>
      <w:marRight w:val="0"/>
      <w:marTop w:val="0"/>
      <w:marBottom w:val="0"/>
      <w:divBdr>
        <w:top w:val="none" w:sz="0" w:space="0" w:color="auto"/>
        <w:left w:val="none" w:sz="0" w:space="0" w:color="auto"/>
        <w:bottom w:val="none" w:sz="0" w:space="0" w:color="auto"/>
        <w:right w:val="none" w:sz="0" w:space="0" w:color="auto"/>
      </w:divBdr>
    </w:div>
    <w:div w:id="1120300153">
      <w:bodyDiv w:val="1"/>
      <w:marLeft w:val="0"/>
      <w:marRight w:val="0"/>
      <w:marTop w:val="0"/>
      <w:marBottom w:val="0"/>
      <w:divBdr>
        <w:top w:val="none" w:sz="0" w:space="0" w:color="auto"/>
        <w:left w:val="none" w:sz="0" w:space="0" w:color="auto"/>
        <w:bottom w:val="none" w:sz="0" w:space="0" w:color="auto"/>
        <w:right w:val="none" w:sz="0" w:space="0" w:color="auto"/>
      </w:divBdr>
    </w:div>
    <w:div w:id="1120346374">
      <w:bodyDiv w:val="1"/>
      <w:marLeft w:val="0"/>
      <w:marRight w:val="0"/>
      <w:marTop w:val="0"/>
      <w:marBottom w:val="0"/>
      <w:divBdr>
        <w:top w:val="none" w:sz="0" w:space="0" w:color="auto"/>
        <w:left w:val="none" w:sz="0" w:space="0" w:color="auto"/>
        <w:bottom w:val="none" w:sz="0" w:space="0" w:color="auto"/>
        <w:right w:val="none" w:sz="0" w:space="0" w:color="auto"/>
      </w:divBdr>
    </w:div>
    <w:div w:id="1184318647">
      <w:bodyDiv w:val="1"/>
      <w:marLeft w:val="0"/>
      <w:marRight w:val="0"/>
      <w:marTop w:val="0"/>
      <w:marBottom w:val="0"/>
      <w:divBdr>
        <w:top w:val="none" w:sz="0" w:space="0" w:color="auto"/>
        <w:left w:val="none" w:sz="0" w:space="0" w:color="auto"/>
        <w:bottom w:val="none" w:sz="0" w:space="0" w:color="auto"/>
        <w:right w:val="none" w:sz="0" w:space="0" w:color="auto"/>
      </w:divBdr>
    </w:div>
    <w:div w:id="1187214057">
      <w:bodyDiv w:val="1"/>
      <w:marLeft w:val="0"/>
      <w:marRight w:val="0"/>
      <w:marTop w:val="0"/>
      <w:marBottom w:val="0"/>
      <w:divBdr>
        <w:top w:val="none" w:sz="0" w:space="0" w:color="auto"/>
        <w:left w:val="none" w:sz="0" w:space="0" w:color="auto"/>
        <w:bottom w:val="none" w:sz="0" w:space="0" w:color="auto"/>
        <w:right w:val="none" w:sz="0" w:space="0" w:color="auto"/>
      </w:divBdr>
    </w:div>
    <w:div w:id="1200775996">
      <w:bodyDiv w:val="1"/>
      <w:marLeft w:val="0"/>
      <w:marRight w:val="0"/>
      <w:marTop w:val="0"/>
      <w:marBottom w:val="0"/>
      <w:divBdr>
        <w:top w:val="none" w:sz="0" w:space="0" w:color="auto"/>
        <w:left w:val="none" w:sz="0" w:space="0" w:color="auto"/>
        <w:bottom w:val="none" w:sz="0" w:space="0" w:color="auto"/>
        <w:right w:val="none" w:sz="0" w:space="0" w:color="auto"/>
      </w:divBdr>
    </w:div>
    <w:div w:id="1204051377">
      <w:bodyDiv w:val="1"/>
      <w:marLeft w:val="0"/>
      <w:marRight w:val="0"/>
      <w:marTop w:val="0"/>
      <w:marBottom w:val="0"/>
      <w:divBdr>
        <w:top w:val="none" w:sz="0" w:space="0" w:color="auto"/>
        <w:left w:val="none" w:sz="0" w:space="0" w:color="auto"/>
        <w:bottom w:val="none" w:sz="0" w:space="0" w:color="auto"/>
        <w:right w:val="none" w:sz="0" w:space="0" w:color="auto"/>
      </w:divBdr>
    </w:div>
    <w:div w:id="1206873057">
      <w:bodyDiv w:val="1"/>
      <w:marLeft w:val="0"/>
      <w:marRight w:val="0"/>
      <w:marTop w:val="0"/>
      <w:marBottom w:val="0"/>
      <w:divBdr>
        <w:top w:val="none" w:sz="0" w:space="0" w:color="auto"/>
        <w:left w:val="none" w:sz="0" w:space="0" w:color="auto"/>
        <w:bottom w:val="none" w:sz="0" w:space="0" w:color="auto"/>
        <w:right w:val="none" w:sz="0" w:space="0" w:color="auto"/>
      </w:divBdr>
    </w:div>
    <w:div w:id="1223563238">
      <w:bodyDiv w:val="1"/>
      <w:marLeft w:val="0"/>
      <w:marRight w:val="0"/>
      <w:marTop w:val="0"/>
      <w:marBottom w:val="0"/>
      <w:divBdr>
        <w:top w:val="none" w:sz="0" w:space="0" w:color="auto"/>
        <w:left w:val="none" w:sz="0" w:space="0" w:color="auto"/>
        <w:bottom w:val="none" w:sz="0" w:space="0" w:color="auto"/>
        <w:right w:val="none" w:sz="0" w:space="0" w:color="auto"/>
      </w:divBdr>
    </w:div>
    <w:div w:id="1224440684">
      <w:bodyDiv w:val="1"/>
      <w:marLeft w:val="0"/>
      <w:marRight w:val="0"/>
      <w:marTop w:val="0"/>
      <w:marBottom w:val="0"/>
      <w:divBdr>
        <w:top w:val="none" w:sz="0" w:space="0" w:color="auto"/>
        <w:left w:val="none" w:sz="0" w:space="0" w:color="auto"/>
        <w:bottom w:val="none" w:sz="0" w:space="0" w:color="auto"/>
        <w:right w:val="none" w:sz="0" w:space="0" w:color="auto"/>
      </w:divBdr>
    </w:div>
    <w:div w:id="1251816221">
      <w:bodyDiv w:val="1"/>
      <w:marLeft w:val="0"/>
      <w:marRight w:val="0"/>
      <w:marTop w:val="0"/>
      <w:marBottom w:val="0"/>
      <w:divBdr>
        <w:top w:val="none" w:sz="0" w:space="0" w:color="auto"/>
        <w:left w:val="none" w:sz="0" w:space="0" w:color="auto"/>
        <w:bottom w:val="none" w:sz="0" w:space="0" w:color="auto"/>
        <w:right w:val="none" w:sz="0" w:space="0" w:color="auto"/>
      </w:divBdr>
    </w:div>
    <w:div w:id="1252737661">
      <w:bodyDiv w:val="1"/>
      <w:marLeft w:val="0"/>
      <w:marRight w:val="0"/>
      <w:marTop w:val="0"/>
      <w:marBottom w:val="0"/>
      <w:divBdr>
        <w:top w:val="none" w:sz="0" w:space="0" w:color="auto"/>
        <w:left w:val="none" w:sz="0" w:space="0" w:color="auto"/>
        <w:bottom w:val="none" w:sz="0" w:space="0" w:color="auto"/>
        <w:right w:val="none" w:sz="0" w:space="0" w:color="auto"/>
      </w:divBdr>
    </w:div>
    <w:div w:id="1261599143">
      <w:bodyDiv w:val="1"/>
      <w:marLeft w:val="0"/>
      <w:marRight w:val="0"/>
      <w:marTop w:val="0"/>
      <w:marBottom w:val="0"/>
      <w:divBdr>
        <w:top w:val="none" w:sz="0" w:space="0" w:color="auto"/>
        <w:left w:val="none" w:sz="0" w:space="0" w:color="auto"/>
        <w:bottom w:val="none" w:sz="0" w:space="0" w:color="auto"/>
        <w:right w:val="none" w:sz="0" w:space="0" w:color="auto"/>
      </w:divBdr>
    </w:div>
    <w:div w:id="1267925850">
      <w:bodyDiv w:val="1"/>
      <w:marLeft w:val="0"/>
      <w:marRight w:val="0"/>
      <w:marTop w:val="0"/>
      <w:marBottom w:val="0"/>
      <w:divBdr>
        <w:top w:val="none" w:sz="0" w:space="0" w:color="auto"/>
        <w:left w:val="none" w:sz="0" w:space="0" w:color="auto"/>
        <w:bottom w:val="none" w:sz="0" w:space="0" w:color="auto"/>
        <w:right w:val="none" w:sz="0" w:space="0" w:color="auto"/>
      </w:divBdr>
    </w:div>
    <w:div w:id="1275014859">
      <w:bodyDiv w:val="1"/>
      <w:marLeft w:val="0"/>
      <w:marRight w:val="0"/>
      <w:marTop w:val="0"/>
      <w:marBottom w:val="0"/>
      <w:divBdr>
        <w:top w:val="none" w:sz="0" w:space="0" w:color="auto"/>
        <w:left w:val="none" w:sz="0" w:space="0" w:color="auto"/>
        <w:bottom w:val="none" w:sz="0" w:space="0" w:color="auto"/>
        <w:right w:val="none" w:sz="0" w:space="0" w:color="auto"/>
      </w:divBdr>
    </w:div>
    <w:div w:id="1283076272">
      <w:bodyDiv w:val="1"/>
      <w:marLeft w:val="0"/>
      <w:marRight w:val="0"/>
      <w:marTop w:val="0"/>
      <w:marBottom w:val="0"/>
      <w:divBdr>
        <w:top w:val="none" w:sz="0" w:space="0" w:color="auto"/>
        <w:left w:val="none" w:sz="0" w:space="0" w:color="auto"/>
        <w:bottom w:val="none" w:sz="0" w:space="0" w:color="auto"/>
        <w:right w:val="none" w:sz="0" w:space="0" w:color="auto"/>
      </w:divBdr>
    </w:div>
    <w:div w:id="1286623561">
      <w:bodyDiv w:val="1"/>
      <w:marLeft w:val="0"/>
      <w:marRight w:val="0"/>
      <w:marTop w:val="0"/>
      <w:marBottom w:val="0"/>
      <w:divBdr>
        <w:top w:val="none" w:sz="0" w:space="0" w:color="auto"/>
        <w:left w:val="none" w:sz="0" w:space="0" w:color="auto"/>
        <w:bottom w:val="none" w:sz="0" w:space="0" w:color="auto"/>
        <w:right w:val="none" w:sz="0" w:space="0" w:color="auto"/>
      </w:divBdr>
    </w:div>
    <w:div w:id="1294408141">
      <w:bodyDiv w:val="1"/>
      <w:marLeft w:val="0"/>
      <w:marRight w:val="0"/>
      <w:marTop w:val="0"/>
      <w:marBottom w:val="0"/>
      <w:divBdr>
        <w:top w:val="none" w:sz="0" w:space="0" w:color="auto"/>
        <w:left w:val="none" w:sz="0" w:space="0" w:color="auto"/>
        <w:bottom w:val="none" w:sz="0" w:space="0" w:color="auto"/>
        <w:right w:val="none" w:sz="0" w:space="0" w:color="auto"/>
      </w:divBdr>
    </w:div>
    <w:div w:id="1298216318">
      <w:bodyDiv w:val="1"/>
      <w:marLeft w:val="0"/>
      <w:marRight w:val="0"/>
      <w:marTop w:val="0"/>
      <w:marBottom w:val="0"/>
      <w:divBdr>
        <w:top w:val="none" w:sz="0" w:space="0" w:color="auto"/>
        <w:left w:val="none" w:sz="0" w:space="0" w:color="auto"/>
        <w:bottom w:val="none" w:sz="0" w:space="0" w:color="auto"/>
        <w:right w:val="none" w:sz="0" w:space="0" w:color="auto"/>
      </w:divBdr>
    </w:div>
    <w:div w:id="1299187652">
      <w:bodyDiv w:val="1"/>
      <w:marLeft w:val="0"/>
      <w:marRight w:val="0"/>
      <w:marTop w:val="0"/>
      <w:marBottom w:val="0"/>
      <w:divBdr>
        <w:top w:val="none" w:sz="0" w:space="0" w:color="auto"/>
        <w:left w:val="none" w:sz="0" w:space="0" w:color="auto"/>
        <w:bottom w:val="none" w:sz="0" w:space="0" w:color="auto"/>
        <w:right w:val="none" w:sz="0" w:space="0" w:color="auto"/>
      </w:divBdr>
    </w:div>
    <w:div w:id="1301224800">
      <w:bodyDiv w:val="1"/>
      <w:marLeft w:val="0"/>
      <w:marRight w:val="0"/>
      <w:marTop w:val="0"/>
      <w:marBottom w:val="0"/>
      <w:divBdr>
        <w:top w:val="none" w:sz="0" w:space="0" w:color="auto"/>
        <w:left w:val="none" w:sz="0" w:space="0" w:color="auto"/>
        <w:bottom w:val="none" w:sz="0" w:space="0" w:color="auto"/>
        <w:right w:val="none" w:sz="0" w:space="0" w:color="auto"/>
      </w:divBdr>
    </w:div>
    <w:div w:id="1306349611">
      <w:bodyDiv w:val="1"/>
      <w:marLeft w:val="0"/>
      <w:marRight w:val="0"/>
      <w:marTop w:val="0"/>
      <w:marBottom w:val="0"/>
      <w:divBdr>
        <w:top w:val="none" w:sz="0" w:space="0" w:color="auto"/>
        <w:left w:val="none" w:sz="0" w:space="0" w:color="auto"/>
        <w:bottom w:val="none" w:sz="0" w:space="0" w:color="auto"/>
        <w:right w:val="none" w:sz="0" w:space="0" w:color="auto"/>
      </w:divBdr>
    </w:div>
    <w:div w:id="1323970652">
      <w:bodyDiv w:val="1"/>
      <w:marLeft w:val="0"/>
      <w:marRight w:val="0"/>
      <w:marTop w:val="0"/>
      <w:marBottom w:val="0"/>
      <w:divBdr>
        <w:top w:val="none" w:sz="0" w:space="0" w:color="auto"/>
        <w:left w:val="none" w:sz="0" w:space="0" w:color="auto"/>
        <w:bottom w:val="none" w:sz="0" w:space="0" w:color="auto"/>
        <w:right w:val="none" w:sz="0" w:space="0" w:color="auto"/>
      </w:divBdr>
    </w:div>
    <w:div w:id="1325089129">
      <w:bodyDiv w:val="1"/>
      <w:marLeft w:val="0"/>
      <w:marRight w:val="0"/>
      <w:marTop w:val="0"/>
      <w:marBottom w:val="0"/>
      <w:divBdr>
        <w:top w:val="none" w:sz="0" w:space="0" w:color="auto"/>
        <w:left w:val="none" w:sz="0" w:space="0" w:color="auto"/>
        <w:bottom w:val="none" w:sz="0" w:space="0" w:color="auto"/>
        <w:right w:val="none" w:sz="0" w:space="0" w:color="auto"/>
      </w:divBdr>
    </w:div>
    <w:div w:id="1328291628">
      <w:bodyDiv w:val="1"/>
      <w:marLeft w:val="0"/>
      <w:marRight w:val="0"/>
      <w:marTop w:val="0"/>
      <w:marBottom w:val="0"/>
      <w:divBdr>
        <w:top w:val="none" w:sz="0" w:space="0" w:color="auto"/>
        <w:left w:val="none" w:sz="0" w:space="0" w:color="auto"/>
        <w:bottom w:val="none" w:sz="0" w:space="0" w:color="auto"/>
        <w:right w:val="none" w:sz="0" w:space="0" w:color="auto"/>
      </w:divBdr>
    </w:div>
    <w:div w:id="1330673147">
      <w:bodyDiv w:val="1"/>
      <w:marLeft w:val="0"/>
      <w:marRight w:val="0"/>
      <w:marTop w:val="0"/>
      <w:marBottom w:val="0"/>
      <w:divBdr>
        <w:top w:val="none" w:sz="0" w:space="0" w:color="auto"/>
        <w:left w:val="none" w:sz="0" w:space="0" w:color="auto"/>
        <w:bottom w:val="none" w:sz="0" w:space="0" w:color="auto"/>
        <w:right w:val="none" w:sz="0" w:space="0" w:color="auto"/>
      </w:divBdr>
    </w:div>
    <w:div w:id="1352223583">
      <w:bodyDiv w:val="1"/>
      <w:marLeft w:val="0"/>
      <w:marRight w:val="0"/>
      <w:marTop w:val="0"/>
      <w:marBottom w:val="0"/>
      <w:divBdr>
        <w:top w:val="none" w:sz="0" w:space="0" w:color="auto"/>
        <w:left w:val="none" w:sz="0" w:space="0" w:color="auto"/>
        <w:bottom w:val="none" w:sz="0" w:space="0" w:color="auto"/>
        <w:right w:val="none" w:sz="0" w:space="0" w:color="auto"/>
      </w:divBdr>
    </w:div>
    <w:div w:id="1354578312">
      <w:bodyDiv w:val="1"/>
      <w:marLeft w:val="0"/>
      <w:marRight w:val="0"/>
      <w:marTop w:val="0"/>
      <w:marBottom w:val="0"/>
      <w:divBdr>
        <w:top w:val="none" w:sz="0" w:space="0" w:color="auto"/>
        <w:left w:val="none" w:sz="0" w:space="0" w:color="auto"/>
        <w:bottom w:val="none" w:sz="0" w:space="0" w:color="auto"/>
        <w:right w:val="none" w:sz="0" w:space="0" w:color="auto"/>
      </w:divBdr>
    </w:div>
    <w:div w:id="1363701221">
      <w:bodyDiv w:val="1"/>
      <w:marLeft w:val="0"/>
      <w:marRight w:val="0"/>
      <w:marTop w:val="0"/>
      <w:marBottom w:val="0"/>
      <w:divBdr>
        <w:top w:val="none" w:sz="0" w:space="0" w:color="auto"/>
        <w:left w:val="none" w:sz="0" w:space="0" w:color="auto"/>
        <w:bottom w:val="none" w:sz="0" w:space="0" w:color="auto"/>
        <w:right w:val="none" w:sz="0" w:space="0" w:color="auto"/>
      </w:divBdr>
    </w:div>
    <w:div w:id="1366711179">
      <w:bodyDiv w:val="1"/>
      <w:marLeft w:val="0"/>
      <w:marRight w:val="0"/>
      <w:marTop w:val="0"/>
      <w:marBottom w:val="0"/>
      <w:divBdr>
        <w:top w:val="none" w:sz="0" w:space="0" w:color="auto"/>
        <w:left w:val="none" w:sz="0" w:space="0" w:color="auto"/>
        <w:bottom w:val="none" w:sz="0" w:space="0" w:color="auto"/>
        <w:right w:val="none" w:sz="0" w:space="0" w:color="auto"/>
      </w:divBdr>
    </w:div>
    <w:div w:id="1371346933">
      <w:bodyDiv w:val="1"/>
      <w:marLeft w:val="0"/>
      <w:marRight w:val="0"/>
      <w:marTop w:val="0"/>
      <w:marBottom w:val="0"/>
      <w:divBdr>
        <w:top w:val="none" w:sz="0" w:space="0" w:color="auto"/>
        <w:left w:val="none" w:sz="0" w:space="0" w:color="auto"/>
        <w:bottom w:val="none" w:sz="0" w:space="0" w:color="auto"/>
        <w:right w:val="none" w:sz="0" w:space="0" w:color="auto"/>
      </w:divBdr>
    </w:div>
    <w:div w:id="1371959515">
      <w:bodyDiv w:val="1"/>
      <w:marLeft w:val="0"/>
      <w:marRight w:val="0"/>
      <w:marTop w:val="0"/>
      <w:marBottom w:val="0"/>
      <w:divBdr>
        <w:top w:val="none" w:sz="0" w:space="0" w:color="auto"/>
        <w:left w:val="none" w:sz="0" w:space="0" w:color="auto"/>
        <w:bottom w:val="none" w:sz="0" w:space="0" w:color="auto"/>
        <w:right w:val="none" w:sz="0" w:space="0" w:color="auto"/>
      </w:divBdr>
    </w:div>
    <w:div w:id="1377777890">
      <w:bodyDiv w:val="1"/>
      <w:marLeft w:val="0"/>
      <w:marRight w:val="0"/>
      <w:marTop w:val="0"/>
      <w:marBottom w:val="0"/>
      <w:divBdr>
        <w:top w:val="none" w:sz="0" w:space="0" w:color="auto"/>
        <w:left w:val="none" w:sz="0" w:space="0" w:color="auto"/>
        <w:bottom w:val="none" w:sz="0" w:space="0" w:color="auto"/>
        <w:right w:val="none" w:sz="0" w:space="0" w:color="auto"/>
      </w:divBdr>
    </w:div>
    <w:div w:id="1378429461">
      <w:bodyDiv w:val="1"/>
      <w:marLeft w:val="0"/>
      <w:marRight w:val="0"/>
      <w:marTop w:val="0"/>
      <w:marBottom w:val="0"/>
      <w:divBdr>
        <w:top w:val="none" w:sz="0" w:space="0" w:color="auto"/>
        <w:left w:val="none" w:sz="0" w:space="0" w:color="auto"/>
        <w:bottom w:val="none" w:sz="0" w:space="0" w:color="auto"/>
        <w:right w:val="none" w:sz="0" w:space="0" w:color="auto"/>
      </w:divBdr>
      <w:divsChild>
        <w:div w:id="622882979">
          <w:marLeft w:val="0"/>
          <w:marRight w:val="0"/>
          <w:marTop w:val="0"/>
          <w:marBottom w:val="0"/>
          <w:divBdr>
            <w:top w:val="none" w:sz="0" w:space="0" w:color="auto"/>
            <w:left w:val="none" w:sz="0" w:space="0" w:color="auto"/>
            <w:bottom w:val="none" w:sz="0" w:space="0" w:color="auto"/>
            <w:right w:val="none" w:sz="0" w:space="0" w:color="auto"/>
          </w:divBdr>
          <w:divsChild>
            <w:div w:id="1407144286">
              <w:marLeft w:val="0"/>
              <w:marRight w:val="0"/>
              <w:marTop w:val="0"/>
              <w:marBottom w:val="0"/>
              <w:divBdr>
                <w:top w:val="none" w:sz="0" w:space="0" w:color="auto"/>
                <w:left w:val="none" w:sz="0" w:space="0" w:color="auto"/>
                <w:bottom w:val="none" w:sz="0" w:space="0" w:color="auto"/>
                <w:right w:val="none" w:sz="0" w:space="0" w:color="auto"/>
              </w:divBdr>
              <w:divsChild>
                <w:div w:id="1018702316">
                  <w:marLeft w:val="0"/>
                  <w:marRight w:val="0"/>
                  <w:marTop w:val="0"/>
                  <w:marBottom w:val="0"/>
                  <w:divBdr>
                    <w:top w:val="none" w:sz="0" w:space="0" w:color="auto"/>
                    <w:left w:val="none" w:sz="0" w:space="0" w:color="auto"/>
                    <w:bottom w:val="none" w:sz="0" w:space="0" w:color="auto"/>
                    <w:right w:val="none" w:sz="0" w:space="0" w:color="auto"/>
                  </w:divBdr>
                  <w:divsChild>
                    <w:div w:id="1267807808">
                      <w:marLeft w:val="0"/>
                      <w:marRight w:val="0"/>
                      <w:marTop w:val="0"/>
                      <w:marBottom w:val="0"/>
                      <w:divBdr>
                        <w:top w:val="none" w:sz="0" w:space="0" w:color="auto"/>
                        <w:left w:val="none" w:sz="0" w:space="0" w:color="auto"/>
                        <w:bottom w:val="none" w:sz="0" w:space="0" w:color="auto"/>
                        <w:right w:val="none" w:sz="0" w:space="0" w:color="auto"/>
                      </w:divBdr>
                      <w:divsChild>
                        <w:div w:id="728769577">
                          <w:marLeft w:val="0"/>
                          <w:marRight w:val="0"/>
                          <w:marTop w:val="0"/>
                          <w:marBottom w:val="0"/>
                          <w:divBdr>
                            <w:top w:val="none" w:sz="0" w:space="0" w:color="auto"/>
                            <w:left w:val="none" w:sz="0" w:space="0" w:color="auto"/>
                            <w:bottom w:val="none" w:sz="0" w:space="0" w:color="auto"/>
                            <w:right w:val="none" w:sz="0" w:space="0" w:color="auto"/>
                          </w:divBdr>
                          <w:divsChild>
                            <w:div w:id="858858369">
                              <w:marLeft w:val="0"/>
                              <w:marRight w:val="0"/>
                              <w:marTop w:val="0"/>
                              <w:marBottom w:val="0"/>
                              <w:divBdr>
                                <w:top w:val="none" w:sz="0" w:space="0" w:color="auto"/>
                                <w:left w:val="none" w:sz="0" w:space="0" w:color="auto"/>
                                <w:bottom w:val="none" w:sz="0" w:space="0" w:color="auto"/>
                                <w:right w:val="none" w:sz="0" w:space="0" w:color="auto"/>
                              </w:divBdr>
                              <w:divsChild>
                                <w:div w:id="1763331285">
                                  <w:marLeft w:val="0"/>
                                  <w:marRight w:val="0"/>
                                  <w:marTop w:val="0"/>
                                  <w:marBottom w:val="0"/>
                                  <w:divBdr>
                                    <w:top w:val="none" w:sz="0" w:space="0" w:color="auto"/>
                                    <w:left w:val="none" w:sz="0" w:space="0" w:color="auto"/>
                                    <w:bottom w:val="none" w:sz="0" w:space="0" w:color="auto"/>
                                    <w:right w:val="none" w:sz="0" w:space="0" w:color="auto"/>
                                  </w:divBdr>
                                  <w:divsChild>
                                    <w:div w:id="10337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556831">
      <w:bodyDiv w:val="1"/>
      <w:marLeft w:val="0"/>
      <w:marRight w:val="0"/>
      <w:marTop w:val="0"/>
      <w:marBottom w:val="0"/>
      <w:divBdr>
        <w:top w:val="none" w:sz="0" w:space="0" w:color="auto"/>
        <w:left w:val="none" w:sz="0" w:space="0" w:color="auto"/>
        <w:bottom w:val="none" w:sz="0" w:space="0" w:color="auto"/>
        <w:right w:val="none" w:sz="0" w:space="0" w:color="auto"/>
      </w:divBdr>
    </w:div>
    <w:div w:id="1399552800">
      <w:bodyDiv w:val="1"/>
      <w:marLeft w:val="0"/>
      <w:marRight w:val="0"/>
      <w:marTop w:val="0"/>
      <w:marBottom w:val="0"/>
      <w:divBdr>
        <w:top w:val="none" w:sz="0" w:space="0" w:color="auto"/>
        <w:left w:val="none" w:sz="0" w:space="0" w:color="auto"/>
        <w:bottom w:val="none" w:sz="0" w:space="0" w:color="auto"/>
        <w:right w:val="none" w:sz="0" w:space="0" w:color="auto"/>
      </w:divBdr>
    </w:div>
    <w:div w:id="1408727725">
      <w:bodyDiv w:val="1"/>
      <w:marLeft w:val="0"/>
      <w:marRight w:val="0"/>
      <w:marTop w:val="0"/>
      <w:marBottom w:val="0"/>
      <w:divBdr>
        <w:top w:val="none" w:sz="0" w:space="0" w:color="auto"/>
        <w:left w:val="none" w:sz="0" w:space="0" w:color="auto"/>
        <w:bottom w:val="none" w:sz="0" w:space="0" w:color="auto"/>
        <w:right w:val="none" w:sz="0" w:space="0" w:color="auto"/>
      </w:divBdr>
    </w:div>
    <w:div w:id="1409308616">
      <w:bodyDiv w:val="1"/>
      <w:marLeft w:val="0"/>
      <w:marRight w:val="0"/>
      <w:marTop w:val="0"/>
      <w:marBottom w:val="0"/>
      <w:divBdr>
        <w:top w:val="none" w:sz="0" w:space="0" w:color="auto"/>
        <w:left w:val="none" w:sz="0" w:space="0" w:color="auto"/>
        <w:bottom w:val="none" w:sz="0" w:space="0" w:color="auto"/>
        <w:right w:val="none" w:sz="0" w:space="0" w:color="auto"/>
      </w:divBdr>
    </w:div>
    <w:div w:id="1421026409">
      <w:bodyDiv w:val="1"/>
      <w:marLeft w:val="0"/>
      <w:marRight w:val="0"/>
      <w:marTop w:val="0"/>
      <w:marBottom w:val="0"/>
      <w:divBdr>
        <w:top w:val="none" w:sz="0" w:space="0" w:color="auto"/>
        <w:left w:val="none" w:sz="0" w:space="0" w:color="auto"/>
        <w:bottom w:val="none" w:sz="0" w:space="0" w:color="auto"/>
        <w:right w:val="none" w:sz="0" w:space="0" w:color="auto"/>
      </w:divBdr>
      <w:divsChild>
        <w:div w:id="1887133194">
          <w:marLeft w:val="0"/>
          <w:marRight w:val="0"/>
          <w:marTop w:val="0"/>
          <w:marBottom w:val="0"/>
          <w:divBdr>
            <w:top w:val="none" w:sz="0" w:space="0" w:color="auto"/>
            <w:left w:val="none" w:sz="0" w:space="0" w:color="auto"/>
            <w:bottom w:val="none" w:sz="0" w:space="0" w:color="auto"/>
            <w:right w:val="none" w:sz="0" w:space="0" w:color="auto"/>
          </w:divBdr>
          <w:divsChild>
            <w:div w:id="669212735">
              <w:marLeft w:val="0"/>
              <w:marRight w:val="0"/>
              <w:marTop w:val="0"/>
              <w:marBottom w:val="0"/>
              <w:divBdr>
                <w:top w:val="none" w:sz="0" w:space="0" w:color="auto"/>
                <w:left w:val="none" w:sz="0" w:space="0" w:color="auto"/>
                <w:bottom w:val="none" w:sz="0" w:space="0" w:color="auto"/>
                <w:right w:val="none" w:sz="0" w:space="0" w:color="auto"/>
              </w:divBdr>
              <w:divsChild>
                <w:div w:id="1387995590">
                  <w:marLeft w:val="0"/>
                  <w:marRight w:val="0"/>
                  <w:marTop w:val="0"/>
                  <w:marBottom w:val="0"/>
                  <w:divBdr>
                    <w:top w:val="none" w:sz="0" w:space="0" w:color="auto"/>
                    <w:left w:val="none" w:sz="0" w:space="0" w:color="auto"/>
                    <w:bottom w:val="none" w:sz="0" w:space="0" w:color="auto"/>
                    <w:right w:val="none" w:sz="0" w:space="0" w:color="auto"/>
                  </w:divBdr>
                  <w:divsChild>
                    <w:div w:id="46683574">
                      <w:marLeft w:val="0"/>
                      <w:marRight w:val="0"/>
                      <w:marTop w:val="0"/>
                      <w:marBottom w:val="0"/>
                      <w:divBdr>
                        <w:top w:val="none" w:sz="0" w:space="0" w:color="auto"/>
                        <w:left w:val="none" w:sz="0" w:space="0" w:color="auto"/>
                        <w:bottom w:val="none" w:sz="0" w:space="0" w:color="auto"/>
                        <w:right w:val="none" w:sz="0" w:space="0" w:color="auto"/>
                      </w:divBdr>
                      <w:divsChild>
                        <w:div w:id="2053844728">
                          <w:marLeft w:val="0"/>
                          <w:marRight w:val="0"/>
                          <w:marTop w:val="0"/>
                          <w:marBottom w:val="0"/>
                          <w:divBdr>
                            <w:top w:val="none" w:sz="0" w:space="0" w:color="auto"/>
                            <w:left w:val="none" w:sz="0" w:space="0" w:color="auto"/>
                            <w:bottom w:val="none" w:sz="0" w:space="0" w:color="auto"/>
                            <w:right w:val="none" w:sz="0" w:space="0" w:color="auto"/>
                          </w:divBdr>
                          <w:divsChild>
                            <w:div w:id="1118720145">
                              <w:marLeft w:val="0"/>
                              <w:marRight w:val="0"/>
                              <w:marTop w:val="0"/>
                              <w:marBottom w:val="0"/>
                              <w:divBdr>
                                <w:top w:val="none" w:sz="0" w:space="0" w:color="auto"/>
                                <w:left w:val="none" w:sz="0" w:space="0" w:color="auto"/>
                                <w:bottom w:val="none" w:sz="0" w:space="0" w:color="auto"/>
                                <w:right w:val="none" w:sz="0" w:space="0" w:color="auto"/>
                              </w:divBdr>
                              <w:divsChild>
                                <w:div w:id="1929536888">
                                  <w:marLeft w:val="0"/>
                                  <w:marRight w:val="0"/>
                                  <w:marTop w:val="0"/>
                                  <w:marBottom w:val="0"/>
                                  <w:divBdr>
                                    <w:top w:val="none" w:sz="0" w:space="0" w:color="auto"/>
                                    <w:left w:val="none" w:sz="0" w:space="0" w:color="auto"/>
                                    <w:bottom w:val="none" w:sz="0" w:space="0" w:color="auto"/>
                                    <w:right w:val="none" w:sz="0" w:space="0" w:color="auto"/>
                                  </w:divBdr>
                                  <w:divsChild>
                                    <w:div w:id="13565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06895">
      <w:bodyDiv w:val="1"/>
      <w:marLeft w:val="0"/>
      <w:marRight w:val="0"/>
      <w:marTop w:val="0"/>
      <w:marBottom w:val="0"/>
      <w:divBdr>
        <w:top w:val="none" w:sz="0" w:space="0" w:color="auto"/>
        <w:left w:val="none" w:sz="0" w:space="0" w:color="auto"/>
        <w:bottom w:val="none" w:sz="0" w:space="0" w:color="auto"/>
        <w:right w:val="none" w:sz="0" w:space="0" w:color="auto"/>
      </w:divBdr>
    </w:div>
    <w:div w:id="1455321729">
      <w:bodyDiv w:val="1"/>
      <w:marLeft w:val="0"/>
      <w:marRight w:val="0"/>
      <w:marTop w:val="0"/>
      <w:marBottom w:val="0"/>
      <w:divBdr>
        <w:top w:val="none" w:sz="0" w:space="0" w:color="auto"/>
        <w:left w:val="none" w:sz="0" w:space="0" w:color="auto"/>
        <w:bottom w:val="none" w:sz="0" w:space="0" w:color="auto"/>
        <w:right w:val="none" w:sz="0" w:space="0" w:color="auto"/>
      </w:divBdr>
    </w:div>
    <w:div w:id="1513103710">
      <w:bodyDiv w:val="1"/>
      <w:marLeft w:val="0"/>
      <w:marRight w:val="0"/>
      <w:marTop w:val="0"/>
      <w:marBottom w:val="0"/>
      <w:divBdr>
        <w:top w:val="none" w:sz="0" w:space="0" w:color="auto"/>
        <w:left w:val="none" w:sz="0" w:space="0" w:color="auto"/>
        <w:bottom w:val="none" w:sz="0" w:space="0" w:color="auto"/>
        <w:right w:val="none" w:sz="0" w:space="0" w:color="auto"/>
      </w:divBdr>
    </w:div>
    <w:div w:id="1532719781">
      <w:bodyDiv w:val="1"/>
      <w:marLeft w:val="0"/>
      <w:marRight w:val="0"/>
      <w:marTop w:val="0"/>
      <w:marBottom w:val="0"/>
      <w:divBdr>
        <w:top w:val="none" w:sz="0" w:space="0" w:color="auto"/>
        <w:left w:val="none" w:sz="0" w:space="0" w:color="auto"/>
        <w:bottom w:val="none" w:sz="0" w:space="0" w:color="auto"/>
        <w:right w:val="none" w:sz="0" w:space="0" w:color="auto"/>
      </w:divBdr>
    </w:div>
    <w:div w:id="1540780034">
      <w:bodyDiv w:val="1"/>
      <w:marLeft w:val="0"/>
      <w:marRight w:val="0"/>
      <w:marTop w:val="0"/>
      <w:marBottom w:val="0"/>
      <w:divBdr>
        <w:top w:val="none" w:sz="0" w:space="0" w:color="auto"/>
        <w:left w:val="none" w:sz="0" w:space="0" w:color="auto"/>
        <w:bottom w:val="none" w:sz="0" w:space="0" w:color="auto"/>
        <w:right w:val="none" w:sz="0" w:space="0" w:color="auto"/>
      </w:divBdr>
    </w:div>
    <w:div w:id="1550531351">
      <w:bodyDiv w:val="1"/>
      <w:marLeft w:val="0"/>
      <w:marRight w:val="0"/>
      <w:marTop w:val="0"/>
      <w:marBottom w:val="0"/>
      <w:divBdr>
        <w:top w:val="none" w:sz="0" w:space="0" w:color="auto"/>
        <w:left w:val="none" w:sz="0" w:space="0" w:color="auto"/>
        <w:bottom w:val="none" w:sz="0" w:space="0" w:color="auto"/>
        <w:right w:val="none" w:sz="0" w:space="0" w:color="auto"/>
      </w:divBdr>
    </w:div>
    <w:div w:id="1586500440">
      <w:bodyDiv w:val="1"/>
      <w:marLeft w:val="0"/>
      <w:marRight w:val="0"/>
      <w:marTop w:val="0"/>
      <w:marBottom w:val="0"/>
      <w:divBdr>
        <w:top w:val="none" w:sz="0" w:space="0" w:color="auto"/>
        <w:left w:val="none" w:sz="0" w:space="0" w:color="auto"/>
        <w:bottom w:val="none" w:sz="0" w:space="0" w:color="auto"/>
        <w:right w:val="none" w:sz="0" w:space="0" w:color="auto"/>
      </w:divBdr>
    </w:div>
    <w:div w:id="1588465380">
      <w:bodyDiv w:val="1"/>
      <w:marLeft w:val="0"/>
      <w:marRight w:val="0"/>
      <w:marTop w:val="0"/>
      <w:marBottom w:val="0"/>
      <w:divBdr>
        <w:top w:val="none" w:sz="0" w:space="0" w:color="auto"/>
        <w:left w:val="none" w:sz="0" w:space="0" w:color="auto"/>
        <w:bottom w:val="none" w:sz="0" w:space="0" w:color="auto"/>
        <w:right w:val="none" w:sz="0" w:space="0" w:color="auto"/>
      </w:divBdr>
    </w:div>
    <w:div w:id="1589804705">
      <w:bodyDiv w:val="1"/>
      <w:marLeft w:val="0"/>
      <w:marRight w:val="0"/>
      <w:marTop w:val="0"/>
      <w:marBottom w:val="0"/>
      <w:divBdr>
        <w:top w:val="none" w:sz="0" w:space="0" w:color="auto"/>
        <w:left w:val="none" w:sz="0" w:space="0" w:color="auto"/>
        <w:bottom w:val="none" w:sz="0" w:space="0" w:color="auto"/>
        <w:right w:val="none" w:sz="0" w:space="0" w:color="auto"/>
      </w:divBdr>
    </w:div>
    <w:div w:id="1602254836">
      <w:bodyDiv w:val="1"/>
      <w:marLeft w:val="0"/>
      <w:marRight w:val="0"/>
      <w:marTop w:val="0"/>
      <w:marBottom w:val="0"/>
      <w:divBdr>
        <w:top w:val="none" w:sz="0" w:space="0" w:color="auto"/>
        <w:left w:val="none" w:sz="0" w:space="0" w:color="auto"/>
        <w:bottom w:val="none" w:sz="0" w:space="0" w:color="auto"/>
        <w:right w:val="none" w:sz="0" w:space="0" w:color="auto"/>
      </w:divBdr>
    </w:div>
    <w:div w:id="1605069259">
      <w:bodyDiv w:val="1"/>
      <w:marLeft w:val="0"/>
      <w:marRight w:val="0"/>
      <w:marTop w:val="0"/>
      <w:marBottom w:val="0"/>
      <w:divBdr>
        <w:top w:val="none" w:sz="0" w:space="0" w:color="auto"/>
        <w:left w:val="none" w:sz="0" w:space="0" w:color="auto"/>
        <w:bottom w:val="none" w:sz="0" w:space="0" w:color="auto"/>
        <w:right w:val="none" w:sz="0" w:space="0" w:color="auto"/>
      </w:divBdr>
    </w:div>
    <w:div w:id="1616593384">
      <w:bodyDiv w:val="1"/>
      <w:marLeft w:val="0"/>
      <w:marRight w:val="0"/>
      <w:marTop w:val="0"/>
      <w:marBottom w:val="0"/>
      <w:divBdr>
        <w:top w:val="none" w:sz="0" w:space="0" w:color="auto"/>
        <w:left w:val="none" w:sz="0" w:space="0" w:color="auto"/>
        <w:bottom w:val="none" w:sz="0" w:space="0" w:color="auto"/>
        <w:right w:val="none" w:sz="0" w:space="0" w:color="auto"/>
      </w:divBdr>
    </w:div>
    <w:div w:id="1621912459">
      <w:bodyDiv w:val="1"/>
      <w:marLeft w:val="0"/>
      <w:marRight w:val="0"/>
      <w:marTop w:val="0"/>
      <w:marBottom w:val="0"/>
      <w:divBdr>
        <w:top w:val="none" w:sz="0" w:space="0" w:color="auto"/>
        <w:left w:val="none" w:sz="0" w:space="0" w:color="auto"/>
        <w:bottom w:val="none" w:sz="0" w:space="0" w:color="auto"/>
        <w:right w:val="none" w:sz="0" w:space="0" w:color="auto"/>
      </w:divBdr>
    </w:div>
    <w:div w:id="1628511960">
      <w:bodyDiv w:val="1"/>
      <w:marLeft w:val="0"/>
      <w:marRight w:val="0"/>
      <w:marTop w:val="0"/>
      <w:marBottom w:val="0"/>
      <w:divBdr>
        <w:top w:val="none" w:sz="0" w:space="0" w:color="auto"/>
        <w:left w:val="none" w:sz="0" w:space="0" w:color="auto"/>
        <w:bottom w:val="none" w:sz="0" w:space="0" w:color="auto"/>
        <w:right w:val="none" w:sz="0" w:space="0" w:color="auto"/>
      </w:divBdr>
    </w:div>
    <w:div w:id="1641232405">
      <w:bodyDiv w:val="1"/>
      <w:marLeft w:val="0"/>
      <w:marRight w:val="0"/>
      <w:marTop w:val="0"/>
      <w:marBottom w:val="0"/>
      <w:divBdr>
        <w:top w:val="none" w:sz="0" w:space="0" w:color="auto"/>
        <w:left w:val="none" w:sz="0" w:space="0" w:color="auto"/>
        <w:bottom w:val="none" w:sz="0" w:space="0" w:color="auto"/>
        <w:right w:val="none" w:sz="0" w:space="0" w:color="auto"/>
      </w:divBdr>
    </w:div>
    <w:div w:id="1644190019">
      <w:bodyDiv w:val="1"/>
      <w:marLeft w:val="0"/>
      <w:marRight w:val="0"/>
      <w:marTop w:val="0"/>
      <w:marBottom w:val="0"/>
      <w:divBdr>
        <w:top w:val="none" w:sz="0" w:space="0" w:color="auto"/>
        <w:left w:val="none" w:sz="0" w:space="0" w:color="auto"/>
        <w:bottom w:val="none" w:sz="0" w:space="0" w:color="auto"/>
        <w:right w:val="none" w:sz="0" w:space="0" w:color="auto"/>
      </w:divBdr>
    </w:div>
    <w:div w:id="1666666153">
      <w:bodyDiv w:val="1"/>
      <w:marLeft w:val="0"/>
      <w:marRight w:val="0"/>
      <w:marTop w:val="0"/>
      <w:marBottom w:val="0"/>
      <w:divBdr>
        <w:top w:val="none" w:sz="0" w:space="0" w:color="auto"/>
        <w:left w:val="none" w:sz="0" w:space="0" w:color="auto"/>
        <w:bottom w:val="none" w:sz="0" w:space="0" w:color="auto"/>
        <w:right w:val="none" w:sz="0" w:space="0" w:color="auto"/>
      </w:divBdr>
    </w:div>
    <w:div w:id="1666979126">
      <w:bodyDiv w:val="1"/>
      <w:marLeft w:val="0"/>
      <w:marRight w:val="0"/>
      <w:marTop w:val="0"/>
      <w:marBottom w:val="0"/>
      <w:divBdr>
        <w:top w:val="none" w:sz="0" w:space="0" w:color="auto"/>
        <w:left w:val="none" w:sz="0" w:space="0" w:color="auto"/>
        <w:bottom w:val="none" w:sz="0" w:space="0" w:color="auto"/>
        <w:right w:val="none" w:sz="0" w:space="0" w:color="auto"/>
      </w:divBdr>
    </w:div>
    <w:div w:id="1676417470">
      <w:bodyDiv w:val="1"/>
      <w:marLeft w:val="0"/>
      <w:marRight w:val="0"/>
      <w:marTop w:val="0"/>
      <w:marBottom w:val="0"/>
      <w:divBdr>
        <w:top w:val="none" w:sz="0" w:space="0" w:color="auto"/>
        <w:left w:val="none" w:sz="0" w:space="0" w:color="auto"/>
        <w:bottom w:val="none" w:sz="0" w:space="0" w:color="auto"/>
        <w:right w:val="none" w:sz="0" w:space="0" w:color="auto"/>
      </w:divBdr>
    </w:div>
    <w:div w:id="1689286572">
      <w:bodyDiv w:val="1"/>
      <w:marLeft w:val="0"/>
      <w:marRight w:val="0"/>
      <w:marTop w:val="0"/>
      <w:marBottom w:val="0"/>
      <w:divBdr>
        <w:top w:val="none" w:sz="0" w:space="0" w:color="auto"/>
        <w:left w:val="none" w:sz="0" w:space="0" w:color="auto"/>
        <w:bottom w:val="none" w:sz="0" w:space="0" w:color="auto"/>
        <w:right w:val="none" w:sz="0" w:space="0" w:color="auto"/>
      </w:divBdr>
    </w:div>
    <w:div w:id="1693872957">
      <w:bodyDiv w:val="1"/>
      <w:marLeft w:val="0"/>
      <w:marRight w:val="0"/>
      <w:marTop w:val="0"/>
      <w:marBottom w:val="0"/>
      <w:divBdr>
        <w:top w:val="none" w:sz="0" w:space="0" w:color="auto"/>
        <w:left w:val="none" w:sz="0" w:space="0" w:color="auto"/>
        <w:bottom w:val="none" w:sz="0" w:space="0" w:color="auto"/>
        <w:right w:val="none" w:sz="0" w:space="0" w:color="auto"/>
      </w:divBdr>
    </w:div>
    <w:div w:id="1705712613">
      <w:bodyDiv w:val="1"/>
      <w:marLeft w:val="0"/>
      <w:marRight w:val="0"/>
      <w:marTop w:val="0"/>
      <w:marBottom w:val="0"/>
      <w:divBdr>
        <w:top w:val="none" w:sz="0" w:space="0" w:color="auto"/>
        <w:left w:val="none" w:sz="0" w:space="0" w:color="auto"/>
        <w:bottom w:val="none" w:sz="0" w:space="0" w:color="auto"/>
        <w:right w:val="none" w:sz="0" w:space="0" w:color="auto"/>
      </w:divBdr>
      <w:divsChild>
        <w:div w:id="561214638">
          <w:marLeft w:val="0"/>
          <w:marRight w:val="0"/>
          <w:marTop w:val="0"/>
          <w:marBottom w:val="0"/>
          <w:divBdr>
            <w:top w:val="none" w:sz="0" w:space="0" w:color="auto"/>
            <w:left w:val="none" w:sz="0" w:space="0" w:color="auto"/>
            <w:bottom w:val="none" w:sz="0" w:space="0" w:color="auto"/>
            <w:right w:val="none" w:sz="0" w:space="0" w:color="auto"/>
          </w:divBdr>
          <w:divsChild>
            <w:div w:id="197283386">
              <w:marLeft w:val="0"/>
              <w:marRight w:val="0"/>
              <w:marTop w:val="0"/>
              <w:marBottom w:val="0"/>
              <w:divBdr>
                <w:top w:val="none" w:sz="0" w:space="0" w:color="auto"/>
                <w:left w:val="none" w:sz="0" w:space="0" w:color="auto"/>
                <w:bottom w:val="none" w:sz="0" w:space="0" w:color="auto"/>
                <w:right w:val="none" w:sz="0" w:space="0" w:color="auto"/>
              </w:divBdr>
              <w:divsChild>
                <w:div w:id="1915628984">
                  <w:marLeft w:val="0"/>
                  <w:marRight w:val="0"/>
                  <w:marTop w:val="0"/>
                  <w:marBottom w:val="0"/>
                  <w:divBdr>
                    <w:top w:val="none" w:sz="0" w:space="0" w:color="auto"/>
                    <w:left w:val="none" w:sz="0" w:space="0" w:color="auto"/>
                    <w:bottom w:val="none" w:sz="0" w:space="0" w:color="auto"/>
                    <w:right w:val="none" w:sz="0" w:space="0" w:color="auto"/>
                  </w:divBdr>
                  <w:divsChild>
                    <w:div w:id="949313022">
                      <w:marLeft w:val="0"/>
                      <w:marRight w:val="0"/>
                      <w:marTop w:val="0"/>
                      <w:marBottom w:val="0"/>
                      <w:divBdr>
                        <w:top w:val="none" w:sz="0" w:space="0" w:color="auto"/>
                        <w:left w:val="none" w:sz="0" w:space="0" w:color="auto"/>
                        <w:bottom w:val="none" w:sz="0" w:space="0" w:color="auto"/>
                        <w:right w:val="none" w:sz="0" w:space="0" w:color="auto"/>
                      </w:divBdr>
                      <w:divsChild>
                        <w:div w:id="271323262">
                          <w:marLeft w:val="0"/>
                          <w:marRight w:val="0"/>
                          <w:marTop w:val="0"/>
                          <w:marBottom w:val="0"/>
                          <w:divBdr>
                            <w:top w:val="none" w:sz="0" w:space="0" w:color="auto"/>
                            <w:left w:val="none" w:sz="0" w:space="0" w:color="auto"/>
                            <w:bottom w:val="none" w:sz="0" w:space="0" w:color="auto"/>
                            <w:right w:val="none" w:sz="0" w:space="0" w:color="auto"/>
                          </w:divBdr>
                          <w:divsChild>
                            <w:div w:id="2129733211">
                              <w:marLeft w:val="0"/>
                              <w:marRight w:val="0"/>
                              <w:marTop w:val="0"/>
                              <w:marBottom w:val="0"/>
                              <w:divBdr>
                                <w:top w:val="none" w:sz="0" w:space="0" w:color="auto"/>
                                <w:left w:val="none" w:sz="0" w:space="0" w:color="auto"/>
                                <w:bottom w:val="none" w:sz="0" w:space="0" w:color="auto"/>
                                <w:right w:val="none" w:sz="0" w:space="0" w:color="auto"/>
                              </w:divBdr>
                              <w:divsChild>
                                <w:div w:id="1970546450">
                                  <w:marLeft w:val="0"/>
                                  <w:marRight w:val="0"/>
                                  <w:marTop w:val="0"/>
                                  <w:marBottom w:val="0"/>
                                  <w:divBdr>
                                    <w:top w:val="none" w:sz="0" w:space="0" w:color="auto"/>
                                    <w:left w:val="none" w:sz="0" w:space="0" w:color="auto"/>
                                    <w:bottom w:val="none" w:sz="0" w:space="0" w:color="auto"/>
                                    <w:right w:val="none" w:sz="0" w:space="0" w:color="auto"/>
                                  </w:divBdr>
                                  <w:divsChild>
                                    <w:div w:id="660040414">
                                      <w:marLeft w:val="0"/>
                                      <w:marRight w:val="0"/>
                                      <w:marTop w:val="0"/>
                                      <w:marBottom w:val="0"/>
                                      <w:divBdr>
                                        <w:top w:val="none" w:sz="0" w:space="0" w:color="auto"/>
                                        <w:left w:val="none" w:sz="0" w:space="0" w:color="auto"/>
                                        <w:bottom w:val="none" w:sz="0" w:space="0" w:color="auto"/>
                                        <w:right w:val="none" w:sz="0" w:space="0" w:color="auto"/>
                                      </w:divBdr>
                                      <w:divsChild>
                                        <w:div w:id="1457522362">
                                          <w:marLeft w:val="0"/>
                                          <w:marRight w:val="0"/>
                                          <w:marTop w:val="0"/>
                                          <w:marBottom w:val="0"/>
                                          <w:divBdr>
                                            <w:top w:val="none" w:sz="0" w:space="0" w:color="auto"/>
                                            <w:left w:val="none" w:sz="0" w:space="0" w:color="auto"/>
                                            <w:bottom w:val="none" w:sz="0" w:space="0" w:color="auto"/>
                                            <w:right w:val="none" w:sz="0" w:space="0" w:color="auto"/>
                                          </w:divBdr>
                                          <w:divsChild>
                                            <w:div w:id="2117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683068">
      <w:bodyDiv w:val="1"/>
      <w:marLeft w:val="0"/>
      <w:marRight w:val="0"/>
      <w:marTop w:val="0"/>
      <w:marBottom w:val="0"/>
      <w:divBdr>
        <w:top w:val="none" w:sz="0" w:space="0" w:color="auto"/>
        <w:left w:val="none" w:sz="0" w:space="0" w:color="auto"/>
        <w:bottom w:val="none" w:sz="0" w:space="0" w:color="auto"/>
        <w:right w:val="none" w:sz="0" w:space="0" w:color="auto"/>
      </w:divBdr>
    </w:div>
    <w:div w:id="1715424259">
      <w:bodyDiv w:val="1"/>
      <w:marLeft w:val="0"/>
      <w:marRight w:val="0"/>
      <w:marTop w:val="0"/>
      <w:marBottom w:val="0"/>
      <w:divBdr>
        <w:top w:val="none" w:sz="0" w:space="0" w:color="auto"/>
        <w:left w:val="none" w:sz="0" w:space="0" w:color="auto"/>
        <w:bottom w:val="none" w:sz="0" w:space="0" w:color="auto"/>
        <w:right w:val="none" w:sz="0" w:space="0" w:color="auto"/>
      </w:divBdr>
    </w:div>
    <w:div w:id="1722561300">
      <w:bodyDiv w:val="1"/>
      <w:marLeft w:val="0"/>
      <w:marRight w:val="0"/>
      <w:marTop w:val="0"/>
      <w:marBottom w:val="0"/>
      <w:divBdr>
        <w:top w:val="none" w:sz="0" w:space="0" w:color="auto"/>
        <w:left w:val="none" w:sz="0" w:space="0" w:color="auto"/>
        <w:bottom w:val="none" w:sz="0" w:space="0" w:color="auto"/>
        <w:right w:val="none" w:sz="0" w:space="0" w:color="auto"/>
      </w:divBdr>
    </w:div>
    <w:div w:id="1722746822">
      <w:bodyDiv w:val="1"/>
      <w:marLeft w:val="0"/>
      <w:marRight w:val="0"/>
      <w:marTop w:val="0"/>
      <w:marBottom w:val="0"/>
      <w:divBdr>
        <w:top w:val="none" w:sz="0" w:space="0" w:color="auto"/>
        <w:left w:val="none" w:sz="0" w:space="0" w:color="auto"/>
        <w:bottom w:val="none" w:sz="0" w:space="0" w:color="auto"/>
        <w:right w:val="none" w:sz="0" w:space="0" w:color="auto"/>
      </w:divBdr>
    </w:div>
    <w:div w:id="1731616389">
      <w:bodyDiv w:val="1"/>
      <w:marLeft w:val="0"/>
      <w:marRight w:val="0"/>
      <w:marTop w:val="0"/>
      <w:marBottom w:val="0"/>
      <w:divBdr>
        <w:top w:val="none" w:sz="0" w:space="0" w:color="auto"/>
        <w:left w:val="none" w:sz="0" w:space="0" w:color="auto"/>
        <w:bottom w:val="none" w:sz="0" w:space="0" w:color="auto"/>
        <w:right w:val="none" w:sz="0" w:space="0" w:color="auto"/>
      </w:divBdr>
    </w:div>
    <w:div w:id="1731688828">
      <w:bodyDiv w:val="1"/>
      <w:marLeft w:val="0"/>
      <w:marRight w:val="0"/>
      <w:marTop w:val="0"/>
      <w:marBottom w:val="0"/>
      <w:divBdr>
        <w:top w:val="none" w:sz="0" w:space="0" w:color="auto"/>
        <w:left w:val="none" w:sz="0" w:space="0" w:color="auto"/>
        <w:bottom w:val="none" w:sz="0" w:space="0" w:color="auto"/>
        <w:right w:val="none" w:sz="0" w:space="0" w:color="auto"/>
      </w:divBdr>
    </w:div>
    <w:div w:id="1735395427">
      <w:bodyDiv w:val="1"/>
      <w:marLeft w:val="0"/>
      <w:marRight w:val="0"/>
      <w:marTop w:val="0"/>
      <w:marBottom w:val="0"/>
      <w:divBdr>
        <w:top w:val="none" w:sz="0" w:space="0" w:color="auto"/>
        <w:left w:val="none" w:sz="0" w:space="0" w:color="auto"/>
        <w:bottom w:val="none" w:sz="0" w:space="0" w:color="auto"/>
        <w:right w:val="none" w:sz="0" w:space="0" w:color="auto"/>
      </w:divBdr>
    </w:div>
    <w:div w:id="1741712457">
      <w:bodyDiv w:val="1"/>
      <w:marLeft w:val="0"/>
      <w:marRight w:val="0"/>
      <w:marTop w:val="0"/>
      <w:marBottom w:val="0"/>
      <w:divBdr>
        <w:top w:val="none" w:sz="0" w:space="0" w:color="auto"/>
        <w:left w:val="none" w:sz="0" w:space="0" w:color="auto"/>
        <w:bottom w:val="none" w:sz="0" w:space="0" w:color="auto"/>
        <w:right w:val="none" w:sz="0" w:space="0" w:color="auto"/>
      </w:divBdr>
    </w:div>
    <w:div w:id="1752580335">
      <w:bodyDiv w:val="1"/>
      <w:marLeft w:val="0"/>
      <w:marRight w:val="0"/>
      <w:marTop w:val="0"/>
      <w:marBottom w:val="0"/>
      <w:divBdr>
        <w:top w:val="none" w:sz="0" w:space="0" w:color="auto"/>
        <w:left w:val="none" w:sz="0" w:space="0" w:color="auto"/>
        <w:bottom w:val="none" w:sz="0" w:space="0" w:color="auto"/>
        <w:right w:val="none" w:sz="0" w:space="0" w:color="auto"/>
      </w:divBdr>
    </w:div>
    <w:div w:id="1753812118">
      <w:bodyDiv w:val="1"/>
      <w:marLeft w:val="0"/>
      <w:marRight w:val="0"/>
      <w:marTop w:val="0"/>
      <w:marBottom w:val="0"/>
      <w:divBdr>
        <w:top w:val="none" w:sz="0" w:space="0" w:color="auto"/>
        <w:left w:val="none" w:sz="0" w:space="0" w:color="auto"/>
        <w:bottom w:val="none" w:sz="0" w:space="0" w:color="auto"/>
        <w:right w:val="none" w:sz="0" w:space="0" w:color="auto"/>
      </w:divBdr>
    </w:div>
    <w:div w:id="1754352012">
      <w:bodyDiv w:val="1"/>
      <w:marLeft w:val="0"/>
      <w:marRight w:val="0"/>
      <w:marTop w:val="0"/>
      <w:marBottom w:val="0"/>
      <w:divBdr>
        <w:top w:val="none" w:sz="0" w:space="0" w:color="auto"/>
        <w:left w:val="none" w:sz="0" w:space="0" w:color="auto"/>
        <w:bottom w:val="none" w:sz="0" w:space="0" w:color="auto"/>
        <w:right w:val="none" w:sz="0" w:space="0" w:color="auto"/>
      </w:divBdr>
    </w:div>
    <w:div w:id="1780836937">
      <w:bodyDiv w:val="1"/>
      <w:marLeft w:val="0"/>
      <w:marRight w:val="0"/>
      <w:marTop w:val="0"/>
      <w:marBottom w:val="0"/>
      <w:divBdr>
        <w:top w:val="none" w:sz="0" w:space="0" w:color="auto"/>
        <w:left w:val="none" w:sz="0" w:space="0" w:color="auto"/>
        <w:bottom w:val="none" w:sz="0" w:space="0" w:color="auto"/>
        <w:right w:val="none" w:sz="0" w:space="0" w:color="auto"/>
      </w:divBdr>
    </w:div>
    <w:div w:id="1782994438">
      <w:bodyDiv w:val="1"/>
      <w:marLeft w:val="0"/>
      <w:marRight w:val="0"/>
      <w:marTop w:val="0"/>
      <w:marBottom w:val="0"/>
      <w:divBdr>
        <w:top w:val="none" w:sz="0" w:space="0" w:color="auto"/>
        <w:left w:val="none" w:sz="0" w:space="0" w:color="auto"/>
        <w:bottom w:val="none" w:sz="0" w:space="0" w:color="auto"/>
        <w:right w:val="none" w:sz="0" w:space="0" w:color="auto"/>
      </w:divBdr>
    </w:div>
    <w:div w:id="1789275532">
      <w:bodyDiv w:val="1"/>
      <w:marLeft w:val="0"/>
      <w:marRight w:val="0"/>
      <w:marTop w:val="0"/>
      <w:marBottom w:val="0"/>
      <w:divBdr>
        <w:top w:val="none" w:sz="0" w:space="0" w:color="auto"/>
        <w:left w:val="none" w:sz="0" w:space="0" w:color="auto"/>
        <w:bottom w:val="none" w:sz="0" w:space="0" w:color="auto"/>
        <w:right w:val="none" w:sz="0" w:space="0" w:color="auto"/>
      </w:divBdr>
    </w:div>
    <w:div w:id="1793473264">
      <w:bodyDiv w:val="1"/>
      <w:marLeft w:val="0"/>
      <w:marRight w:val="0"/>
      <w:marTop w:val="0"/>
      <w:marBottom w:val="0"/>
      <w:divBdr>
        <w:top w:val="none" w:sz="0" w:space="0" w:color="auto"/>
        <w:left w:val="none" w:sz="0" w:space="0" w:color="auto"/>
        <w:bottom w:val="none" w:sz="0" w:space="0" w:color="auto"/>
        <w:right w:val="none" w:sz="0" w:space="0" w:color="auto"/>
      </w:divBdr>
    </w:div>
    <w:div w:id="1801724725">
      <w:bodyDiv w:val="1"/>
      <w:marLeft w:val="0"/>
      <w:marRight w:val="0"/>
      <w:marTop w:val="0"/>
      <w:marBottom w:val="0"/>
      <w:divBdr>
        <w:top w:val="none" w:sz="0" w:space="0" w:color="auto"/>
        <w:left w:val="none" w:sz="0" w:space="0" w:color="auto"/>
        <w:bottom w:val="none" w:sz="0" w:space="0" w:color="auto"/>
        <w:right w:val="none" w:sz="0" w:space="0" w:color="auto"/>
      </w:divBdr>
    </w:div>
    <w:div w:id="1804619018">
      <w:bodyDiv w:val="1"/>
      <w:marLeft w:val="0"/>
      <w:marRight w:val="0"/>
      <w:marTop w:val="0"/>
      <w:marBottom w:val="0"/>
      <w:divBdr>
        <w:top w:val="none" w:sz="0" w:space="0" w:color="auto"/>
        <w:left w:val="none" w:sz="0" w:space="0" w:color="auto"/>
        <w:bottom w:val="none" w:sz="0" w:space="0" w:color="auto"/>
        <w:right w:val="none" w:sz="0" w:space="0" w:color="auto"/>
      </w:divBdr>
    </w:div>
    <w:div w:id="1805461603">
      <w:bodyDiv w:val="1"/>
      <w:marLeft w:val="0"/>
      <w:marRight w:val="0"/>
      <w:marTop w:val="0"/>
      <w:marBottom w:val="0"/>
      <w:divBdr>
        <w:top w:val="none" w:sz="0" w:space="0" w:color="auto"/>
        <w:left w:val="none" w:sz="0" w:space="0" w:color="auto"/>
        <w:bottom w:val="none" w:sz="0" w:space="0" w:color="auto"/>
        <w:right w:val="none" w:sz="0" w:space="0" w:color="auto"/>
      </w:divBdr>
    </w:div>
    <w:div w:id="1817407007">
      <w:bodyDiv w:val="1"/>
      <w:marLeft w:val="0"/>
      <w:marRight w:val="0"/>
      <w:marTop w:val="0"/>
      <w:marBottom w:val="0"/>
      <w:divBdr>
        <w:top w:val="none" w:sz="0" w:space="0" w:color="auto"/>
        <w:left w:val="none" w:sz="0" w:space="0" w:color="auto"/>
        <w:bottom w:val="none" w:sz="0" w:space="0" w:color="auto"/>
        <w:right w:val="none" w:sz="0" w:space="0" w:color="auto"/>
      </w:divBdr>
    </w:div>
    <w:div w:id="1831553523">
      <w:bodyDiv w:val="1"/>
      <w:marLeft w:val="0"/>
      <w:marRight w:val="0"/>
      <w:marTop w:val="0"/>
      <w:marBottom w:val="0"/>
      <w:divBdr>
        <w:top w:val="none" w:sz="0" w:space="0" w:color="auto"/>
        <w:left w:val="none" w:sz="0" w:space="0" w:color="auto"/>
        <w:bottom w:val="none" w:sz="0" w:space="0" w:color="auto"/>
        <w:right w:val="none" w:sz="0" w:space="0" w:color="auto"/>
      </w:divBdr>
    </w:div>
    <w:div w:id="1854420313">
      <w:bodyDiv w:val="1"/>
      <w:marLeft w:val="0"/>
      <w:marRight w:val="0"/>
      <w:marTop w:val="0"/>
      <w:marBottom w:val="0"/>
      <w:divBdr>
        <w:top w:val="none" w:sz="0" w:space="0" w:color="auto"/>
        <w:left w:val="none" w:sz="0" w:space="0" w:color="auto"/>
        <w:bottom w:val="none" w:sz="0" w:space="0" w:color="auto"/>
        <w:right w:val="none" w:sz="0" w:space="0" w:color="auto"/>
      </w:divBdr>
    </w:div>
    <w:div w:id="1856338834">
      <w:bodyDiv w:val="1"/>
      <w:marLeft w:val="0"/>
      <w:marRight w:val="0"/>
      <w:marTop w:val="0"/>
      <w:marBottom w:val="0"/>
      <w:divBdr>
        <w:top w:val="none" w:sz="0" w:space="0" w:color="auto"/>
        <w:left w:val="none" w:sz="0" w:space="0" w:color="auto"/>
        <w:bottom w:val="none" w:sz="0" w:space="0" w:color="auto"/>
        <w:right w:val="none" w:sz="0" w:space="0" w:color="auto"/>
      </w:divBdr>
    </w:div>
    <w:div w:id="1860193392">
      <w:bodyDiv w:val="1"/>
      <w:marLeft w:val="0"/>
      <w:marRight w:val="0"/>
      <w:marTop w:val="0"/>
      <w:marBottom w:val="0"/>
      <w:divBdr>
        <w:top w:val="none" w:sz="0" w:space="0" w:color="auto"/>
        <w:left w:val="none" w:sz="0" w:space="0" w:color="auto"/>
        <w:bottom w:val="none" w:sz="0" w:space="0" w:color="auto"/>
        <w:right w:val="none" w:sz="0" w:space="0" w:color="auto"/>
      </w:divBdr>
    </w:div>
    <w:div w:id="1861580891">
      <w:bodyDiv w:val="1"/>
      <w:marLeft w:val="0"/>
      <w:marRight w:val="0"/>
      <w:marTop w:val="0"/>
      <w:marBottom w:val="0"/>
      <w:divBdr>
        <w:top w:val="none" w:sz="0" w:space="0" w:color="auto"/>
        <w:left w:val="none" w:sz="0" w:space="0" w:color="auto"/>
        <w:bottom w:val="none" w:sz="0" w:space="0" w:color="auto"/>
        <w:right w:val="none" w:sz="0" w:space="0" w:color="auto"/>
      </w:divBdr>
    </w:div>
    <w:div w:id="1882814407">
      <w:bodyDiv w:val="1"/>
      <w:marLeft w:val="0"/>
      <w:marRight w:val="0"/>
      <w:marTop w:val="0"/>
      <w:marBottom w:val="0"/>
      <w:divBdr>
        <w:top w:val="none" w:sz="0" w:space="0" w:color="auto"/>
        <w:left w:val="none" w:sz="0" w:space="0" w:color="auto"/>
        <w:bottom w:val="none" w:sz="0" w:space="0" w:color="auto"/>
        <w:right w:val="none" w:sz="0" w:space="0" w:color="auto"/>
      </w:divBdr>
    </w:div>
    <w:div w:id="1888182311">
      <w:bodyDiv w:val="1"/>
      <w:marLeft w:val="0"/>
      <w:marRight w:val="0"/>
      <w:marTop w:val="0"/>
      <w:marBottom w:val="0"/>
      <w:divBdr>
        <w:top w:val="none" w:sz="0" w:space="0" w:color="auto"/>
        <w:left w:val="none" w:sz="0" w:space="0" w:color="auto"/>
        <w:bottom w:val="none" w:sz="0" w:space="0" w:color="auto"/>
        <w:right w:val="none" w:sz="0" w:space="0" w:color="auto"/>
      </w:divBdr>
    </w:div>
    <w:div w:id="1903372424">
      <w:bodyDiv w:val="1"/>
      <w:marLeft w:val="0"/>
      <w:marRight w:val="0"/>
      <w:marTop w:val="0"/>
      <w:marBottom w:val="0"/>
      <w:divBdr>
        <w:top w:val="none" w:sz="0" w:space="0" w:color="auto"/>
        <w:left w:val="none" w:sz="0" w:space="0" w:color="auto"/>
        <w:bottom w:val="none" w:sz="0" w:space="0" w:color="auto"/>
        <w:right w:val="none" w:sz="0" w:space="0" w:color="auto"/>
      </w:divBdr>
    </w:div>
    <w:div w:id="1903953056">
      <w:bodyDiv w:val="1"/>
      <w:marLeft w:val="0"/>
      <w:marRight w:val="0"/>
      <w:marTop w:val="0"/>
      <w:marBottom w:val="0"/>
      <w:divBdr>
        <w:top w:val="none" w:sz="0" w:space="0" w:color="auto"/>
        <w:left w:val="none" w:sz="0" w:space="0" w:color="auto"/>
        <w:bottom w:val="none" w:sz="0" w:space="0" w:color="auto"/>
        <w:right w:val="none" w:sz="0" w:space="0" w:color="auto"/>
      </w:divBdr>
    </w:div>
    <w:div w:id="1915361110">
      <w:bodyDiv w:val="1"/>
      <w:marLeft w:val="0"/>
      <w:marRight w:val="0"/>
      <w:marTop w:val="0"/>
      <w:marBottom w:val="0"/>
      <w:divBdr>
        <w:top w:val="none" w:sz="0" w:space="0" w:color="auto"/>
        <w:left w:val="none" w:sz="0" w:space="0" w:color="auto"/>
        <w:bottom w:val="none" w:sz="0" w:space="0" w:color="auto"/>
        <w:right w:val="none" w:sz="0" w:space="0" w:color="auto"/>
      </w:divBdr>
    </w:div>
    <w:div w:id="1915969585">
      <w:bodyDiv w:val="1"/>
      <w:marLeft w:val="0"/>
      <w:marRight w:val="0"/>
      <w:marTop w:val="0"/>
      <w:marBottom w:val="0"/>
      <w:divBdr>
        <w:top w:val="none" w:sz="0" w:space="0" w:color="auto"/>
        <w:left w:val="none" w:sz="0" w:space="0" w:color="auto"/>
        <w:bottom w:val="none" w:sz="0" w:space="0" w:color="auto"/>
        <w:right w:val="none" w:sz="0" w:space="0" w:color="auto"/>
      </w:divBdr>
    </w:div>
    <w:div w:id="1923831100">
      <w:bodyDiv w:val="1"/>
      <w:marLeft w:val="0"/>
      <w:marRight w:val="0"/>
      <w:marTop w:val="0"/>
      <w:marBottom w:val="0"/>
      <w:divBdr>
        <w:top w:val="none" w:sz="0" w:space="0" w:color="auto"/>
        <w:left w:val="none" w:sz="0" w:space="0" w:color="auto"/>
        <w:bottom w:val="none" w:sz="0" w:space="0" w:color="auto"/>
        <w:right w:val="none" w:sz="0" w:space="0" w:color="auto"/>
      </w:divBdr>
    </w:div>
    <w:div w:id="1931884370">
      <w:bodyDiv w:val="1"/>
      <w:marLeft w:val="0"/>
      <w:marRight w:val="0"/>
      <w:marTop w:val="0"/>
      <w:marBottom w:val="0"/>
      <w:divBdr>
        <w:top w:val="none" w:sz="0" w:space="0" w:color="auto"/>
        <w:left w:val="none" w:sz="0" w:space="0" w:color="auto"/>
        <w:bottom w:val="none" w:sz="0" w:space="0" w:color="auto"/>
        <w:right w:val="none" w:sz="0" w:space="0" w:color="auto"/>
      </w:divBdr>
    </w:div>
    <w:div w:id="1939826912">
      <w:bodyDiv w:val="1"/>
      <w:marLeft w:val="0"/>
      <w:marRight w:val="0"/>
      <w:marTop w:val="0"/>
      <w:marBottom w:val="0"/>
      <w:divBdr>
        <w:top w:val="none" w:sz="0" w:space="0" w:color="auto"/>
        <w:left w:val="none" w:sz="0" w:space="0" w:color="auto"/>
        <w:bottom w:val="none" w:sz="0" w:space="0" w:color="auto"/>
        <w:right w:val="none" w:sz="0" w:space="0" w:color="auto"/>
      </w:divBdr>
    </w:div>
    <w:div w:id="1952928527">
      <w:bodyDiv w:val="1"/>
      <w:marLeft w:val="0"/>
      <w:marRight w:val="0"/>
      <w:marTop w:val="0"/>
      <w:marBottom w:val="0"/>
      <w:divBdr>
        <w:top w:val="none" w:sz="0" w:space="0" w:color="auto"/>
        <w:left w:val="none" w:sz="0" w:space="0" w:color="auto"/>
        <w:bottom w:val="none" w:sz="0" w:space="0" w:color="auto"/>
        <w:right w:val="none" w:sz="0" w:space="0" w:color="auto"/>
      </w:divBdr>
    </w:div>
    <w:div w:id="1955483461">
      <w:bodyDiv w:val="1"/>
      <w:marLeft w:val="0"/>
      <w:marRight w:val="0"/>
      <w:marTop w:val="0"/>
      <w:marBottom w:val="0"/>
      <w:divBdr>
        <w:top w:val="none" w:sz="0" w:space="0" w:color="auto"/>
        <w:left w:val="none" w:sz="0" w:space="0" w:color="auto"/>
        <w:bottom w:val="none" w:sz="0" w:space="0" w:color="auto"/>
        <w:right w:val="none" w:sz="0" w:space="0" w:color="auto"/>
      </w:divBdr>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6348540">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03661456">
      <w:bodyDiv w:val="1"/>
      <w:marLeft w:val="0"/>
      <w:marRight w:val="0"/>
      <w:marTop w:val="0"/>
      <w:marBottom w:val="0"/>
      <w:divBdr>
        <w:top w:val="none" w:sz="0" w:space="0" w:color="auto"/>
        <w:left w:val="none" w:sz="0" w:space="0" w:color="auto"/>
        <w:bottom w:val="none" w:sz="0" w:space="0" w:color="auto"/>
        <w:right w:val="none" w:sz="0" w:space="0" w:color="auto"/>
      </w:divBdr>
    </w:div>
    <w:div w:id="2013876703">
      <w:bodyDiv w:val="1"/>
      <w:marLeft w:val="0"/>
      <w:marRight w:val="0"/>
      <w:marTop w:val="0"/>
      <w:marBottom w:val="0"/>
      <w:divBdr>
        <w:top w:val="none" w:sz="0" w:space="0" w:color="auto"/>
        <w:left w:val="none" w:sz="0" w:space="0" w:color="auto"/>
        <w:bottom w:val="none" w:sz="0" w:space="0" w:color="auto"/>
        <w:right w:val="none" w:sz="0" w:space="0" w:color="auto"/>
      </w:divBdr>
    </w:div>
    <w:div w:id="2015263801">
      <w:bodyDiv w:val="1"/>
      <w:marLeft w:val="0"/>
      <w:marRight w:val="0"/>
      <w:marTop w:val="0"/>
      <w:marBottom w:val="0"/>
      <w:divBdr>
        <w:top w:val="none" w:sz="0" w:space="0" w:color="auto"/>
        <w:left w:val="none" w:sz="0" w:space="0" w:color="auto"/>
        <w:bottom w:val="none" w:sz="0" w:space="0" w:color="auto"/>
        <w:right w:val="none" w:sz="0" w:space="0" w:color="auto"/>
      </w:divBdr>
    </w:div>
    <w:div w:id="2018118495">
      <w:bodyDiv w:val="1"/>
      <w:marLeft w:val="0"/>
      <w:marRight w:val="0"/>
      <w:marTop w:val="0"/>
      <w:marBottom w:val="0"/>
      <w:divBdr>
        <w:top w:val="none" w:sz="0" w:space="0" w:color="auto"/>
        <w:left w:val="none" w:sz="0" w:space="0" w:color="auto"/>
        <w:bottom w:val="none" w:sz="0" w:space="0" w:color="auto"/>
        <w:right w:val="none" w:sz="0" w:space="0" w:color="auto"/>
      </w:divBdr>
    </w:div>
    <w:div w:id="2023429564">
      <w:bodyDiv w:val="1"/>
      <w:marLeft w:val="0"/>
      <w:marRight w:val="0"/>
      <w:marTop w:val="0"/>
      <w:marBottom w:val="0"/>
      <w:divBdr>
        <w:top w:val="none" w:sz="0" w:space="0" w:color="auto"/>
        <w:left w:val="none" w:sz="0" w:space="0" w:color="auto"/>
        <w:bottom w:val="none" w:sz="0" w:space="0" w:color="auto"/>
        <w:right w:val="none" w:sz="0" w:space="0" w:color="auto"/>
      </w:divBdr>
    </w:div>
    <w:div w:id="2026667728">
      <w:bodyDiv w:val="1"/>
      <w:marLeft w:val="0"/>
      <w:marRight w:val="0"/>
      <w:marTop w:val="0"/>
      <w:marBottom w:val="0"/>
      <w:divBdr>
        <w:top w:val="none" w:sz="0" w:space="0" w:color="auto"/>
        <w:left w:val="none" w:sz="0" w:space="0" w:color="auto"/>
        <w:bottom w:val="none" w:sz="0" w:space="0" w:color="auto"/>
        <w:right w:val="none" w:sz="0" w:space="0" w:color="auto"/>
      </w:divBdr>
    </w:div>
    <w:div w:id="2027053037">
      <w:bodyDiv w:val="1"/>
      <w:marLeft w:val="0"/>
      <w:marRight w:val="0"/>
      <w:marTop w:val="0"/>
      <w:marBottom w:val="0"/>
      <w:divBdr>
        <w:top w:val="none" w:sz="0" w:space="0" w:color="auto"/>
        <w:left w:val="none" w:sz="0" w:space="0" w:color="auto"/>
        <w:bottom w:val="none" w:sz="0" w:space="0" w:color="auto"/>
        <w:right w:val="none" w:sz="0" w:space="0" w:color="auto"/>
      </w:divBdr>
    </w:div>
    <w:div w:id="2031057791">
      <w:bodyDiv w:val="1"/>
      <w:marLeft w:val="0"/>
      <w:marRight w:val="0"/>
      <w:marTop w:val="0"/>
      <w:marBottom w:val="0"/>
      <w:divBdr>
        <w:top w:val="none" w:sz="0" w:space="0" w:color="auto"/>
        <w:left w:val="none" w:sz="0" w:space="0" w:color="auto"/>
        <w:bottom w:val="none" w:sz="0" w:space="0" w:color="auto"/>
        <w:right w:val="none" w:sz="0" w:space="0" w:color="auto"/>
      </w:divBdr>
    </w:div>
    <w:div w:id="2032023006">
      <w:bodyDiv w:val="1"/>
      <w:marLeft w:val="0"/>
      <w:marRight w:val="0"/>
      <w:marTop w:val="0"/>
      <w:marBottom w:val="0"/>
      <w:divBdr>
        <w:top w:val="none" w:sz="0" w:space="0" w:color="auto"/>
        <w:left w:val="none" w:sz="0" w:space="0" w:color="auto"/>
        <w:bottom w:val="none" w:sz="0" w:space="0" w:color="auto"/>
        <w:right w:val="none" w:sz="0" w:space="0" w:color="auto"/>
      </w:divBdr>
    </w:div>
    <w:div w:id="2041516351">
      <w:bodyDiv w:val="1"/>
      <w:marLeft w:val="0"/>
      <w:marRight w:val="0"/>
      <w:marTop w:val="0"/>
      <w:marBottom w:val="0"/>
      <w:divBdr>
        <w:top w:val="none" w:sz="0" w:space="0" w:color="auto"/>
        <w:left w:val="none" w:sz="0" w:space="0" w:color="auto"/>
        <w:bottom w:val="none" w:sz="0" w:space="0" w:color="auto"/>
        <w:right w:val="none" w:sz="0" w:space="0" w:color="auto"/>
      </w:divBdr>
    </w:div>
    <w:div w:id="2058167311">
      <w:bodyDiv w:val="1"/>
      <w:marLeft w:val="0"/>
      <w:marRight w:val="0"/>
      <w:marTop w:val="0"/>
      <w:marBottom w:val="0"/>
      <w:divBdr>
        <w:top w:val="none" w:sz="0" w:space="0" w:color="auto"/>
        <w:left w:val="none" w:sz="0" w:space="0" w:color="auto"/>
        <w:bottom w:val="none" w:sz="0" w:space="0" w:color="auto"/>
        <w:right w:val="none" w:sz="0" w:space="0" w:color="auto"/>
      </w:divBdr>
      <w:divsChild>
        <w:div w:id="49891476">
          <w:marLeft w:val="0"/>
          <w:marRight w:val="0"/>
          <w:marTop w:val="0"/>
          <w:marBottom w:val="0"/>
          <w:divBdr>
            <w:top w:val="none" w:sz="0" w:space="0" w:color="auto"/>
            <w:left w:val="none" w:sz="0" w:space="0" w:color="auto"/>
            <w:bottom w:val="none" w:sz="0" w:space="0" w:color="auto"/>
            <w:right w:val="none" w:sz="0" w:space="0" w:color="auto"/>
          </w:divBdr>
          <w:divsChild>
            <w:div w:id="9919858">
              <w:marLeft w:val="0"/>
              <w:marRight w:val="0"/>
              <w:marTop w:val="0"/>
              <w:marBottom w:val="0"/>
              <w:divBdr>
                <w:top w:val="none" w:sz="0" w:space="0" w:color="auto"/>
                <w:left w:val="none" w:sz="0" w:space="0" w:color="auto"/>
                <w:bottom w:val="none" w:sz="0" w:space="0" w:color="auto"/>
                <w:right w:val="none" w:sz="0" w:space="0" w:color="auto"/>
              </w:divBdr>
              <w:divsChild>
                <w:div w:id="222370644">
                  <w:marLeft w:val="0"/>
                  <w:marRight w:val="0"/>
                  <w:marTop w:val="0"/>
                  <w:marBottom w:val="0"/>
                  <w:divBdr>
                    <w:top w:val="none" w:sz="0" w:space="0" w:color="auto"/>
                    <w:left w:val="none" w:sz="0" w:space="0" w:color="auto"/>
                    <w:bottom w:val="none" w:sz="0" w:space="0" w:color="auto"/>
                    <w:right w:val="none" w:sz="0" w:space="0" w:color="auto"/>
                  </w:divBdr>
                  <w:divsChild>
                    <w:div w:id="201408613">
                      <w:marLeft w:val="0"/>
                      <w:marRight w:val="0"/>
                      <w:marTop w:val="0"/>
                      <w:marBottom w:val="0"/>
                      <w:divBdr>
                        <w:top w:val="none" w:sz="0" w:space="0" w:color="auto"/>
                        <w:left w:val="none" w:sz="0" w:space="0" w:color="auto"/>
                        <w:bottom w:val="none" w:sz="0" w:space="0" w:color="auto"/>
                        <w:right w:val="none" w:sz="0" w:space="0" w:color="auto"/>
                      </w:divBdr>
                      <w:divsChild>
                        <w:div w:id="1868831049">
                          <w:marLeft w:val="0"/>
                          <w:marRight w:val="0"/>
                          <w:marTop w:val="0"/>
                          <w:marBottom w:val="0"/>
                          <w:divBdr>
                            <w:top w:val="none" w:sz="0" w:space="0" w:color="auto"/>
                            <w:left w:val="none" w:sz="0" w:space="0" w:color="auto"/>
                            <w:bottom w:val="none" w:sz="0" w:space="0" w:color="auto"/>
                            <w:right w:val="none" w:sz="0" w:space="0" w:color="auto"/>
                          </w:divBdr>
                          <w:divsChild>
                            <w:div w:id="2126533127">
                              <w:marLeft w:val="0"/>
                              <w:marRight w:val="0"/>
                              <w:marTop w:val="0"/>
                              <w:marBottom w:val="0"/>
                              <w:divBdr>
                                <w:top w:val="none" w:sz="0" w:space="0" w:color="auto"/>
                                <w:left w:val="none" w:sz="0" w:space="0" w:color="auto"/>
                                <w:bottom w:val="none" w:sz="0" w:space="0" w:color="auto"/>
                                <w:right w:val="none" w:sz="0" w:space="0" w:color="auto"/>
                              </w:divBdr>
                              <w:divsChild>
                                <w:div w:id="1677730311">
                                  <w:marLeft w:val="0"/>
                                  <w:marRight w:val="0"/>
                                  <w:marTop w:val="0"/>
                                  <w:marBottom w:val="0"/>
                                  <w:divBdr>
                                    <w:top w:val="none" w:sz="0" w:space="0" w:color="auto"/>
                                    <w:left w:val="none" w:sz="0" w:space="0" w:color="auto"/>
                                    <w:bottom w:val="none" w:sz="0" w:space="0" w:color="auto"/>
                                    <w:right w:val="none" w:sz="0" w:space="0" w:color="auto"/>
                                  </w:divBdr>
                                  <w:divsChild>
                                    <w:div w:id="1801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070544">
      <w:bodyDiv w:val="1"/>
      <w:marLeft w:val="0"/>
      <w:marRight w:val="0"/>
      <w:marTop w:val="0"/>
      <w:marBottom w:val="0"/>
      <w:divBdr>
        <w:top w:val="none" w:sz="0" w:space="0" w:color="auto"/>
        <w:left w:val="none" w:sz="0" w:space="0" w:color="auto"/>
        <w:bottom w:val="none" w:sz="0" w:space="0" w:color="auto"/>
        <w:right w:val="none" w:sz="0" w:space="0" w:color="auto"/>
      </w:divBdr>
    </w:div>
    <w:div w:id="2125154810">
      <w:bodyDiv w:val="1"/>
      <w:marLeft w:val="0"/>
      <w:marRight w:val="0"/>
      <w:marTop w:val="0"/>
      <w:marBottom w:val="0"/>
      <w:divBdr>
        <w:top w:val="none" w:sz="0" w:space="0" w:color="auto"/>
        <w:left w:val="none" w:sz="0" w:space="0" w:color="auto"/>
        <w:bottom w:val="none" w:sz="0" w:space="0" w:color="auto"/>
        <w:right w:val="none" w:sz="0" w:space="0" w:color="auto"/>
      </w:divBdr>
    </w:div>
    <w:div w:id="2136095637">
      <w:bodyDiv w:val="1"/>
      <w:marLeft w:val="0"/>
      <w:marRight w:val="0"/>
      <w:marTop w:val="0"/>
      <w:marBottom w:val="0"/>
      <w:divBdr>
        <w:top w:val="none" w:sz="0" w:space="0" w:color="auto"/>
        <w:left w:val="none" w:sz="0" w:space="0" w:color="auto"/>
        <w:bottom w:val="none" w:sz="0" w:space="0" w:color="auto"/>
        <w:right w:val="none" w:sz="0" w:space="0" w:color="auto"/>
      </w:divBdr>
    </w:div>
    <w:div w:id="2136170449">
      <w:bodyDiv w:val="1"/>
      <w:marLeft w:val="0"/>
      <w:marRight w:val="0"/>
      <w:marTop w:val="0"/>
      <w:marBottom w:val="0"/>
      <w:divBdr>
        <w:top w:val="none" w:sz="0" w:space="0" w:color="auto"/>
        <w:left w:val="none" w:sz="0" w:space="0" w:color="auto"/>
        <w:bottom w:val="none" w:sz="0" w:space="0" w:color="auto"/>
        <w:right w:val="none" w:sz="0" w:space="0" w:color="auto"/>
      </w:divBdr>
    </w:div>
    <w:div w:id="2139912559">
      <w:bodyDiv w:val="1"/>
      <w:marLeft w:val="0"/>
      <w:marRight w:val="0"/>
      <w:marTop w:val="0"/>
      <w:marBottom w:val="0"/>
      <w:divBdr>
        <w:top w:val="none" w:sz="0" w:space="0" w:color="auto"/>
        <w:left w:val="none" w:sz="0" w:space="0" w:color="auto"/>
        <w:bottom w:val="none" w:sz="0" w:space="0" w:color="auto"/>
        <w:right w:val="none" w:sz="0" w:space="0" w:color="auto"/>
      </w:divBdr>
    </w:div>
    <w:div w:id="21451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2.xml"/><Relationship Id="rId21" Type="http://schemas.openxmlformats.org/officeDocument/2006/relationships/footer" Target="footer4.xml"/><Relationship Id="rId42" Type="http://schemas.openxmlformats.org/officeDocument/2006/relationships/chart" Target="charts/chart12.xml"/><Relationship Id="rId63" Type="http://schemas.openxmlformats.org/officeDocument/2006/relationships/chart" Target="charts/chart27.xml"/><Relationship Id="rId84" Type="http://schemas.openxmlformats.org/officeDocument/2006/relationships/chart" Target="charts/chart42.xml"/><Relationship Id="rId138" Type="http://schemas.openxmlformats.org/officeDocument/2006/relationships/header" Target="header25.xml"/><Relationship Id="rId159" Type="http://schemas.openxmlformats.org/officeDocument/2006/relationships/header" Target="header30.xml"/><Relationship Id="rId170" Type="http://schemas.openxmlformats.org/officeDocument/2006/relationships/chart" Target="charts/chart97.xml"/><Relationship Id="rId191" Type="http://schemas.openxmlformats.org/officeDocument/2006/relationships/header" Target="header36.xml"/><Relationship Id="rId205" Type="http://schemas.openxmlformats.org/officeDocument/2006/relationships/footer" Target="footer37.xml"/><Relationship Id="rId226" Type="http://schemas.openxmlformats.org/officeDocument/2006/relationships/header" Target="header44.xml"/><Relationship Id="rId107" Type="http://schemas.openxmlformats.org/officeDocument/2006/relationships/footer" Target="footer20.xml"/><Relationship Id="rId11" Type="http://schemas.openxmlformats.org/officeDocument/2006/relationships/endnotes" Target="endnotes.xml"/><Relationship Id="rId32" Type="http://schemas.openxmlformats.org/officeDocument/2006/relationships/chart" Target="charts/chart8.xml"/><Relationship Id="rId53" Type="http://schemas.openxmlformats.org/officeDocument/2006/relationships/header" Target="header10.xml"/><Relationship Id="rId74" Type="http://schemas.openxmlformats.org/officeDocument/2006/relationships/header" Target="header15.xml"/><Relationship Id="rId128" Type="http://schemas.openxmlformats.org/officeDocument/2006/relationships/chart" Target="charts/chart67.xml"/><Relationship Id="rId149" Type="http://schemas.openxmlformats.org/officeDocument/2006/relationships/chart" Target="charts/chart82.xml"/><Relationship Id="rId5" Type="http://schemas.openxmlformats.org/officeDocument/2006/relationships/numbering" Target="numbering.xml"/><Relationship Id="rId95" Type="http://schemas.openxmlformats.org/officeDocument/2006/relationships/chart" Target="charts/chart46.xml"/><Relationship Id="rId160" Type="http://schemas.openxmlformats.org/officeDocument/2006/relationships/footer" Target="footer30.xml"/><Relationship Id="rId181" Type="http://schemas.openxmlformats.org/officeDocument/2006/relationships/chart" Target="charts/chart102.xml"/><Relationship Id="rId216" Type="http://schemas.openxmlformats.org/officeDocument/2006/relationships/chart" Target="charts/chart125.xml"/><Relationship Id="rId22" Type="http://schemas.openxmlformats.org/officeDocument/2006/relationships/footer" Target="footer5.xml"/><Relationship Id="rId27" Type="http://schemas.openxmlformats.org/officeDocument/2006/relationships/chart" Target="charts/chart3.xml"/><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chart" Target="charts/chart28.xml"/><Relationship Id="rId69" Type="http://schemas.openxmlformats.org/officeDocument/2006/relationships/chart" Target="charts/chart33.xml"/><Relationship Id="rId113" Type="http://schemas.openxmlformats.org/officeDocument/2006/relationships/chart" Target="charts/chart58.xml"/><Relationship Id="rId118" Type="http://schemas.openxmlformats.org/officeDocument/2006/relationships/chart" Target="charts/chart63.xml"/><Relationship Id="rId134" Type="http://schemas.openxmlformats.org/officeDocument/2006/relationships/chart" Target="charts/chart73.xml"/><Relationship Id="rId139" Type="http://schemas.openxmlformats.org/officeDocument/2006/relationships/header" Target="header26.xml"/><Relationship Id="rId80" Type="http://schemas.openxmlformats.org/officeDocument/2006/relationships/chart" Target="charts/chart38.xml"/><Relationship Id="rId85" Type="http://schemas.openxmlformats.org/officeDocument/2006/relationships/chart" Target="charts/chart43.xml"/><Relationship Id="rId150" Type="http://schemas.openxmlformats.org/officeDocument/2006/relationships/chart" Target="charts/chart83.xml"/><Relationship Id="rId155" Type="http://schemas.openxmlformats.org/officeDocument/2006/relationships/header" Target="header28.xml"/><Relationship Id="rId171" Type="http://schemas.openxmlformats.org/officeDocument/2006/relationships/header" Target="header31.xml"/><Relationship Id="rId176" Type="http://schemas.openxmlformats.org/officeDocument/2006/relationships/footer" Target="footer33.xml"/><Relationship Id="rId192" Type="http://schemas.openxmlformats.org/officeDocument/2006/relationships/footer" Target="footer36.xml"/><Relationship Id="rId197" Type="http://schemas.openxmlformats.org/officeDocument/2006/relationships/chart" Target="charts/chart112.xml"/><Relationship Id="rId206" Type="http://schemas.openxmlformats.org/officeDocument/2006/relationships/footer" Target="footer38.xml"/><Relationship Id="rId227" Type="http://schemas.openxmlformats.org/officeDocument/2006/relationships/footer" Target="footer43.xml"/><Relationship Id="rId201" Type="http://schemas.openxmlformats.org/officeDocument/2006/relationships/chart" Target="charts/chart116.xml"/><Relationship Id="rId222" Type="http://schemas.openxmlformats.org/officeDocument/2006/relationships/footer" Target="footer41.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chart" Target="charts/chart9.xml"/><Relationship Id="rId38" Type="http://schemas.openxmlformats.org/officeDocument/2006/relationships/footer" Target="footer7.xml"/><Relationship Id="rId59" Type="http://schemas.openxmlformats.org/officeDocument/2006/relationships/chart" Target="charts/chart23.xml"/><Relationship Id="rId103" Type="http://schemas.openxmlformats.org/officeDocument/2006/relationships/chart" Target="charts/chart54.xml"/><Relationship Id="rId108" Type="http://schemas.openxmlformats.org/officeDocument/2006/relationships/header" Target="header21.xml"/><Relationship Id="rId124" Type="http://schemas.openxmlformats.org/officeDocument/2006/relationships/footer" Target="footer23.xml"/><Relationship Id="rId129" Type="http://schemas.openxmlformats.org/officeDocument/2006/relationships/chart" Target="charts/chart68.xml"/><Relationship Id="rId54" Type="http://schemas.openxmlformats.org/officeDocument/2006/relationships/header" Target="header11.xml"/><Relationship Id="rId70" Type="http://schemas.openxmlformats.org/officeDocument/2006/relationships/header" Target="header13.xml"/><Relationship Id="rId75" Type="http://schemas.openxmlformats.org/officeDocument/2006/relationships/footer" Target="footer15.xml"/><Relationship Id="rId91" Type="http://schemas.openxmlformats.org/officeDocument/2006/relationships/header" Target="header18.xml"/><Relationship Id="rId96" Type="http://schemas.openxmlformats.org/officeDocument/2006/relationships/chart" Target="charts/chart47.xml"/><Relationship Id="rId140" Type="http://schemas.openxmlformats.org/officeDocument/2006/relationships/footer" Target="footer25.xml"/><Relationship Id="rId145" Type="http://schemas.openxmlformats.org/officeDocument/2006/relationships/chart" Target="charts/chart78.xml"/><Relationship Id="rId161" Type="http://schemas.openxmlformats.org/officeDocument/2006/relationships/chart" Target="charts/chart88.xml"/><Relationship Id="rId166" Type="http://schemas.openxmlformats.org/officeDocument/2006/relationships/chart" Target="charts/chart93.xml"/><Relationship Id="rId182" Type="http://schemas.openxmlformats.org/officeDocument/2006/relationships/chart" Target="charts/chart103.xml"/><Relationship Id="rId187" Type="http://schemas.openxmlformats.org/officeDocument/2006/relationships/header" Target="header34.xml"/><Relationship Id="rId217" Type="http://schemas.openxmlformats.org/officeDocument/2006/relationships/chart" Target="charts/chart126.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chart" Target="charts/chart121.xml"/><Relationship Id="rId23" Type="http://schemas.openxmlformats.org/officeDocument/2006/relationships/header" Target="header6.xml"/><Relationship Id="rId28" Type="http://schemas.openxmlformats.org/officeDocument/2006/relationships/chart" Target="charts/chart4.xml"/><Relationship Id="rId49" Type="http://schemas.openxmlformats.org/officeDocument/2006/relationships/chart" Target="charts/chart19.xml"/><Relationship Id="rId114" Type="http://schemas.openxmlformats.org/officeDocument/2006/relationships/chart" Target="charts/chart59.xml"/><Relationship Id="rId119" Type="http://schemas.openxmlformats.org/officeDocument/2006/relationships/chart" Target="charts/chart64.xml"/><Relationship Id="rId44" Type="http://schemas.openxmlformats.org/officeDocument/2006/relationships/chart" Target="charts/chart14.xml"/><Relationship Id="rId60" Type="http://schemas.openxmlformats.org/officeDocument/2006/relationships/chart" Target="charts/chart24.xml"/><Relationship Id="rId65" Type="http://schemas.openxmlformats.org/officeDocument/2006/relationships/chart" Target="charts/chart29.xml"/><Relationship Id="rId81" Type="http://schemas.openxmlformats.org/officeDocument/2006/relationships/chart" Target="charts/chart39.xml"/><Relationship Id="rId86" Type="http://schemas.openxmlformats.org/officeDocument/2006/relationships/hyperlink" Target="http://curia.europa.eu/juris/liste.jsf?language=en&amp;td=ALL&amp;num=C-51/18" TargetMode="External"/><Relationship Id="rId130" Type="http://schemas.openxmlformats.org/officeDocument/2006/relationships/chart" Target="charts/chart69.xml"/><Relationship Id="rId135" Type="http://schemas.openxmlformats.org/officeDocument/2006/relationships/chart" Target="charts/chart74.xml"/><Relationship Id="rId151" Type="http://schemas.openxmlformats.org/officeDocument/2006/relationships/chart" Target="charts/chart84.xml"/><Relationship Id="rId156" Type="http://schemas.openxmlformats.org/officeDocument/2006/relationships/header" Target="header29.xml"/><Relationship Id="rId177" Type="http://schemas.openxmlformats.org/officeDocument/2006/relationships/chart" Target="charts/chart98.xml"/><Relationship Id="rId198" Type="http://schemas.openxmlformats.org/officeDocument/2006/relationships/chart" Target="charts/chart113.xml"/><Relationship Id="rId172" Type="http://schemas.openxmlformats.org/officeDocument/2006/relationships/header" Target="header32.xml"/><Relationship Id="rId193" Type="http://schemas.openxmlformats.org/officeDocument/2006/relationships/chart" Target="charts/chart108.xml"/><Relationship Id="rId202" Type="http://schemas.openxmlformats.org/officeDocument/2006/relationships/chart" Target="charts/chart117.xml"/><Relationship Id="rId207" Type="http://schemas.openxmlformats.org/officeDocument/2006/relationships/header" Target="header39.xml"/><Relationship Id="rId223" Type="http://schemas.openxmlformats.org/officeDocument/2006/relationships/header" Target="header42.xml"/><Relationship Id="rId228" Type="http://schemas.openxmlformats.org/officeDocument/2006/relationships/footer" Target="footer44.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8.xml"/><Relationship Id="rId109" Type="http://schemas.openxmlformats.org/officeDocument/2006/relationships/footer" Target="footer21.xml"/><Relationship Id="rId34" Type="http://schemas.openxmlformats.org/officeDocument/2006/relationships/chart" Target="charts/chart10.xml"/><Relationship Id="rId50" Type="http://schemas.openxmlformats.org/officeDocument/2006/relationships/chart" Target="charts/chart20.xml"/><Relationship Id="rId55" Type="http://schemas.openxmlformats.org/officeDocument/2006/relationships/footer" Target="footer10.xml"/><Relationship Id="rId76" Type="http://schemas.openxmlformats.org/officeDocument/2006/relationships/chart" Target="charts/chart34.xml"/><Relationship Id="rId97" Type="http://schemas.openxmlformats.org/officeDocument/2006/relationships/chart" Target="charts/chart48.xml"/><Relationship Id="rId104" Type="http://schemas.openxmlformats.org/officeDocument/2006/relationships/header" Target="header19.xml"/><Relationship Id="rId120" Type="http://schemas.openxmlformats.org/officeDocument/2006/relationships/chart" Target="charts/chart65.xml"/><Relationship Id="rId125" Type="http://schemas.openxmlformats.org/officeDocument/2006/relationships/header" Target="header24.xml"/><Relationship Id="rId141" Type="http://schemas.openxmlformats.org/officeDocument/2006/relationships/footer" Target="footer26.xml"/><Relationship Id="rId146" Type="http://schemas.openxmlformats.org/officeDocument/2006/relationships/chart" Target="charts/chart79.xml"/><Relationship Id="rId167" Type="http://schemas.openxmlformats.org/officeDocument/2006/relationships/chart" Target="charts/chart94.xml"/><Relationship Id="rId188" Type="http://schemas.openxmlformats.org/officeDocument/2006/relationships/header" Target="header35.xml"/><Relationship Id="rId7" Type="http://schemas.microsoft.com/office/2007/relationships/stylesWithEffects" Target="stylesWithEffects.xml"/><Relationship Id="rId71" Type="http://schemas.openxmlformats.org/officeDocument/2006/relationships/header" Target="header14.xml"/><Relationship Id="rId92" Type="http://schemas.openxmlformats.org/officeDocument/2006/relationships/footer" Target="footer18.xml"/><Relationship Id="rId162" Type="http://schemas.openxmlformats.org/officeDocument/2006/relationships/chart" Target="charts/chart89.xml"/><Relationship Id="rId183" Type="http://schemas.openxmlformats.org/officeDocument/2006/relationships/chart" Target="charts/chart104.xml"/><Relationship Id="rId213" Type="http://schemas.openxmlformats.org/officeDocument/2006/relationships/chart" Target="charts/chart122.xml"/><Relationship Id="rId218" Type="http://schemas.openxmlformats.org/officeDocument/2006/relationships/chart" Target="charts/chart127.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footer" Target="footer6.xml"/><Relationship Id="rId40" Type="http://schemas.openxmlformats.org/officeDocument/2006/relationships/header" Target="header9.xml"/><Relationship Id="rId45" Type="http://schemas.openxmlformats.org/officeDocument/2006/relationships/chart" Target="charts/chart15.xml"/><Relationship Id="rId66" Type="http://schemas.openxmlformats.org/officeDocument/2006/relationships/chart" Target="charts/chart30.xml"/><Relationship Id="rId87" Type="http://schemas.openxmlformats.org/officeDocument/2006/relationships/header" Target="header16.xml"/><Relationship Id="rId110" Type="http://schemas.openxmlformats.org/officeDocument/2006/relationships/chart" Target="charts/chart55.xml"/><Relationship Id="rId115" Type="http://schemas.openxmlformats.org/officeDocument/2006/relationships/chart" Target="charts/chart60.xml"/><Relationship Id="rId131" Type="http://schemas.openxmlformats.org/officeDocument/2006/relationships/chart" Target="charts/chart70.xml"/><Relationship Id="rId136" Type="http://schemas.openxmlformats.org/officeDocument/2006/relationships/chart" Target="charts/chart75.xml"/><Relationship Id="rId157" Type="http://schemas.openxmlformats.org/officeDocument/2006/relationships/footer" Target="footer28.xml"/><Relationship Id="rId178" Type="http://schemas.openxmlformats.org/officeDocument/2006/relationships/chart" Target="charts/chart99.xml"/><Relationship Id="rId61" Type="http://schemas.openxmlformats.org/officeDocument/2006/relationships/chart" Target="charts/chart25.xml"/><Relationship Id="rId82" Type="http://schemas.openxmlformats.org/officeDocument/2006/relationships/chart" Target="charts/chart40.xml"/><Relationship Id="rId152" Type="http://schemas.openxmlformats.org/officeDocument/2006/relationships/chart" Target="charts/chart85.xml"/><Relationship Id="rId173" Type="http://schemas.openxmlformats.org/officeDocument/2006/relationships/footer" Target="footer31.xml"/><Relationship Id="rId194" Type="http://schemas.openxmlformats.org/officeDocument/2006/relationships/chart" Target="charts/chart109.xml"/><Relationship Id="rId199" Type="http://schemas.openxmlformats.org/officeDocument/2006/relationships/chart" Target="charts/chart114.xml"/><Relationship Id="rId203" Type="http://schemas.openxmlformats.org/officeDocument/2006/relationships/header" Target="header37.xml"/><Relationship Id="rId208" Type="http://schemas.openxmlformats.org/officeDocument/2006/relationships/footer" Target="footer39.xml"/><Relationship Id="rId229" Type="http://schemas.openxmlformats.org/officeDocument/2006/relationships/header" Target="header45.xml"/><Relationship Id="rId19" Type="http://schemas.openxmlformats.org/officeDocument/2006/relationships/header" Target="header4.xml"/><Relationship Id="rId224" Type="http://schemas.openxmlformats.org/officeDocument/2006/relationships/footer" Target="footer42.xml"/><Relationship Id="rId14" Type="http://schemas.openxmlformats.org/officeDocument/2006/relationships/header" Target="header2.xm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footer" Target="footer11.xml"/><Relationship Id="rId77" Type="http://schemas.openxmlformats.org/officeDocument/2006/relationships/chart" Target="charts/chart35.xml"/><Relationship Id="rId100" Type="http://schemas.openxmlformats.org/officeDocument/2006/relationships/chart" Target="charts/chart51.xml"/><Relationship Id="rId105" Type="http://schemas.openxmlformats.org/officeDocument/2006/relationships/header" Target="header20.xml"/><Relationship Id="rId126" Type="http://schemas.openxmlformats.org/officeDocument/2006/relationships/footer" Target="footer24.xml"/><Relationship Id="rId147" Type="http://schemas.openxmlformats.org/officeDocument/2006/relationships/chart" Target="charts/chart80.xml"/><Relationship Id="rId168" Type="http://schemas.openxmlformats.org/officeDocument/2006/relationships/chart" Target="charts/chart95.xml"/><Relationship Id="rId8" Type="http://schemas.openxmlformats.org/officeDocument/2006/relationships/settings" Target="settings.xml"/><Relationship Id="rId51" Type="http://schemas.openxmlformats.org/officeDocument/2006/relationships/chart" Target="charts/chart21.xml"/><Relationship Id="rId72" Type="http://schemas.openxmlformats.org/officeDocument/2006/relationships/footer" Target="footer13.xml"/><Relationship Id="rId93" Type="http://schemas.openxmlformats.org/officeDocument/2006/relationships/chart" Target="charts/chart44.xml"/><Relationship Id="rId98" Type="http://schemas.openxmlformats.org/officeDocument/2006/relationships/chart" Target="charts/chart49.xml"/><Relationship Id="rId121" Type="http://schemas.openxmlformats.org/officeDocument/2006/relationships/header" Target="header22.xml"/><Relationship Id="rId142" Type="http://schemas.openxmlformats.org/officeDocument/2006/relationships/header" Target="header27.xml"/><Relationship Id="rId163" Type="http://schemas.openxmlformats.org/officeDocument/2006/relationships/chart" Target="charts/chart90.xml"/><Relationship Id="rId184" Type="http://schemas.openxmlformats.org/officeDocument/2006/relationships/chart" Target="charts/chart105.xml"/><Relationship Id="rId189" Type="http://schemas.openxmlformats.org/officeDocument/2006/relationships/footer" Target="footer34.xml"/><Relationship Id="rId219" Type="http://schemas.openxmlformats.org/officeDocument/2006/relationships/header" Target="header40.xml"/><Relationship Id="rId3" Type="http://schemas.openxmlformats.org/officeDocument/2006/relationships/customXml" Target="../customXml/item3.xml"/><Relationship Id="rId214" Type="http://schemas.openxmlformats.org/officeDocument/2006/relationships/chart" Target="charts/chart123.xml"/><Relationship Id="rId230" Type="http://schemas.openxmlformats.org/officeDocument/2006/relationships/footer" Target="footer45.xml"/><Relationship Id="rId25" Type="http://schemas.openxmlformats.org/officeDocument/2006/relationships/chart" Target="charts/chart1.xml"/><Relationship Id="rId46" Type="http://schemas.openxmlformats.org/officeDocument/2006/relationships/chart" Target="charts/chart16.xml"/><Relationship Id="rId67" Type="http://schemas.openxmlformats.org/officeDocument/2006/relationships/chart" Target="charts/chart31.xml"/><Relationship Id="rId116" Type="http://schemas.openxmlformats.org/officeDocument/2006/relationships/chart" Target="charts/chart61.xml"/><Relationship Id="rId137" Type="http://schemas.openxmlformats.org/officeDocument/2006/relationships/chart" Target="charts/chart76.xml"/><Relationship Id="rId158" Type="http://schemas.openxmlformats.org/officeDocument/2006/relationships/footer" Target="footer29.xml"/><Relationship Id="rId20" Type="http://schemas.openxmlformats.org/officeDocument/2006/relationships/header" Target="header5.xml"/><Relationship Id="rId41" Type="http://schemas.openxmlformats.org/officeDocument/2006/relationships/footer" Target="footer9.xml"/><Relationship Id="rId62" Type="http://schemas.openxmlformats.org/officeDocument/2006/relationships/chart" Target="charts/chart26.xml"/><Relationship Id="rId83" Type="http://schemas.openxmlformats.org/officeDocument/2006/relationships/chart" Target="charts/chart41.xml"/><Relationship Id="rId88" Type="http://schemas.openxmlformats.org/officeDocument/2006/relationships/header" Target="header17.xml"/><Relationship Id="rId111" Type="http://schemas.openxmlformats.org/officeDocument/2006/relationships/chart" Target="charts/chart56.xml"/><Relationship Id="rId132" Type="http://schemas.openxmlformats.org/officeDocument/2006/relationships/chart" Target="charts/chart71.xml"/><Relationship Id="rId153" Type="http://schemas.openxmlformats.org/officeDocument/2006/relationships/chart" Target="charts/chart86.xml"/><Relationship Id="rId174" Type="http://schemas.openxmlformats.org/officeDocument/2006/relationships/footer" Target="footer32.xml"/><Relationship Id="rId179" Type="http://schemas.openxmlformats.org/officeDocument/2006/relationships/chart" Target="charts/chart100.xml"/><Relationship Id="rId195" Type="http://schemas.openxmlformats.org/officeDocument/2006/relationships/chart" Target="charts/chart110.xml"/><Relationship Id="rId209" Type="http://schemas.openxmlformats.org/officeDocument/2006/relationships/chart" Target="charts/chart118.xml"/><Relationship Id="rId190" Type="http://schemas.openxmlformats.org/officeDocument/2006/relationships/footer" Target="footer35.xml"/><Relationship Id="rId204" Type="http://schemas.openxmlformats.org/officeDocument/2006/relationships/header" Target="header38.xml"/><Relationship Id="rId220" Type="http://schemas.openxmlformats.org/officeDocument/2006/relationships/header" Target="header41.xml"/><Relationship Id="rId225" Type="http://schemas.openxmlformats.org/officeDocument/2006/relationships/header" Target="header43.xml"/><Relationship Id="rId15" Type="http://schemas.openxmlformats.org/officeDocument/2006/relationships/footer" Target="footer1.xml"/><Relationship Id="rId36" Type="http://schemas.openxmlformats.org/officeDocument/2006/relationships/header" Target="header7.xml"/><Relationship Id="rId57" Type="http://schemas.openxmlformats.org/officeDocument/2006/relationships/header" Target="header12.xml"/><Relationship Id="rId106" Type="http://schemas.openxmlformats.org/officeDocument/2006/relationships/footer" Target="footer19.xml"/><Relationship Id="rId127" Type="http://schemas.openxmlformats.org/officeDocument/2006/relationships/chart" Target="charts/chart66.xml"/><Relationship Id="rId10" Type="http://schemas.openxmlformats.org/officeDocument/2006/relationships/footnotes" Target="footnotes.xml"/><Relationship Id="rId31" Type="http://schemas.openxmlformats.org/officeDocument/2006/relationships/chart" Target="charts/chart7.xml"/><Relationship Id="rId52" Type="http://schemas.openxmlformats.org/officeDocument/2006/relationships/chart" Target="charts/chart22.xml"/><Relationship Id="rId73" Type="http://schemas.openxmlformats.org/officeDocument/2006/relationships/footer" Target="footer14.xml"/><Relationship Id="rId78" Type="http://schemas.openxmlformats.org/officeDocument/2006/relationships/chart" Target="charts/chart36.xml"/><Relationship Id="rId94" Type="http://schemas.openxmlformats.org/officeDocument/2006/relationships/chart" Target="charts/chart45.xml"/><Relationship Id="rId99" Type="http://schemas.openxmlformats.org/officeDocument/2006/relationships/chart" Target="charts/chart50.xml"/><Relationship Id="rId101" Type="http://schemas.openxmlformats.org/officeDocument/2006/relationships/chart" Target="charts/chart52.xml"/><Relationship Id="rId122" Type="http://schemas.openxmlformats.org/officeDocument/2006/relationships/header" Target="header23.xml"/><Relationship Id="rId143" Type="http://schemas.openxmlformats.org/officeDocument/2006/relationships/footer" Target="footer27.xml"/><Relationship Id="rId148" Type="http://schemas.openxmlformats.org/officeDocument/2006/relationships/chart" Target="charts/chart81.xml"/><Relationship Id="rId164" Type="http://schemas.openxmlformats.org/officeDocument/2006/relationships/chart" Target="charts/chart91.xml"/><Relationship Id="rId169" Type="http://schemas.openxmlformats.org/officeDocument/2006/relationships/chart" Target="charts/chart96.xml"/><Relationship Id="rId185" Type="http://schemas.openxmlformats.org/officeDocument/2006/relationships/chart" Target="charts/chart10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101.xml"/><Relationship Id="rId210" Type="http://schemas.openxmlformats.org/officeDocument/2006/relationships/chart" Target="charts/chart119.xml"/><Relationship Id="rId215" Type="http://schemas.openxmlformats.org/officeDocument/2006/relationships/chart" Target="charts/chart124.xml"/><Relationship Id="rId26" Type="http://schemas.openxmlformats.org/officeDocument/2006/relationships/chart" Target="charts/chart2.xml"/><Relationship Id="rId231" Type="http://schemas.openxmlformats.org/officeDocument/2006/relationships/fontTable" Target="fontTable.xml"/><Relationship Id="rId47" Type="http://schemas.openxmlformats.org/officeDocument/2006/relationships/chart" Target="charts/chart17.xml"/><Relationship Id="rId68" Type="http://schemas.openxmlformats.org/officeDocument/2006/relationships/chart" Target="charts/chart32.xml"/><Relationship Id="rId89" Type="http://schemas.openxmlformats.org/officeDocument/2006/relationships/footer" Target="footer16.xml"/><Relationship Id="rId112" Type="http://schemas.openxmlformats.org/officeDocument/2006/relationships/chart" Target="charts/chart57.xml"/><Relationship Id="rId133" Type="http://schemas.openxmlformats.org/officeDocument/2006/relationships/chart" Target="charts/chart72.xml"/><Relationship Id="rId154" Type="http://schemas.openxmlformats.org/officeDocument/2006/relationships/chart" Target="charts/chart87.xml"/><Relationship Id="rId175" Type="http://schemas.openxmlformats.org/officeDocument/2006/relationships/header" Target="header33.xml"/><Relationship Id="rId196" Type="http://schemas.openxmlformats.org/officeDocument/2006/relationships/chart" Target="charts/chart111.xml"/><Relationship Id="rId200" Type="http://schemas.openxmlformats.org/officeDocument/2006/relationships/chart" Target="charts/chart115.xml"/><Relationship Id="rId16" Type="http://schemas.openxmlformats.org/officeDocument/2006/relationships/footer" Target="footer2.xml"/><Relationship Id="rId221" Type="http://schemas.openxmlformats.org/officeDocument/2006/relationships/footer" Target="footer40.xml"/><Relationship Id="rId37" Type="http://schemas.openxmlformats.org/officeDocument/2006/relationships/header" Target="header8.xml"/><Relationship Id="rId58" Type="http://schemas.openxmlformats.org/officeDocument/2006/relationships/footer" Target="footer12.xml"/><Relationship Id="rId79" Type="http://schemas.openxmlformats.org/officeDocument/2006/relationships/chart" Target="charts/chart37.xml"/><Relationship Id="rId102" Type="http://schemas.openxmlformats.org/officeDocument/2006/relationships/chart" Target="charts/chart53.xml"/><Relationship Id="rId123" Type="http://schemas.openxmlformats.org/officeDocument/2006/relationships/footer" Target="footer22.xml"/><Relationship Id="rId144" Type="http://schemas.openxmlformats.org/officeDocument/2006/relationships/chart" Target="charts/chart77.xml"/><Relationship Id="rId90" Type="http://schemas.openxmlformats.org/officeDocument/2006/relationships/footer" Target="footer17.xml"/><Relationship Id="rId165" Type="http://schemas.openxmlformats.org/officeDocument/2006/relationships/chart" Target="charts/chart92.xml"/><Relationship Id="rId186" Type="http://schemas.openxmlformats.org/officeDocument/2006/relationships/chart" Target="charts/chart107.xml"/><Relationship Id="rId211" Type="http://schemas.openxmlformats.org/officeDocument/2006/relationships/chart" Target="charts/chart120.xml"/><Relationship Id="rId232" Type="http://schemas.openxmlformats.org/officeDocument/2006/relationships/theme" Target="theme/theme1.xml"/></Relationships>
</file>

<file path=word/_rels/footnotes.xml.rels><?xml version="1.0" encoding="UTF-8" standalone="yes"?>
<Relationships xmlns="http://schemas.openxmlformats.org/package/2006/relationships"><Relationship Id="rId117" Type="http://schemas.openxmlformats.org/officeDocument/2006/relationships/hyperlink" Target="http://europa.eu/rapid/press-release_MEMO-18-6247_en.htm" TargetMode="External"/><Relationship Id="rId299" Type="http://schemas.openxmlformats.org/officeDocument/2006/relationships/hyperlink" Target="https://eur-lex.europa.eu/eli/dir/2016/1214/oj" TargetMode="External"/><Relationship Id="rId21" Type="http://schemas.openxmlformats.org/officeDocument/2006/relationships/hyperlink" Target="https://eur-lex.europa.eu/legal-content/EN/TXT/?qid=1551815135749&amp;uri=CELEX:32009L0073" TargetMode="External"/><Relationship Id="rId63" Type="http://schemas.openxmlformats.org/officeDocument/2006/relationships/hyperlink" Target="http://europa.eu/rapid/press-release_MEMO-18-3446_EN.htm" TargetMode="External"/><Relationship Id="rId159" Type="http://schemas.openxmlformats.org/officeDocument/2006/relationships/hyperlink" Target="http://europa.eu/rapid/press-release_MEMO-18-1444_en.htm" TargetMode="External"/><Relationship Id="rId324" Type="http://schemas.openxmlformats.org/officeDocument/2006/relationships/hyperlink" Target="https://eur-lex.europa.eu/legal-content/EN/ALL/?uri=CELEX:32001L0042" TargetMode="External"/><Relationship Id="rId366" Type="http://schemas.openxmlformats.org/officeDocument/2006/relationships/hyperlink" Target="https://eur-lex.europa.eu/legal-content/EN/TXT/?uri=CELEX%3A32005L0036" TargetMode="External"/><Relationship Id="rId170" Type="http://schemas.openxmlformats.org/officeDocument/2006/relationships/hyperlink" Target="https://eur-lex.europa.eu/legal-content/EN/TXT/?uri=celex%3A32014L0065" TargetMode="External"/><Relationship Id="rId226" Type="http://schemas.openxmlformats.org/officeDocument/2006/relationships/hyperlink" Target="http://europa.eu/rapid/press-release_IP-18-356_en.htm" TargetMode="External"/><Relationship Id="rId433" Type="http://schemas.openxmlformats.org/officeDocument/2006/relationships/hyperlink" Target="http://curia.europa.eu/juris/liste.jsf?oqp=&amp;for=&amp;mat=or&amp;jge=&amp;td=%3BALL&amp;jur=C%2CT%2CF&amp;num=C-213%252F19&amp;page=1&amp;dates=&amp;pcs=Oor&amp;lg=&amp;pro=&amp;nat=or&amp;cit=none%252CC%252CCJ%252CR%252C2008E%252C%252C%252C%252C%252C%252C%252C%252C%252C%252Ctrue%252Cfalse%252Cfalse&amp;language=en&amp;avg=&amp;cid=3843294" TargetMode="External"/><Relationship Id="rId268" Type="http://schemas.openxmlformats.org/officeDocument/2006/relationships/hyperlink" Target="https://eur-lex.europa.eu/legal-content/EN/TXT/?uri=CELEX:32016L0097" TargetMode="External"/><Relationship Id="rId32" Type="http://schemas.openxmlformats.org/officeDocument/2006/relationships/hyperlink" Target="https://eur-lex.europa.eu/legal-content/EN/TXT/?uri=CELEX:32008L0099" TargetMode="External"/><Relationship Id="rId74" Type="http://schemas.openxmlformats.org/officeDocument/2006/relationships/hyperlink" Target="https://eur-lex.europa.eu/legal-content/EN/TXT/?uri=CELEX%3A32009L0147" TargetMode="External"/><Relationship Id="rId128" Type="http://schemas.openxmlformats.org/officeDocument/2006/relationships/hyperlink" Target="https://eur-lex.europa.eu/legal-content/EN/TXT/?uri=uriserv:OJ.L_.2016.344.01.0001.01.ENG" TargetMode="External"/><Relationship Id="rId335" Type="http://schemas.openxmlformats.org/officeDocument/2006/relationships/hyperlink" Target="https://eur-lex.europa.eu/legal-content/EN/TXT/?uri=CELEX%3A31999L0031" TargetMode="External"/><Relationship Id="rId377" Type="http://schemas.openxmlformats.org/officeDocument/2006/relationships/hyperlink" Target="https://eur-lex.europa.eu/legal-content/EN/ALL/?uri=CELEX%3A32014L0017" TargetMode="External"/><Relationship Id="rId5" Type="http://schemas.openxmlformats.org/officeDocument/2006/relationships/hyperlink" Target="https://eur-lex.europa.eu/legal-content/EN/TXT/?qid=1521646247233&amp;uri=CELEX:32012L0027" TargetMode="External"/><Relationship Id="rId181" Type="http://schemas.openxmlformats.org/officeDocument/2006/relationships/hyperlink" Target="http://curia.europa.eu/juris/liste.jsf?oqp=&amp;for=&amp;mat=or&amp;jge=&amp;td=%3BALL&amp;jur=C%2CT%2CF&amp;num=C-206%252F18&amp;page=1&amp;dates=&amp;pcs=Oor&amp;lg=&amp;pro=&amp;nat=or&amp;cit=none%252CC%252CCJ%252CR%252C2008E%252C%252C%252C%252C%252C%252C%252C%252C%252C%252Ctrue%252Cfalse%252Cfalse&amp;lan" TargetMode="External"/><Relationship Id="rId237" Type="http://schemas.openxmlformats.org/officeDocument/2006/relationships/hyperlink" Target="https://eur-lex.europa.eu/legal-content/EN/TXT/?uri=celex%3A32014L0052" TargetMode="External"/><Relationship Id="rId402" Type="http://schemas.openxmlformats.org/officeDocument/2006/relationships/hyperlink" Target="https://eur-lex.europa.eu/legal-content/EN/TXT/?uri=celex%3A32014L0065" TargetMode="External"/><Relationship Id="rId279" Type="http://schemas.openxmlformats.org/officeDocument/2006/relationships/hyperlink" Target="http://europa.eu/rapid/press-release_IP-18-4491_en.htm" TargetMode="External"/><Relationship Id="rId444" Type="http://schemas.openxmlformats.org/officeDocument/2006/relationships/hyperlink" Target="http://europa.eu/rapid/press-release_IP-18-3450_en.htm" TargetMode="External"/><Relationship Id="rId43" Type="http://schemas.openxmlformats.org/officeDocument/2006/relationships/hyperlink" Target="https://curia.europa.eu/jcms/upload/docs/application/pdf/2018-09/cp180137en.pdf" TargetMode="External"/><Relationship Id="rId139" Type="http://schemas.openxmlformats.org/officeDocument/2006/relationships/hyperlink" Target="https://eur-lex.europa.eu/legal-content/en/TXT/?uri=CELEX%3A32014L0025" TargetMode="External"/><Relationship Id="rId290" Type="http://schemas.openxmlformats.org/officeDocument/2006/relationships/hyperlink" Target="https://eur-lex.europa.eu/legal-content/EN/TXT/?uri=CELEX%3A32014L0091" TargetMode="External"/><Relationship Id="rId304" Type="http://schemas.openxmlformats.org/officeDocument/2006/relationships/hyperlink" Target="http://curia.europa.eu/juris/liste.jsf?oqp=&amp;for=&amp;mat=or&amp;jge=&amp;td=%3BALL&amp;jur=C%2CT%2CF&amp;num=C-140%252F14&amp;page=1&amp;dates=&amp;pcs=Oor&amp;lg=&amp;pro=&amp;nat=or&amp;cit=none%252CC%252CCJ%252CR%252C2008E%252C%252C%252C%252C%252C%252C%252C%252C%252C%252Ctrue%252Cfalse%252Cfalse&amp;language=en&amp;avg=&amp;cid=6360520" TargetMode="External"/><Relationship Id="rId346" Type="http://schemas.openxmlformats.org/officeDocument/2006/relationships/hyperlink" Target="https://eur-lex.europa.eu/legal-content/EN/TXT/?qid=1551712367908&amp;uri=CELEX:32018L0100" TargetMode="External"/><Relationship Id="rId388" Type="http://schemas.openxmlformats.org/officeDocument/2006/relationships/hyperlink" Target="http://europa.eu/rapid/press-release_MEMO-18-6247_en.htm" TargetMode="External"/><Relationship Id="rId85" Type="http://schemas.openxmlformats.org/officeDocument/2006/relationships/hyperlink" Target="https://eur-lex.europa.eu/legal-content/en/TXT/?uri=CELEX%3A32017D0899" TargetMode="External"/><Relationship Id="rId150" Type="http://schemas.openxmlformats.org/officeDocument/2006/relationships/hyperlink" Target="https://eur-lex.europa.eu/legal-content/EN/TXT/PDF/?uri=CELEX:02014L0025-20180101&amp;qid=1545934640160&amp;from=EN" TargetMode="External"/><Relationship Id="rId192" Type="http://schemas.openxmlformats.org/officeDocument/2006/relationships/hyperlink" Target="https://eur-lex.europa.eu/legal-content/EN/TXT/PDF/?uri=CELEX:02004L0049-20140730&amp;qid=1545851964102&amp;from=EN" TargetMode="External"/><Relationship Id="rId206" Type="http://schemas.openxmlformats.org/officeDocument/2006/relationships/hyperlink" Target="https://eur-lex.europa.eu/legal-content/EN/TXT/?uri=CELEX%3A32005L0036" TargetMode="External"/><Relationship Id="rId413" Type="http://schemas.openxmlformats.org/officeDocument/2006/relationships/hyperlink" Target="https://eur-lex.europa.eu/legal-content/EN/TXT/?uri=CELEX%3A32017L1279" TargetMode="External"/><Relationship Id="rId248" Type="http://schemas.openxmlformats.org/officeDocument/2006/relationships/hyperlink" Target="https://eur-lex.europa.eu/legal-content/EN/TXT/?uri=CELEX%3A32005L0036" TargetMode="External"/><Relationship Id="rId455" Type="http://schemas.openxmlformats.org/officeDocument/2006/relationships/hyperlink" Target="https://curia.europa.eu/jcms/upload/docs/application/pdf/2018-04/cp180041en.pdf" TargetMode="External"/><Relationship Id="rId12" Type="http://schemas.openxmlformats.org/officeDocument/2006/relationships/hyperlink" Target="http://europa.eu/rapid/press-release_MEMO-18-4486_en.htm" TargetMode="External"/><Relationship Id="rId108" Type="http://schemas.openxmlformats.org/officeDocument/2006/relationships/hyperlink" Target="https://eur-lex.europa.eu/legal-content/EN/ALL/?uri=CELEX:32013R0604" TargetMode="External"/><Relationship Id="rId315" Type="http://schemas.openxmlformats.org/officeDocument/2006/relationships/hyperlink" Target="https://eur-lex.europa.eu/legal-content/EN/TXT/?uri=CELEX:32017L0593" TargetMode="External"/><Relationship Id="rId357" Type="http://schemas.openxmlformats.org/officeDocument/2006/relationships/hyperlink" Target="http://curia.europa.eu/juris/liste.jsf?oqp=&amp;for=&amp;mat=or&amp;jge=&amp;td=%3BALL&amp;jur=C%2CT%2CF&amp;num=C-626%252F16&amp;page=1&amp;dates=&amp;pcs=Oor&amp;lg=&amp;pro=&amp;nat=or&amp;cit=none%252CC%252CCJ%252CR%252C2008E%252C%252C%252C%252C%252C%252C%252C%252C%252C%252Ctrue%252Cfalse%252Cfalse&amp;language=en&amp;avg=&amp;cid=1449908" TargetMode="External"/><Relationship Id="rId54" Type="http://schemas.openxmlformats.org/officeDocument/2006/relationships/hyperlink" Target="http://europa.eu/rapid/press-release_IP-18-358_en.htm" TargetMode="External"/><Relationship Id="rId96" Type="http://schemas.openxmlformats.org/officeDocument/2006/relationships/hyperlink" Target="https://eur-lex.europa.eu/legal-content/EN/TXT/?uri=CELEX%3A31992L0043" TargetMode="External"/><Relationship Id="rId161" Type="http://schemas.openxmlformats.org/officeDocument/2006/relationships/hyperlink" Target="http://europa.eu/rapid/press-release_MEMO-18-3446_EN.htm" TargetMode="External"/><Relationship Id="rId217" Type="http://schemas.openxmlformats.org/officeDocument/2006/relationships/hyperlink" Target="http://europa.eu/rapid/press-release_MEMO-18-3446_EN.htm" TargetMode="External"/><Relationship Id="rId399" Type="http://schemas.openxmlformats.org/officeDocument/2006/relationships/hyperlink" Target="https://eur-lex.europa.eu/legal-content/EN/TXT/?qid=1553004522627&amp;uri=CELEX:32016L1214" TargetMode="External"/><Relationship Id="rId259" Type="http://schemas.openxmlformats.org/officeDocument/2006/relationships/hyperlink" Target="http://europa.eu/rapid/press-release_MEMO-18-4486_en.htm" TargetMode="External"/><Relationship Id="rId424" Type="http://schemas.openxmlformats.org/officeDocument/2006/relationships/hyperlink" Target="https://eur-lex.europa.eu/legal-content/EN/TXT/?uri=CELEX:02013R1379-20150601" TargetMode="External"/><Relationship Id="rId23" Type="http://schemas.openxmlformats.org/officeDocument/2006/relationships/hyperlink" Target="http://europa.eu/rapid/press-release_IP-18-4487_en.htm" TargetMode="External"/><Relationship Id="rId119" Type="http://schemas.openxmlformats.org/officeDocument/2006/relationships/hyperlink" Target="http://europa.eu/rapid/press-release_MEMO-18-3446_EN.htm" TargetMode="External"/><Relationship Id="rId270" Type="http://schemas.openxmlformats.org/officeDocument/2006/relationships/hyperlink" Target="http://europa.eu/rapid/press-release_MEMO-18-349_en.htm" TargetMode="External"/><Relationship Id="rId291" Type="http://schemas.openxmlformats.org/officeDocument/2006/relationships/hyperlink" Target="https://eur-lex.europa.eu/legal-content/EN/ALL/?uri=CELEX:32013L0030" TargetMode="External"/><Relationship Id="rId305" Type="http://schemas.openxmlformats.org/officeDocument/2006/relationships/hyperlink" Target="http://europa.eu/rapid/press-release_MEMO-18-3986_en.htm" TargetMode="External"/><Relationship Id="rId326" Type="http://schemas.openxmlformats.org/officeDocument/2006/relationships/hyperlink" Target="https://eur-lex.europa.eu/eli/dir/2016/1214/oj" TargetMode="External"/><Relationship Id="rId347" Type="http://schemas.openxmlformats.org/officeDocument/2006/relationships/hyperlink" Target="https://eur-lex.europa.eu/legal-content/EN/TXT/?uri=CELEX%3A32017L1279" TargetMode="External"/><Relationship Id="rId44" Type="http://schemas.openxmlformats.org/officeDocument/2006/relationships/hyperlink" Target="http://europa.eu/rapid/press-release_IP-18-1451_en.htm" TargetMode="External"/><Relationship Id="rId65" Type="http://schemas.openxmlformats.org/officeDocument/2006/relationships/hyperlink" Target="https://eur-lex.europa.eu/legal-content/EN/TXT/?uri=uriserv%3AOJ.L_.2016.128.01.0004.01.ENG" TargetMode="External"/><Relationship Id="rId86" Type="http://schemas.openxmlformats.org/officeDocument/2006/relationships/hyperlink" Target="https://eur-lex.europa.eu/legal-content/EN/TXT/?qid=1521645914219&amp;uri=CELEX:32011L0070" TargetMode="External"/><Relationship Id="rId130" Type="http://schemas.openxmlformats.org/officeDocument/2006/relationships/hyperlink" Target="http://curia.europa.eu/juris/liste.jsf?oqp=&amp;for=&amp;mat=or&amp;jge=&amp;td=%3BALL&amp;jur=C%2CT%2CF&amp;num=C-487%252F18&amp;page=1&amp;dates=&amp;pcs=Oor&amp;lg=&amp;pro=&amp;nat=or&amp;cit=none%252CC%252CCJ%252CR%252C2008E%252C%252C%252C%252C%252C%252C%252C%252C%252C%252Ctrue%252Cfalse%252Cfalse&amp;language=en&amp;avg=&amp;cid=3843294http://curia.europa.eu/juris/liste.jsf?oqp=&amp;for=&amp;mat=or&amp;jge=&amp;td=%3BALL&amp;jur=C%2CT%2CF&amp;num=391%252F18&amp;page=1&amp;dates=&amp;pcs=Oor&amp;lg=&amp;pro=&amp;nat=or&amp;cit=none%252CC%252CCJ%252CR%252C2008E%252C%252C%252C%252C%252C%252C%252C%252C%252C%252Ctrue%252Cfalse%252Cfalse&amp;language=en&amp;avg=&amp;cid=7012349" TargetMode="External"/><Relationship Id="rId151" Type="http://schemas.openxmlformats.org/officeDocument/2006/relationships/hyperlink" Target="http://curia.europa.eu/juris/liste.jsf?language=en&amp;num=c-518/17&amp;td=ALL" TargetMode="External"/><Relationship Id="rId368" Type="http://schemas.openxmlformats.org/officeDocument/2006/relationships/hyperlink" Target="https://eur-lex.europa.eu/legal-content/EN/TXT/PDF/?uri=CELEX:32013L0059&amp;from=EN" TargetMode="External"/><Relationship Id="rId389" Type="http://schemas.openxmlformats.org/officeDocument/2006/relationships/hyperlink" Target="https://eur-lex.europa.eu/legal-content/EN/TXT/?uri=CELEX:32000L0060" TargetMode="External"/><Relationship Id="rId172" Type="http://schemas.openxmlformats.org/officeDocument/2006/relationships/hyperlink" Target="https://eur-lex.europa.eu/eli/dir/2016/1214/oj" TargetMode="External"/><Relationship Id="rId193" Type="http://schemas.openxmlformats.org/officeDocument/2006/relationships/hyperlink" Target="http://curia.europa.eu/juris/liste.jsf?language=en&amp;num=c-530/16&amp;td=ALL" TargetMode="External"/><Relationship Id="rId207" Type="http://schemas.openxmlformats.org/officeDocument/2006/relationships/hyperlink" Target="http://europa.eu/rapid/press-release_MEMO-18-4486_en.htm" TargetMode="External"/><Relationship Id="rId228" Type="http://schemas.openxmlformats.org/officeDocument/2006/relationships/hyperlink" Target="https://eur-lex.europa.eu/legal-content/EN/TXT/?qid=1551714870369&amp;uri=CELEX:31996L0067https://eur-lex.europa.eu/legal-content/EN/TXT/PDF/?uri=CELEX:01996L0067-20031120&amp;qid=1548346399037&amp;from=FR" TargetMode="External"/><Relationship Id="rId249" Type="http://schemas.openxmlformats.org/officeDocument/2006/relationships/hyperlink" Target="http://europa.eu/rapid/press-release_MEMO-18-4486_en.htm" TargetMode="External"/><Relationship Id="rId414" Type="http://schemas.openxmlformats.org/officeDocument/2006/relationships/hyperlink" Target="https://eur-lex.europa.eu/legal-content/EN/TXT/?qid=1521545327221&amp;uri=CELEX:32014L0036" TargetMode="External"/><Relationship Id="rId435" Type="http://schemas.openxmlformats.org/officeDocument/2006/relationships/hyperlink" Target="http://europa.eu/rapid/press-release_MEMO-18-4486_en.htm" TargetMode="External"/><Relationship Id="rId456" Type="http://schemas.openxmlformats.org/officeDocument/2006/relationships/hyperlink" Target="http://curia.europa.eu/juris/liste.jsf?language=en&amp;num=c-121/17&amp;td=ALL" TargetMode="External"/><Relationship Id="rId13" Type="http://schemas.openxmlformats.org/officeDocument/2006/relationships/hyperlink" Target="http://europa.eu/rapid/press-release_IP-18-4522_fr.htm" TargetMode="External"/><Relationship Id="rId109" Type="http://schemas.openxmlformats.org/officeDocument/2006/relationships/hyperlink" Target="http://curia.europa.eu/juris/liste.jsf?oqp=&amp;for=&amp;mat=or&amp;jge=&amp;td=%3BALL&amp;jur=C%2CT%2CF&amp;num=C-257%252F17&amp;page=1&amp;dates=&amp;pcs=Oor&amp;lg=&amp;pro=&amp;nat=or&amp;cit=none%252CC%252CCJ%252CR%252C2008E%252C%252C%252C%252C%252C%252C%252C%252C%252C%252Ctrue%252Cfalse%252Cfalse&amp;language=en&amp;avg=&amp;cid=5120782" TargetMode="External"/><Relationship Id="rId260" Type="http://schemas.openxmlformats.org/officeDocument/2006/relationships/hyperlink" Target="https://eur-lex.europa.eu/legal-content/EN/TXT/?uri=CELEX%3A32015L2193" TargetMode="External"/><Relationship Id="rId281" Type="http://schemas.openxmlformats.org/officeDocument/2006/relationships/hyperlink" Target="https://eur-lex.europa.eu/legal-content/EN/TXT/?qid=1547197057824&amp;uri=CELEX:32014L0094" TargetMode="External"/><Relationship Id="rId316" Type="http://schemas.openxmlformats.org/officeDocument/2006/relationships/hyperlink" Target="http://curia.europa.eu/juris/liste.jsf?oqp=&amp;for=&amp;mat=or&amp;jge=&amp;td=%3BALL&amp;jur=C%2CT%2CF&amp;num=628%252F18&amp;page=1&amp;dates=&amp;pcs=Oor&amp;lg=&amp;pro=&amp;nat=or&amp;cit=none%252CC%252CCJ%252CR%252C2008E%252C%252C%252C%252C%252C%252C%252C%252C%252C%252Ctrue%252Cfalse%252Cfalse&amp;language=en&amp;avg=&amp;cid=6498993" TargetMode="External"/><Relationship Id="rId337" Type="http://schemas.openxmlformats.org/officeDocument/2006/relationships/hyperlink" Target="http://curia.europa.eu/juris/document/document.jsf?text=&amp;docid=206888&amp;pageIndex=0&amp;doclang=en&amp;mode=lst&amp;dir=&amp;occ=first&amp;part=1&amp;cid=7871010" TargetMode="External"/><Relationship Id="rId34" Type="http://schemas.openxmlformats.org/officeDocument/2006/relationships/hyperlink" Target="http://curia.europa.eu/juris/document/document.jsf?text=&amp;docid=198763&amp;pageIndex=0&amp;doclang=en&amp;mode=lst&amp;dir=&amp;occ=first&amp;part=1&amp;cid=1820705" TargetMode="External"/><Relationship Id="rId55" Type="http://schemas.openxmlformats.org/officeDocument/2006/relationships/hyperlink" Target="http://europa.eu/rapid/press-release_MEMO-18-349_en.htm" TargetMode="External"/><Relationship Id="rId76" Type="http://schemas.openxmlformats.org/officeDocument/2006/relationships/hyperlink" Target="https://eur-lex.europa.eu/legal-content/EN/TXT/?uri=CELEX:32004L0114" TargetMode="External"/><Relationship Id="rId97" Type="http://schemas.openxmlformats.org/officeDocument/2006/relationships/hyperlink" Target="https://eur-lex.europa.eu/legal-content/EN/TXT/?qid=1521646057107&amp;uri=CELEX:32009L0072" TargetMode="External"/><Relationship Id="rId120" Type="http://schemas.openxmlformats.org/officeDocument/2006/relationships/hyperlink" Target="https://eur-lex.europa.eu/legal-content/EN/TXT/?uri=CELEX%3A32011L0092" TargetMode="External"/><Relationship Id="rId141" Type="http://schemas.openxmlformats.org/officeDocument/2006/relationships/hyperlink" Target="https://eur-lex.europa.eu/legal-content/EN/TXT/?qid=1521545327221&amp;uri=CELEX:32014L0036" TargetMode="External"/><Relationship Id="rId358" Type="http://schemas.openxmlformats.org/officeDocument/2006/relationships/hyperlink" Target="https://curia.europa.eu/jcms/upload/docs/application/pdf/2018-07/cp180099en.pdf" TargetMode="External"/><Relationship Id="rId379" Type="http://schemas.openxmlformats.org/officeDocument/2006/relationships/hyperlink" Target="https://eur-lex.europa.eu/legal-content/EN/TXT/?uri=OJ%3AJOL_2014_127_R_0001" TargetMode="External"/><Relationship Id="rId7" Type="http://schemas.openxmlformats.org/officeDocument/2006/relationships/hyperlink" Target="https://eur-lex.europa.eu/legal-content/EN/TXT/?qid=1521645914219&amp;uri=CELEX:32011L0070" TargetMode="External"/><Relationship Id="rId162" Type="http://schemas.openxmlformats.org/officeDocument/2006/relationships/hyperlink" Target="https://eur-lex.europa.eu/legal-content/EN/TXT/?qid=1521645914219&amp;uri=CELEX:32011L0070" TargetMode="External"/><Relationship Id="rId183" Type="http://schemas.openxmlformats.org/officeDocument/2006/relationships/hyperlink" Target="http://europa.eu/rapid/press-release_IP-18-3459_fr.htm" TargetMode="External"/><Relationship Id="rId218" Type="http://schemas.openxmlformats.org/officeDocument/2006/relationships/hyperlink" Target="https://eur-lex.europa.eu/legal-content/EN/TXT/?uri=CELEX%3A32015L2193" TargetMode="External"/><Relationship Id="rId239" Type="http://schemas.openxmlformats.org/officeDocument/2006/relationships/hyperlink" Target="https://eur-lex.europa.eu/legal-content/EN/TXT/?uri=CELEX%3A31998L0083" TargetMode="External"/><Relationship Id="rId390" Type="http://schemas.openxmlformats.org/officeDocument/2006/relationships/hyperlink" Target="http://europa.eu/rapid/press-release_MEMO-18-349_en.htm" TargetMode="External"/><Relationship Id="rId404" Type="http://schemas.openxmlformats.org/officeDocument/2006/relationships/hyperlink" Target="https://eur-lex.europa.eu/legal-content/EN/TXT/PDF/?uri=CELEX:32013L0059&amp;from=EN" TargetMode="External"/><Relationship Id="rId425" Type="http://schemas.openxmlformats.org/officeDocument/2006/relationships/hyperlink" Target="http://europa.eu/rapid/press-release_MEMO-18-3446_en.htm" TargetMode="External"/><Relationship Id="rId446" Type="http://schemas.openxmlformats.org/officeDocument/2006/relationships/hyperlink" Target="https://eur-lex.europa.eu/legal-content/EN/ALL/?uri=CELEX:32001L0042" TargetMode="External"/><Relationship Id="rId250" Type="http://schemas.openxmlformats.org/officeDocument/2006/relationships/hyperlink" Target="https://eur-lex.europa.eu/legal-content/EN/TXT/?qid=1521645914219&amp;uri=CELEX:32011L0070" TargetMode="External"/><Relationship Id="rId271" Type="http://schemas.openxmlformats.org/officeDocument/2006/relationships/hyperlink" Target="https://eur-lex.europa.eu/eli/dir/2017/1564/oj" TargetMode="External"/><Relationship Id="rId292" Type="http://schemas.openxmlformats.org/officeDocument/2006/relationships/hyperlink" Target="https://eur-lex.europa.eu/legal-content/EN/TXT/?uri=CELEX%3A31999L0031" TargetMode="External"/><Relationship Id="rId306" Type="http://schemas.openxmlformats.org/officeDocument/2006/relationships/hyperlink" Target="https://eur-lex.europa.eu/legal-content/EN/TXT/?qid=1521645914219&amp;uri=CELEX:32011L0070" TargetMode="External"/><Relationship Id="rId24" Type="http://schemas.openxmlformats.org/officeDocument/2006/relationships/hyperlink" Target="https://eur-lex.europa.eu/legal-content/EN/ALL/?uri=CELEX%3A32008L0050" TargetMode="External"/><Relationship Id="rId45" Type="http://schemas.openxmlformats.org/officeDocument/2006/relationships/hyperlink" Target="https://eur-lex.europa.eu/legal-content/EN/TXT/?uri=CELEX%3A32005L0036" TargetMode="External"/><Relationship Id="rId66" Type="http://schemas.openxmlformats.org/officeDocument/2006/relationships/hyperlink" Target="https://eur-lex.europa.eu/legal-content/EN/TXT/?uri=CELEX%3A32017L1279" TargetMode="External"/><Relationship Id="rId87" Type="http://schemas.openxmlformats.org/officeDocument/2006/relationships/hyperlink" Target="http://europa.eu/rapid/press-release_MEMO-18-3446_EN.htm" TargetMode="External"/><Relationship Id="rId110" Type="http://schemas.openxmlformats.org/officeDocument/2006/relationships/hyperlink" Target="http://curia.europa.eu/juris/liste.jsf?oqp=&amp;for=&amp;mat=or&amp;jge=&amp;td=%3BALL&amp;jur=C%2CT%2CF&amp;num=C-484%252F17&amp;page=1&amp;dates=&amp;pcs=Oor&amp;lg=&amp;pro=&amp;nat=or&amp;cit=none%252CC%252CCJ%252CR%252C2008E%252C%252C%252C%252C%252C%252C%252C%252C%252C%252Ctrue%252Cfalse%252Cfalse&amp;language=en&amp;avg=&amp;cid=3843294" TargetMode="External"/><Relationship Id="rId131" Type="http://schemas.openxmlformats.org/officeDocument/2006/relationships/hyperlink" Target="http://europa.eu/rapid/press-release_MEMO-18-3446_EN.htm" TargetMode="External"/><Relationship Id="rId327" Type="http://schemas.openxmlformats.org/officeDocument/2006/relationships/hyperlink" Target="https://eur-lex.europa.eu/legal-content/EN/TXT/?uri=CELEX%3A32014L0042" TargetMode="External"/><Relationship Id="rId348" Type="http://schemas.openxmlformats.org/officeDocument/2006/relationships/hyperlink" Target="https://eur-lex.europa.eu/legal-content/EN/TXT/?uri=CELEX%3A32016L2102" TargetMode="External"/><Relationship Id="rId369" Type="http://schemas.openxmlformats.org/officeDocument/2006/relationships/hyperlink" Target="http://europa.eu/rapid/press-release_MEMO-18-3446_EN.htm" TargetMode="External"/><Relationship Id="rId152" Type="http://schemas.openxmlformats.org/officeDocument/2006/relationships/hyperlink" Target="http://curia.europa.eu/juris/liste.jsf?oqp=&amp;for=&amp;mat=or&amp;jge=&amp;td=%3BALL&amp;jur=C%2CT%2CF&amp;num=C-628%252F16&amp;page=1&amp;dates=&amp;pcs=Oor&amp;lg=&amp;pro=&amp;nat=or&amp;cit=none%252CC%252CCJ%252CR%252C2008E%252C%252C%252C%252C%252C%252C%252C%252C%252C%252Ctrue%252Cfalse%252Cfalse&amp;language=en&amp;avg=&amp;cid=5324038" TargetMode="External"/><Relationship Id="rId173" Type="http://schemas.openxmlformats.org/officeDocument/2006/relationships/hyperlink" Target="https://eur-lex.europa.eu/legal-content/en/ALL/?uri=CELEX:32014L0087" TargetMode="External"/><Relationship Id="rId194" Type="http://schemas.openxmlformats.org/officeDocument/2006/relationships/hyperlink" Target="http://curia.europa.eu/juris/liste.jsf?oqp=&amp;for=&amp;mat=or&amp;jge=&amp;td=%3BALL&amp;jur=C%2CT%2CF&amp;num=C-336%252F16&amp;page=1&amp;dates=&amp;pcs=Oor&amp;lg=&amp;pro=&amp;nat=or&amp;cit=none%252CC%252CCJ%252CR%252C2008E%252C%252C%252C%252C%252C%252C%252C%252C%252C%252Ctrue%252Cfalse%252Cfalse&amp;language=en&amp;avg=&amp;cid=1449908" TargetMode="External"/><Relationship Id="rId208" Type="http://schemas.openxmlformats.org/officeDocument/2006/relationships/hyperlink" Target="http://europa.eu/rapid/press-release_IP-18-357_en.htm" TargetMode="External"/><Relationship Id="rId229" Type="http://schemas.openxmlformats.org/officeDocument/2006/relationships/hyperlink" Target="https://eur-lex.europa.eu/legal-content/EN/TXT/?qid=1551714914212&amp;uri=CELEX:32009L0021https://eur-lex.europa.eu/legal-content/EN/TXT/PDF/?uri=CELEX:32009L0021&amp;qid=1548342791297&amp;from=FR" TargetMode="External"/><Relationship Id="rId380" Type="http://schemas.openxmlformats.org/officeDocument/2006/relationships/hyperlink" Target="https://eur-lex.europa.eu/legal-content/EN/TXT/?qid=1521545327221&amp;uri=CELEX:32014L0036" TargetMode="External"/><Relationship Id="rId415" Type="http://schemas.openxmlformats.org/officeDocument/2006/relationships/hyperlink" Target="http://curia.europa.eu/juris/document/document.jsf?text=&amp;docid=204386&amp;pageIndex=0&amp;doclang=en&amp;mode=lst&amp;dir=&amp;occ=first&amp;part=1&amp;cid=1825347" TargetMode="External"/><Relationship Id="rId436" Type="http://schemas.openxmlformats.org/officeDocument/2006/relationships/hyperlink" Target="https://eur-lex.europa.eu/eli/dir/2016/1214/oj" TargetMode="External"/><Relationship Id="rId457" Type="http://schemas.openxmlformats.org/officeDocument/2006/relationships/hyperlink" Target="http://curia.europa.eu/juris/liste.jsf?language=en&amp;num=c-567/16&amp;td=ALL" TargetMode="External"/><Relationship Id="rId240" Type="http://schemas.openxmlformats.org/officeDocument/2006/relationships/hyperlink" Target="http://europa.eu/rapid/press-release_MEMO-18-6247_EN.htm" TargetMode="External"/><Relationship Id="rId261" Type="http://schemas.openxmlformats.org/officeDocument/2006/relationships/hyperlink" Target="http://europa.eu/rapid/press-release_MEMO-18-4486_en.htm" TargetMode="External"/><Relationship Id="rId14" Type="http://schemas.openxmlformats.org/officeDocument/2006/relationships/hyperlink" Target="https://eur-lex.europa.eu/legal-content/EN/TXT/?uri=CELEX%3A32017L1279" TargetMode="External"/><Relationship Id="rId35" Type="http://schemas.openxmlformats.org/officeDocument/2006/relationships/hyperlink" Target="http://curia.europa.eu/juris/liste.jsf?oqp=&amp;for=&amp;mat=or&amp;jge=&amp;td=%3BALL&amp;jur=C%2CT%2CF&amp;num=C-473%252F16&amp;page=1&amp;dates=&amp;pcs=Oor&amp;lg=&amp;pro=&amp;nat=or&amp;cit=none%252CC%252CCJ%252CR%252C2008E%252C%252C%252C%252C%252C%252C%252C%252C%252C%252Ctrue%252Cfalse%252Cfalse&amp;language=en&amp;avg=&amp;cid=5122097" TargetMode="External"/><Relationship Id="rId56" Type="http://schemas.openxmlformats.org/officeDocument/2006/relationships/hyperlink" Target="https://eur-lex.europa.eu/legal-content/EN/TXT/?uri=CELEX%3A32015L2366" TargetMode="External"/><Relationship Id="rId77" Type="http://schemas.openxmlformats.org/officeDocument/2006/relationships/hyperlink" Target="https://eur-lex.europa.eu/legal-content/EN/TXT/?uri=CELEX%3A32005L0071" TargetMode="External"/><Relationship Id="rId100" Type="http://schemas.openxmlformats.org/officeDocument/2006/relationships/hyperlink" Target="http://europa.eu/rapid/press-release_MEMO-18-1444_en.htm" TargetMode="External"/><Relationship Id="rId282" Type="http://schemas.openxmlformats.org/officeDocument/2006/relationships/hyperlink" Target="http://europa.eu/rapid/press-release_IP-18-358_en.htm" TargetMode="External"/><Relationship Id="rId317" Type="http://schemas.openxmlformats.org/officeDocument/2006/relationships/hyperlink" Target="https://eur-lex.europa.eu/legal-content/EN/TXT/?uri=celex%3A32014L0065" TargetMode="External"/><Relationship Id="rId338" Type="http://schemas.openxmlformats.org/officeDocument/2006/relationships/hyperlink" Target="https://eur-lex.europa.eu/legal-content/EN/TXT/?uri=CELEX%3A32005L0036" TargetMode="External"/><Relationship Id="rId359" Type="http://schemas.openxmlformats.org/officeDocument/2006/relationships/hyperlink" Target="http://curia.europa.eu/juris/liste.jsf?oqp=&amp;for=&amp;mat=or&amp;jge=&amp;td=%3BALL&amp;jur=C%2CT%2CF&amp;num=C-305%252F17&amp;page=1&amp;dates=&amp;pcs=Oor&amp;lg=&amp;pro=&amp;nat=or&amp;cit=none%252CC%252CCJ%252CR%252C2008E%252C%252C%252C%252C%252C%252C%252C%252C%252C%252Ctrue%252Cfalse%252Cfalse&amp;language=en&amp;avg=&amp;cid=13749209" TargetMode="External"/><Relationship Id="rId8" Type="http://schemas.openxmlformats.org/officeDocument/2006/relationships/hyperlink" Target="http://europa.eu/rapid/press-release_MEMO-18-3446_EN.htm" TargetMode="External"/><Relationship Id="rId98" Type="http://schemas.openxmlformats.org/officeDocument/2006/relationships/hyperlink" Target="https://eur-lex.europa.eu/legal-content/EN/TXT/?qid=1551815135749&amp;uri=CELEX:32009L0073" TargetMode="External"/><Relationship Id="rId121" Type="http://schemas.openxmlformats.org/officeDocument/2006/relationships/hyperlink" Target="https://eur-lex.europa.eu/legal-content/EN/TXT/?uri=CELEX%3A31992L0043" TargetMode="External"/><Relationship Id="rId142" Type="http://schemas.openxmlformats.org/officeDocument/2006/relationships/hyperlink" Target="https://eur-lex.europa.eu/legal-content/EN/TXT/?qid=1521545219979&amp;uri=CELEX:32014L0066" TargetMode="External"/><Relationship Id="rId163" Type="http://schemas.openxmlformats.org/officeDocument/2006/relationships/hyperlink" Target="http://europa.eu/rapid/press-release_MEMO-18-3446_EN.htm" TargetMode="External"/><Relationship Id="rId184" Type="http://schemas.openxmlformats.org/officeDocument/2006/relationships/hyperlink" Target="https://eur-lex.europa.eu/legal-content/EN/TXT/PDF/?uri=CELEX:02011L0061-20140702&amp;qid=1548692403502&amp;from=EN" TargetMode="External"/><Relationship Id="rId219" Type="http://schemas.openxmlformats.org/officeDocument/2006/relationships/hyperlink" Target="https://eur-lex.europa.eu/legal-content/EN/TXT/?uri=uriserv:OJ.L_.2016.344.01.0001.01.ENG" TargetMode="External"/><Relationship Id="rId370" Type="http://schemas.openxmlformats.org/officeDocument/2006/relationships/hyperlink" Target="https://eur-lex.europa.eu/legal-content/EN/TXT/?uri=uriserv:OJ.L_.2016.344.01.0001.01.ENG" TargetMode="External"/><Relationship Id="rId391" Type="http://schemas.openxmlformats.org/officeDocument/2006/relationships/hyperlink" Target="https://eur-lex.europa.eu/legal-content/EN/TXT/?uri=CELEX:32004L0035" TargetMode="External"/><Relationship Id="rId405" Type="http://schemas.openxmlformats.org/officeDocument/2006/relationships/hyperlink" Target="http://europa.eu/rapid/press-release_MEMO-18-3446_EN.htm" TargetMode="External"/><Relationship Id="rId426" Type="http://schemas.openxmlformats.org/officeDocument/2006/relationships/hyperlink" Target="http://europa.eu/rapid/press-release_MEMO-18-6247_en.htm" TargetMode="External"/><Relationship Id="rId447" Type="http://schemas.openxmlformats.org/officeDocument/2006/relationships/hyperlink" Target="https://eur-lex.europa.eu/legal-content/EN/TXT/?qid=1553004958624&amp;uri=CELEX:32016L1214" TargetMode="External"/><Relationship Id="rId230" Type="http://schemas.openxmlformats.org/officeDocument/2006/relationships/hyperlink" Target="https://eur-lex.europa.eu/legal-content/EN/TXT/?qid=1521646057107&amp;uri=CELEX:32009L0072" TargetMode="External"/><Relationship Id="rId251" Type="http://schemas.openxmlformats.org/officeDocument/2006/relationships/hyperlink" Target="http://europa.eu/rapid/press-release_MEMO-18-3446_EN.htm" TargetMode="External"/><Relationship Id="rId25" Type="http://schemas.openxmlformats.org/officeDocument/2006/relationships/hyperlink" Target="http://curia.europa.eu/juris/liste.jsf?oqp=&amp;for=&amp;mat=or&amp;jge=&amp;td=%3BALL&amp;jur=C%2CT%2CF&amp;num=637%252F18&amp;page=1&amp;dates=&amp;pcs=Oor&amp;lg=&amp;pro=&amp;nat=or&amp;cit=none%252CC%252CCJ%252CR%252C2008E%252C%252C%252C%252C%252C%252C%252C%252C%252C%252Ctrue%252Cfalse%252Cfalse&amp;language=en&amp;avg=&amp;cid=7413876" TargetMode="External"/><Relationship Id="rId46" Type="http://schemas.openxmlformats.org/officeDocument/2006/relationships/hyperlink" Target="http://europa.eu/rapid/press-release_MEMO-18-4486_en.htm" TargetMode="External"/><Relationship Id="rId67" Type="http://schemas.openxmlformats.org/officeDocument/2006/relationships/hyperlink" Target="https://eur-lex.europa.eu/legal-content/EN/TXT/?qid=1547197057824&amp;uri=CELEX:32014L0094" TargetMode="External"/><Relationship Id="rId272" Type="http://schemas.openxmlformats.org/officeDocument/2006/relationships/hyperlink" Target="https://eur-lex.europa.eu/legal-content/EN/TXT/?uri=CELEX%3A32014L0042" TargetMode="External"/><Relationship Id="rId293" Type="http://schemas.openxmlformats.org/officeDocument/2006/relationships/hyperlink" Target="http://curia.europa.eu/juris/liste.jsf?oqp=&amp;for=&amp;mat=or&amp;jge=&amp;td=%3BALL&amp;jur=C%2CT%2CF&amp;num=C-301%252F17&amp;page=1&amp;dates=&amp;pcs=Oor&amp;lg=&amp;pro=&amp;nat=or&amp;cit=none%252CC%252CCJ%252CR%252C2008E%252C%252C%252C%252C%252C%252C%252C%252C%252C%252Ctrue%252Cfalse%252Cfalse&amp;language=en&amp;avg=&amp;cid=1449908" TargetMode="External"/><Relationship Id="rId307" Type="http://schemas.openxmlformats.org/officeDocument/2006/relationships/hyperlink" Target="http://europa.eu/rapid/press-release_MEMO-18-3446_EN.htm" TargetMode="External"/><Relationship Id="rId328" Type="http://schemas.openxmlformats.org/officeDocument/2006/relationships/hyperlink" Target="https://eur-lex.europa.eu/legal-content/EN/TXT/?uri=uriserv%3AOJ.L_.2014.349.01.0001.01.ENG" TargetMode="External"/><Relationship Id="rId349" Type="http://schemas.openxmlformats.org/officeDocument/2006/relationships/hyperlink" Target="https://eur-lex.europa.eu/legal-content/EN/TXT/?uri=CELEX:32015L2302" TargetMode="External"/><Relationship Id="rId88" Type="http://schemas.openxmlformats.org/officeDocument/2006/relationships/hyperlink" Target="https://eur-lex.europa.eu/legal-content/EN/TXT/?qid=1521645914219&amp;uri=CELEX:32011L0070" TargetMode="External"/><Relationship Id="rId111" Type="http://schemas.openxmlformats.org/officeDocument/2006/relationships/hyperlink" Target="http://curia.europa.eu/juris/liste.jsf?oqp=&amp;for=&amp;mat=or&amp;jge=&amp;td=%3BALL&amp;jur=C%2CT%2CF&amp;num=C-380%252F17&amp;page=1&amp;dates=&amp;pcs=Oor&amp;lg=&amp;pro=&amp;nat=or&amp;cit=none%252CC%252CCJ%252CR%252C2008E%252C%252C%252C%252C%252C%252C%252C%252C%252C%252Ctrue%252Cfalse%252Cfalse&amp;language=en&amp;avg=&amp;cid=5120678http://curia.europa.eu/juris/document/document.jsf?text=&amp;docid=207426&amp;pageIndex=0&amp;doclang=en&amp;mode=lst&amp;dir=&amp;occ=first&amp;part=1&amp;cid=7872941" TargetMode="External"/><Relationship Id="rId132" Type="http://schemas.openxmlformats.org/officeDocument/2006/relationships/hyperlink" Target="https://eur-lex.europa.eu/legal-content/EN/TXT/?uri=CELEX%3A32006L0123" TargetMode="External"/><Relationship Id="rId153" Type="http://schemas.openxmlformats.org/officeDocument/2006/relationships/hyperlink" Target="http://curia.europa.eu/juris/liste.jsf?oqp=&amp;for=&amp;mat=or&amp;jge=&amp;td=%3BALL&amp;jur=C%2CT%2CF&amp;num=C-149%252F17&amp;page=1&amp;dates=&amp;pcs=Oor&amp;lg=&amp;pro=&amp;nat=or&amp;cit=none%252CC%252CCJ%252CR%252C2008E%252C%252C%252C%252C%252C%252C%252C%252C%252C%252Ctrue%252Cfalse%252Cfalse&amp;language=en&amp;avg=&amp;cid=13379937" TargetMode="External"/><Relationship Id="rId174" Type="http://schemas.openxmlformats.org/officeDocument/2006/relationships/hyperlink" Target="http://europa.eu/rapid/press-release_MEMO-18-3986_en.htm" TargetMode="External"/><Relationship Id="rId195" Type="http://schemas.openxmlformats.org/officeDocument/2006/relationships/hyperlink" Target="https://curia.europa.eu/jcms/upload/docs/application/pdf/2018-02/cp180019en.pdf" TargetMode="External"/><Relationship Id="rId209" Type="http://schemas.openxmlformats.org/officeDocument/2006/relationships/hyperlink" Target="http://europa.eu/rapid/press-release_MEMO-18-349_EN.htm" TargetMode="External"/><Relationship Id="rId360" Type="http://schemas.openxmlformats.org/officeDocument/2006/relationships/hyperlink" Target="https://curia.europa.eu/jcms/upload/docs/application/pdf/2018-12/cp180189en.pdf" TargetMode="External"/><Relationship Id="rId381" Type="http://schemas.openxmlformats.org/officeDocument/2006/relationships/hyperlink" Target="https://eur-lex.europa.eu/legal-content/EN/TXT/?qid=1521545219979&amp;uri=CELEX:32014L0066" TargetMode="External"/><Relationship Id="rId416" Type="http://schemas.openxmlformats.org/officeDocument/2006/relationships/hyperlink" Target="https://eur-lex.europa.eu/legal-content/EN/TXT/?uri=CELEX:12012E/TXT" TargetMode="External"/><Relationship Id="rId220" Type="http://schemas.openxmlformats.org/officeDocument/2006/relationships/hyperlink" Target="https://eur-lex.europa.eu/legal-content/EN/TXT/?uri=uriserv:OJ.L_.2016.194.01.0001.01.ENG" TargetMode="External"/><Relationship Id="rId241" Type="http://schemas.openxmlformats.org/officeDocument/2006/relationships/hyperlink" Target="https://eur-lex.europa.eu/legal-content/EN/TXT/?qid=1553594466502&amp;uri=CELEX:32010L0075" TargetMode="External"/><Relationship Id="rId437" Type="http://schemas.openxmlformats.org/officeDocument/2006/relationships/hyperlink" Target="https://eur-lex.europa.eu/legal-content/EN/TXT/?uri=CELEX%3A32017L1279" TargetMode="External"/><Relationship Id="rId458" Type="http://schemas.openxmlformats.org/officeDocument/2006/relationships/hyperlink" Target="http://curia.europa.eu/juris/liste.jsf?oqp=&amp;for=&amp;mat=or&amp;jge=&amp;td=%3BALL&amp;jur=C%2CT%2CF&amp;num=C-266%252F16&amp;page=1&amp;dates=&amp;pcs=Oor&amp;lg=&amp;pro=&amp;nat=or&amp;cit=none%252CC%252CCJ%252CR%252C2008E%252C%252C%252C%252C%252C%252C%252C%252C%252C%252Ctrue%252Cfalse%252Cfalse&amp;language=en&amp;avg=&amp;cid=1883832" TargetMode="External"/><Relationship Id="rId15" Type="http://schemas.openxmlformats.org/officeDocument/2006/relationships/hyperlink" Target="https://eur-lex.europa.eu/legal-content/EN/TXT/?uri=CELEX%3A32017L2096" TargetMode="External"/><Relationship Id="rId36" Type="http://schemas.openxmlformats.org/officeDocument/2006/relationships/hyperlink" Target="http://curia.europa.eu/juris/liste.jsf?language=en&amp;jur=C,T,F&amp;num=c-369/17&amp;td=ALL" TargetMode="External"/><Relationship Id="rId57" Type="http://schemas.openxmlformats.org/officeDocument/2006/relationships/hyperlink" Target="https://eur-lex.europa.eu/legal-content/EN/TXT/?uri=CELEX%3A32017L1279" TargetMode="External"/><Relationship Id="rId262" Type="http://schemas.openxmlformats.org/officeDocument/2006/relationships/hyperlink" Target="https://eur-lex.europa.eu/legal-content/EN/TXT/?uri=uriserv:OJ.L_.2016.194.01.0001.01.ENG" TargetMode="External"/><Relationship Id="rId283" Type="http://schemas.openxmlformats.org/officeDocument/2006/relationships/hyperlink" Target="http://europa.eu/rapid/press-release_IP-18-358_en.htm" TargetMode="External"/><Relationship Id="rId318" Type="http://schemas.openxmlformats.org/officeDocument/2006/relationships/hyperlink" Target="http://europa.eu/rapid/press-release_IP-18-4530_en.htm" TargetMode="External"/><Relationship Id="rId339" Type="http://schemas.openxmlformats.org/officeDocument/2006/relationships/hyperlink" Target="http://europa.eu/rapid/press-release_MEMO-18-4486_en.htm" TargetMode="External"/><Relationship Id="rId78" Type="http://schemas.openxmlformats.org/officeDocument/2006/relationships/hyperlink" Target="http://europa.eu/rapid/press-release_MEMO-18-3446_en.htm" TargetMode="External"/><Relationship Id="rId99" Type="http://schemas.openxmlformats.org/officeDocument/2006/relationships/hyperlink" Target="https://eur-lex.europa.eu/legal-content/EN/TXT/?uri=uriserv%3AOJ.L_.2014.349.01.0001.01.ENG" TargetMode="External"/><Relationship Id="rId101" Type="http://schemas.openxmlformats.org/officeDocument/2006/relationships/hyperlink" Target="https://eur-lex.europa.eu/legal-content/EN/TXT/?uri=CELEX:32001L0029" TargetMode="External"/><Relationship Id="rId122" Type="http://schemas.openxmlformats.org/officeDocument/2006/relationships/hyperlink" Target="https://eur-lex.europa.eu/legal-content/EN/TXT/?uri=CELEX%3A31992L0043" TargetMode="External"/><Relationship Id="rId143" Type="http://schemas.openxmlformats.org/officeDocument/2006/relationships/hyperlink" Target="http://europa.eu/rapid/press-release_MEMO-18-1444_en.htm" TargetMode="External"/><Relationship Id="rId164" Type="http://schemas.openxmlformats.org/officeDocument/2006/relationships/hyperlink" Target="https://eur-lex.europa.eu/legal-content/EN/TXT/?uri=CELEX:31991L0271" TargetMode="External"/><Relationship Id="rId185" Type="http://schemas.openxmlformats.org/officeDocument/2006/relationships/hyperlink" Target="http://europa.eu/rapid/press-release_MEMO-18-349_en.htm" TargetMode="External"/><Relationship Id="rId350" Type="http://schemas.openxmlformats.org/officeDocument/2006/relationships/hyperlink" Target="file:///\\net1.cec.eu.int\SG\SG-F-3\Restricted\INFRACTIONS\RAPPORTS%20ANNUELS\36eme%20RAPPORT%20ANNUEL%202018\6.%20After%20proofreaders\clean\2016\343\EU" TargetMode="External"/><Relationship Id="rId371" Type="http://schemas.openxmlformats.org/officeDocument/2006/relationships/hyperlink" Target="https://eur-lex.europa.eu/legal-content/EN/TXT/?uri=CELEX%3A32016L2102" TargetMode="External"/><Relationship Id="rId406" Type="http://schemas.openxmlformats.org/officeDocument/2006/relationships/hyperlink" Target="https://eur-lex.europa.eu/legal-content/EN/TXT/?uri=CELEX%3A32016L2102" TargetMode="External"/><Relationship Id="rId9" Type="http://schemas.openxmlformats.org/officeDocument/2006/relationships/hyperlink" Target="https://eur-lex.europa.eu/legal-content/en/ALL/?uri=CELEX%3A32003L0109" TargetMode="External"/><Relationship Id="rId210" Type="http://schemas.openxmlformats.org/officeDocument/2006/relationships/hyperlink" Target="https://eur-lex.europa.eu/legal-content/EN/TXT/?uri=CELEX:32015L1794" TargetMode="External"/><Relationship Id="rId392" Type="http://schemas.openxmlformats.org/officeDocument/2006/relationships/hyperlink" Target="http://europa.eu/rapid/press-release_MEMO-18-4486_en.htm" TargetMode="External"/><Relationship Id="rId427" Type="http://schemas.openxmlformats.org/officeDocument/2006/relationships/hyperlink" Target="https://eur-lex.europa.eu/legal-content/EN/TXT/?qid=1521646247233&amp;uri=CELEX:32012L0027" TargetMode="External"/><Relationship Id="rId448" Type="http://schemas.openxmlformats.org/officeDocument/2006/relationships/hyperlink" Target="https://eur-lex.europa.eu/legal-content/EN/TXT/?uri=uriserv%3AOJ.L_.2015.314.01.0001.01.ENG" TargetMode="External"/><Relationship Id="rId26" Type="http://schemas.openxmlformats.org/officeDocument/2006/relationships/hyperlink" Target="http://europa.eu/rapid/press-release_IP-18-3450_en.htm" TargetMode="External"/><Relationship Id="rId231" Type="http://schemas.openxmlformats.org/officeDocument/2006/relationships/hyperlink" Target="https://eur-lex.europa.eu/legal-content/EN/TXT/?qid=1551815135749&amp;uri=CELEX:32009L0073" TargetMode="External"/><Relationship Id="rId252" Type="http://schemas.openxmlformats.org/officeDocument/2006/relationships/hyperlink" Target="https://eur-lex.europa.eu/legal-content/EN/TXT/?qid=1521645914219&amp;uri=CELEX:32011L0070" TargetMode="External"/><Relationship Id="rId273" Type="http://schemas.openxmlformats.org/officeDocument/2006/relationships/hyperlink" Target="https://eur-lex.europa.eu/legal-content/EN/TXT/?uri=CELEX:32015L2302" TargetMode="External"/><Relationship Id="rId294" Type="http://schemas.openxmlformats.org/officeDocument/2006/relationships/hyperlink" Target="http://curia.europa.eu/juris/liste.jsf?oqp=&amp;for=&amp;mat=or&amp;jge=&amp;td=%3BALL&amp;jur=C%2CT%2CF&amp;num=C-147%252F17&amp;page=1&amp;dates=&amp;pcs=Oor&amp;lg=&amp;pro=&amp;nat=or&amp;cit=none%252CC%252CCJ%252CR%252C2008E%252C%252C%252C%252C%252C%252C%252C%252C%252C%252Ctrue%252Cfalse%252Cfalse&amp;language=en&amp;avg=&amp;cid=13717269" TargetMode="External"/><Relationship Id="rId308" Type="http://schemas.openxmlformats.org/officeDocument/2006/relationships/hyperlink" Target="https://eur-lex.europa.eu/legal-content/EN/TXT/?qid=1521646247233&amp;uri=CELEX:32012L0027" TargetMode="External"/><Relationship Id="rId329" Type="http://schemas.openxmlformats.org/officeDocument/2006/relationships/hyperlink" Target="http://europa.eu/rapid/press-release_MEMO-18-1444_en.htm" TargetMode="External"/><Relationship Id="rId47" Type="http://schemas.openxmlformats.org/officeDocument/2006/relationships/hyperlink" Target="https://eur-lex.europa.eu/legal-content/EN/TXT/?qid=1521646247233&amp;uri=CELEX:32012L0027" TargetMode="External"/><Relationship Id="rId68" Type="http://schemas.openxmlformats.org/officeDocument/2006/relationships/hyperlink" Target="http://europa.eu/rapid/press-release_IP-18-358_en.htm" TargetMode="External"/><Relationship Id="rId89" Type="http://schemas.openxmlformats.org/officeDocument/2006/relationships/hyperlink" Target="http://europa.eu/rapid/press-release_MEMO-18-3446_EN.htm" TargetMode="External"/><Relationship Id="rId112" Type="http://schemas.openxmlformats.org/officeDocument/2006/relationships/hyperlink" Target="https://eur-lex.europa.eu/legal-content/EN/TXT/?uri=CELEX%3A32005L0036" TargetMode="External"/><Relationship Id="rId133" Type="http://schemas.openxmlformats.org/officeDocument/2006/relationships/hyperlink" Target="http://curia.europa.eu/juris/liste.jsf?oqp=&amp;for=&amp;mat=or&amp;jge=&amp;td=%3BALL&amp;jur=C%2CT%2CF&amp;num=C-209%252F18&amp;page=1&amp;dates=&amp;pcs=Oor&amp;lg=&amp;pro=&amp;nat=or&amp;cit=none%252CC%252CCJ%252CR%252C2008E%252C%252C%252C%252C%252C%252C%252C%252C%252C%252Ctrue%252Cfalse%252Cfalse&amp;language=en&amp;avg=&amp;cid=1876219" TargetMode="External"/><Relationship Id="rId154" Type="http://schemas.openxmlformats.org/officeDocument/2006/relationships/hyperlink" Target="http://curia.europa.eu/juris/liste.jsf?oqp=&amp;for=&amp;mat=or&amp;jge=&amp;td=%3BALL&amp;jur=C%2CT%2CF&amp;num=C-33%252F17&amp;page=1&amp;dates=&amp;pcs=Oor&amp;lg=&amp;pro=&amp;nat=or&amp;cit=none%252CC%252CCJ%252CR%252C2008E%252C%252C%252C%252C%252C%252C%252C%252C%252C%252Ctrue%252Cfalse%252Cfalse&amp;language=en&amp;avg=&amp;cid=2504767" TargetMode="External"/><Relationship Id="rId175" Type="http://schemas.openxmlformats.org/officeDocument/2006/relationships/hyperlink" Target="https://eur-lex.europa.eu/legal-content/EN/TXT/?uri=uriserv:OJ.L_.2016.194.01.0001.01.ENG" TargetMode="External"/><Relationship Id="rId340" Type="http://schemas.openxmlformats.org/officeDocument/2006/relationships/hyperlink" Target="https://eur-lex.europa.eu/legal-content/EN/TXT/?qid=1521646247233&amp;uri=CELEX:32012L0027" TargetMode="External"/><Relationship Id="rId361" Type="http://schemas.openxmlformats.org/officeDocument/2006/relationships/hyperlink" Target="https://eur-lex.europa.eu/legal-content/EN/TXT/?qid=1521646247233&amp;uri=CELEX:32012L0027" TargetMode="External"/><Relationship Id="rId196" Type="http://schemas.openxmlformats.org/officeDocument/2006/relationships/hyperlink" Target="http://curia.europa.eu/juris/liste.jsf?language=fr&amp;num=C-526/16&amp;td=ALL" TargetMode="External"/><Relationship Id="rId200" Type="http://schemas.openxmlformats.org/officeDocument/2006/relationships/hyperlink" Target="http://curia.europa.eu/juris/liste.jsf?oqp=&amp;for=&amp;mat=or&amp;jge=&amp;td=%3BALL&amp;jur=C%2CT%2CF&amp;num=C-176%252F17&amp;page=1&amp;dates=&amp;pcs=Oor&amp;lg=&amp;pro=&amp;nat=or&amp;cit=none%252CC%252CCJ%252CR%252C2008E%252C%252C%252C%252C%252C%252C%252C%252C%252C%252Ctrue%252Cfalse%252Cfalse&amp;language=en&amp;avg=&amp;cid=5325948" TargetMode="External"/><Relationship Id="rId382" Type="http://schemas.openxmlformats.org/officeDocument/2006/relationships/hyperlink" Target="https://eur-lex.europa.eu/legal-content/EN/TXT/?qid=1545847728624&amp;uri=CELEX:32001D0539" TargetMode="External"/><Relationship Id="rId417" Type="http://schemas.openxmlformats.org/officeDocument/2006/relationships/hyperlink" Target="https://eur-lex.europa.eu/legal-content/EN/TXT/?uri=CELEX:32011R0492" TargetMode="External"/><Relationship Id="rId438" Type="http://schemas.openxmlformats.org/officeDocument/2006/relationships/hyperlink" Target="https://eur-lex.europa.eu/eli/dir_impl/2018/100/oj" TargetMode="External"/><Relationship Id="rId459" Type="http://schemas.openxmlformats.org/officeDocument/2006/relationships/hyperlink" Target="https://curia.europa.eu/jcms/upload/docs/application/pdf/2018-02/cp180021en.pdf" TargetMode="External"/><Relationship Id="rId16" Type="http://schemas.openxmlformats.org/officeDocument/2006/relationships/hyperlink" Target="https://eur-lex.europa.eu/legal-content/EN/TXT/?uri=uriserv:OJ.L_.2016.194.01.0001.01.ENG" TargetMode="External"/><Relationship Id="rId221" Type="http://schemas.openxmlformats.org/officeDocument/2006/relationships/hyperlink" Target="http://europa.eu/rapid/press-release_MEMO-18-4486_en.htm" TargetMode="External"/><Relationship Id="rId242" Type="http://schemas.openxmlformats.org/officeDocument/2006/relationships/hyperlink" Target="http://europa.eu/rapid/press-release_MEMO-18-4486_en.htm" TargetMode="External"/><Relationship Id="rId263" Type="http://schemas.openxmlformats.org/officeDocument/2006/relationships/hyperlink" Target="http://europa.eu/rapid/press-release_MEMO-18-4486_en.htm" TargetMode="External"/><Relationship Id="rId284" Type="http://schemas.openxmlformats.org/officeDocument/2006/relationships/hyperlink" Target="http://europa.eu/rapid/press-release_IP-18-3459_fr.htm" TargetMode="External"/><Relationship Id="rId319" Type="http://schemas.openxmlformats.org/officeDocument/2006/relationships/hyperlink" Target="http://curia.europa.eu/juris/liste.jsf?oqp=&amp;for=&amp;mat=or&amp;jge=&amp;td=%3BALL&amp;jur=C%2CT%2CF&amp;num=69%252F18&amp;page=1&amp;dates=&amp;pcs=Oor&amp;lg=&amp;pro=&amp;nat=or&amp;cit=none%252CC%252CCJ%252CR%252C2008E%252C%252C%252C%252C%252C%252C%252C%252C%252C%252Ctrue%252Cfalse%252Cfalse&amp;language=en&amp;avg=&amp;cid=6498993" TargetMode="External"/><Relationship Id="rId37" Type="http://schemas.openxmlformats.org/officeDocument/2006/relationships/hyperlink" Target="http://curia.europa.eu/juris/liste.jsf?oqp=&amp;for=&amp;mat=or&amp;jge=&amp;td=%3BALL&amp;jur=C%2CT%2CF&amp;num=C-52%252F16&amp;page=1&amp;dates=&amp;pcs=Oor&amp;lg=&amp;pro=&amp;nat=or&amp;cit=none%252CC%252CCJ%252CR%252C2008E%252C%252C%252C%252C%252C%252C%252C%252C%252C%252Ctrue%252Cfalse%252Cfalse&amp;language=en&amp;avg=&amp;cid=9170825" TargetMode="External"/><Relationship Id="rId58" Type="http://schemas.openxmlformats.org/officeDocument/2006/relationships/hyperlink" Target="https://eur-lex.europa.eu/eli/dir_impl/2018/100/oj" TargetMode="External"/><Relationship Id="rId79" Type="http://schemas.openxmlformats.org/officeDocument/2006/relationships/hyperlink" Target="https://eur-lex.europa.eu/legal-content/EN/TXT/?uri=CELEX%3A32005L0036" TargetMode="External"/><Relationship Id="rId102" Type="http://schemas.openxmlformats.org/officeDocument/2006/relationships/hyperlink" Target="http://curia.europa.eu/juris/liste.jsf?num=C-310/17" TargetMode="External"/><Relationship Id="rId123" Type="http://schemas.openxmlformats.org/officeDocument/2006/relationships/hyperlink" Target="https://eur-lex.europa.eu/legal-content/EN/TXT/?uri=CELEX%3A32015L2366" TargetMode="External"/><Relationship Id="rId144" Type="http://schemas.openxmlformats.org/officeDocument/2006/relationships/hyperlink" Target="https://eur-lex.europa.eu/legal-content/en/ALL/?uri=CELEX:32014L0087" TargetMode="External"/><Relationship Id="rId330" Type="http://schemas.openxmlformats.org/officeDocument/2006/relationships/hyperlink" Target="https://eur-lex.europa.eu/legal-content/EN/TXT/?uri=CELEX%3A32015L2193" TargetMode="External"/><Relationship Id="rId90" Type="http://schemas.openxmlformats.org/officeDocument/2006/relationships/hyperlink" Target="http://europa.eu/rapid/press-release_IP-18-357_en.htm" TargetMode="External"/><Relationship Id="rId165" Type="http://schemas.openxmlformats.org/officeDocument/2006/relationships/hyperlink" Target="http://europa.eu/rapid/press-release_MEMO-18-349_en.htm" TargetMode="External"/><Relationship Id="rId186" Type="http://schemas.openxmlformats.org/officeDocument/2006/relationships/hyperlink" Target="https://eur-lex.europa.eu/legal-content/EN/TXT/?qid=1521545219979&amp;uri=CELEX:32014L0066" TargetMode="External"/><Relationship Id="rId351" Type="http://schemas.openxmlformats.org/officeDocument/2006/relationships/hyperlink" Target="http://curia.europa.eu/juris/liste.jsf?oqp=&amp;for=&amp;mat=or&amp;jge=&amp;td=%3BALL&amp;jur=C%2CT%2CF&amp;num=614%252F18&amp;page=1&amp;dates=&amp;pcs=Oor&amp;lg=&amp;pro=&amp;nat=or&amp;cit=none%252CC%252CCJ%252CR%252C2008E%252C%252C%252C%252C%252C%252C%252C%252C%252C%252Ctrue%252Cfalse%252Cfalse&amp;language=en&amp;avg=&amp;cid=6498993" TargetMode="External"/><Relationship Id="rId372" Type="http://schemas.openxmlformats.org/officeDocument/2006/relationships/hyperlink" Target="https://eur-lex.europa.eu/eli/dir/2017/1564/oj" TargetMode="External"/><Relationship Id="rId393" Type="http://schemas.openxmlformats.org/officeDocument/2006/relationships/hyperlink" Target="https://eur-lex.europa.eu/legal-content/EN/TXT/?uri=uriserv:OJ.L_.2005.149.01.0022.01.ENG" TargetMode="External"/><Relationship Id="rId407" Type="http://schemas.openxmlformats.org/officeDocument/2006/relationships/hyperlink" Target="https://eur-lex.europa.eu/legal-content/EN/TXT/?uri=CELEX:32015L2302" TargetMode="External"/><Relationship Id="rId428" Type="http://schemas.openxmlformats.org/officeDocument/2006/relationships/hyperlink" Target="http://europa.eu/rapid/press-release_MEMO-18-4486_en.htm" TargetMode="External"/><Relationship Id="rId449" Type="http://schemas.openxmlformats.org/officeDocument/2006/relationships/hyperlink" Target="https://eur-lex.europa.eu/legal-content/EN/TXT/?uri=CELEX:32015L0652" TargetMode="External"/><Relationship Id="rId211" Type="http://schemas.openxmlformats.org/officeDocument/2006/relationships/hyperlink" Target="http://europa.eu/rapid/press-release_MEMO-18-3446_en.htm" TargetMode="External"/><Relationship Id="rId232" Type="http://schemas.openxmlformats.org/officeDocument/2006/relationships/hyperlink" Target="https://eur-lex.europa.eu/legal-content/EN/TXT/PDF/?uri=CELEX:02009L0138-20190113&amp;qid=1548691844887&amp;from=EN" TargetMode="External"/><Relationship Id="rId253" Type="http://schemas.openxmlformats.org/officeDocument/2006/relationships/hyperlink" Target="http://europa.eu/rapid/press-release_MEMO-18-3446_EN.htm" TargetMode="External"/><Relationship Id="rId274" Type="http://schemas.openxmlformats.org/officeDocument/2006/relationships/hyperlink" Target="https://eur-lex.europa.eu/legal-content/EN/ALL/?uri=CELEX%3A32008L0050" TargetMode="External"/><Relationship Id="rId295" Type="http://schemas.openxmlformats.org/officeDocument/2006/relationships/hyperlink" Target="http://curia.europa.eu/juris/liste.jsf?oqp=&amp;for=&amp;mat=or&amp;jge=&amp;td=%3BALL&amp;jur=C%2CT%2CF&amp;num=C-12%252F17&amp;page=1&amp;dates=&amp;pcs=Oor&amp;lg=&amp;pro=&amp;nat=or&amp;cit=none%252CC%252CCJ%252CR%252C2008E%252C%252C%252C%252C%252C%252C%252C%252C%252C%252Ctrue%252Cfalse%252Cfalse&amp;language=en&amp;avg=&amp;cid=3843294" TargetMode="External"/><Relationship Id="rId309" Type="http://schemas.openxmlformats.org/officeDocument/2006/relationships/hyperlink" Target="http://europa.eu/rapid/press-release_MEMO-18-4486_en.htm" TargetMode="External"/><Relationship Id="rId460" Type="http://schemas.openxmlformats.org/officeDocument/2006/relationships/hyperlink" Target="http://curia.europa.eu/juris/liste.jsf?oqp=&amp;for=&amp;mat=or&amp;jge=&amp;td=%3BALL&amp;jur=C%2CT%2CF&amp;num=C-89%252F17&amp;page=1&amp;dates=&amp;pcs=Oor&amp;lg=&amp;pro=&amp;nat=or&amp;cit=none%252CC%252CCJ%252CR%252C2008E%252C%252C%252C%252C%252C%252C%252C%252C%252C%252Ctrue%252Cfalse%252Cfalse&amp;language=en&amp;avg=&amp;cid=13254999" TargetMode="External"/><Relationship Id="rId27" Type="http://schemas.openxmlformats.org/officeDocument/2006/relationships/hyperlink" Target="http://curia.europa.eu/juris/liste.jsf?language=en&amp;num=C-808/18&amp;td=ALL" TargetMode="External"/><Relationship Id="rId48" Type="http://schemas.openxmlformats.org/officeDocument/2006/relationships/hyperlink" Target="http://europa.eu/rapid/press-release_MEMO-18-4486_en.htm" TargetMode="External"/><Relationship Id="rId69" Type="http://schemas.openxmlformats.org/officeDocument/2006/relationships/hyperlink" Target="http://europa.eu/rapid/press-release_IP-18-358_en.htm" TargetMode="External"/><Relationship Id="rId113" Type="http://schemas.openxmlformats.org/officeDocument/2006/relationships/hyperlink" Target="http://europa.eu/rapid/press-release_MEMO-18-4486_en.htm" TargetMode="External"/><Relationship Id="rId134" Type="http://schemas.openxmlformats.org/officeDocument/2006/relationships/hyperlink" Target="http://curia.europa.eu/juris/liste.jsf?oqp=&amp;for=&amp;mat=or&amp;jge=&amp;td=%3BALL&amp;jur=C%2CT%2CF&amp;num=79%252F18&amp;page=1&amp;dates=&amp;pcs=Oor&amp;lg=&amp;pro=&amp;nat=or&amp;cit=none%252CC%252CCJ%252CR%252C2008E%252C%252C%252C%252C%252C%252C%252C%252C%252C%252Ctrue%252Cfalse%252Cfalse&amp;language=en&amp;avg=&amp;cid=7413876" TargetMode="External"/><Relationship Id="rId320" Type="http://schemas.openxmlformats.org/officeDocument/2006/relationships/hyperlink" Target="https://eur-lex.europa.eu/legal-content/EN/TXT/PDF/?uri=CELEX:32014L0056&amp;from=EN" TargetMode="External"/><Relationship Id="rId80" Type="http://schemas.openxmlformats.org/officeDocument/2006/relationships/hyperlink" Target="http://europa.eu/rapid/press-release_MEMO-18-4486_en.htm" TargetMode="External"/><Relationship Id="rId155" Type="http://schemas.openxmlformats.org/officeDocument/2006/relationships/hyperlink" Target="http://curia.europa.eu/juris/liste.jsf?oqp=&amp;for=&amp;mat=or&amp;jge=&amp;td=%3BALL&amp;jur=C%2CT%2CF&amp;num=C-713%252F17&amp;page=1&amp;dates=&amp;pcs=Oor&amp;lg=&amp;pro=&amp;nat=or&amp;cit=none%252CC%252CCJ%252CR%252C2008E%252C%252C%252C%252C%252C%252C%252C%252C%252C%252Ctrue%252Cfalse%252Cfalse&amp;language=en&amp;avg=&amp;cid=5324038" TargetMode="External"/><Relationship Id="rId176" Type="http://schemas.openxmlformats.org/officeDocument/2006/relationships/hyperlink" Target="http://europa.eu/rapid/press-release_MEMO-18-4486_en.htm" TargetMode="External"/><Relationship Id="rId197" Type="http://schemas.openxmlformats.org/officeDocument/2006/relationships/hyperlink" Target="http://curia.europa.eu/juris/liste.jsf?language=en&amp;jur=C,T,F&amp;num=C-441/17&amp;td=ALL" TargetMode="External"/><Relationship Id="rId341" Type="http://schemas.openxmlformats.org/officeDocument/2006/relationships/hyperlink" Target="http://europa.eu/rapid/press-release_MEMO-18-6247_en.htm" TargetMode="External"/><Relationship Id="rId362" Type="http://schemas.openxmlformats.org/officeDocument/2006/relationships/hyperlink" Target="http://europa.eu/rapid/press-release_MEMO-18-6247_en.htm" TargetMode="External"/><Relationship Id="rId383" Type="http://schemas.openxmlformats.org/officeDocument/2006/relationships/hyperlink" Target="http://curia.europa.eu/juris/liste.jsf?language=en&amp;num=c-258/16&amp;td=ALL" TargetMode="External"/><Relationship Id="rId418" Type="http://schemas.openxmlformats.org/officeDocument/2006/relationships/hyperlink" Target="http://europa.eu/rapid/press-release_MEMO-18-6247_en.htm" TargetMode="External"/><Relationship Id="rId439" Type="http://schemas.openxmlformats.org/officeDocument/2006/relationships/hyperlink" Target="https://eur-lex.europa.eu/legal-content/EN/TXT/?uri=CELEX:32017L0164" TargetMode="External"/><Relationship Id="rId201" Type="http://schemas.openxmlformats.org/officeDocument/2006/relationships/hyperlink" Target="http://curia.europa.eu/juris/liste.jsf?oqp=&amp;for=&amp;mat=or&amp;jge=&amp;td=%3BALL&amp;jur=C%2CT%2CF&amp;num=C-632%252F17&amp;page=1&amp;dates=&amp;pcs=Oor&amp;lg=&amp;pro=&amp;nat=or&amp;cit=none%252CC%252CCJ%252CR%252C2008E%252C%252C%252C%252C%252C%252C%252C%252C%252C%252Ctrue%252Cfalse%252Cfalse&amp;language=en&amp;avg=&amp;cid=5325948" TargetMode="External"/><Relationship Id="rId222" Type="http://schemas.openxmlformats.org/officeDocument/2006/relationships/hyperlink" Target="https://eur-lex.europa.eu/eli/dir/2017/1564/oj" TargetMode="External"/><Relationship Id="rId243" Type="http://schemas.openxmlformats.org/officeDocument/2006/relationships/hyperlink" Target="https://eur-lex.europa.eu/legal-content/EN/TXT/?uri=CELEX:31991L0271" TargetMode="External"/><Relationship Id="rId264" Type="http://schemas.openxmlformats.org/officeDocument/2006/relationships/hyperlink" Target="https://eur-lex.europa.eu/legal-content/EN/TXT/?uri=CELEX%3A32016L2102" TargetMode="External"/><Relationship Id="rId285" Type="http://schemas.openxmlformats.org/officeDocument/2006/relationships/hyperlink" Target="https://eur-lex.europa.eu/legal-content/EN/TXT/?uri=uriserv%3AOJ.L_.2014.349.01.0001.01.ENG" TargetMode="External"/><Relationship Id="rId450" Type="http://schemas.openxmlformats.org/officeDocument/2006/relationships/hyperlink" Target="https://eur-lex.europa.eu/legal-content/EN/TXT/?uri=CELEX%3A31992L0043" TargetMode="External"/><Relationship Id="rId17" Type="http://schemas.openxmlformats.org/officeDocument/2006/relationships/hyperlink" Target="http://europa.eu/rapid/press-release_MEMO-18-4486_en.htm" TargetMode="External"/><Relationship Id="rId38" Type="http://schemas.openxmlformats.org/officeDocument/2006/relationships/hyperlink" Target="https://eur-lex.europa.eu/legal-content/EN/TXT/PDF/?uri=CELEX:01999L0062-20180701&amp;qid=1545936640193&amp;from=EN" TargetMode="External"/><Relationship Id="rId59" Type="http://schemas.openxmlformats.org/officeDocument/2006/relationships/hyperlink" Target="https://eur-lex.europa.eu/legal-content/EN/TXT/?uri=CELEX%3A32017L2096" TargetMode="External"/><Relationship Id="rId103" Type="http://schemas.openxmlformats.org/officeDocument/2006/relationships/hyperlink" Target="https://eur-lex.europa.eu/legal-content/EN/TXT/?uri=CELEX%3A32006L0123" TargetMode="External"/><Relationship Id="rId124" Type="http://schemas.openxmlformats.org/officeDocument/2006/relationships/hyperlink" Target="https://eur-lex.europa.eu/legal-content/EN/TXT/?uri=CELEX:32016L0097" TargetMode="External"/><Relationship Id="rId310" Type="http://schemas.openxmlformats.org/officeDocument/2006/relationships/hyperlink" Target="https://eur-lex.europa.eu/legal-content/en/ALL/?uri=CELEX:32010L0031" TargetMode="External"/><Relationship Id="rId70" Type="http://schemas.openxmlformats.org/officeDocument/2006/relationships/hyperlink" Target="https://eur-lex.europa.eu/legal-content/EN/TXT/?uri=celex%3A32014L0052" TargetMode="External"/><Relationship Id="rId91" Type="http://schemas.openxmlformats.org/officeDocument/2006/relationships/hyperlink" Target="https://eur-lex.europa.eu/legal-content/EN/TXT/?uri=CELEX%3A32015L2366" TargetMode="External"/><Relationship Id="rId145" Type="http://schemas.openxmlformats.org/officeDocument/2006/relationships/hyperlink" Target="http://curia.europa.eu/juris/liste.jsf?oqp=&amp;for=&amp;mat=or&amp;jge=&amp;td=%3BALL&amp;jur=C%2CT%2CF&amp;num=C-187%252F16&amp;page=1&amp;dates=&amp;pcs=Oor&amp;lg=&amp;pro=&amp;nat=or&amp;cit=none%252CC%252CCJ%252CR%252C2008E%252C%252C%252C%252C%252C%252C%252C%252C%252C%252Ctrue%252Cfalse%252Cfalse&amp;language=en&amp;avg=&amp;cid=10048128" TargetMode="External"/><Relationship Id="rId166" Type="http://schemas.openxmlformats.org/officeDocument/2006/relationships/hyperlink" Target="http://europa.eu/rapid/press-release_IP-18-357_en.htm" TargetMode="External"/><Relationship Id="rId187" Type="http://schemas.openxmlformats.org/officeDocument/2006/relationships/hyperlink" Target="https://eur-lex.europa.eu/legal-content/EN/TXT/?uri=CELEX%3A32014L0091" TargetMode="External"/><Relationship Id="rId331" Type="http://schemas.openxmlformats.org/officeDocument/2006/relationships/hyperlink" Target="https://eur-lex.europa.eu/legal-content/EN/TXT/?uri=celex%3A32014L0052" TargetMode="External"/><Relationship Id="rId352" Type="http://schemas.openxmlformats.org/officeDocument/2006/relationships/hyperlink" Target="http://europa.eu/rapid/press-release_IP-18-3459_fr.htm" TargetMode="External"/><Relationship Id="rId373" Type="http://schemas.openxmlformats.org/officeDocument/2006/relationships/hyperlink" Target="https://eur-lex.europa.eu/legal-content/EN/TXT/?uri=CELEX%3A32016L0680" TargetMode="External"/><Relationship Id="rId394" Type="http://schemas.openxmlformats.org/officeDocument/2006/relationships/hyperlink" Target="https://eur-lex.europa.eu/legal-content/EN/TXT/?uri=CELEX%3A32005L0036" TargetMode="External"/><Relationship Id="rId408" Type="http://schemas.openxmlformats.org/officeDocument/2006/relationships/hyperlink" Target="https://eur-lex.europa.eu/legal-content/EN/TXT/?uri=CELEX:32016L0343" TargetMode="External"/><Relationship Id="rId429" Type="http://schemas.openxmlformats.org/officeDocument/2006/relationships/hyperlink" Target="https://eur-lex.europa.eu/legal-content/EN/TXT/?qid=1521645914219&amp;uri=CELEX:32011L0070" TargetMode="External"/><Relationship Id="rId1" Type="http://schemas.openxmlformats.org/officeDocument/2006/relationships/hyperlink" Target="https://eur-lex.europa.eu/legal-content/EN/TXT/?qid=1551716247045&amp;uri=CELEX:32012R0965" TargetMode="External"/><Relationship Id="rId212" Type="http://schemas.openxmlformats.org/officeDocument/2006/relationships/hyperlink" Target="https://eur-lex.europa.eu/legal-content/EN/TXT/?uri=CELEX%3A32015L2366" TargetMode="External"/><Relationship Id="rId233" Type="http://schemas.openxmlformats.org/officeDocument/2006/relationships/hyperlink" Target="http://europa.eu/rapid/press-release_MEMO-18-349_en.htm" TargetMode="External"/><Relationship Id="rId254" Type="http://schemas.openxmlformats.org/officeDocument/2006/relationships/hyperlink" Target="https://eur-lex.europa.eu/legal-content/EN/TXT/?qid=1521646247233&amp;uri=CELEX:32012L0027" TargetMode="External"/><Relationship Id="rId440" Type="http://schemas.openxmlformats.org/officeDocument/2006/relationships/hyperlink" Target="https://eur-lex.europa.eu/eli/dir/2017/1564/oj" TargetMode="External"/><Relationship Id="rId28" Type="http://schemas.openxmlformats.org/officeDocument/2006/relationships/hyperlink" Target="http://curia.europa.eu/juris/liste.jsf?oqp=&amp;for=&amp;mat=or&amp;jge=&amp;td=%3BALL&amp;jur=C%2CT%2CF&amp;num=66%252F18&amp;page=1&amp;dates=&amp;pcs=Oor&amp;lg=&amp;pro=&amp;nat=or&amp;cit=none%252CC%252CCJ%252CR%252C2008E%252C%252C%252C%252C%252C%252C%252C%252C%252C%252Ctrue%252Cfalse%252Cfalse&amp;language=en&amp;avg=&amp;cid=7413876" TargetMode="External"/><Relationship Id="rId49" Type="http://schemas.openxmlformats.org/officeDocument/2006/relationships/hyperlink" Target="https://eur-lex.europa.eu/legal-content/EN/TXT/?qid=1521645914219&amp;uri=CELEX:32011L0070" TargetMode="External"/><Relationship Id="rId114" Type="http://schemas.openxmlformats.org/officeDocument/2006/relationships/hyperlink" Target="https://eur-lex.europa.eu/legal-content/EN/TXT/?qid=1521646247233&amp;uri=CELEX:32012L0027" TargetMode="External"/><Relationship Id="rId275" Type="http://schemas.openxmlformats.org/officeDocument/2006/relationships/hyperlink" Target="http://curia.europa.eu/juris/liste.jsf?oqp=&amp;for=&amp;mat=or&amp;jge=&amp;td=%3BALL&amp;jur=C%2CT%2CF&amp;num=638%252F18&amp;page=1&amp;dates=&amp;pcs=Oor&amp;lg=&amp;pro=&amp;nat=or&amp;cit=none%252CC%252CCJ%252CR%252C2008E%252C%252C%252C%252C%252C%252C%252C%252C%252C%252Ctrue%252Cfalse%252Cfalse&amp;language=en&amp;avg=&amp;cid=7413876" TargetMode="External"/><Relationship Id="rId296" Type="http://schemas.openxmlformats.org/officeDocument/2006/relationships/hyperlink" Target="https://eur-lex.europa.eu/legal-content/EN/TXT/?uri=CELEX:32016L0097" TargetMode="External"/><Relationship Id="rId300" Type="http://schemas.openxmlformats.org/officeDocument/2006/relationships/hyperlink" Target="https://eur-lex.europa.eu/legal-content/EN/TXT/?uri=CELEX%3A32015L2193" TargetMode="External"/><Relationship Id="rId461" Type="http://schemas.openxmlformats.org/officeDocument/2006/relationships/hyperlink" Target="http://curia.europa.eu/juris/liste.jsf?oqp=&amp;for=&amp;mat=or&amp;jge=&amp;td=%3BALL&amp;jur=C%2CT%2CF&amp;num=C-353%252F16&amp;page=1&amp;dates=&amp;pcs=Oor&amp;lg=&amp;pro=&amp;nat=or&amp;cit=none%252CC%252CCJ%252CR%252C2008E%252C%252C%252C%252C%252C%252C%252C%252C%252C%252Ctrue%252Cfalse%252Cfalse&amp;language=en&amp;avg=&amp;cid=6367458" TargetMode="External"/><Relationship Id="rId60" Type="http://schemas.openxmlformats.org/officeDocument/2006/relationships/hyperlink" Target="https://eur-lex.europa.eu/legal-content/EN/TXT/?uri=uriserv:OJ.L_.2016.344.01.0001.01.ENG" TargetMode="External"/><Relationship Id="rId81" Type="http://schemas.openxmlformats.org/officeDocument/2006/relationships/hyperlink" Target="https://eur-lex.europa.eu/legal-content/EN/TXT/?qid=1521646247233&amp;uri=CELEX:32012L0027" TargetMode="External"/><Relationship Id="rId135" Type="http://schemas.openxmlformats.org/officeDocument/2006/relationships/hyperlink" Target="https://eur-lex.europa.eu/legal-content/EN/TXT/?uri=uriserv%3AOJ.L_.2014.094.01.0001.01.ENG" TargetMode="External"/><Relationship Id="rId156" Type="http://schemas.openxmlformats.org/officeDocument/2006/relationships/hyperlink" Target="https://eur-lex.europa.eu/legal-content/EN/TXT/?uri=CELEX%3A32005L0036" TargetMode="External"/><Relationship Id="rId177" Type="http://schemas.openxmlformats.org/officeDocument/2006/relationships/hyperlink" Target="https://eur-lex.europa.eu/legal-content/EN/TXT/?uri=CELEX%3A32016L2102" TargetMode="External"/><Relationship Id="rId198" Type="http://schemas.openxmlformats.org/officeDocument/2006/relationships/hyperlink" Target="https://curia.europa.eu/jcms/upload/docs/application/pdf/2018-04/cp180048en.pdf" TargetMode="External"/><Relationship Id="rId321" Type="http://schemas.openxmlformats.org/officeDocument/2006/relationships/hyperlink" Target="http://curia.europa.eu/juris/liste.jsf?oqp=&amp;for=&amp;mat=or&amp;jge=&amp;td=%3BALL&amp;jur=C%2CT%2CF&amp;num=188%252F18&amp;page=1&amp;dates=&amp;pcs=Oor&amp;lg=&amp;pro=&amp;nat=or&amp;cit=none%252CC%252CCJ%252CR%252C2008E%252C%252C%252C%252C%252C%252C%252C%252C%252C%252Ctrue%252Cfalse%252Cfalse&amp;language=en&amp;avg=&amp;cid=6498993" TargetMode="External"/><Relationship Id="rId342" Type="http://schemas.openxmlformats.org/officeDocument/2006/relationships/hyperlink" Target="https://eur-lex.europa.eu/legal-content/EN/TXT/?qid=1550483938301&amp;uri=CELEX:32010L0063" TargetMode="External"/><Relationship Id="rId363" Type="http://schemas.openxmlformats.org/officeDocument/2006/relationships/hyperlink" Target="https://eur-lex.europa.eu/legal-content/EN/TXT/?uri=CELEX%3A32009L0147" TargetMode="External"/><Relationship Id="rId384" Type="http://schemas.openxmlformats.org/officeDocument/2006/relationships/hyperlink" Target="http://curia.europa.eu/juris/document/document.jsf?text=&amp;docid=207683&amp;pageIndex=0&amp;doclang=EN&amp;mode=lst&amp;dir=&amp;occ=first&amp;part=1&amp;cid=6336311" TargetMode="External"/><Relationship Id="rId419" Type="http://schemas.openxmlformats.org/officeDocument/2006/relationships/hyperlink" Target="http://europa.eu/rapid/press-release_IP-18-6265_EN.htm" TargetMode="External"/><Relationship Id="rId202" Type="http://schemas.openxmlformats.org/officeDocument/2006/relationships/hyperlink" Target="https://eur-lex.europa.eu/legal-content/EN/TXT/?qid=1550483938301&amp;uri=CELEX:32010L0063" TargetMode="External"/><Relationship Id="rId223" Type="http://schemas.openxmlformats.org/officeDocument/2006/relationships/hyperlink" Target="https://eur-lex.europa.eu/legal-content/EN/TXT/?uri=CELEX%3A32016L0680" TargetMode="External"/><Relationship Id="rId244" Type="http://schemas.openxmlformats.org/officeDocument/2006/relationships/hyperlink" Target="http://europa.eu/rapid/press-release_MEMO-18-3986_en.htm" TargetMode="External"/><Relationship Id="rId430" Type="http://schemas.openxmlformats.org/officeDocument/2006/relationships/hyperlink" Target="http://europa.eu/rapid/press-release_MEMO-18-3446_EN.htm" TargetMode="External"/><Relationship Id="rId18" Type="http://schemas.openxmlformats.org/officeDocument/2006/relationships/hyperlink" Target="https://eur-lex.europa.eu/legal-content/EN/TXT/?uri=CELEX%3A32016L2102" TargetMode="External"/><Relationship Id="rId39" Type="http://schemas.openxmlformats.org/officeDocument/2006/relationships/hyperlink" Target="http://curia.europa.eu/juris/liste.jsf?language=en&amp;num=c-384/17&amp;td=ALL" TargetMode="External"/><Relationship Id="rId265" Type="http://schemas.openxmlformats.org/officeDocument/2006/relationships/hyperlink" Target="https://eur-lex.europa.eu/eli/dir/2016/1214/oj" TargetMode="External"/><Relationship Id="rId286" Type="http://schemas.openxmlformats.org/officeDocument/2006/relationships/hyperlink" Target="http://europa.eu/rapid/press-release_MEMO-18-1444_en.htm" TargetMode="External"/><Relationship Id="rId451" Type="http://schemas.openxmlformats.org/officeDocument/2006/relationships/hyperlink" Target="http://curia.europa.eu/juris/document/document.jsf?text=&amp;docid=206894&amp;pageIndex=0&amp;doclang=EN&amp;mode=lst&amp;dir=&amp;occ=first&amp;part=1&amp;cid=8266770" TargetMode="External"/><Relationship Id="rId50" Type="http://schemas.openxmlformats.org/officeDocument/2006/relationships/hyperlink" Target="http://europa.eu/rapid/press-release_MEMO-18-3986_en.htm" TargetMode="External"/><Relationship Id="rId104" Type="http://schemas.openxmlformats.org/officeDocument/2006/relationships/hyperlink" Target="http://curia.europa.eu/juris/liste.jsf?oqp=&amp;for=&amp;mat=or&amp;jge=&amp;td=%3BALL&amp;jur=C%2CT%2CF&amp;num=C-360%252F15&amp;page=1&amp;dates=&amp;pcs=Oor&amp;lg=&amp;pro=&amp;nat=or&amp;cit=none%252CC%252CCJ%252CR%252C2008E%252C%252C%252C%252C%252C%252C%252C%252C%252C%252Ctrue%252Cfalse%252Cfalse&amp;language=en&amp;avg=&amp;cid=1877843" TargetMode="External"/><Relationship Id="rId125" Type="http://schemas.openxmlformats.org/officeDocument/2006/relationships/hyperlink" Target="https://eur-lex.europa.eu/legal-content/EN/TXT/?uri=uriserv:OJ.L_.2016.194.01.0001.01.ENG" TargetMode="External"/><Relationship Id="rId146" Type="http://schemas.openxmlformats.org/officeDocument/2006/relationships/hyperlink" Target="http://curia.europa.eu/juris/liste.jsf?oqp=&amp;for=&amp;mat=or&amp;jge=&amp;td=%3BALL&amp;jur=C%2CT%2CF&amp;num=C-51%252F18&amp;page=1&amp;dates=&amp;pcs=Oor&amp;lg=&amp;pro=&amp;nat=or&amp;cit=none%252CC%252CCJ%252CR%252C2008E%252C%252C%252C%252C%252C%252C%252C%252C%252C%252Ctrue%252Cfalse%252Cfalse&amp;language=en&amp;avg=&amp;cid=5118021" TargetMode="External"/><Relationship Id="rId167" Type="http://schemas.openxmlformats.org/officeDocument/2006/relationships/hyperlink" Target="https://eur-lex.europa.eu/legal-content/EN/TXT/?uri=CELEX:32000L0053" TargetMode="External"/><Relationship Id="rId188" Type="http://schemas.openxmlformats.org/officeDocument/2006/relationships/hyperlink" Target="https://eur-lex.europa.eu/eli/dir/2016/1214/oj" TargetMode="External"/><Relationship Id="rId311" Type="http://schemas.openxmlformats.org/officeDocument/2006/relationships/hyperlink" Target="http://europa.eu/rapid/press-release_MEMO-18-349_en.htm" TargetMode="External"/><Relationship Id="rId332" Type="http://schemas.openxmlformats.org/officeDocument/2006/relationships/hyperlink" Target="https://eur-lex.europa.eu/legal-content/EN/TXT/?uri=CELEX:32011L0085" TargetMode="External"/><Relationship Id="rId353" Type="http://schemas.openxmlformats.org/officeDocument/2006/relationships/hyperlink" Target="https://eur-lex.europa.eu/legal-content/EN/TXT/?uri=CELEX%3A32017L1279" TargetMode="External"/><Relationship Id="rId374" Type="http://schemas.openxmlformats.org/officeDocument/2006/relationships/hyperlink" Target="https://eur-lex.europa.eu/legal-content/EN/TXT/?uri=CELEX:32003L0004" TargetMode="External"/><Relationship Id="rId395" Type="http://schemas.openxmlformats.org/officeDocument/2006/relationships/hyperlink" Target="http://europa.eu/rapid/press-release_MEMO-18-4486_en.htm" TargetMode="External"/><Relationship Id="rId409" Type="http://schemas.openxmlformats.org/officeDocument/2006/relationships/hyperlink" Target="https://eur-lex.europa.eu/legal-content/EN/TXT/?uri=celex%3A32014L0052" TargetMode="External"/><Relationship Id="rId71" Type="http://schemas.openxmlformats.org/officeDocument/2006/relationships/hyperlink" Target="https://eur-lex.europa.eu/legal-content/EN/TXT/?uri=uriserv%3AOJ.L_.2014.349.01.0001.01.ENG" TargetMode="External"/><Relationship Id="rId92" Type="http://schemas.openxmlformats.org/officeDocument/2006/relationships/hyperlink" Target="https://eur-lex.europa.eu/eli/dir_impl/2018/100/oj" TargetMode="External"/><Relationship Id="rId213" Type="http://schemas.openxmlformats.org/officeDocument/2006/relationships/hyperlink" Target="https://eur-lex.europa.eu/legal-content/EN/TXT/?uri=CELEX:32016L0097" TargetMode="External"/><Relationship Id="rId234" Type="http://schemas.openxmlformats.org/officeDocument/2006/relationships/hyperlink" Target="https://eur-lex.europa.eu/legal-content/EN/TXT/?qid=1521545219979&amp;uri=CELEX:32014L0066" TargetMode="External"/><Relationship Id="rId420" Type="http://schemas.openxmlformats.org/officeDocument/2006/relationships/hyperlink" Target="http://curia.europa.eu/juris/liste.jsf?oqp=&amp;for=&amp;mat=or&amp;jge=&amp;td=%3BALL&amp;jur=C%2CT%2CF&amp;num=C-301%252F10&amp;page=1&amp;dates=&amp;pcs=Oor&amp;lg=&amp;pro=&amp;nat=or&amp;cit=none%252CC%252CCJ%252CR%252C2008E%252C%252C%252C%252C%252C%252C%252C%252C%252C%252Ctrue%252Cfalse%252Cfalse&amp;language=en&amp;avg=&amp;cid=6367028" TargetMode="External"/><Relationship Id="rId2" Type="http://schemas.openxmlformats.org/officeDocument/2006/relationships/hyperlink" Target="http://europa.eu/rapid/press-release_MEMO-18-4486_en.htm" TargetMode="External"/><Relationship Id="rId29" Type="http://schemas.openxmlformats.org/officeDocument/2006/relationships/hyperlink" Target="https://eur-lex.europa.eu/legal-content/FR/TXT/?uri=CELEX:32014L0040" TargetMode="External"/><Relationship Id="rId255" Type="http://schemas.openxmlformats.org/officeDocument/2006/relationships/hyperlink" Target="http://europa.eu/rapid/press-release_MEMO-18-6247_en.htm" TargetMode="External"/><Relationship Id="rId276" Type="http://schemas.openxmlformats.org/officeDocument/2006/relationships/hyperlink" Target="http://europa.eu/rapid/press-release_IP-18-3450_en.htm" TargetMode="External"/><Relationship Id="rId297" Type="http://schemas.openxmlformats.org/officeDocument/2006/relationships/hyperlink" Target="https://eur-lex.europa.eu/legal-content/EN/TXT/?uri=celex%3A32014L0065" TargetMode="External"/><Relationship Id="rId441" Type="http://schemas.openxmlformats.org/officeDocument/2006/relationships/hyperlink" Target="https://eur-lex.europa.eu/legal-content/EN/ALL/?uri=CELEX%3A32008L0050" TargetMode="External"/><Relationship Id="rId462" Type="http://schemas.openxmlformats.org/officeDocument/2006/relationships/hyperlink" Target="http://curia.europa.eu/juris/liste.jsf?oqp=&amp;for=&amp;mat=or&amp;jge=&amp;td=%3BALL&amp;jur=C%2CT%2CF&amp;num=C-451%252F16&amp;page=1&amp;dates=&amp;pcs=Oor&amp;lg=&amp;pro=&amp;nat=or&amp;cit=none%252CC%252CCJ%252CR%252C2008E%252C%252C%252C%252C%252C%252C%252C%252C%252C%252Ctrue%252Cfalse%252Cfalse&amp;language=fr&amp;avg=&amp;cid=10006124" TargetMode="External"/><Relationship Id="rId40" Type="http://schemas.openxmlformats.org/officeDocument/2006/relationships/hyperlink" Target="http://curia.europa.eu/juris/liste.jsf?oqp=&amp;for=&amp;mat=or&amp;jge=&amp;td=%3BALL&amp;jur=C%2CT%2CF&amp;num=C-566%252F16&amp;page=1&amp;dates=&amp;pcs=Oor&amp;lg=&amp;pro=&amp;nat=or&amp;cit=none%252CC%252CCJ%252CR%252C2008E%252C%252C%252C%252C%252C%252C%252C%252C%252C%252Ctrue%252Cfalse%252Cfalse&amp;language=en&amp;avg=&amp;cid=5118021" TargetMode="External"/><Relationship Id="rId115" Type="http://schemas.openxmlformats.org/officeDocument/2006/relationships/hyperlink" Target="http://europa.eu/rapid/press-release_MEMO-18-1444_en.htm" TargetMode="External"/><Relationship Id="rId136" Type="http://schemas.openxmlformats.org/officeDocument/2006/relationships/hyperlink" Target="http://curia.europa.eu/juris/liste.jsf?oqp=&amp;for=&amp;mat=or&amp;jge=&amp;td=%3BALL&amp;jur=C%2CT%2CF&amp;num=77%252F18&amp;page=1&amp;dates=&amp;pcs=Oor&amp;lg=&amp;pro=&amp;nat=or&amp;cit=none%252CC%252CCJ%252CR%252C2008E%252C%252C%252C%252C%252C%252C%252C%252C%252C%252Ctrue%252Cfalse%252Cfalse&amp;language=en&amp;avg=&amp;cid=7413876" TargetMode="External"/><Relationship Id="rId157" Type="http://schemas.openxmlformats.org/officeDocument/2006/relationships/hyperlink" Target="http://europa.eu/rapid/press-release_MEMO-18-4486_en.htm" TargetMode="External"/><Relationship Id="rId178" Type="http://schemas.openxmlformats.org/officeDocument/2006/relationships/hyperlink" Target="https://eur-lex.europa.eu/eli/dir/2017/1564/oj" TargetMode="External"/><Relationship Id="rId301" Type="http://schemas.openxmlformats.org/officeDocument/2006/relationships/hyperlink" Target="https://eur-lex.europa.eu/eli/dir/2017/1564/oj" TargetMode="External"/><Relationship Id="rId322" Type="http://schemas.openxmlformats.org/officeDocument/2006/relationships/hyperlink" Target="https://eur-lex.europa.eu/legal-content/EN/TXT/?uri=uriserv%3AOJ.L_.2014.094.01.0001.01.ENG" TargetMode="External"/><Relationship Id="rId343" Type="http://schemas.openxmlformats.org/officeDocument/2006/relationships/hyperlink" Target="http://europa.eu/rapid/press-release_MEMO-18-4486_en.htm" TargetMode="External"/><Relationship Id="rId364" Type="http://schemas.openxmlformats.org/officeDocument/2006/relationships/hyperlink" Target="http://europa.eu/rapid/press-release_IP-18-1446_en.htm" TargetMode="External"/><Relationship Id="rId61" Type="http://schemas.openxmlformats.org/officeDocument/2006/relationships/hyperlink" Target="https://eur-lex.europa.eu/legal-content/EN/TXT/?uri=CELEX%3A32016L2102" TargetMode="External"/><Relationship Id="rId82" Type="http://schemas.openxmlformats.org/officeDocument/2006/relationships/hyperlink" Target="http://europa.eu/rapid/press-release_MEMO-18-4486_en.htm" TargetMode="External"/><Relationship Id="rId199" Type="http://schemas.openxmlformats.org/officeDocument/2006/relationships/hyperlink" Target="http://curia.europa.eu/juris/liste.jsf?oqp=&amp;for=&amp;mat=or&amp;jge=&amp;td=%3BALL&amp;jur=C%2CT%2CF&amp;num=C-30%252F17&amp;page=1&amp;dates=&amp;pcs=Oor&amp;lg=&amp;pro=&amp;nat=or&amp;cit=none%252CC%252CCJ%252CR%252C2008E%252C%252C%252C%252C%252C%252C%252C%252C%252C%252Ctrue%252Cfalse%252Cfalse&amp;language=en&amp;avg=&amp;cid=5118021" TargetMode="External"/><Relationship Id="rId203" Type="http://schemas.openxmlformats.org/officeDocument/2006/relationships/hyperlink" Target="http://europa.eu/rapid/press-release_MEMO-18-4486_en.htm" TargetMode="External"/><Relationship Id="rId385" Type="http://schemas.openxmlformats.org/officeDocument/2006/relationships/hyperlink" Target="http://curia.europa.eu/juris/liste.jsf?oqp=&amp;for=&amp;mat=or&amp;lgrec=fr&amp;jge=&amp;td=%3BALL&amp;jur=C%2CT%2CF&amp;num=C-240%252F17&amp;page=1&amp;dates=&amp;pcs=Oor&amp;lg=&amp;pro=&amp;nat=or&amp;cit=none%252CC%252CCJ%252CR%252C2008E%252C%252C%252C%252C%252C%252C%252C%252C%252C%252Ctrue%252Cfalse%252Cfalse&amp;language=en&amp;avg=&amp;cid=4028002" TargetMode="External"/><Relationship Id="rId19" Type="http://schemas.openxmlformats.org/officeDocument/2006/relationships/hyperlink" Target="http://curia.europa.eu/juris/liste.jsf?oqp=&amp;for=&amp;mat=or&amp;jge=&amp;td=%3BALL&amp;jur=C%2CT%2CF&amp;num=78%252F18&amp;page=1&amp;dates=&amp;pcs=Oor&amp;lg=&amp;pro=&amp;nat=or&amp;cit=none%252CC%252CCJ%252CR%252C2008E%252C%252C%252C%252C%252C%252C%252C%252C%252C%252Ctrue%252Cfalse%252Cfalse&amp;language=en&amp;avg=&amp;cid=7413876" TargetMode="External"/><Relationship Id="rId224" Type="http://schemas.openxmlformats.org/officeDocument/2006/relationships/hyperlink" Target="https://eur-lex.europa.eu/legal-content/EN/TXT/?uri=CELEX%3A31992L0043" TargetMode="External"/><Relationship Id="rId245" Type="http://schemas.openxmlformats.org/officeDocument/2006/relationships/hyperlink" Target="https://eur-lex.europa.eu/legal-content/FR/ALL/?uri=CELEX:32009L0138" TargetMode="External"/><Relationship Id="rId266" Type="http://schemas.openxmlformats.org/officeDocument/2006/relationships/hyperlink" Target="https://eur-lex.europa.eu/legal-content/EN/TXT/?uri=CELEX%3A32017L1279" TargetMode="External"/><Relationship Id="rId287" Type="http://schemas.openxmlformats.org/officeDocument/2006/relationships/hyperlink" Target="https://eur-lex.europa.eu/legal-content/EN/TXT/?uri=uriserv%3AOJ.L_.2014.304.01.0089.01.ENG" TargetMode="External"/><Relationship Id="rId410" Type="http://schemas.openxmlformats.org/officeDocument/2006/relationships/hyperlink" Target="https://eur-lex.europa.eu/legal-content/EN/TXT/?qid=1521545219979&amp;uri=CELEX:32014L0066" TargetMode="External"/><Relationship Id="rId431" Type="http://schemas.openxmlformats.org/officeDocument/2006/relationships/hyperlink" Target="http://europa.eu/rapid/press-release_MEMO-18-1444_en.htm" TargetMode="External"/><Relationship Id="rId452" Type="http://schemas.openxmlformats.org/officeDocument/2006/relationships/hyperlink" Target="http://curia.europa.eu/juris/liste.jsf?oqp=&amp;for=&amp;mat=or&amp;jge=&amp;td=%3BALL&amp;jur=C%2CT%2CF&amp;num=C-503%252F17&amp;page=1&amp;dates=&amp;pcs=Oor&amp;lg=&amp;pro=&amp;nat=or&amp;cit=none%252CC%252CCJ%252CR%252C2008E%252C%252C%252C%252C%252C%252C%252C%252C%252C%252Ctrue%252Cfalse%252Cfalse&amp;lan" TargetMode="External"/><Relationship Id="rId30" Type="http://schemas.openxmlformats.org/officeDocument/2006/relationships/hyperlink" Target="https://eur-lex.europa.eu/legal-content/EN/TXT/?uri=CELEX%3A32017L1279" TargetMode="External"/><Relationship Id="rId105" Type="http://schemas.openxmlformats.org/officeDocument/2006/relationships/hyperlink" Target="http://curia.europa.eu/juris/liste.jsf?oqp=&amp;for=&amp;mat=or&amp;jge=&amp;td=%3BALL&amp;jur=C%2CT%2CF&amp;num=C-31%252F16&amp;page=1&amp;dates=&amp;pcs=Oor&amp;lg=&amp;pro=&amp;nat=or&amp;cit=none%252CC%252CCJ%252CR%252C2008E%252C%252C%252C%252C%252C%252C%252C%252C%252C%252Ctrue%252Cfalse%252Cfalse&amp;language=en&amp;avg=&amp;cid=1877843" TargetMode="External"/><Relationship Id="rId126" Type="http://schemas.openxmlformats.org/officeDocument/2006/relationships/hyperlink" Target="https://eur-lex.europa.eu/legal-content/EN/TXT/?uri=CELEX%3A32016L2102" TargetMode="External"/><Relationship Id="rId147" Type="http://schemas.openxmlformats.org/officeDocument/2006/relationships/hyperlink" Target="http://curia.europa.eu/juris/liste.jsf?oqp=&amp;for=&amp;mat=or&amp;jge=&amp;td=%3BALL&amp;jur=C%2CT%2CF&amp;num=C-527%252F16&amp;page=1&amp;dates=&amp;pcs=Oor&amp;lg=&amp;pro=&amp;nat=or&amp;cit=none%252CC%252CCJ%252CR%252C2008E%252C%252C%252C%252C%252C%252C%252C%252C%252C%252Ctrue%252Cfalse%252Cfalse&amp;language=en&amp;avg=&amp;cid=13717269" TargetMode="External"/><Relationship Id="rId168" Type="http://schemas.openxmlformats.org/officeDocument/2006/relationships/hyperlink" Target="https://eur-lex.europa.eu/legal-content/EN/TXT/?uri=CELEX%3A32011L0092" TargetMode="External"/><Relationship Id="rId312" Type="http://schemas.openxmlformats.org/officeDocument/2006/relationships/hyperlink" Target="https://eur-lex.europa.eu/legal-content/EN/TXT/?uri=CELEX%3A32005L0036" TargetMode="External"/><Relationship Id="rId333" Type="http://schemas.openxmlformats.org/officeDocument/2006/relationships/hyperlink" Target="https://eur-lex.europa.eu/legal-content/EN/TXT/?qid=1521545219979&amp;uri=CELEX:32014L0066" TargetMode="External"/><Relationship Id="rId354" Type="http://schemas.openxmlformats.org/officeDocument/2006/relationships/hyperlink" Target="https://eur-lex.europa.eu/legal-content/EN/TXT/?uri=CELEX%3A32014L0042" TargetMode="External"/><Relationship Id="rId51" Type="http://schemas.openxmlformats.org/officeDocument/2006/relationships/hyperlink" Target="https://eur-lex.europa.eu/legal-content/EN/TXT/?qid=1521645914219&amp;uri=CELEX:32011L0070" TargetMode="External"/><Relationship Id="rId72" Type="http://schemas.openxmlformats.org/officeDocument/2006/relationships/hyperlink" Target="http://europa.eu/rapid/press-release_MEMO-18-1444_en.htm" TargetMode="External"/><Relationship Id="rId93" Type="http://schemas.openxmlformats.org/officeDocument/2006/relationships/hyperlink" Target="https://eur-lex.europa.eu/legal-content/EN/TXT/?uri=uriserv:OJ.L_.2016.194.01.0001.01.ENG" TargetMode="External"/><Relationship Id="rId189" Type="http://schemas.openxmlformats.org/officeDocument/2006/relationships/hyperlink" Target="http://europa.eu/rapid/press-release_MEMO-18-1444_en.htm" TargetMode="External"/><Relationship Id="rId375" Type="http://schemas.openxmlformats.org/officeDocument/2006/relationships/hyperlink" Target="https://eur-lex.europa.eu/legal-content/EN/TXT/?uri=celex%3A32005L0029" TargetMode="External"/><Relationship Id="rId396" Type="http://schemas.openxmlformats.org/officeDocument/2006/relationships/hyperlink" Target="https://eur-lex.europa.eu/legal-content/EN/TXT/?qid=1521646247233&amp;uri=CELEX:32012L0027" TargetMode="External"/><Relationship Id="rId3" Type="http://schemas.openxmlformats.org/officeDocument/2006/relationships/hyperlink" Target="https://eur-lex.europa.eu/legal-content/EN/TXT/?qid=1551716316185&amp;uri=CELEX:32009L0021" TargetMode="External"/><Relationship Id="rId214" Type="http://schemas.openxmlformats.org/officeDocument/2006/relationships/hyperlink" Target="https://eur-lex.europa.eu/legal-content/EN/TXT/?uri=celex%3A32014L0065" TargetMode="External"/><Relationship Id="rId235" Type="http://schemas.openxmlformats.org/officeDocument/2006/relationships/hyperlink" Target="https://eur-lex.europa.eu/legal-content/EN/TXT/?uri=CELEX%3A32014L0091" TargetMode="External"/><Relationship Id="rId256" Type="http://schemas.openxmlformats.org/officeDocument/2006/relationships/hyperlink" Target="https://eur-lex.europa.eu/legal-content/en/ALL/?uri=CELEX:32009L0119" TargetMode="External"/><Relationship Id="rId277" Type="http://schemas.openxmlformats.org/officeDocument/2006/relationships/hyperlink" Target="http://curia.europa.eu/juris/liste.jsf?oqp=&amp;for=&amp;mat=or&amp;jge=&amp;td=%3BALL&amp;jur=C%2CT%2CF&amp;num=116%252F18&amp;page=1&amp;dates=&amp;pcs=Oor&amp;lg=&amp;pro=&amp;nat=or&amp;cit=none%252CC%252CCJ%252CR%252C2008E%252C%252C%252C%252C%252C%252C%252C%252C%252C%252Ctrue%252Cfalse%252Cfalse&amp;language=en&amp;avg=&amp;cid=7413876" TargetMode="External"/><Relationship Id="rId298" Type="http://schemas.openxmlformats.org/officeDocument/2006/relationships/hyperlink" Target="http://europa.eu/rapid/press-release_MEMO-18-349_en.htm" TargetMode="External"/><Relationship Id="rId400" Type="http://schemas.openxmlformats.org/officeDocument/2006/relationships/hyperlink" Target="https://eur-lex.europa.eu/legal-content/EN/TXT/?uri=CELEX%3A32017L1279" TargetMode="External"/><Relationship Id="rId421" Type="http://schemas.openxmlformats.org/officeDocument/2006/relationships/hyperlink" Target="http://curia.europa.eu/juris/liste.jsf?oqp=&amp;for=&amp;mat=or&amp;jge=&amp;td=%3BALL&amp;jur=C%2CT%2CF&amp;num=C-502%252F15&amp;page=1&amp;dates=&amp;pcs=Oor&amp;lg=&amp;pro=&amp;nat=or&amp;cit=none%252CC%252CCJ%252CR%252C2008E%252C%252C%252C%252C%252C%252C%252C%252C%252C%252Ctrue%252Cfalse%252Cfalse&amp;language=en&amp;avg=&amp;cid=6367028" TargetMode="External"/><Relationship Id="rId442" Type="http://schemas.openxmlformats.org/officeDocument/2006/relationships/hyperlink" Target="http://europa.eu/rapid/press-release_MEMO-18-6247_en.htm" TargetMode="External"/><Relationship Id="rId116" Type="http://schemas.openxmlformats.org/officeDocument/2006/relationships/hyperlink" Target="https://eur-lex.europa.eu/legal-content/EN/TXT/?qid=1521646247233&amp;uri=CELEX:32012L0027" TargetMode="External"/><Relationship Id="rId137" Type="http://schemas.openxmlformats.org/officeDocument/2006/relationships/hyperlink" Target="https://eur-lex.europa.eu/legal-content/en/TXT/?uri=CELEX:32014L0024" TargetMode="External"/><Relationship Id="rId158" Type="http://schemas.openxmlformats.org/officeDocument/2006/relationships/hyperlink" Target="https://eur-lex.europa.eu/legal-content/EN/ALL/?uri=CELEX%3A32010R0994" TargetMode="External"/><Relationship Id="rId302" Type="http://schemas.openxmlformats.org/officeDocument/2006/relationships/hyperlink" Target="https://eur-lex.europa.eu/legal-content/EN/TXT/?uri=CELEX:32015L2302" TargetMode="External"/><Relationship Id="rId323" Type="http://schemas.openxmlformats.org/officeDocument/2006/relationships/hyperlink" Target="https://eur-lex.europa.eu/legal-content/EN/TXT/?uri=CELEX%3A32002L0049" TargetMode="External"/><Relationship Id="rId344" Type="http://schemas.openxmlformats.org/officeDocument/2006/relationships/hyperlink" Target="https://eur-lex.europa.eu/legal-content/EN/TXT/?qid=1521717571342&amp;uri=CELEX:31992L0043" TargetMode="External"/><Relationship Id="rId20" Type="http://schemas.openxmlformats.org/officeDocument/2006/relationships/hyperlink" Target="https://eur-lex.europa.eu/legal-content/EN/TXT/?qid=1521646057107&amp;uri=CELEX:32009L0072" TargetMode="External"/><Relationship Id="rId41" Type="http://schemas.openxmlformats.org/officeDocument/2006/relationships/hyperlink" Target="http://curia.europa.eu/juris/liste.jsf?oqp=&amp;for=&amp;mat=or&amp;jge=&amp;td=%3BALL&amp;jur=C%2CT%2CF&amp;num=C-300%252F17&amp;page=1&amp;dates=&amp;pcs=Oor&amp;lg=&amp;pro=&amp;nat=or&amp;cit=none%252CC%252CCJ%252CR%252C2008E%252C%252C%252C%252C%252C%252C%252C%252C%252C%252Ctrue%252Cfalse%252Cfalse&amp;language=en&amp;avg=&amp;cid=8583600" TargetMode="External"/><Relationship Id="rId62" Type="http://schemas.openxmlformats.org/officeDocument/2006/relationships/hyperlink" Target="https://eur-lex.europa.eu/legal-content/EN/TXT/PDF/?uri=CELEX:32013L0059&amp;from=EN" TargetMode="External"/><Relationship Id="rId83" Type="http://schemas.openxmlformats.org/officeDocument/2006/relationships/hyperlink" Target="https://eur-lex.europa.eu/legal-content/en/ALL/?uri=CELEX:32010L0031" TargetMode="External"/><Relationship Id="rId179" Type="http://schemas.openxmlformats.org/officeDocument/2006/relationships/hyperlink" Target="http://curia.europa.eu/juris/liste.jsf?oqp=&amp;for=&amp;mat=or&amp;jge=&amp;td=%3BALL&amp;jur=C%2CT%2CF&amp;num=192%252F18&amp;page=1&amp;dates=&amp;pcs=Oor&amp;lg=&amp;pro=&amp;nat=or&amp;cit=none%252CC%252CCJ%252CR%252C2008E%252C%252C%252C%252C%252C%252C%252C%252C%252C%252Ctrue%252Cfalse%252Cfalse&amp;language=en&amp;avg=&amp;cid=7413876" TargetMode="External"/><Relationship Id="rId365" Type="http://schemas.openxmlformats.org/officeDocument/2006/relationships/hyperlink" Target="https://eur-lex.europa.eu/legal-content/EN/TXT/?uri=celex:32011L0083" TargetMode="External"/><Relationship Id="rId386" Type="http://schemas.openxmlformats.org/officeDocument/2006/relationships/hyperlink" Target="http://curia.europa.eu/juris/liste.jsf?oqp=&amp;for=&amp;mat=or&amp;jge=&amp;td=%3BALL&amp;jur=C%2CT%2CF&amp;num=C-25%252F17&amp;page=1&amp;dates=&amp;pcs=Oor&amp;lg=&amp;pro=&amp;nat=or&amp;cit=none%252CC%252CCJ%252CR%252C2008E%252C%252C%252C%252C%252C%252C%252C%252C%252C%252Ctrue%252Cfalse%252Cfalse&amp;language=fr&amp;avg=&amp;cid=10006124" TargetMode="External"/><Relationship Id="rId190" Type="http://schemas.openxmlformats.org/officeDocument/2006/relationships/hyperlink" Target="https://eur-lex.europa.eu/legal-content/EN/TXT/?uri=CELEX%3A32016L0680" TargetMode="External"/><Relationship Id="rId204" Type="http://schemas.openxmlformats.org/officeDocument/2006/relationships/hyperlink" Target="https://eur-lex.europa.eu/legal-content/EN/TXT/?qid=1521645914219&amp;uri=CELEX:32011L0070" TargetMode="External"/><Relationship Id="rId225" Type="http://schemas.openxmlformats.org/officeDocument/2006/relationships/hyperlink" Target="http://curia.europa.eu/juris/liste.jsf?language=en&amp;num=C-290/18&amp;td=ALL" TargetMode="External"/><Relationship Id="rId246" Type="http://schemas.openxmlformats.org/officeDocument/2006/relationships/hyperlink" Target="https://eur-lex.europa.eu/legal-content/en/TXT/?uri=CELEX%3A32009L0103" TargetMode="External"/><Relationship Id="rId267" Type="http://schemas.openxmlformats.org/officeDocument/2006/relationships/hyperlink" Target="https://eur-lex.europa.eu/legal-content/EN/TXT/?uri=CELEX%3A32015L2366" TargetMode="External"/><Relationship Id="rId288" Type="http://schemas.openxmlformats.org/officeDocument/2006/relationships/hyperlink" Target="https://eur-lex.europa.eu/eli/dir/2016/1214/oj" TargetMode="External"/><Relationship Id="rId411" Type="http://schemas.openxmlformats.org/officeDocument/2006/relationships/hyperlink" Target="https://eur-lex.europa.eu/legal-content/EN/TXT/?uri=CELEX:32015L0652" TargetMode="External"/><Relationship Id="rId432" Type="http://schemas.openxmlformats.org/officeDocument/2006/relationships/hyperlink" Target="http://europa.eu/rapid/press-release_IP-18-5807_en.htm" TargetMode="External"/><Relationship Id="rId453" Type="http://schemas.openxmlformats.org/officeDocument/2006/relationships/hyperlink" Target="http://curia.europa.eu/juris/liste.jsf?language=fr&amp;num=C-621/18&amp;td=ALL" TargetMode="External"/><Relationship Id="rId106" Type="http://schemas.openxmlformats.org/officeDocument/2006/relationships/hyperlink" Target="http://curia.europa.eu/juris/liste.jsf?oqp=&amp;for=&amp;mat=or&amp;jge=&amp;td=%3BALL&amp;jur=C%2CT%2CF&amp;num=C-366%252F16&amp;page=1&amp;dates=&amp;pcs=Oor&amp;lg=&amp;pro=&amp;nat=or&amp;cit=none%252CC%252CCJ%252CR%252C2008E%252C%252C%252C%252C%252C%252C%252C%252C%252C%252Ctrue%252Cfalse%252Cfalse&amp;language=en&amp;avg=&amp;cid=5121336" TargetMode="External"/><Relationship Id="rId127" Type="http://schemas.openxmlformats.org/officeDocument/2006/relationships/hyperlink" Target="https://eur-lex.europa.eu/legal-content/EN/TXT/?uri=CELEX%3A32015L2193" TargetMode="External"/><Relationship Id="rId313" Type="http://schemas.openxmlformats.org/officeDocument/2006/relationships/hyperlink" Target="http://europa.eu/rapid/press-release_MEMO-18-4486_en.htm" TargetMode="External"/><Relationship Id="rId10" Type="http://schemas.openxmlformats.org/officeDocument/2006/relationships/hyperlink" Target="http://europa.eu/rapid/press-release_MEMO-18-4486_en.htm" TargetMode="External"/><Relationship Id="rId31" Type="http://schemas.openxmlformats.org/officeDocument/2006/relationships/hyperlink" Target="https://eur-lex.europa.eu/legal-content/EN/TXT/?uri=CELEX%3A32014L0042" TargetMode="External"/><Relationship Id="rId52" Type="http://schemas.openxmlformats.org/officeDocument/2006/relationships/hyperlink" Target="http://europa.eu/rapid/press-release_MEMO-18-3446_EN.htm" TargetMode="External"/><Relationship Id="rId73" Type="http://schemas.openxmlformats.org/officeDocument/2006/relationships/hyperlink" Target="https://eur-lex.europa.eu/legal-content/EN/TXT/?uri=CELEX:32015L0652" TargetMode="External"/><Relationship Id="rId94" Type="http://schemas.openxmlformats.org/officeDocument/2006/relationships/hyperlink" Target="http://europa.eu/rapid/press-release_MEMO-18-4486_en.htm" TargetMode="External"/><Relationship Id="rId148" Type="http://schemas.openxmlformats.org/officeDocument/2006/relationships/hyperlink" Target="https://eur-lex.europa.eu/legal-content/EN/TXT/PDF/?uri=CELEX:02007R1370-20171224&amp;qid=1545934160413&amp;from=EN" TargetMode="External"/><Relationship Id="rId169" Type="http://schemas.openxmlformats.org/officeDocument/2006/relationships/hyperlink" Target="https://eur-lex.europa.eu/legal-content/EN/TXT/?uri=CELEX%3A32015L2366" TargetMode="External"/><Relationship Id="rId334" Type="http://schemas.openxmlformats.org/officeDocument/2006/relationships/hyperlink" Target="https://eur-lex.europa.eu/legal-content/en/ALL/?uri=CELEX:32014L0087" TargetMode="External"/><Relationship Id="rId355" Type="http://schemas.openxmlformats.org/officeDocument/2006/relationships/hyperlink" Target="http://curia.europa.eu/juris/liste.jsf?oqp=&amp;for=&amp;mat=or&amp;jge=&amp;td=%3BALL&amp;jur=C%2CT%2CF&amp;num=C-331%252F11&amp;page=1&amp;dates=&amp;pcs=Oor&amp;lg=&amp;pro=&amp;nat=or&amp;cit=none%252CC%252CCJ%252CR%252C2008E%252C%252C%252C%252C%252C%252C%252C%252C%252C%252Ctrue%252Cfalse%252Cfalse&amp;language=en&amp;avg=&amp;cid=6362912" TargetMode="External"/><Relationship Id="rId376" Type="http://schemas.openxmlformats.org/officeDocument/2006/relationships/hyperlink" Target="https://eur-lex.europa.eu/legal-content/EN/TXT/PDF/?uri=CELEX:32009L0012&amp;qid=1548343348906&amp;from=FR" TargetMode="External"/><Relationship Id="rId397" Type="http://schemas.openxmlformats.org/officeDocument/2006/relationships/hyperlink" Target="http://europa.eu/rapid/press-release_MEMO-18-4486_en.htm" TargetMode="External"/><Relationship Id="rId4" Type="http://schemas.openxmlformats.org/officeDocument/2006/relationships/hyperlink" Target="http://europa.eu/rapid/press-release_MEMO-18-4486_en.htm" TargetMode="External"/><Relationship Id="rId180" Type="http://schemas.openxmlformats.org/officeDocument/2006/relationships/hyperlink" Target="http://curia.europa.eu/juris/liste.jsf?oqp=&amp;for=&amp;mat=or&amp;jge=&amp;td=%3BALL&amp;jur=C%2CT%2CF&amp;num=619%252F18&amp;page=1&amp;dates=&amp;pcs=Oor&amp;lg=&amp;pro=&amp;nat=or&amp;cit=none%252CC%252CCJ%252CR%252C2008E%252C%252C%252C%252C%252C%252C%252C%252C%252C%252Ctrue%252Cfalse%252Cfalse&amp;language=en&amp;avg=&amp;cid=7413876" TargetMode="External"/><Relationship Id="rId215" Type="http://schemas.openxmlformats.org/officeDocument/2006/relationships/hyperlink" Target="http://europa.eu/rapid/press-release_MEMO-18-349_en.htm" TargetMode="External"/><Relationship Id="rId236" Type="http://schemas.openxmlformats.org/officeDocument/2006/relationships/hyperlink" Target="https://eur-lex.europa.eu/legal-content/EN/TXT/?uri=CELEX:32015L0720" TargetMode="External"/><Relationship Id="rId257" Type="http://schemas.openxmlformats.org/officeDocument/2006/relationships/hyperlink" Target="http://europa.eu/rapid/press-release_MEMO-18-349_en.htm" TargetMode="External"/><Relationship Id="rId278" Type="http://schemas.openxmlformats.org/officeDocument/2006/relationships/hyperlink" Target="http://curia.europa.eu/juris/liste.jsf?oqp=&amp;for=&amp;mat=or&amp;jge=&amp;td=%3BALL&amp;jur=C%2CT%2CF&amp;num=549%252F18&amp;page=1&amp;dates=&amp;pcs=Oor&amp;lg=&amp;pro=&amp;nat=or&amp;cit=none%252CC%252CCJ%252CR%252C2008E%252C%252C%252C%252C%252C%252C%252C%252C%252C%252Ctrue%252Cfalse%252Cfalse&amp;language=en&amp;avg=&amp;cid=7413876" TargetMode="External"/><Relationship Id="rId401" Type="http://schemas.openxmlformats.org/officeDocument/2006/relationships/hyperlink" Target="https://eur-lex.europa.eu/legal-content/EN/TXT/?uri=CELEX%3A32015L2366" TargetMode="External"/><Relationship Id="rId422" Type="http://schemas.openxmlformats.org/officeDocument/2006/relationships/hyperlink" Target="https://eur-lex.europa.eu/legal-content/EN/TXT/?qid=1551716316185&amp;uri=CELEX:32009L0021" TargetMode="External"/><Relationship Id="rId443" Type="http://schemas.openxmlformats.org/officeDocument/2006/relationships/hyperlink" Target="http://curia.europa.eu/juris/liste.jsf?oqp=&amp;for=&amp;mat=or&amp;jge=&amp;td=%3BALL&amp;jur=C%2CT%2CF&amp;num=664%252F18&amp;page=1&amp;dates=&amp;pcs=Oor&amp;lg=&amp;pro=&amp;nat=or&amp;cit=none%252CC%252CCJ%252CR%252C2008E%252C%252C%252C%252C%252C%252C%252C%252C%252C%252Ctrue%252Cfalse%252Cfalse&amp;language=en&amp;avg=&amp;cid=6498993" TargetMode="External"/><Relationship Id="rId303" Type="http://schemas.openxmlformats.org/officeDocument/2006/relationships/hyperlink" Target="https://eur-lex.europa.eu/legal-content/EN/TXT/?uri=CELEX%3A32016L0680" TargetMode="External"/><Relationship Id="rId42" Type="http://schemas.openxmlformats.org/officeDocument/2006/relationships/hyperlink" Target="http://curia.europa.eu/juris/liste.jsf?oqp=&amp;for=&amp;mat=or&amp;jge=&amp;td=%3BALL&amp;jur=C%2CT%2CF&amp;num=C-51%252F17&amp;page=1&amp;dates=&amp;pcs=Oor&amp;lg=&amp;pro=&amp;nat=or&amp;cit=none%252CC%252CCJ%252CR%252C2008E%252C%252C%252C%252C%252C%252C%252C%252C%252C%252Ctrue%252Cfalse%252Cfalse&amp;language=en&amp;avg=&amp;cid=5125757" TargetMode="External"/><Relationship Id="rId84" Type="http://schemas.openxmlformats.org/officeDocument/2006/relationships/hyperlink" Target="http://europa.eu/rapid/press-release_MEMO-18-3446_EN.htm" TargetMode="External"/><Relationship Id="rId138" Type="http://schemas.openxmlformats.org/officeDocument/2006/relationships/hyperlink" Target="http://curia.europa.eu/juris/liste.jsf?oqp=&amp;for=&amp;mat=or&amp;jge=&amp;td=%3BALL&amp;jur=C%2CT%2CF&amp;num=76%252F18&amp;page=1&amp;dates=&amp;pcs=Oor&amp;lg=&amp;pro=&amp;nat=or&amp;cit=none%252CC%252CCJ%252CR%252C2008E%252C%252C%252C%252C%252C%252C%252C%252C%252C%252Ctrue%252Cfalse%252Cfalse&amp;language=en&amp;avg=&amp;cid=6512902" TargetMode="External"/><Relationship Id="rId345" Type="http://schemas.openxmlformats.org/officeDocument/2006/relationships/hyperlink" Target="https://eur-lex.europa.eu/legal-content/EN/TXT/?uri=CELEX%3A32009L0147" TargetMode="External"/><Relationship Id="rId387" Type="http://schemas.openxmlformats.org/officeDocument/2006/relationships/hyperlink" Target="https://eur-lex.europa.eu/legal-content/EN/TXT/?uri=CELEX:31991L0271" TargetMode="External"/><Relationship Id="rId191" Type="http://schemas.openxmlformats.org/officeDocument/2006/relationships/hyperlink" Target="https://eur-lex.europa.eu/legal-content/EN/TXT/?qid=1545852096302&amp;uri=CELEX:32004L0049" TargetMode="External"/><Relationship Id="rId205" Type="http://schemas.openxmlformats.org/officeDocument/2006/relationships/hyperlink" Target="http://europa.eu/rapid/press-release_MEMO-18-3446_EN.htm" TargetMode="External"/><Relationship Id="rId247" Type="http://schemas.openxmlformats.org/officeDocument/2006/relationships/hyperlink" Target="http://europa.eu/rapid/press-release_MEMO-18-4486_en.htm" TargetMode="External"/><Relationship Id="rId412" Type="http://schemas.openxmlformats.org/officeDocument/2006/relationships/hyperlink" Target="https://eur-lex.europa.eu/legal-content/EN/TXT/?qid=1553004769279&amp;uri=CELEX:32016L1214" TargetMode="External"/><Relationship Id="rId107" Type="http://schemas.openxmlformats.org/officeDocument/2006/relationships/hyperlink" Target="http://curia.europa.eu/juris/liste.jsf?oqp=&amp;for=&amp;mat=or&amp;jge=&amp;td=%3BALL&amp;jur=C%2CT%2CF&amp;num=C-213%252F17&amp;page=1&amp;dates=&amp;pcs=Oor&amp;lg=&amp;pro=&amp;nat=or&amp;cit=none%252CC%252CCJ%252CR%252C2008E%252C%252C%252C%252C%252C%252C%252C%252C%252C%252Ctrue%252Cfalse%252Cfalse&amp;language=en&amp;avg=&amp;cid=5121093" TargetMode="External"/><Relationship Id="rId289" Type="http://schemas.openxmlformats.org/officeDocument/2006/relationships/hyperlink" Target="https://eur-lex.europa.eu/legal-content/EN/TXT/?uri=CELEX%3A32017L1279" TargetMode="External"/><Relationship Id="rId454" Type="http://schemas.openxmlformats.org/officeDocument/2006/relationships/hyperlink" Target="http://curia.europa.eu/juris/liste.jsf?language=en&amp;num=c-151/17&amp;td=ALL" TargetMode="External"/><Relationship Id="rId11" Type="http://schemas.openxmlformats.org/officeDocument/2006/relationships/hyperlink" Target="https://eur-lex.europa.eu/legal-content/EN/TXT/?uri=CELEX%3A32005L0036" TargetMode="External"/><Relationship Id="rId53" Type="http://schemas.openxmlformats.org/officeDocument/2006/relationships/hyperlink" Target="https://eur-lex.europa.eu/legal-content/EN/TXT/?qid=1547197057824&amp;uri=CELEX:32014L0094" TargetMode="External"/><Relationship Id="rId149" Type="http://schemas.openxmlformats.org/officeDocument/2006/relationships/hyperlink" Target="https://eur-lex.europa.eu/legal-content/EN/TXT/PDF/?uri=CELEX:02014L0024-20180101&amp;qid=1545934406795&amp;from=EN" TargetMode="External"/><Relationship Id="rId314" Type="http://schemas.openxmlformats.org/officeDocument/2006/relationships/hyperlink" Target="http://curia.europa.eu/juris/liste.jsf?oqp=&amp;for=&amp;mat=or&amp;jge=&amp;td=%3BALL&amp;jur=C%2CT%2CF&amp;num=C-631%252F18&amp;page=1&amp;dates=&amp;pcs=Oor&amp;lg=&amp;pro=&amp;nat=or&amp;cit=none%252CC%252CCJ%252CR%252C2008E%252C%252C%252C%252C%252C%252C%252C%252C%252C%252Ctrue%252Cfalse%252Cfalse&amp;language=en&amp;avg=&amp;cid=3828270" TargetMode="External"/><Relationship Id="rId356" Type="http://schemas.openxmlformats.org/officeDocument/2006/relationships/hyperlink" Target="https://eur-lex.europa.eu/legal-content/EN/TXT/?uri=CELEX%3A31999L0031" TargetMode="External"/><Relationship Id="rId398" Type="http://schemas.openxmlformats.org/officeDocument/2006/relationships/hyperlink" Target="https://eur-lex.europa.eu/legal-content/EN/TXT/?uri=CELEX%3A32015L2193" TargetMode="External"/><Relationship Id="rId95" Type="http://schemas.openxmlformats.org/officeDocument/2006/relationships/hyperlink" Target="https://eur-lex.europa.eu/legal-content/EN/TXT/?uri=CELEX%3A32016L0680" TargetMode="External"/><Relationship Id="rId160" Type="http://schemas.openxmlformats.org/officeDocument/2006/relationships/hyperlink" Target="https://eur-lex.europa.eu/legal-content/EN/TXT/?qid=1521645914219&amp;uri=CELEX:32011L0070" TargetMode="External"/><Relationship Id="rId216" Type="http://schemas.openxmlformats.org/officeDocument/2006/relationships/hyperlink" Target="https://eur-lex.europa.eu/legal-content/EN/TXT/PDF/?uri=CELEX:32013L0059&amp;from=EN" TargetMode="External"/><Relationship Id="rId423" Type="http://schemas.openxmlformats.org/officeDocument/2006/relationships/hyperlink" Target="http://europa.eu/rapid/press-release_MEMO-18-4486_en.htm" TargetMode="External"/><Relationship Id="rId258" Type="http://schemas.openxmlformats.org/officeDocument/2006/relationships/hyperlink" Target="https://eur-lex.europa.eu/legal-content/EN/TXT/?qid=1550483938301&amp;uri=CELEX:32010L0063" TargetMode="External"/><Relationship Id="rId22" Type="http://schemas.openxmlformats.org/officeDocument/2006/relationships/hyperlink" Target="http://curia.europa.eu/juris/liste.jsf?oqp=&amp;for=&amp;mat=or&amp;jge=&amp;td=%3BALL&amp;jur=C%2CT%2CF&amp;num=771%252F18&amp;page=1&amp;dates=&amp;pcs=Oor&amp;lg=&amp;pro=&amp;nat=or&amp;cit=none%252CC%252CCJ%252CR%252C2008E%252C%252C%252C%252C%252C%252C%252C%252C%252C%252Ctrue%252Cfalse%252Cfalse&amp;language=en&amp;avg=&amp;cid=7413876" TargetMode="External"/><Relationship Id="rId64" Type="http://schemas.openxmlformats.org/officeDocument/2006/relationships/hyperlink" Target="https://eur-lex.europa.eu/legal-content/EN/TXT/?uri=CELEX%3A32014L0091" TargetMode="External"/><Relationship Id="rId118" Type="http://schemas.openxmlformats.org/officeDocument/2006/relationships/hyperlink" Target="https://eur-lex.europa.eu/legal-content/EN/TXT/?qid=1521645914219&amp;uri=CELEX:32011L0070" TargetMode="External"/><Relationship Id="rId325" Type="http://schemas.openxmlformats.org/officeDocument/2006/relationships/hyperlink" Target="https://eur-lex.europa.eu/legal-content/EN/TXT/?uri=CELEX%3A32011L0092" TargetMode="External"/><Relationship Id="rId367" Type="http://schemas.openxmlformats.org/officeDocument/2006/relationships/hyperlink" Target="http://europa.eu/rapid/press-release_MEMO-18-4486_en.htm" TargetMode="External"/><Relationship Id="rId171" Type="http://schemas.openxmlformats.org/officeDocument/2006/relationships/hyperlink" Target="http://europa.eu/rapid/press-release_MEMO-18-349_en.htm" TargetMode="External"/><Relationship Id="rId227" Type="http://schemas.openxmlformats.org/officeDocument/2006/relationships/hyperlink" Target="https://eur-lex.europa.eu/legal-content/EN/ALL/?uri=CELEX%3A32009L0016https://eur-lex.europa.eu/legal-content/EN/TXT/PDF/?uri=CELEX:02009L0016-20151231&amp;qid=1548344710647&amp;from=FR" TargetMode="External"/><Relationship Id="rId269" Type="http://schemas.openxmlformats.org/officeDocument/2006/relationships/hyperlink" Target="https://eur-lex.europa.eu/legal-content/EN/TXT/?uri=celex%3A32014L0065" TargetMode="External"/><Relationship Id="rId434" Type="http://schemas.openxmlformats.org/officeDocument/2006/relationships/hyperlink" Target="https://eur-lex.europa.eu/legal-content/EN/TXT/?uri=CELEX%3A32005L0036" TargetMode="External"/><Relationship Id="rId33" Type="http://schemas.openxmlformats.org/officeDocument/2006/relationships/hyperlink" Target="http://curia.europa.eu/juris/liste.jsf?oqp=&amp;for=&amp;mat=or&amp;jge=&amp;td=%3BALL&amp;jur=C%2CT%2CF&amp;num=C-171%252F17&amp;page=1&amp;dates=&amp;pcs=Oor&amp;lg=&amp;pro=&amp;nat=or&amp;cit=none%252CC%252CCJ%252CR%252C2008E%252C%252C%252C%252C%252C%252C%252C%252C%252C%252Ctrue%252Cfalse%252Cfalse&amp;language=en&amp;avg=&amp;cid=10048376" TargetMode="External"/><Relationship Id="rId129" Type="http://schemas.openxmlformats.org/officeDocument/2006/relationships/hyperlink" Target="https://eur-lex.europa.eu/legal-content/EN/TXT/?qid=1521645914219&amp;uri=CELEX:32011L0070" TargetMode="External"/><Relationship Id="rId280" Type="http://schemas.openxmlformats.org/officeDocument/2006/relationships/hyperlink" Target="https://eur-lex.europa.eu/legal-content/EN/TXT/?uri=CELEX%3A32008L0098" TargetMode="External"/><Relationship Id="rId336" Type="http://schemas.openxmlformats.org/officeDocument/2006/relationships/hyperlink" Target="http://curia.europa.eu/juris/liste.jsf?oqp=&amp;for=&amp;mat=or&amp;jge=&amp;td=%3BALL&amp;jur=C%2CT%2CF&amp;num=C-506%252F17&amp;page=1&amp;dates=&amp;pcs=Oor&amp;lg=&amp;pro=&amp;nat=or&amp;cit=none%252CC%252CCJ%252CR%252C2008E%252C%252C%252C%252C%252C%252C%252C%252C%252C%252Ctrue%252Cfalse%252Cfalse&amp;language=en&amp;avg=&amp;cid=1449908" TargetMode="External"/><Relationship Id="rId75" Type="http://schemas.openxmlformats.org/officeDocument/2006/relationships/hyperlink" Target="https://curia.europa.eu/jcms/upload/docs/application/pdf/2018-06/cp180090en.pdf" TargetMode="External"/><Relationship Id="rId140" Type="http://schemas.openxmlformats.org/officeDocument/2006/relationships/hyperlink" Target="https://eur-lex.europa.eu/legal-content/EN/TXT/?uri=CELEX:32015L0652" TargetMode="External"/><Relationship Id="rId182" Type="http://schemas.openxmlformats.org/officeDocument/2006/relationships/hyperlink" Target="https://eur-lex.europa.eu/legal-content/en/ALL/?uri=CELEX:31991L0676" TargetMode="External"/><Relationship Id="rId378" Type="http://schemas.openxmlformats.org/officeDocument/2006/relationships/hyperlink" Target="http://europa.eu/rapid/press-release_MEMO-18-1444_en.htm" TargetMode="External"/><Relationship Id="rId403" Type="http://schemas.openxmlformats.org/officeDocument/2006/relationships/hyperlink" Target="http://europa.eu/rapid/press-release_MEMO-18-349_en.htm" TargetMode="External"/><Relationship Id="rId6" Type="http://schemas.openxmlformats.org/officeDocument/2006/relationships/hyperlink" Target="http://europa.eu/rapid/press-release_MEMO-18-6247_en.htm" TargetMode="External"/><Relationship Id="rId238" Type="http://schemas.openxmlformats.org/officeDocument/2006/relationships/hyperlink" Target="https://eur-lex.europa.eu/legal-content/EN/TXT/?uri=uriserv%3AOJ.L_.2015.260.01.0006.01.ENG" TargetMode="External"/><Relationship Id="rId445" Type="http://schemas.openxmlformats.org/officeDocument/2006/relationships/hyperlink" Target="https://eur-lex.europa.eu/legal-content/EN/TXT/?uri=CELEX:32001L008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9157372986369267E-2"/>
                  <c:y val="-6.02747567258156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8CD-4E6C-8EF4-DA304B1448F4}"/>
                </c:ext>
              </c:extLst>
            </c:dLbl>
            <c:dLbl>
              <c:idx val="2"/>
              <c:layout>
                <c:manualLayout>
                  <c:x val="-5.0120283911227428E-2"/>
                  <c:y val="5.43793860341010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C4-411F-9C46-32237B2DBBEB}"/>
                </c:ext>
              </c:extLst>
            </c:dLbl>
            <c:dLbl>
              <c:idx val="3"/>
              <c:layout>
                <c:manualLayout>
                  <c:x val="-5.5805029321829819E-2"/>
                  <c:y val="5.93063495487721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0C4-411F-9C46-32237B2DBBEB}"/>
                </c:ext>
              </c:extLst>
            </c:dLbl>
            <c:dLbl>
              <c:idx val="4"/>
              <c:layout>
                <c:manualLayout>
                  <c:x val="-4.191105603744999E-2"/>
                  <c:y val="-6.59988551803090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D47-4FE0-A2E9-DAC498DD40FD}"/>
                </c:ext>
              </c:extLst>
            </c:dLbl>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72</c:v>
                </c:pt>
                <c:pt idx="1">
                  <c:v>96</c:v>
                </c:pt>
                <c:pt idx="2">
                  <c:v>69</c:v>
                </c:pt>
                <c:pt idx="3">
                  <c:v>56</c:v>
                </c:pt>
                <c:pt idx="4">
                  <c:v>38</c:v>
                </c:pt>
              </c:numCache>
            </c:numRef>
          </c:val>
          <c:smooth val="0"/>
          <c:extLst xmlns:c16r2="http://schemas.microsoft.com/office/drawing/2015/06/chart">
            <c:ext xmlns:c16="http://schemas.microsoft.com/office/drawing/2014/chart" uri="{C3380CC4-5D6E-409C-BE32-E72D297353CC}">
              <c16:uniqueId val="{00000002-E0C4-411F-9C46-32237B2DBBEB}"/>
            </c:ext>
          </c:extLst>
        </c:ser>
        <c:dLbls>
          <c:showLegendKey val="0"/>
          <c:showVal val="0"/>
          <c:showCatName val="0"/>
          <c:showSerName val="0"/>
          <c:showPercent val="0"/>
          <c:showBubbleSize val="0"/>
        </c:dLbls>
        <c:marker val="1"/>
        <c:smooth val="0"/>
        <c:axId val="52417664"/>
        <c:axId val="52419200"/>
      </c:lineChart>
      <c:catAx>
        <c:axId val="52417664"/>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52419200"/>
        <c:crosses val="autoZero"/>
        <c:auto val="1"/>
        <c:lblAlgn val="ctr"/>
        <c:lblOffset val="100"/>
        <c:noMultiLvlLbl val="0"/>
      </c:catAx>
      <c:valAx>
        <c:axId val="52419200"/>
        <c:scaling>
          <c:orientation val="minMax"/>
          <c:min val="35"/>
        </c:scaling>
        <c:delete val="1"/>
        <c:axPos val="l"/>
        <c:majorGridlines>
          <c:spPr>
            <a:ln>
              <a:solidFill>
                <a:srgbClr val="D9D9D9"/>
              </a:solidFill>
            </a:ln>
          </c:spPr>
        </c:majorGridlines>
        <c:numFmt formatCode="General" sourceLinked="1"/>
        <c:majorTickMark val="none"/>
        <c:minorTickMark val="none"/>
        <c:tickLblPos val="none"/>
        <c:crossAx val="52417664"/>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26</c:v>
                </c:pt>
                <c:pt idx="1">
                  <c:v>17</c:v>
                </c:pt>
                <c:pt idx="2">
                  <c:v>36</c:v>
                </c:pt>
                <c:pt idx="3">
                  <c:v>13</c:v>
                </c:pt>
                <c:pt idx="4">
                  <c:v>11</c:v>
                </c:pt>
              </c:numCache>
            </c:numRef>
          </c:val>
          <c:smooth val="0"/>
          <c:extLst xmlns:c16r2="http://schemas.microsoft.com/office/drawing/2015/06/chart">
            <c:ext xmlns:c16="http://schemas.microsoft.com/office/drawing/2014/chart" uri="{C3380CC4-5D6E-409C-BE32-E72D297353CC}">
              <c16:uniqueId val="{00000003-2FD8-460A-B449-B30B62BE6242}"/>
            </c:ext>
          </c:extLst>
        </c:ser>
        <c:dLbls>
          <c:dLblPos val="t"/>
          <c:showLegendKey val="0"/>
          <c:showVal val="1"/>
          <c:showCatName val="0"/>
          <c:showSerName val="0"/>
          <c:showPercent val="0"/>
          <c:showBubbleSize val="0"/>
        </c:dLbls>
        <c:marker val="1"/>
        <c:smooth val="0"/>
        <c:axId val="102380672"/>
        <c:axId val="102387712"/>
      </c:lineChart>
      <c:catAx>
        <c:axId val="102380672"/>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387712"/>
        <c:crosses val="autoZero"/>
        <c:auto val="1"/>
        <c:lblAlgn val="ctr"/>
        <c:lblOffset val="100"/>
        <c:noMultiLvlLbl val="0"/>
      </c:catAx>
      <c:valAx>
        <c:axId val="102387712"/>
        <c:scaling>
          <c:orientation val="minMax"/>
          <c:min val="10"/>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02380672"/>
        <c:crosses val="autoZero"/>
        <c:crossBetween val="between"/>
      </c:valAx>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75113061116118E-2"/>
          <c:y val="6.5476190476190479E-2"/>
          <c:w val="0.93917850933361724"/>
          <c:h val="0.7948022122234720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21</c:v>
                </c:pt>
                <c:pt idx="1">
                  <c:v>21</c:v>
                </c:pt>
                <c:pt idx="2">
                  <c:v>10</c:v>
                </c:pt>
                <c:pt idx="3">
                  <c:v>2</c:v>
                </c:pt>
                <c:pt idx="4">
                  <c:v>1</c:v>
                </c:pt>
              </c:numCache>
            </c:numRef>
          </c:val>
          <c:smooth val="0"/>
          <c:extLst xmlns:c16r2="http://schemas.microsoft.com/office/drawing/2015/06/chart">
            <c:ext xmlns:c16="http://schemas.microsoft.com/office/drawing/2014/chart" uri="{C3380CC4-5D6E-409C-BE32-E72D297353CC}">
              <c16:uniqueId val="{00000000-E0ED-420C-BB3D-C17C95559B96}"/>
            </c:ext>
          </c:extLst>
        </c:ser>
        <c:dLbls>
          <c:showLegendKey val="0"/>
          <c:showVal val="0"/>
          <c:showCatName val="0"/>
          <c:showSerName val="0"/>
          <c:showPercent val="0"/>
          <c:showBubbleSize val="0"/>
        </c:dLbls>
        <c:marker val="1"/>
        <c:smooth val="0"/>
        <c:axId val="115970048"/>
        <c:axId val="115971584"/>
      </c:lineChart>
      <c:catAx>
        <c:axId val="11597004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5971584"/>
        <c:crosses val="autoZero"/>
        <c:auto val="1"/>
        <c:lblAlgn val="ctr"/>
        <c:lblOffset val="100"/>
        <c:noMultiLvlLbl val="0"/>
      </c:catAx>
      <c:valAx>
        <c:axId val="115971584"/>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5970048"/>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75113061116118E-2"/>
          <c:y val="6.5476190476190479E-2"/>
          <c:w val="0.93917850933361724"/>
          <c:h val="0.7948022122234720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841409749154487E-2"/>
                  <c:y val="8.017810273715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32-4363-8108-619BE0D64AFB}"/>
                </c:ext>
              </c:extLst>
            </c:dLbl>
            <c:dLbl>
              <c:idx val="2"/>
              <c:layout>
                <c:manualLayout>
                  <c:x val="-4.4841409749154487E-2"/>
                  <c:y val="6.82738095238095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32-4363-8108-619BE0D64AFB}"/>
                </c:ext>
              </c:extLst>
            </c:dLbl>
            <c:dLbl>
              <c:idx val="4"/>
              <c:layout>
                <c:manualLayout>
                  <c:x val="-8.8999447208402433E-3"/>
                  <c:y val="2.0654761904761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32-4363-8108-619BE0D64AFB}"/>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25</c:v>
                </c:pt>
                <c:pt idx="1">
                  <c:v>30</c:v>
                </c:pt>
                <c:pt idx="2">
                  <c:v>22</c:v>
                </c:pt>
                <c:pt idx="3">
                  <c:v>21</c:v>
                </c:pt>
                <c:pt idx="4">
                  <c:v>15</c:v>
                </c:pt>
              </c:numCache>
            </c:numRef>
          </c:val>
          <c:smooth val="0"/>
          <c:extLst xmlns:c16r2="http://schemas.microsoft.com/office/drawing/2015/06/chart">
            <c:ext xmlns:c16="http://schemas.microsoft.com/office/drawing/2014/chart" uri="{C3380CC4-5D6E-409C-BE32-E72D297353CC}">
              <c16:uniqueId val="{00000003-F832-4363-8108-619BE0D64AFB}"/>
            </c:ext>
          </c:extLst>
        </c:ser>
        <c:dLbls>
          <c:showLegendKey val="0"/>
          <c:showVal val="0"/>
          <c:showCatName val="0"/>
          <c:showSerName val="0"/>
          <c:showPercent val="0"/>
          <c:showBubbleSize val="0"/>
        </c:dLbls>
        <c:marker val="1"/>
        <c:smooth val="0"/>
        <c:axId val="116046848"/>
        <c:axId val="116052736"/>
      </c:lineChart>
      <c:catAx>
        <c:axId val="11604684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052736"/>
        <c:crosses val="autoZero"/>
        <c:auto val="1"/>
        <c:lblAlgn val="ctr"/>
        <c:lblOffset val="100"/>
        <c:noMultiLvlLbl val="0"/>
      </c:catAx>
      <c:valAx>
        <c:axId val="116052736"/>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6046848"/>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Finland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7210741099223061E-2"/>
                  <c:y val="7.12018069454464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1F-431C-B378-8389BB9764B0}"/>
                </c:ext>
              </c:extLst>
            </c:dLbl>
            <c:dLbl>
              <c:idx val="3"/>
              <c:layout>
                <c:manualLayout>
                  <c:x val="-6.3427464008859361E-2"/>
                  <c:y val="-7.65933640765023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2A-43D3-B073-726E67469495}"/>
                </c:ext>
              </c:extLst>
            </c:dLbl>
            <c:dLbl>
              <c:idx val="4"/>
              <c:layout>
                <c:manualLayout>
                  <c:x val="-5.2353266888150507E-2"/>
                  <c:y val="8.51486442680720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1F-431C-B378-8389BB9764B0}"/>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0.74</c:v>
                </c:pt>
                <c:pt idx="1">
                  <c:v>0.75</c:v>
                </c:pt>
                <c:pt idx="2">
                  <c:v>0.68</c:v>
                </c:pt>
                <c:pt idx="3">
                  <c:v>1</c:v>
                </c:pt>
                <c:pt idx="4">
                  <c:v>0.71</c:v>
                </c:pt>
              </c:numCache>
            </c:numRef>
          </c:val>
          <c:smooth val="0"/>
          <c:extLst xmlns:c16r2="http://schemas.microsoft.com/office/drawing/2015/06/chart">
            <c:ext xmlns:c16="http://schemas.microsoft.com/office/drawing/2014/chart" uri="{C3380CC4-5D6E-409C-BE32-E72D297353CC}">
              <c16:uniqueId val="{00000002-611F-431C-B378-8389BB9764B0}"/>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dLbl>
              <c:idx val="0"/>
              <c:layout>
                <c:manualLayout>
                  <c:x val="-4.582646645913447E-2"/>
                  <c:y val="-0.107388817433677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1F-431C-B378-8389BB9764B0}"/>
                </c:ext>
              </c:extLst>
            </c:dLbl>
            <c:dLbl>
              <c:idx val="4"/>
              <c:layout>
                <c:manualLayout>
                  <c:x val="-4.859501573931186E-2"/>
                  <c:y val="-7.9448609760433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37-4765-986A-F4DCA5451E8B}"/>
                </c:ext>
              </c:extLst>
            </c:dLbl>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4-611F-431C-B378-8389BB9764B0}"/>
            </c:ext>
          </c:extLst>
        </c:ser>
        <c:dLbls>
          <c:showLegendKey val="0"/>
          <c:showVal val="0"/>
          <c:showCatName val="0"/>
          <c:showSerName val="0"/>
          <c:showPercent val="0"/>
          <c:showBubbleSize val="0"/>
        </c:dLbls>
        <c:marker val="1"/>
        <c:smooth val="0"/>
        <c:axId val="116117888"/>
        <c:axId val="116119424"/>
      </c:lineChart>
      <c:catAx>
        <c:axId val="11611788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119424"/>
        <c:crosses val="autoZero"/>
        <c:auto val="1"/>
        <c:lblAlgn val="ctr"/>
        <c:lblOffset val="100"/>
        <c:noMultiLvlLbl val="0"/>
      </c:catAx>
      <c:valAx>
        <c:axId val="116119424"/>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116117888"/>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28</c:v>
                </c:pt>
                <c:pt idx="1">
                  <c:v>31</c:v>
                </c:pt>
                <c:pt idx="2">
                  <c:v>52</c:v>
                </c:pt>
                <c:pt idx="3">
                  <c:v>41</c:v>
                </c:pt>
                <c:pt idx="4">
                  <c:v>32</c:v>
                </c:pt>
              </c:numCache>
            </c:numRef>
          </c:val>
          <c:smooth val="0"/>
          <c:extLst xmlns:c16r2="http://schemas.microsoft.com/office/drawing/2015/06/chart">
            <c:ext xmlns:c16="http://schemas.microsoft.com/office/drawing/2014/chart" uri="{C3380CC4-5D6E-409C-BE32-E72D297353CC}">
              <c16:uniqueId val="{00000001-44FB-4D0F-84BD-DB28286FC098}"/>
            </c:ext>
          </c:extLst>
        </c:ser>
        <c:dLbls>
          <c:dLblPos val="t"/>
          <c:showLegendKey val="0"/>
          <c:showVal val="1"/>
          <c:showCatName val="0"/>
          <c:showSerName val="0"/>
          <c:showPercent val="0"/>
          <c:showBubbleSize val="0"/>
        </c:dLbls>
        <c:marker val="1"/>
        <c:smooth val="0"/>
        <c:axId val="116184192"/>
        <c:axId val="116191232"/>
      </c:lineChart>
      <c:catAx>
        <c:axId val="11618419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191232"/>
        <c:crosses val="autoZero"/>
        <c:auto val="1"/>
        <c:lblAlgn val="ctr"/>
        <c:lblOffset val="100"/>
        <c:noMultiLvlLbl val="0"/>
      </c:catAx>
      <c:valAx>
        <c:axId val="116191232"/>
        <c:scaling>
          <c:orientation val="minMax"/>
          <c:min val="2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618419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14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807011512856"/>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Finnland</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0B5-4565-8576-21A0837EC146}"/>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0B5-4565-8576-21A0837EC146}"/>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0B5-4565-8576-21A0837EC146}"/>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0B5-4565-8576-21A0837EC146}"/>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0B5-4565-8576-21A0837EC146}"/>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0B5-4565-8576-21A0837EC146}"/>
              </c:ext>
            </c:extLst>
          </c:dPt>
          <c:dPt>
            <c:idx val="6"/>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0B5-4565-8576-21A0837EC146}"/>
              </c:ext>
            </c:extLst>
          </c:dPt>
          <c:dPt>
            <c:idx val="7"/>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407F-4EF6-80F6-09FA6C5CBBA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B5-4565-8576-21A0837EC146}"/>
                </c:ext>
              </c:extLst>
            </c:dLbl>
            <c:dLbl>
              <c:idx val="1"/>
              <c:layout>
                <c:manualLayout>
                  <c:x val="2.3509592498940947E-2"/>
                  <c:y val="-8.1455507443502995E-2"/>
                </c:manualLayout>
              </c:layout>
              <c:spPr>
                <a:noFill/>
                <a:ln w="25345">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256527834187115"/>
                      <c:h val="0.30448731547225377"/>
                    </c:manualLayout>
                  </c15:layout>
                </c:ext>
                <c:ext xmlns:c16="http://schemas.microsoft.com/office/drawing/2014/chart" uri="{C3380CC4-5D6E-409C-BE32-E72D297353CC}">
                  <c16:uniqueId val="{00000003-F0B5-4565-8576-21A0837EC146}"/>
                </c:ext>
              </c:extLst>
            </c:dLbl>
            <c:dLbl>
              <c:idx val="2"/>
              <c:layout>
                <c:manualLayout>
                  <c:x val="0.15272948410566817"/>
                  <c:y val="0.1054497951475577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B5-4565-8576-21A0837EC146}"/>
                </c:ext>
              </c:extLst>
            </c:dLbl>
            <c:dLbl>
              <c:idx val="3"/>
              <c:layout>
                <c:manualLayout>
                  <c:x val="4.3702752630130785E-2"/>
                  <c:y val="4.39664554125856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B5-4565-8576-21A0837EC146}"/>
                </c:ext>
              </c:extLst>
            </c:dLbl>
            <c:dLbl>
              <c:idx val="4"/>
              <c:layout>
                <c:manualLayout>
                  <c:x val="9.2972779400911001E-3"/>
                  <c:y val="-4.6623490605671121E-2"/>
                </c:manualLayout>
              </c:layout>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B5-4565-8576-21A0837EC146}"/>
                </c:ext>
              </c:extLst>
            </c:dLbl>
            <c:dLbl>
              <c:idx val="5"/>
              <c:layout>
                <c:manualLayout>
                  <c:x val="8.2365785807556088E-2"/>
                  <c:y val="-2.239773381985881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B5-4565-8576-21A0837EC146}"/>
                </c:ext>
              </c:extLst>
            </c:dLbl>
            <c:dLbl>
              <c:idx val="6"/>
              <c:layout>
                <c:manualLayout>
                  <c:x val="-8.313999465809168E-3"/>
                  <c:y val="1.643730655965016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0B5-4565-8576-21A0837EC146}"/>
                </c:ext>
              </c:extLst>
            </c:dLbl>
            <c:dLbl>
              <c:idx val="7"/>
              <c:layout>
                <c:manualLayout>
                  <c:x val="-3.3277870216306155E-2"/>
                  <c:y val="-7.1138211382113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07F-4EF6-80F6-09FA6C5CBBA0}"/>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Internal market, industry, entrepreneurship and SMEs</c:v>
                </c:pt>
                <c:pt idx="2">
                  <c:v>Justice and consumers</c:v>
                </c:pt>
                <c:pt idx="3">
                  <c:v>Energy</c:v>
                </c:pt>
                <c:pt idx="4">
                  <c:v>Communication networks</c:v>
                </c:pt>
                <c:pt idx="5">
                  <c:v>Migration and home affairs</c:v>
                </c:pt>
                <c:pt idx="6">
                  <c:v>Mobility and transport</c:v>
                </c:pt>
                <c:pt idx="7">
                  <c:v>Environment</c:v>
                </c:pt>
              </c:strCache>
            </c:strRef>
          </c:cat>
          <c:val>
            <c:numRef>
              <c:f>Blad1!$B$2:$B$9</c:f>
              <c:numCache>
                <c:formatCode>General</c:formatCode>
                <c:ptCount val="8"/>
                <c:pt idx="0">
                  <c:v>0</c:v>
                </c:pt>
                <c:pt idx="1">
                  <c:v>3</c:v>
                </c:pt>
                <c:pt idx="2">
                  <c:v>3</c:v>
                </c:pt>
                <c:pt idx="3">
                  <c:v>2</c:v>
                </c:pt>
                <c:pt idx="4">
                  <c:v>2</c:v>
                </c:pt>
                <c:pt idx="5">
                  <c:v>2</c:v>
                </c:pt>
                <c:pt idx="6">
                  <c:v>1</c:v>
                </c:pt>
                <c:pt idx="7">
                  <c:v>1</c:v>
                </c:pt>
              </c:numCache>
            </c:numRef>
          </c:val>
          <c:extLst xmlns:c16r2="http://schemas.microsoft.com/office/drawing/2015/06/chart">
            <c:ext xmlns:c16="http://schemas.microsoft.com/office/drawing/2014/chart" uri="{C3380CC4-5D6E-409C-BE32-E72D297353CC}">
              <c16:uniqueId val="{0000000E-F0B5-4565-8576-21A0837EC146}"/>
            </c:ext>
          </c:extLst>
        </c:ser>
        <c:dLbls>
          <c:showLegendKey val="0"/>
          <c:showVal val="0"/>
          <c:showCatName val="0"/>
          <c:showSerName val="0"/>
          <c:showPercent val="0"/>
          <c:showBubbleSize val="0"/>
          <c:showLeaderLines val="0"/>
        </c:dLbls>
        <c:firstSliceAng val="243"/>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2.8195083287856346E-2"/>
                  <c:y val="7.8531672902589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8B-4FAB-881B-2AED58EB3983}"/>
                </c:ext>
              </c:extLst>
            </c:dLbl>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9</c:v>
                </c:pt>
                <c:pt idx="1">
                  <c:v>15</c:v>
                </c:pt>
                <c:pt idx="2">
                  <c:v>39</c:v>
                </c:pt>
                <c:pt idx="3">
                  <c:v>30</c:v>
                </c:pt>
                <c:pt idx="4">
                  <c:v>22</c:v>
                </c:pt>
              </c:numCache>
            </c:numRef>
          </c:val>
          <c:smooth val="0"/>
          <c:extLst xmlns:c16r2="http://schemas.microsoft.com/office/drawing/2015/06/chart">
            <c:ext xmlns:c16="http://schemas.microsoft.com/office/drawing/2014/chart" uri="{C3380CC4-5D6E-409C-BE32-E72D297353CC}">
              <c16:uniqueId val="{00000001-158B-4FAB-881B-2AED58EB3983}"/>
            </c:ext>
          </c:extLst>
        </c:ser>
        <c:dLbls>
          <c:showLegendKey val="0"/>
          <c:showVal val="0"/>
          <c:showCatName val="0"/>
          <c:showSerName val="0"/>
          <c:showPercent val="0"/>
          <c:showBubbleSize val="0"/>
        </c:dLbls>
        <c:marker val="1"/>
        <c:smooth val="0"/>
        <c:axId val="116414336"/>
        <c:axId val="116415872"/>
      </c:lineChart>
      <c:catAx>
        <c:axId val="116414336"/>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415872"/>
        <c:crosses val="autoZero"/>
        <c:auto val="1"/>
        <c:lblAlgn val="ctr"/>
        <c:lblOffset val="100"/>
        <c:noMultiLvlLbl val="0"/>
      </c:catAx>
      <c:valAx>
        <c:axId val="116415872"/>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116414336"/>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17</c:v>
                </c:pt>
                <c:pt idx="1">
                  <c:v>18</c:v>
                </c:pt>
                <c:pt idx="2">
                  <c:v>36</c:v>
                </c:pt>
                <c:pt idx="3">
                  <c:v>25</c:v>
                </c:pt>
                <c:pt idx="4">
                  <c:v>10</c:v>
                </c:pt>
              </c:numCache>
            </c:numRef>
          </c:val>
          <c:smooth val="0"/>
          <c:extLst xmlns:c16r2="http://schemas.microsoft.com/office/drawing/2015/06/chart">
            <c:ext xmlns:c16="http://schemas.microsoft.com/office/drawing/2014/chart" uri="{C3380CC4-5D6E-409C-BE32-E72D297353CC}">
              <c16:uniqueId val="{00000002-2251-4D2A-B36C-9FC22B94D13E}"/>
            </c:ext>
          </c:extLst>
        </c:ser>
        <c:dLbls>
          <c:dLblPos val="t"/>
          <c:showLegendKey val="0"/>
          <c:showVal val="1"/>
          <c:showCatName val="0"/>
          <c:showSerName val="0"/>
          <c:showPercent val="0"/>
          <c:showBubbleSize val="0"/>
        </c:dLbls>
        <c:marker val="1"/>
        <c:smooth val="0"/>
        <c:axId val="116326400"/>
        <c:axId val="116327936"/>
      </c:lineChart>
      <c:catAx>
        <c:axId val="116326400"/>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327936"/>
        <c:crosses val="autoZero"/>
        <c:auto val="1"/>
        <c:lblAlgn val="ctr"/>
        <c:lblOffset val="100"/>
        <c:noMultiLvlLbl val="0"/>
      </c:catAx>
      <c:valAx>
        <c:axId val="116327936"/>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116326400"/>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10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7D1-49D5-AC47-64486E027BFA}"/>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7D1-49D5-AC47-64486E027BFA}"/>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7D1-49D5-AC47-64486E027BFA}"/>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7D1-49D5-AC47-64486E027BFA}"/>
              </c:ext>
            </c:extLst>
          </c:dPt>
          <c:dPt>
            <c:idx val="4"/>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7D1-49D5-AC47-64486E027BFA}"/>
              </c:ext>
            </c:extLst>
          </c:dPt>
          <c:dPt>
            <c:idx val="5"/>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67D1-49D5-AC47-64486E027BFA}"/>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67D1-49D5-AC47-64486E027BFA}"/>
              </c:ext>
            </c:extLst>
          </c:dPt>
          <c:dLbls>
            <c:dLbl>
              <c:idx val="0"/>
              <c:layout>
                <c:manualLayout>
                  <c:x val="-2.8094505655252818E-3"/>
                  <c:y val="1.07458602013978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D1-49D5-AC47-64486E027BFA}"/>
                </c:ext>
              </c:extLst>
            </c:dLbl>
            <c:dLbl>
              <c:idx val="1"/>
              <c:layout>
                <c:manualLayout>
                  <c:x val="6.9447661756823584E-2"/>
                  <c:y val="0.1505170139372536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D1-49D5-AC47-64486E027BFA}"/>
                </c:ext>
              </c:extLst>
            </c:dLbl>
            <c:dLbl>
              <c:idx val="2"/>
              <c:layout>
                <c:manualLayout>
                  <c:x val="1.678945822885407E-3"/>
                  <c:y val="-1.84265078207575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D1-49D5-AC47-64486E027BFA}"/>
                </c:ext>
              </c:extLst>
            </c:dLbl>
            <c:dLbl>
              <c:idx val="3"/>
              <c:layout>
                <c:manualLayout>
                  <c:x val="5.2606896340924247E-2"/>
                  <c:y val="-2.0811654526534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D1-49D5-AC47-64486E027BFA}"/>
                </c:ext>
              </c:extLst>
            </c:dLbl>
            <c:dLbl>
              <c:idx val="4"/>
              <c:layout>
                <c:manualLayout>
                  <c:x val="3.5953893396764976E-2"/>
                  <c:y val="1.08429539439724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D1-49D5-AC47-64486E027BFA}"/>
                </c:ext>
              </c:extLst>
            </c:dLbl>
            <c:dLbl>
              <c:idx val="5"/>
              <c:layout>
                <c:manualLayout>
                  <c:x val="-1.6636628309995866E-2"/>
                  <c:y val="-1.44882709120257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D1-49D5-AC47-64486E027BFA}"/>
                </c:ext>
              </c:extLst>
            </c:dLbl>
            <c:dLbl>
              <c:idx val="6"/>
              <c:layout>
                <c:manualLayout>
                  <c:x val="-7.7446652871105845E-2"/>
                  <c:y val="3.10825117658796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D1-49D5-AC47-64486E027BFA}"/>
                </c:ext>
              </c:extLst>
            </c:dLbl>
            <c:spPr>
              <a:noFill/>
              <a:ln w="25329">
                <a:noFill/>
              </a:ln>
            </c:spPr>
            <c:txPr>
              <a:bodyPr rot="0" spcFirstLastPara="1" vertOverflow="ellipsis" vert="horz" wrap="square" lIns="38100" tIns="19050" rIns="38100" bIns="19050" anchor="ctr" anchorCtr="1">
                <a:spAutoFit/>
              </a:bodyPr>
              <a:lstStyle/>
              <a:p>
                <a:pPr>
                  <a:defRPr sz="84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6"/>
                <c:pt idx="0">
                  <c:v>Justice and consumers</c:v>
                </c:pt>
                <c:pt idx="1">
                  <c:v>Internal market, industry, entrepreneurship and SMEs</c:v>
                </c:pt>
                <c:pt idx="2">
                  <c:v>Communication networks</c:v>
                </c:pt>
                <c:pt idx="3">
                  <c:v>Migration and home affairs</c:v>
                </c:pt>
                <c:pt idx="4">
                  <c:v>Environment</c:v>
                </c:pt>
                <c:pt idx="5">
                  <c:v>Energy</c:v>
                </c:pt>
              </c:strCache>
            </c:strRef>
          </c:cat>
          <c:val>
            <c:numRef>
              <c:f>Blad1!$B$4:$B$9</c:f>
              <c:numCache>
                <c:formatCode>General</c:formatCode>
                <c:ptCount val="6"/>
                <c:pt idx="0">
                  <c:v>2</c:v>
                </c:pt>
                <c:pt idx="1">
                  <c:v>2</c:v>
                </c:pt>
                <c:pt idx="2">
                  <c:v>2</c:v>
                </c:pt>
                <c:pt idx="3">
                  <c:v>2</c:v>
                </c:pt>
                <c:pt idx="4">
                  <c:v>1</c:v>
                </c:pt>
                <c:pt idx="5">
                  <c:v>1</c:v>
                </c:pt>
              </c:numCache>
            </c:numRef>
          </c:val>
          <c:extLst xmlns:c16r2="http://schemas.microsoft.com/office/drawing/2015/06/chart">
            <c:ext xmlns:c16="http://schemas.microsoft.com/office/drawing/2014/chart" uri="{C3380CC4-5D6E-409C-BE32-E72D297353CC}">
              <c16:uniqueId val="{0000000E-67D1-49D5-AC47-64486E027BFA}"/>
            </c:ext>
          </c:extLst>
        </c:ser>
        <c:dLbls>
          <c:showLegendKey val="0"/>
          <c:showVal val="0"/>
          <c:showCatName val="0"/>
          <c:showSerName val="0"/>
          <c:showPercent val="0"/>
          <c:showBubbleSize val="0"/>
          <c:showLeaderLines val="0"/>
        </c:dLbls>
        <c:firstSliceAng val="264"/>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7860696517412936E-2"/>
                  <c:y val="5.4024767801857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3B-4DE9-9D1B-18E8A2C7111E}"/>
                </c:ext>
              </c:extLst>
            </c:dLbl>
            <c:spPr>
              <a:noFill/>
              <a:ln w="2537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97</c:v>
                </c:pt>
                <c:pt idx="1">
                  <c:v>66</c:v>
                </c:pt>
                <c:pt idx="2">
                  <c:v>106</c:v>
                </c:pt>
                <c:pt idx="3">
                  <c:v>111</c:v>
                </c:pt>
                <c:pt idx="4">
                  <c:v>142</c:v>
                </c:pt>
              </c:numCache>
            </c:numRef>
          </c:val>
          <c:smooth val="0"/>
          <c:extLst xmlns:c16r2="http://schemas.microsoft.com/office/drawing/2015/06/chart">
            <c:ext xmlns:c16="http://schemas.microsoft.com/office/drawing/2014/chart" uri="{C3380CC4-5D6E-409C-BE32-E72D297353CC}">
              <c16:uniqueId val="{00000001-AB3B-4DE9-9D1B-18E8A2C7111E}"/>
            </c:ext>
          </c:extLst>
        </c:ser>
        <c:dLbls>
          <c:showLegendKey val="0"/>
          <c:showVal val="0"/>
          <c:showCatName val="0"/>
          <c:showSerName val="0"/>
          <c:showPercent val="0"/>
          <c:showBubbleSize val="0"/>
        </c:dLbls>
        <c:marker val="1"/>
        <c:smooth val="0"/>
        <c:axId val="116781056"/>
        <c:axId val="116782592"/>
      </c:lineChart>
      <c:catAx>
        <c:axId val="116781056"/>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782592"/>
        <c:crosses val="autoZero"/>
        <c:auto val="1"/>
        <c:lblAlgn val="ctr"/>
        <c:lblOffset val="100"/>
        <c:noMultiLvlLbl val="0"/>
      </c:catAx>
      <c:valAx>
        <c:axId val="116782592"/>
        <c:scaling>
          <c:orientation val="minMax"/>
          <c:min val="5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6781056"/>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142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31D-4491-A84C-BE7FF70B7061}"/>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31D-4491-A84C-BE7FF70B7061}"/>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31D-4491-A84C-BE7FF70B7061}"/>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31D-4491-A84C-BE7FF70B7061}"/>
              </c:ext>
            </c:extLst>
          </c:dPt>
          <c:dPt>
            <c:idx val="4"/>
            <c:bubble3D val="0"/>
            <c:extLst xmlns:c16r2="http://schemas.microsoft.com/office/drawing/2015/06/chart">
              <c:ext xmlns:c16="http://schemas.microsoft.com/office/drawing/2014/chart" uri="{C3380CC4-5D6E-409C-BE32-E72D297353CC}">
                <c16:uniqueId val="{00000008-C31D-4491-A84C-BE7FF70B7061}"/>
              </c:ext>
            </c:extLst>
          </c:dPt>
          <c:dLbls>
            <c:dLbl>
              <c:idx val="0"/>
              <c:layout>
                <c:manualLayout>
                  <c:x val="-4.4108533496979227E-2"/>
                  <c:y val="0.13054428510399296"/>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1D-4491-A84C-BE7FF70B7061}"/>
                </c:ext>
              </c:extLst>
            </c:dLbl>
            <c:dLbl>
              <c:idx val="1"/>
              <c:layout>
                <c:manualLayout>
                  <c:x val="-2.485003932686241E-2"/>
                  <c:y val="4.6511123592338041E-2"/>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1D-4491-A84C-BE7FF70B7061}"/>
                </c:ext>
              </c:extLst>
            </c:dLbl>
            <c:dLbl>
              <c:idx val="2"/>
              <c:layout>
                <c:manualLayout>
                  <c:x val="-1.2329187446519788E-2"/>
                  <c:y val="4.045478892389897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718726501119304"/>
                      <c:h val="0.30143232922103408"/>
                    </c:manualLayout>
                  </c15:layout>
                </c:ext>
                <c:ext xmlns:c16="http://schemas.microsoft.com/office/drawing/2014/chart" uri="{C3380CC4-5D6E-409C-BE32-E72D297353CC}">
                  <c16:uniqueId val="{00000005-C31D-4491-A84C-BE7FF70B7061}"/>
                </c:ext>
              </c:extLst>
            </c:dLbl>
            <c:dLbl>
              <c:idx val="3"/>
              <c:layout>
                <c:manualLayout>
                  <c:x val="-1.1001100110011026E-2"/>
                  <c:y val="3.6803364879074658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1D-4491-A84C-BE7FF70B7061}"/>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Migration and home affairs</c:v>
                </c:pt>
                <c:pt idx="2">
                  <c:v>Internal market, industry, entrepreneurship and SMEs</c:v>
                </c:pt>
                <c:pt idx="3">
                  <c:v>Other</c:v>
                </c:pt>
              </c:strCache>
            </c:strRef>
          </c:cat>
          <c:val>
            <c:numRef>
              <c:f>Blad1!$B$3:$B$6</c:f>
              <c:numCache>
                <c:formatCode>General</c:formatCode>
                <c:ptCount val="4"/>
                <c:pt idx="0">
                  <c:v>47</c:v>
                </c:pt>
                <c:pt idx="1">
                  <c:v>21</c:v>
                </c:pt>
                <c:pt idx="2">
                  <c:v>19</c:v>
                </c:pt>
                <c:pt idx="3">
                  <c:v>55</c:v>
                </c:pt>
              </c:numCache>
            </c:numRef>
          </c:val>
          <c:extLst xmlns:c16r2="http://schemas.microsoft.com/office/drawing/2015/06/chart">
            <c:ext xmlns:c16="http://schemas.microsoft.com/office/drawing/2014/chart" uri="{C3380CC4-5D6E-409C-BE32-E72D297353CC}">
              <c16:uniqueId val="{00000009-C31D-4491-A84C-BE7FF70B7061}"/>
            </c:ext>
          </c:extLst>
        </c:ser>
        <c:dLbls>
          <c:showLegendKey val="0"/>
          <c:showVal val="0"/>
          <c:showCatName val="0"/>
          <c:showSerName val="0"/>
          <c:showPercent val="0"/>
          <c:showBubbleSize val="0"/>
          <c:showLeaderLines val="0"/>
        </c:dLbls>
        <c:firstSliceAng val="263"/>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11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4172423321359492"/>
          <c:y val="3.1520882584712369E-2"/>
        </c:manualLayout>
      </c:layout>
      <c:overlay val="0"/>
      <c:spPr>
        <a:noFill/>
        <a:ln w="2537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276-4E1A-AF32-078B06353291}"/>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276-4E1A-AF32-078B06353291}"/>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276-4E1A-AF32-078B06353291}"/>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276-4E1A-AF32-078B06353291}"/>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024E-4805-9805-875A69748943}"/>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24E-4805-9805-875A69748943}"/>
              </c:ext>
            </c:extLst>
          </c:dPt>
          <c:dPt>
            <c:idx val="6"/>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024E-4805-9805-875A69748943}"/>
              </c:ext>
            </c:extLst>
          </c:dPt>
          <c:dLbls>
            <c:dLbl>
              <c:idx val="0"/>
              <c:layout>
                <c:manualLayout>
                  <c:x val="2.6411350418721734E-3"/>
                  <c:y val="2.3562066562010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613163683359696"/>
                      <c:h val="0.28749692340466898"/>
                    </c:manualLayout>
                  </c15:layout>
                </c:ext>
                <c:ext xmlns:c16="http://schemas.microsoft.com/office/drawing/2014/chart" uri="{C3380CC4-5D6E-409C-BE32-E72D297353CC}">
                  <c16:uniqueId val="{00000001-F276-4E1A-AF32-078B06353291}"/>
                </c:ext>
              </c:extLst>
            </c:dLbl>
            <c:dLbl>
              <c:idx val="1"/>
              <c:layout>
                <c:manualLayout>
                  <c:x val="0.10235959383220231"/>
                  <c:y val="0.101419887525879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276-4E1A-AF32-078B06353291}"/>
                </c:ext>
              </c:extLst>
            </c:dLbl>
            <c:dLbl>
              <c:idx val="2"/>
              <c:layout>
                <c:manualLayout>
                  <c:x val="-2.5380047996901743E-3"/>
                  <c:y val="4.16228704272485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276-4E1A-AF32-078B06353291}"/>
                </c:ext>
              </c:extLst>
            </c:dLbl>
            <c:dLbl>
              <c:idx val="3"/>
              <c:layout>
                <c:manualLayout>
                  <c:x val="1.0823018495995443E-2"/>
                  <c:y val="-7.45162764819882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276-4E1A-AF32-078B06353291}"/>
                </c:ext>
              </c:extLst>
            </c:dLbl>
            <c:dLbl>
              <c:idx val="4"/>
              <c:layout>
                <c:manualLayout>
                  <c:x val="4.1447913788339216E-2"/>
                  <c:y val="-9.6312695285257627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24E-4805-9805-875A69748943}"/>
                </c:ext>
              </c:extLst>
            </c:dLbl>
            <c:dLbl>
              <c:idx val="5"/>
              <c:layout>
                <c:manualLayout>
                  <c:x val="-8.8422216081790544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24E-4805-9805-875A69748943}"/>
                </c:ext>
              </c:extLst>
            </c:dLbl>
            <c:dLbl>
              <c:idx val="6"/>
              <c:layout>
                <c:manualLayout>
                  <c:x val="-5.2500690798563142E-2"/>
                  <c:y val="-0.1260835303388495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24E-4805-9805-875A69748943}"/>
                </c:ext>
              </c:extLst>
            </c:dLbl>
            <c:spPr>
              <a:noFill/>
              <a:ln w="2537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Blad1!$A$4:$A$10</c:f>
              <c:strCache>
                <c:ptCount val="7"/>
                <c:pt idx="0">
                  <c:v>Internal market, industry, entrepreneurship and SMEs</c:v>
                </c:pt>
                <c:pt idx="1">
                  <c:v>Communication networks</c:v>
                </c:pt>
                <c:pt idx="2">
                  <c:v>Mobility and transport</c:v>
                </c:pt>
                <c:pt idx="3">
                  <c:v>Migration and home affairs</c:v>
                </c:pt>
                <c:pt idx="4">
                  <c:v>Justice and consumers</c:v>
                </c:pt>
                <c:pt idx="5">
                  <c:v>Environment</c:v>
                </c:pt>
                <c:pt idx="6">
                  <c:v>Health and food safety</c:v>
                </c:pt>
              </c:strCache>
            </c:strRef>
          </c:cat>
          <c:val>
            <c:numRef>
              <c:f>Blad1!$B$4:$B$10</c:f>
              <c:numCache>
                <c:formatCode>General</c:formatCode>
                <c:ptCount val="7"/>
                <c:pt idx="0">
                  <c:v>3</c:v>
                </c:pt>
                <c:pt idx="1">
                  <c:v>2</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8-F276-4E1A-AF32-078B06353291}"/>
            </c:ext>
          </c:extLst>
        </c:ser>
        <c:dLbls>
          <c:showLegendKey val="0"/>
          <c:showVal val="0"/>
          <c:showCatName val="0"/>
          <c:showSerName val="0"/>
          <c:showPercent val="0"/>
          <c:showBubbleSize val="0"/>
          <c:showLeaderLines val="0"/>
        </c:dLbls>
        <c:firstSliceAng val="235"/>
      </c:pieChart>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912093143099212E-2"/>
                  <c:y val="8.87525088775667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95-4EEB-831B-75CA453B1051}"/>
                </c:ext>
              </c:extLst>
            </c:dLbl>
            <c:dLbl>
              <c:idx val="4"/>
              <c:layout>
                <c:manualLayout>
                  <c:x val="-2.0407597393595E-2"/>
                  <c:y val="8.475064860190150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5B-43F9-AEE6-5F91DF9CC56B}"/>
                </c:ext>
              </c:extLst>
            </c:dLbl>
            <c:spPr>
              <a:noFill/>
              <a:ln w="25410">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27</c:v>
                </c:pt>
                <c:pt idx="1">
                  <c:v>16</c:v>
                </c:pt>
                <c:pt idx="2">
                  <c:v>20</c:v>
                </c:pt>
                <c:pt idx="3">
                  <c:v>6</c:v>
                </c:pt>
                <c:pt idx="4">
                  <c:v>0</c:v>
                </c:pt>
              </c:numCache>
            </c:numRef>
          </c:val>
          <c:smooth val="0"/>
          <c:extLst xmlns:c16r2="http://schemas.microsoft.com/office/drawing/2015/06/chart">
            <c:ext xmlns:c16="http://schemas.microsoft.com/office/drawing/2014/chart" uri="{C3380CC4-5D6E-409C-BE32-E72D297353CC}">
              <c16:uniqueId val="{00000001-3495-4EEB-831B-75CA453B1051}"/>
            </c:ext>
          </c:extLst>
        </c:ser>
        <c:dLbls>
          <c:showLegendKey val="0"/>
          <c:showVal val="0"/>
          <c:showCatName val="0"/>
          <c:showSerName val="0"/>
          <c:showPercent val="0"/>
          <c:showBubbleSize val="0"/>
        </c:dLbls>
        <c:marker val="1"/>
        <c:smooth val="0"/>
        <c:axId val="116944896"/>
        <c:axId val="116946432"/>
      </c:lineChart>
      <c:catAx>
        <c:axId val="116944896"/>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946432"/>
        <c:crosses val="autoZero"/>
        <c:auto val="1"/>
        <c:lblAlgn val="ctr"/>
        <c:lblOffset val="100"/>
        <c:noMultiLvlLbl val="0"/>
      </c:catAx>
      <c:valAx>
        <c:axId val="116946432"/>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6944896"/>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0592625589022673E-2"/>
                  <c:y val="9.4519521564994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E6-4359-B602-233BB4FABA66}"/>
                </c:ext>
              </c:extLst>
            </c:dLbl>
            <c:spPr>
              <a:noFill/>
              <a:ln w="25410">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39</c:v>
                </c:pt>
                <c:pt idx="1">
                  <c:v>29</c:v>
                </c:pt>
                <c:pt idx="2">
                  <c:v>34</c:v>
                </c:pt>
                <c:pt idx="3">
                  <c:v>28</c:v>
                </c:pt>
                <c:pt idx="4">
                  <c:v>17</c:v>
                </c:pt>
              </c:numCache>
            </c:numRef>
          </c:val>
          <c:smooth val="0"/>
          <c:extLst xmlns:c16r2="http://schemas.microsoft.com/office/drawing/2015/06/chart">
            <c:ext xmlns:c16="http://schemas.microsoft.com/office/drawing/2014/chart" uri="{C3380CC4-5D6E-409C-BE32-E72D297353CC}">
              <c16:uniqueId val="{00000001-61E6-4359-B602-233BB4FABA66}"/>
            </c:ext>
          </c:extLst>
        </c:ser>
        <c:dLbls>
          <c:showLegendKey val="0"/>
          <c:showVal val="0"/>
          <c:showCatName val="0"/>
          <c:showSerName val="0"/>
          <c:showPercent val="0"/>
          <c:showBubbleSize val="0"/>
        </c:dLbls>
        <c:marker val="1"/>
        <c:smooth val="0"/>
        <c:axId val="117147520"/>
        <c:axId val="117149056"/>
      </c:lineChart>
      <c:catAx>
        <c:axId val="117147520"/>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149056"/>
        <c:crosses val="autoZero"/>
        <c:auto val="1"/>
        <c:lblAlgn val="ctr"/>
        <c:lblOffset val="100"/>
        <c:noMultiLvlLbl val="0"/>
      </c:catAx>
      <c:valAx>
        <c:axId val="117149056"/>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7147520"/>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Sweden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939838557374366E-2"/>
                  <c:y val="5.6628125840279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AF-47A7-86CA-B89FB7E287F4}"/>
                </c:ext>
              </c:extLst>
            </c:dLbl>
            <c:dLbl>
              <c:idx val="1"/>
              <c:layout>
                <c:manualLayout>
                  <c:x val="-5.2180186077861561E-2"/>
                  <c:y val="6.19877073042664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BA-4A45-B518-5C29473915D1}"/>
                </c:ext>
              </c:extLst>
            </c:dLbl>
            <c:dLbl>
              <c:idx val="2"/>
              <c:layout>
                <c:manualLayout>
                  <c:x val="-5.2117521273193787E-2"/>
                  <c:y val="-4.554860865570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BA-4A45-B518-5C29473915D1}"/>
                </c:ext>
              </c:extLst>
            </c:dLbl>
            <c:dLbl>
              <c:idx val="3"/>
              <c:layout>
                <c:manualLayout>
                  <c:x val="-5.4868097046463574E-2"/>
                  <c:y val="5.6628125840279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AF-47A7-86CA-B89FB7E287F4}"/>
                </c:ext>
              </c:extLst>
            </c:dLbl>
            <c:dLbl>
              <c:idx val="4"/>
              <c:layout>
                <c:manualLayout>
                  <c:x val="-6.3012348866227794E-2"/>
                  <c:y val="5.66129032258064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BA-4A45-B518-5C29473915D1}"/>
                </c:ext>
              </c:extLst>
            </c:dLbl>
            <c:spPr>
              <a:noFill/>
              <a:ln w="25390">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0.71</c:v>
                </c:pt>
                <c:pt idx="1">
                  <c:v>0.69</c:v>
                </c:pt>
                <c:pt idx="2">
                  <c:v>0.88</c:v>
                </c:pt>
                <c:pt idx="3">
                  <c:v>0.75</c:v>
                </c:pt>
                <c:pt idx="4">
                  <c:v>0.64</c:v>
                </c:pt>
              </c:numCache>
            </c:numRef>
          </c:val>
          <c:smooth val="0"/>
          <c:extLst xmlns:c16r2="http://schemas.microsoft.com/office/drawing/2015/06/chart">
            <c:ext xmlns:c16="http://schemas.microsoft.com/office/drawing/2014/chart" uri="{C3380CC4-5D6E-409C-BE32-E72D297353CC}">
              <c16:uniqueId val="{00000003-94BA-4A45-B518-5C29473915D1}"/>
            </c:ext>
          </c:extLst>
        </c:ser>
        <c:ser>
          <c:idx val="1"/>
          <c:order val="1"/>
          <c:tx>
            <c:strRef>
              <c:f>Blad1!$C$2</c:f>
              <c:strCache>
                <c:ptCount val="1"/>
                <c:pt idx="0">
                  <c:v>General rate for all Member States</c:v>
                </c:pt>
              </c:strCache>
            </c:strRef>
          </c:tx>
          <c:spPr>
            <a:ln w="25390">
              <a:solidFill>
                <a:srgbClr val="92D050"/>
              </a:solidFill>
            </a:ln>
          </c:spPr>
          <c:marker>
            <c:symbol val="square"/>
            <c:size val="4"/>
            <c:spPr>
              <a:solidFill>
                <a:srgbClr val="92D050"/>
              </a:solidFill>
              <a:ln>
                <a:solidFill>
                  <a:srgbClr val="92D050"/>
                </a:solidFill>
              </a:ln>
            </c:spPr>
          </c:marker>
          <c:dLbls>
            <c:dLbl>
              <c:idx val="2"/>
              <c:layout>
                <c:manualLayout>
                  <c:x val="-4.8030957705563711E-2"/>
                  <c:y val="4.85614412476471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AF-47A7-86CA-B89FB7E287F4}"/>
                </c:ext>
              </c:extLst>
            </c:dLbl>
            <c:dLbl>
              <c:idx val="3"/>
              <c:layout>
                <c:manualLayout>
                  <c:x val="-4.8030957705563808E-2"/>
                  <c:y val="-5.3616563592363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AF-47A7-86CA-B89FB7E287F4}"/>
                </c:ext>
              </c:extLst>
            </c:dLbl>
            <c:spPr>
              <a:noFill/>
              <a:ln w="25390">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4-94BA-4A45-B518-5C29473915D1}"/>
            </c:ext>
          </c:extLst>
        </c:ser>
        <c:dLbls>
          <c:showLegendKey val="0"/>
          <c:showVal val="0"/>
          <c:showCatName val="0"/>
          <c:showSerName val="0"/>
          <c:showPercent val="0"/>
          <c:showBubbleSize val="0"/>
        </c:dLbls>
        <c:marker val="1"/>
        <c:smooth val="0"/>
        <c:axId val="117096448"/>
        <c:axId val="117097984"/>
      </c:lineChart>
      <c:catAx>
        <c:axId val="117096448"/>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097984"/>
        <c:crosses val="autoZero"/>
        <c:auto val="1"/>
        <c:lblAlgn val="ctr"/>
        <c:lblOffset val="100"/>
        <c:noMultiLvlLbl val="0"/>
      </c:catAx>
      <c:valAx>
        <c:axId val="117097984"/>
        <c:scaling>
          <c:orientation val="minMax"/>
          <c:min val="0.5"/>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117096448"/>
        <c:crosses val="autoZero"/>
        <c:crossBetween val="between"/>
      </c:valAx>
      <c:spPr>
        <a:noFill/>
        <a:ln w="25390">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433594056556882E-2"/>
                  <c:y val="7.52886281371691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CD-4FF0-8053-1002AE2CCDBA}"/>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33</c:v>
                </c:pt>
                <c:pt idx="1">
                  <c:v>42</c:v>
                </c:pt>
                <c:pt idx="2">
                  <c:v>50</c:v>
                </c:pt>
                <c:pt idx="3">
                  <c:v>48</c:v>
                </c:pt>
                <c:pt idx="4">
                  <c:v>48</c:v>
                </c:pt>
              </c:numCache>
            </c:numRef>
          </c:val>
          <c:smooth val="0"/>
          <c:extLst xmlns:c16r2="http://schemas.microsoft.com/office/drawing/2015/06/chart">
            <c:ext xmlns:c16="http://schemas.microsoft.com/office/drawing/2014/chart" uri="{C3380CC4-5D6E-409C-BE32-E72D297353CC}">
              <c16:uniqueId val="{00000001-9DCD-4FF0-8053-1002AE2CCDBA}"/>
            </c:ext>
          </c:extLst>
        </c:ser>
        <c:dLbls>
          <c:showLegendKey val="0"/>
          <c:showVal val="0"/>
          <c:showCatName val="0"/>
          <c:showSerName val="0"/>
          <c:showPercent val="0"/>
          <c:showBubbleSize val="0"/>
        </c:dLbls>
        <c:marker val="1"/>
        <c:smooth val="0"/>
        <c:axId val="117233920"/>
        <c:axId val="117235712"/>
      </c:lineChart>
      <c:catAx>
        <c:axId val="117233920"/>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235712"/>
        <c:crosses val="autoZero"/>
        <c:auto val="1"/>
        <c:lblAlgn val="ctr"/>
        <c:lblOffset val="100"/>
        <c:noMultiLvlLbl val="0"/>
      </c:catAx>
      <c:valAx>
        <c:axId val="117235712"/>
        <c:scaling>
          <c:orientation val="minMax"/>
          <c:min val="25"/>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7233920"/>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975952330287E-2"/>
        </c:manualLayout>
      </c:layout>
      <c:overlay val="0"/>
      <c:spPr>
        <a:noFill/>
        <a:ln w="25329">
          <a:noFill/>
        </a:ln>
      </c:spPr>
    </c:title>
    <c:autoTitleDeleted val="0"/>
    <c:plotArea>
      <c:layout/>
      <c:pieChart>
        <c:varyColors val="1"/>
        <c:ser>
          <c:idx val="0"/>
          <c:order val="0"/>
          <c:tx>
            <c:strRef>
              <c:f>Blad1!$B$1</c:f>
              <c:strCache>
                <c:ptCount val="1"/>
                <c:pt idx="0">
                  <c:v>[Number of infringement cases] infringement cases against Sweden</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821-4759-A410-86EF2E83D61B}"/>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821-4759-A410-86EF2E83D61B}"/>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821-4759-A410-86EF2E83D61B}"/>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821-4759-A410-86EF2E83D61B}"/>
              </c:ext>
            </c:extLst>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821-4759-A410-86EF2E83D61B}"/>
              </c:ext>
            </c:extLst>
          </c:dPt>
          <c:dPt>
            <c:idx val="5"/>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821-4759-A410-86EF2E83D61B}"/>
              </c:ext>
            </c:extLst>
          </c:dPt>
          <c:dPt>
            <c:idx val="6"/>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E821-4759-A410-86EF2E83D61B}"/>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E821-4759-A410-86EF2E83D61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21-4759-A410-86EF2E83D61B}"/>
                </c:ext>
              </c:extLst>
            </c:dLbl>
            <c:dLbl>
              <c:idx val="1"/>
              <c:layout>
                <c:manualLayout>
                  <c:x val="-2.642140614286775E-5"/>
                  <c:y val="1.13734334532686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21-4759-A410-86EF2E83D61B}"/>
                </c:ext>
              </c:extLst>
            </c:dLbl>
            <c:dLbl>
              <c:idx val="2"/>
              <c:layout>
                <c:manualLayout>
                  <c:x val="-6.381359152069388E-2"/>
                  <c:y val="0.14739097182388625"/>
                </c:manualLayout>
              </c:layout>
              <c:spPr>
                <a:noFill/>
                <a:ln w="25329">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519143509723514"/>
                      <c:h val="0.30201456606003718"/>
                    </c:manualLayout>
                  </c15:layout>
                </c:ext>
                <c:ext xmlns:c16="http://schemas.microsoft.com/office/drawing/2014/chart" uri="{C3380CC4-5D6E-409C-BE32-E72D297353CC}">
                  <c16:uniqueId val="{00000005-E821-4759-A410-86EF2E83D61B}"/>
                </c:ext>
              </c:extLst>
            </c:dLbl>
            <c:dLbl>
              <c:idx val="3"/>
              <c:layout>
                <c:manualLayout>
                  <c:x val="2.042178171988069E-2"/>
                  <c:y val="7.63614399193478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21-4759-A410-86EF2E83D61B}"/>
                </c:ext>
              </c:extLst>
            </c:dLbl>
            <c:dLbl>
              <c:idx val="4"/>
              <c:layout>
                <c:manualLayout>
                  <c:x val="3.3241404308654431E-2"/>
                  <c:y val="3.91280353200882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21-4759-A410-86EF2E83D61B}"/>
                </c:ext>
              </c:extLst>
            </c:dLbl>
            <c:dLbl>
              <c:idx val="5"/>
              <c:layout>
                <c:manualLayout>
                  <c:x val="8.2867137448084192E-3"/>
                  <c:y val="3.04127340042758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821-4759-A410-86EF2E83D61B}"/>
                </c:ext>
              </c:extLst>
            </c:dLbl>
            <c:dLbl>
              <c:idx val="6"/>
              <c:layout>
                <c:manualLayout>
                  <c:x val="-3.733934256554037E-5"/>
                  <c:y val="1.56376562201246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821-4759-A410-86EF2E83D61B}"/>
                </c:ext>
              </c:extLst>
            </c:dLbl>
            <c:dLbl>
              <c:idx val="7"/>
              <c:layout>
                <c:manualLayout>
                  <c:x val="6.3758783479852046E-2"/>
                  <c:y val="-9.5644087535425807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821-4759-A410-86EF2E83D61B}"/>
                </c:ext>
              </c:extLst>
            </c:dLbl>
            <c:spPr>
              <a:noFill/>
              <a:ln w="2532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Environment</c:v>
                </c:pt>
                <c:pt idx="2">
                  <c:v>Internal market, industry, entrepreneurship and SMEs</c:v>
                </c:pt>
                <c:pt idx="3">
                  <c:v>Justice and consumers</c:v>
                </c:pt>
                <c:pt idx="4">
                  <c:v>Energy</c:v>
                </c:pt>
                <c:pt idx="5">
                  <c:v>Mobility and transport</c:v>
                </c:pt>
                <c:pt idx="6">
                  <c:v>Health and food safety</c:v>
                </c:pt>
                <c:pt idx="7">
                  <c:v>Other</c:v>
                </c:pt>
              </c:strCache>
            </c:strRef>
          </c:cat>
          <c:val>
            <c:numRef>
              <c:f>Blad1!$B$2:$B$9</c:f>
              <c:numCache>
                <c:formatCode>General</c:formatCode>
                <c:ptCount val="8"/>
                <c:pt idx="0">
                  <c:v>0</c:v>
                </c:pt>
                <c:pt idx="1">
                  <c:v>6</c:v>
                </c:pt>
                <c:pt idx="2">
                  <c:v>3</c:v>
                </c:pt>
                <c:pt idx="3">
                  <c:v>2</c:v>
                </c:pt>
                <c:pt idx="4">
                  <c:v>2</c:v>
                </c:pt>
                <c:pt idx="5">
                  <c:v>2</c:v>
                </c:pt>
                <c:pt idx="6">
                  <c:v>2</c:v>
                </c:pt>
                <c:pt idx="7">
                  <c:v>4</c:v>
                </c:pt>
              </c:numCache>
            </c:numRef>
          </c:val>
          <c:extLst xmlns:c16r2="http://schemas.microsoft.com/office/drawing/2015/06/chart">
            <c:ext xmlns:c16="http://schemas.microsoft.com/office/drawing/2014/chart" uri="{C3380CC4-5D6E-409C-BE32-E72D297353CC}">
              <c16:uniqueId val="{00000010-E821-4759-A410-86EF2E83D61B}"/>
            </c:ext>
          </c:extLst>
        </c:ser>
        <c:dLbls>
          <c:showLegendKey val="0"/>
          <c:showVal val="0"/>
          <c:showCatName val="0"/>
          <c:showSerName val="0"/>
          <c:showPercent val="0"/>
          <c:showBubbleSize val="0"/>
          <c:showLeaderLines val="0"/>
        </c:dLbls>
        <c:firstSliceAng val="212"/>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378576005758478E-2"/>
                  <c:y val="6.51253069172804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EF-47E4-B5BE-5D78A39BE49D}"/>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6</c:v>
                </c:pt>
                <c:pt idx="1">
                  <c:v>13</c:v>
                </c:pt>
                <c:pt idx="2">
                  <c:v>25</c:v>
                </c:pt>
                <c:pt idx="3">
                  <c:v>26</c:v>
                </c:pt>
                <c:pt idx="4">
                  <c:v>26</c:v>
                </c:pt>
              </c:numCache>
            </c:numRef>
          </c:val>
          <c:smooth val="0"/>
          <c:extLst xmlns:c16r2="http://schemas.microsoft.com/office/drawing/2015/06/chart">
            <c:ext xmlns:c16="http://schemas.microsoft.com/office/drawing/2014/chart" uri="{C3380CC4-5D6E-409C-BE32-E72D297353CC}">
              <c16:uniqueId val="{00000001-4EEF-47E4-B5BE-5D78A39BE49D}"/>
            </c:ext>
          </c:extLst>
        </c:ser>
        <c:dLbls>
          <c:showLegendKey val="0"/>
          <c:showVal val="0"/>
          <c:showCatName val="0"/>
          <c:showSerName val="0"/>
          <c:showPercent val="0"/>
          <c:showBubbleSize val="0"/>
        </c:dLbls>
        <c:marker val="1"/>
        <c:smooth val="0"/>
        <c:axId val="117306880"/>
        <c:axId val="117308416"/>
      </c:lineChart>
      <c:catAx>
        <c:axId val="11730688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308416"/>
        <c:crosses val="autoZero"/>
        <c:auto val="1"/>
        <c:lblAlgn val="ctr"/>
        <c:lblOffset val="100"/>
        <c:noMultiLvlLbl val="0"/>
      </c:catAx>
      <c:valAx>
        <c:axId val="117308416"/>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17306880"/>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91508001299167E-2"/>
                  <c:y val="6.51253069172803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8E-42C7-B226-47138DC9E70E}"/>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7</c:v>
                </c:pt>
                <c:pt idx="1">
                  <c:v>23</c:v>
                </c:pt>
                <c:pt idx="2">
                  <c:v>22</c:v>
                </c:pt>
                <c:pt idx="3">
                  <c:v>16</c:v>
                </c:pt>
                <c:pt idx="4">
                  <c:v>17</c:v>
                </c:pt>
              </c:numCache>
            </c:numRef>
          </c:val>
          <c:smooth val="0"/>
          <c:extLst xmlns:c16r2="http://schemas.microsoft.com/office/drawing/2015/06/chart">
            <c:ext xmlns:c16="http://schemas.microsoft.com/office/drawing/2014/chart" uri="{C3380CC4-5D6E-409C-BE32-E72D297353CC}">
              <c16:uniqueId val="{00000001-A08E-42C7-B226-47138DC9E70E}"/>
            </c:ext>
          </c:extLst>
        </c:ser>
        <c:dLbls>
          <c:showLegendKey val="0"/>
          <c:showVal val="0"/>
          <c:showCatName val="0"/>
          <c:showSerName val="0"/>
          <c:showPercent val="0"/>
          <c:showBubbleSize val="0"/>
        </c:dLbls>
        <c:marker val="1"/>
        <c:smooth val="0"/>
        <c:axId val="117337472"/>
        <c:axId val="117363840"/>
      </c:lineChart>
      <c:catAx>
        <c:axId val="117337472"/>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363840"/>
        <c:crosses val="autoZero"/>
        <c:auto val="1"/>
        <c:lblAlgn val="ctr"/>
        <c:lblOffset val="100"/>
        <c:noMultiLvlLbl val="0"/>
      </c:catAx>
      <c:valAx>
        <c:axId val="117363840"/>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17337472"/>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01132411452102"/>
          <c:y val="3.3185989682324189E-2"/>
        </c:manualLayout>
      </c:layout>
      <c:overlay val="0"/>
      <c:spPr>
        <a:noFill/>
        <a:ln w="25326">
          <a:noFill/>
        </a:ln>
      </c:spPr>
    </c:title>
    <c:autoTitleDeleted val="0"/>
    <c:plotArea>
      <c:layout>
        <c:manualLayout>
          <c:layoutTarget val="inner"/>
          <c:xMode val="edge"/>
          <c:yMode val="edge"/>
          <c:x val="0.33832941615696072"/>
          <c:y val="0.30471584392359552"/>
          <c:w val="0.3113422724280635"/>
          <c:h val="0.5958375725719347"/>
        </c:manualLayout>
      </c:layout>
      <c:pieChart>
        <c:varyColors val="1"/>
        <c:ser>
          <c:idx val="0"/>
          <c:order val="0"/>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6ED-4C71-B926-A26429301FBB}"/>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6ED-4C71-B926-A26429301FBB}"/>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6ED-4C71-B926-A26429301FBB}"/>
              </c:ext>
            </c:extLst>
          </c:dPt>
          <c:dPt>
            <c:idx val="3"/>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6ED-4C71-B926-A26429301FBB}"/>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6ED-4C71-B926-A26429301FBB}"/>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6ED-4C71-B926-A26429301FBB}"/>
              </c:ext>
            </c:extLst>
          </c:dPt>
          <c:dPt>
            <c:idx val="6"/>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A6ED-4C71-B926-A26429301FBB}"/>
              </c:ext>
            </c:extLst>
          </c:dPt>
          <c:dPt>
            <c:idx val="7"/>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476D-43BE-9493-44BD83639098}"/>
              </c:ext>
            </c:extLst>
          </c:dPt>
          <c:dPt>
            <c:idx val="8"/>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9926-4DE9-824E-323E84F5396C}"/>
              </c:ext>
            </c:extLst>
          </c:dPt>
          <c:dPt>
            <c:idx val="9"/>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9926-4DE9-824E-323E84F5396C}"/>
              </c:ext>
            </c:extLst>
          </c:dPt>
          <c:dLbls>
            <c:dLbl>
              <c:idx val="0"/>
              <c:layout>
                <c:manualLayout>
                  <c:x val="5.2557335781523079E-2"/>
                  <c:y val="-8.230759427822920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ED-4C71-B926-A26429301FBB}"/>
                </c:ext>
              </c:extLst>
            </c:dLbl>
            <c:dLbl>
              <c:idx val="1"/>
              <c:layout>
                <c:manualLayout>
                  <c:x val="-3.6539450314447657E-2"/>
                  <c:y val="5.23723371140029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4576481003786904"/>
                      <c:h val="0.1806051439112695"/>
                    </c:manualLayout>
                  </c15:layout>
                </c:ext>
                <c:ext xmlns:c16="http://schemas.microsoft.com/office/drawing/2014/chart" uri="{C3380CC4-5D6E-409C-BE32-E72D297353CC}">
                  <c16:uniqueId val="{00000003-A6ED-4C71-B926-A26429301FBB}"/>
                </c:ext>
              </c:extLst>
            </c:dLbl>
            <c:dLbl>
              <c:idx val="2"/>
              <c:layout>
                <c:manualLayout>
                  <c:x val="-2.8820120277146141E-2"/>
                  <c:y val="5.2578954295610852E-2"/>
                </c:manualLayout>
              </c:layout>
              <c:spPr>
                <a:noFill/>
                <a:ln w="25326">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748520551803341"/>
                      <c:h val="0.22141172390596306"/>
                    </c:manualLayout>
                  </c15:layout>
                </c:ext>
                <c:ext xmlns:c16="http://schemas.microsoft.com/office/drawing/2014/chart" uri="{C3380CC4-5D6E-409C-BE32-E72D297353CC}">
                  <c16:uniqueId val="{00000005-A6ED-4C71-B926-A26429301FBB}"/>
                </c:ext>
              </c:extLst>
            </c:dLbl>
            <c:dLbl>
              <c:idx val="3"/>
              <c:layout>
                <c:manualLayout>
                  <c:x val="1.672483300602259E-2"/>
                  <c:y val="-5.3064473335102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ED-4C71-B926-A26429301FBB}"/>
                </c:ext>
              </c:extLst>
            </c:dLbl>
            <c:dLbl>
              <c:idx val="4"/>
              <c:layout>
                <c:manualLayout>
                  <c:x val="6.3749070739511235E-2"/>
                  <c:y val="-0.1094674123548300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ED-4C71-B926-A26429301FBB}"/>
                </c:ext>
              </c:extLst>
            </c:dLbl>
            <c:dLbl>
              <c:idx val="5"/>
              <c:layout>
                <c:manualLayout>
                  <c:x val="5.5402592213752294E-2"/>
                  <c:y val="-7.843514121626376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6ED-4C71-B926-A26429301FBB}"/>
                </c:ext>
              </c:extLst>
            </c:dLbl>
            <c:dLbl>
              <c:idx val="6"/>
              <c:layout>
                <c:manualLayout>
                  <c:x val="4.6839750188581206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ED-4C71-B926-A26429301FBB}"/>
                </c:ext>
              </c:extLst>
            </c:dLbl>
            <c:dLbl>
              <c:idx val="7"/>
              <c:layout>
                <c:manualLayout>
                  <c:x val="-4.4364342159988961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76D-43BE-9493-44BD83639098}"/>
                </c:ext>
              </c:extLst>
            </c:dLbl>
            <c:dLbl>
              <c:idx val="8"/>
              <c:layout>
                <c:manualLayout>
                  <c:x val="-7.9927755114071158E-2"/>
                  <c:y val="-0.12735473600424516"/>
                </c:manualLayout>
              </c:layout>
              <c:spPr>
                <a:noFill/>
                <a:ln w="25326">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6514626369055874"/>
                      <c:h val="0.1136377785623706"/>
                    </c:manualLayout>
                  </c15:layout>
                </c:ext>
                <c:ext xmlns:c16="http://schemas.microsoft.com/office/drawing/2014/chart" uri="{C3380CC4-5D6E-409C-BE32-E72D297353CC}">
                  <c16:uniqueId val="{0000000E-9926-4DE9-824E-323E84F5396C}"/>
                </c:ext>
              </c:extLst>
            </c:dLbl>
            <c:dLbl>
              <c:idx val="9"/>
              <c:layout>
                <c:manualLayout>
                  <c:x val="-3.0500485234992374E-2"/>
                  <c:y val="-0.2600159193420005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926-4DE9-824E-323E84F5396C}"/>
                </c:ext>
              </c:extLst>
            </c:dLbl>
            <c:spPr>
              <a:noFill/>
              <a:ln w="25326">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Blad1!$A$4:$A$13</c:f>
              <c:strCache>
                <c:ptCount val="10"/>
                <c:pt idx="0">
                  <c:v>Environment</c:v>
                </c:pt>
                <c:pt idx="1">
                  <c:v>Justice and consumers</c:v>
                </c:pt>
                <c:pt idx="2">
                  <c:v>Internal market, industry, entrepreneurship and SMEs</c:v>
                </c:pt>
                <c:pt idx="3">
                  <c:v>Health and food safety</c:v>
                </c:pt>
                <c:pt idx="4">
                  <c:v>Communication networks</c:v>
                </c:pt>
                <c:pt idx="5">
                  <c:v>Migration and home affairs</c:v>
                </c:pt>
                <c:pt idx="6">
                  <c:v>Energy</c:v>
                </c:pt>
                <c:pt idx="7">
                  <c:v>Mobility and transport</c:v>
                </c:pt>
                <c:pt idx="8">
                  <c:v>Employment</c:v>
                </c:pt>
                <c:pt idx="9">
                  <c:v>Financial stability, financial services and Capital Markets Union</c:v>
                </c:pt>
              </c:strCache>
            </c:strRef>
          </c:cat>
          <c:val>
            <c:numRef>
              <c:f>Blad1!$B$4:$B$13</c:f>
              <c:numCache>
                <c:formatCode>General</c:formatCode>
                <c:ptCount val="10"/>
                <c:pt idx="0">
                  <c:v>5</c:v>
                </c:pt>
                <c:pt idx="1">
                  <c:v>2</c:v>
                </c:pt>
                <c:pt idx="2">
                  <c:v>2</c:v>
                </c:pt>
                <c:pt idx="3">
                  <c:v>2</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E-A6ED-4C71-B926-A26429301FBB}"/>
            </c:ext>
          </c:extLst>
        </c:ser>
        <c:dLbls>
          <c:showLegendKey val="0"/>
          <c:showVal val="0"/>
          <c:showCatName val="0"/>
          <c:showSerName val="0"/>
          <c:showPercent val="0"/>
          <c:showBubbleSize val="0"/>
          <c:showLeaderLines val="0"/>
        </c:dLbls>
        <c:firstSliceAng val="249"/>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5.0102846961101573E-2"/>
                  <c:y val="7.16925360368292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A4-4589-8EFD-750D740F5A52}"/>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187</c:v>
                </c:pt>
                <c:pt idx="1">
                  <c:v>189</c:v>
                </c:pt>
                <c:pt idx="2">
                  <c:v>150</c:v>
                </c:pt>
                <c:pt idx="3">
                  <c:v>154</c:v>
                </c:pt>
                <c:pt idx="4">
                  <c:v>167</c:v>
                </c:pt>
              </c:numCache>
            </c:numRef>
          </c:val>
          <c:smooth val="0"/>
          <c:extLst xmlns:c16r2="http://schemas.microsoft.com/office/drawing/2015/06/chart">
            <c:ext xmlns:c16="http://schemas.microsoft.com/office/drawing/2014/chart" uri="{C3380CC4-5D6E-409C-BE32-E72D297353CC}">
              <c16:uniqueId val="{00000001-10A4-4589-8EFD-750D740F5A52}"/>
            </c:ext>
          </c:extLst>
        </c:ser>
        <c:dLbls>
          <c:showLegendKey val="0"/>
          <c:showVal val="0"/>
          <c:showCatName val="0"/>
          <c:showSerName val="0"/>
          <c:showPercent val="0"/>
          <c:showBubbleSize val="0"/>
        </c:dLbls>
        <c:marker val="1"/>
        <c:smooth val="0"/>
        <c:axId val="117841280"/>
        <c:axId val="117843072"/>
      </c:lineChart>
      <c:catAx>
        <c:axId val="117841280"/>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843072"/>
        <c:crosses val="autoZero"/>
        <c:auto val="1"/>
        <c:lblAlgn val="ctr"/>
        <c:lblOffset val="100"/>
        <c:noMultiLvlLbl val="0"/>
      </c:catAx>
      <c:valAx>
        <c:axId val="117843072"/>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7841280"/>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167 Complaints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United Kingdom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2D1-4399-AEFF-34031A0C7EDC}"/>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2D1-4399-AEFF-34031A0C7EDC}"/>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2D1-4399-AEFF-34031A0C7ED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2D1-4399-AEFF-34031A0C7EDC}"/>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2D1-4399-AEFF-34031A0C7EDC}"/>
              </c:ext>
            </c:extLst>
          </c:dPt>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Employment</c:v>
                </c:pt>
                <c:pt idx="2">
                  <c:v>Internal market, industry, entrepreneurship and SMEs</c:v>
                </c:pt>
                <c:pt idx="3">
                  <c:v>Other</c:v>
                </c:pt>
              </c:strCache>
            </c:strRef>
          </c:cat>
          <c:val>
            <c:numRef>
              <c:f>Blad1!$B$3:$B$6</c:f>
              <c:numCache>
                <c:formatCode>General</c:formatCode>
                <c:ptCount val="4"/>
                <c:pt idx="0">
                  <c:v>88</c:v>
                </c:pt>
                <c:pt idx="1">
                  <c:v>24</c:v>
                </c:pt>
                <c:pt idx="2">
                  <c:v>9</c:v>
                </c:pt>
                <c:pt idx="3">
                  <c:v>46</c:v>
                </c:pt>
              </c:numCache>
            </c:numRef>
          </c:val>
          <c:extLst xmlns:c16r2="http://schemas.microsoft.com/office/drawing/2015/06/chart">
            <c:ext xmlns:c16="http://schemas.microsoft.com/office/drawing/2014/chart" uri="{C3380CC4-5D6E-409C-BE32-E72D297353CC}">
              <c16:uniqueId val="{0000000A-72D1-4399-AEFF-34031A0C7EDC}"/>
            </c:ext>
          </c:extLst>
        </c:ser>
        <c:dLbls>
          <c:dLblPos val="outEnd"/>
          <c:showLegendKey val="0"/>
          <c:showVal val="1"/>
          <c:showCatName val="0"/>
          <c:showSerName val="0"/>
          <c:showPercent val="0"/>
          <c:showBubbleSize val="0"/>
          <c:showLeaderLines val="0"/>
        </c:dLbls>
        <c:firstSliceAng val="207"/>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27</c:v>
                </c:pt>
                <c:pt idx="1">
                  <c:v>26</c:v>
                </c:pt>
                <c:pt idx="2">
                  <c:v>28</c:v>
                </c:pt>
                <c:pt idx="3">
                  <c:v>32</c:v>
                </c:pt>
                <c:pt idx="4">
                  <c:v>30</c:v>
                </c:pt>
              </c:numCache>
            </c:numRef>
          </c:val>
          <c:smooth val="0"/>
          <c:extLst xmlns:c16r2="http://schemas.microsoft.com/office/drawing/2015/06/chart">
            <c:ext xmlns:c16="http://schemas.microsoft.com/office/drawing/2014/chart" uri="{C3380CC4-5D6E-409C-BE32-E72D297353CC}">
              <c16:uniqueId val="{00000000-8E60-412D-8991-E7B4483882D6}"/>
            </c:ext>
          </c:extLst>
        </c:ser>
        <c:dLbls>
          <c:showLegendKey val="0"/>
          <c:showVal val="0"/>
          <c:showCatName val="0"/>
          <c:showSerName val="0"/>
          <c:showPercent val="0"/>
          <c:showBubbleSize val="0"/>
        </c:dLbls>
        <c:marker val="1"/>
        <c:smooth val="0"/>
        <c:axId val="104352768"/>
        <c:axId val="104358656"/>
      </c:lineChart>
      <c:catAx>
        <c:axId val="104352768"/>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358656"/>
        <c:crosses val="autoZero"/>
        <c:auto val="1"/>
        <c:lblAlgn val="ctr"/>
        <c:lblOffset val="100"/>
        <c:noMultiLvlLbl val="0"/>
      </c:catAx>
      <c:valAx>
        <c:axId val="104358656"/>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04352768"/>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1.1663902708678727E-2"/>
                  <c:y val="2.4833333333333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D0-4FD4-B62F-DAD564C90A1D}"/>
                </c:ext>
              </c:extLst>
            </c:dLbl>
            <c:spPr>
              <a:noFill/>
              <a:ln w="25372">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49</c:v>
                </c:pt>
                <c:pt idx="1">
                  <c:v>33</c:v>
                </c:pt>
                <c:pt idx="2">
                  <c:v>21</c:v>
                </c:pt>
                <c:pt idx="3">
                  <c:v>6</c:v>
                </c:pt>
                <c:pt idx="4">
                  <c:v>3</c:v>
                </c:pt>
              </c:numCache>
            </c:numRef>
          </c:val>
          <c:smooth val="0"/>
          <c:extLst xmlns:c16r2="http://schemas.microsoft.com/office/drawing/2015/06/chart">
            <c:ext xmlns:c16="http://schemas.microsoft.com/office/drawing/2014/chart" uri="{C3380CC4-5D6E-409C-BE32-E72D297353CC}">
              <c16:uniqueId val="{00000001-A1D0-4FD4-B62F-DAD564C90A1D}"/>
            </c:ext>
          </c:extLst>
        </c:ser>
        <c:dLbls>
          <c:showLegendKey val="0"/>
          <c:showVal val="0"/>
          <c:showCatName val="0"/>
          <c:showSerName val="0"/>
          <c:showPercent val="0"/>
          <c:showBubbleSize val="0"/>
        </c:dLbls>
        <c:marker val="1"/>
        <c:smooth val="0"/>
        <c:axId val="118027008"/>
        <c:axId val="118028544"/>
      </c:lineChart>
      <c:catAx>
        <c:axId val="118027008"/>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028544"/>
        <c:crosses val="autoZero"/>
        <c:auto val="1"/>
        <c:lblAlgn val="ctr"/>
        <c:lblOffset val="100"/>
        <c:noMultiLvlLbl val="0"/>
      </c:catAx>
      <c:valAx>
        <c:axId val="118028544"/>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8027008"/>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1.1663902708678727E-2"/>
                  <c:y val="2.4833333333333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EA-4495-B85F-2101D1D7C5C6}"/>
                </c:ext>
              </c:extLst>
            </c:dLbl>
            <c:spPr>
              <a:noFill/>
              <a:ln w="25372">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67</c:v>
                </c:pt>
                <c:pt idx="1">
                  <c:v>57</c:v>
                </c:pt>
                <c:pt idx="2">
                  <c:v>45</c:v>
                </c:pt>
                <c:pt idx="3">
                  <c:v>38</c:v>
                </c:pt>
                <c:pt idx="4">
                  <c:v>32</c:v>
                </c:pt>
              </c:numCache>
            </c:numRef>
          </c:val>
          <c:smooth val="0"/>
          <c:extLst xmlns:c16r2="http://schemas.microsoft.com/office/drawing/2015/06/chart">
            <c:ext xmlns:c16="http://schemas.microsoft.com/office/drawing/2014/chart" uri="{C3380CC4-5D6E-409C-BE32-E72D297353CC}">
              <c16:uniqueId val="{00000001-A5EA-4495-B85F-2101D1D7C5C6}"/>
            </c:ext>
          </c:extLst>
        </c:ser>
        <c:dLbls>
          <c:showLegendKey val="0"/>
          <c:showVal val="0"/>
          <c:showCatName val="0"/>
          <c:showSerName val="0"/>
          <c:showPercent val="0"/>
          <c:showBubbleSize val="0"/>
        </c:dLbls>
        <c:marker val="1"/>
        <c:smooth val="0"/>
        <c:axId val="117508736"/>
        <c:axId val="117522816"/>
      </c:lineChart>
      <c:catAx>
        <c:axId val="11750873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522816"/>
        <c:crosses val="autoZero"/>
        <c:auto val="1"/>
        <c:lblAlgn val="ctr"/>
        <c:lblOffset val="100"/>
        <c:noMultiLvlLbl val="0"/>
      </c:catAx>
      <c:valAx>
        <c:axId val="117522816"/>
        <c:scaling>
          <c:orientation val="minMax"/>
          <c:min val="2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7508736"/>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United Kingdom</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86434351419E-2"/>
                  <c:y val="-5.55042688629438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08-4011-B253-92EFD3927686}"/>
                </c:ext>
              </c:extLst>
            </c:dLbl>
            <c:dLbl>
              <c:idx val="1"/>
              <c:layout>
                <c:manualLayout>
                  <c:x val="-5.548870344695285E-2"/>
                  <c:y val="-6.7976684009905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08-4011-B253-92EFD3927686}"/>
                </c:ext>
              </c:extLst>
            </c:dLbl>
            <c:dLbl>
              <c:idx val="2"/>
              <c:layout>
                <c:manualLayout>
                  <c:x val="-4.4618110236220469E-2"/>
                  <c:y val="-8.02491103202846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08-4011-B253-92EFD3927686}"/>
                </c:ext>
              </c:extLst>
            </c:dLbl>
            <c:dLbl>
              <c:idx val="3"/>
              <c:layout>
                <c:manualLayout>
                  <c:x val="-5.095801433125368E-2"/>
                  <c:y val="5.7984595426897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08-4011-B253-92EFD3927686}"/>
                </c:ext>
              </c:extLst>
            </c:dLbl>
            <c:dLbl>
              <c:idx val="4"/>
              <c:layout>
                <c:manualLayout>
                  <c:x val="-6.6840332458442689E-2"/>
                  <c:y val="9.11211974873385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08-4011-B253-92EFD3927686}"/>
                </c:ext>
              </c:extLst>
            </c:dLbl>
            <c:spPr>
              <a:noFill/>
              <a:ln w="25357">
                <a:noFill/>
              </a:ln>
            </c:spPr>
            <c:txPr>
              <a:bodyPr/>
              <a:lstStyle/>
              <a:p>
                <a:pPr>
                  <a:defRPr sz="898">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0.76</c:v>
                </c:pt>
                <c:pt idx="1">
                  <c:v>0.81</c:v>
                </c:pt>
                <c:pt idx="2">
                  <c:v>0.79</c:v>
                </c:pt>
                <c:pt idx="3">
                  <c:v>0.73</c:v>
                </c:pt>
                <c:pt idx="4">
                  <c:v>0.63</c:v>
                </c:pt>
              </c:numCache>
            </c:numRef>
          </c:val>
          <c:smooth val="0"/>
          <c:extLst xmlns:c16r2="http://schemas.microsoft.com/office/drawing/2015/06/chart">
            <c:ext xmlns:c16="http://schemas.microsoft.com/office/drawing/2014/chart" uri="{C3380CC4-5D6E-409C-BE32-E72D297353CC}">
              <c16:uniqueId val="{00000005-D008-4011-B253-92EFD3927686}"/>
            </c:ext>
          </c:extLst>
        </c:ser>
        <c:ser>
          <c:idx val="1"/>
          <c:order val="1"/>
          <c:tx>
            <c:strRef>
              <c:f>Blad1!$C$2</c:f>
              <c:strCache>
                <c:ptCount val="1"/>
                <c:pt idx="0">
                  <c:v>General rate for all Member States</c:v>
                </c:pt>
              </c:strCache>
            </c:strRef>
          </c:tx>
          <c:spPr>
            <a:ln w="25357">
              <a:solidFill>
                <a:srgbClr val="92D050"/>
              </a:solidFill>
            </a:ln>
          </c:spPr>
          <c:marker>
            <c:symbol val="square"/>
            <c:size val="4"/>
            <c:spPr>
              <a:solidFill>
                <a:srgbClr val="92D050"/>
              </a:solidFill>
              <a:ln>
                <a:solidFill>
                  <a:srgbClr val="92D050"/>
                </a:solidFill>
              </a:ln>
            </c:spPr>
          </c:marker>
          <c:dLbls>
            <c:dLbl>
              <c:idx val="0"/>
              <c:layout>
                <c:manualLayout>
                  <c:x val="-4.7395888013998251E-2"/>
                  <c:y val="5.7272720264703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08-4011-B253-92EFD3927686}"/>
                </c:ext>
              </c:extLst>
            </c:dLbl>
            <c:dLbl>
              <c:idx val="1"/>
              <c:layout>
                <c:manualLayout>
                  <c:x val="-4.4626180448374186E-2"/>
                  <c:y val="5.164343414670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08-4011-B253-92EFD3927686}"/>
                </c:ext>
              </c:extLst>
            </c:dLbl>
            <c:dLbl>
              <c:idx val="2"/>
              <c:layout>
                <c:manualLayout>
                  <c:x val="-4.7376617715173146E-2"/>
                  <c:y val="6.8716741972240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08-4011-B253-92EFD3927686}"/>
                </c:ext>
              </c:extLst>
            </c:dLbl>
            <c:dLbl>
              <c:idx val="3"/>
              <c:layout>
                <c:manualLayout>
                  <c:x val="-4.1830695038552704E-2"/>
                  <c:y val="-6.60558676849743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08-4011-B253-92EFD3927686}"/>
                </c:ext>
              </c:extLst>
            </c:dLbl>
            <c:dLbl>
              <c:idx val="4"/>
              <c:layout>
                <c:manualLayout>
                  <c:x val="-2.7951443569553806E-2"/>
                  <c:y val="-7.9326464548341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008-4011-B253-92EFD3927686}"/>
                </c:ext>
              </c:extLst>
            </c:dLbl>
            <c:spPr>
              <a:noFill/>
              <a:ln w="25357">
                <a:noFill/>
              </a:ln>
            </c:spPr>
            <c:txPr>
              <a:bodyPr/>
              <a:lstStyle/>
              <a:p>
                <a:pPr>
                  <a:defRPr sz="898">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B-D008-4011-B253-92EFD3927686}"/>
            </c:ext>
          </c:extLst>
        </c:ser>
        <c:dLbls>
          <c:showLegendKey val="0"/>
          <c:showVal val="0"/>
          <c:showCatName val="0"/>
          <c:showSerName val="0"/>
          <c:showPercent val="0"/>
          <c:showBubbleSize val="0"/>
        </c:dLbls>
        <c:marker val="1"/>
        <c:smooth val="0"/>
        <c:axId val="117569408"/>
        <c:axId val="117570944"/>
      </c:lineChart>
      <c:catAx>
        <c:axId val="117569408"/>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570944"/>
        <c:crosses val="autoZero"/>
        <c:auto val="1"/>
        <c:lblAlgn val="ctr"/>
        <c:lblOffset val="100"/>
        <c:noMultiLvlLbl val="0"/>
      </c:catAx>
      <c:valAx>
        <c:axId val="117570944"/>
        <c:scaling>
          <c:orientation val="minMax"/>
          <c:min val="0.5"/>
        </c:scaling>
        <c:delete val="1"/>
        <c:axPos val="l"/>
        <c:majorGridlines>
          <c:spPr>
            <a:ln w="9509" cap="flat" cmpd="sng" algn="ctr">
              <a:solidFill>
                <a:schemeClr val="tx1">
                  <a:lumMod val="15000"/>
                  <a:lumOff val="85000"/>
                </a:schemeClr>
              </a:solidFill>
              <a:round/>
            </a:ln>
            <a:effectLst/>
          </c:spPr>
        </c:majorGridlines>
        <c:numFmt formatCode="0%" sourceLinked="1"/>
        <c:majorTickMark val="out"/>
        <c:minorTickMark val="none"/>
        <c:tickLblPos val="nextTo"/>
        <c:crossAx val="117569408"/>
        <c:crosses val="autoZero"/>
        <c:crossBetween val="between"/>
      </c:valAx>
      <c:spPr>
        <a:noFill/>
        <a:ln w="25357">
          <a:noFill/>
        </a:ln>
      </c:spPr>
    </c:plotArea>
    <c:legend>
      <c:legendPos val="b"/>
      <c:overlay val="0"/>
      <c:txPr>
        <a:bodyPr/>
        <a:lstStyle/>
        <a:p>
          <a:pPr>
            <a:defRPr sz="898">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7704154222101551E-2"/>
                  <c:y val="7.39679720916396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4E-4DFA-ADE2-8CD5F6EE47B0}"/>
                </c:ext>
              </c:extLst>
            </c:dLbl>
            <c:dLbl>
              <c:idx val="4"/>
              <c:layout>
                <c:manualLayout>
                  <c:x val="-3.3814824871029055E-2"/>
                  <c:y val="-7.14818203534518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4E-4DFA-ADE2-8CD5F6EE47B0}"/>
                </c:ext>
              </c:extLst>
            </c:dLbl>
            <c:spPr>
              <a:noFill/>
              <a:ln w="2539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54</c:v>
                </c:pt>
                <c:pt idx="1">
                  <c:v>48</c:v>
                </c:pt>
                <c:pt idx="2">
                  <c:v>55</c:v>
                </c:pt>
                <c:pt idx="3">
                  <c:v>49</c:v>
                </c:pt>
                <c:pt idx="4">
                  <c:v>65</c:v>
                </c:pt>
              </c:numCache>
            </c:numRef>
          </c:val>
          <c:smooth val="0"/>
          <c:extLst xmlns:c16r2="http://schemas.microsoft.com/office/drawing/2015/06/chart">
            <c:ext xmlns:c16="http://schemas.microsoft.com/office/drawing/2014/chart" uri="{C3380CC4-5D6E-409C-BE32-E72D297353CC}">
              <c16:uniqueId val="{00000002-5A4E-4DFA-ADE2-8CD5F6EE47B0}"/>
            </c:ext>
          </c:extLst>
        </c:ser>
        <c:dLbls>
          <c:showLegendKey val="0"/>
          <c:showVal val="0"/>
          <c:showCatName val="0"/>
          <c:showSerName val="0"/>
          <c:showPercent val="0"/>
          <c:showBubbleSize val="0"/>
        </c:dLbls>
        <c:marker val="1"/>
        <c:smooth val="0"/>
        <c:axId val="118313728"/>
        <c:axId val="118315264"/>
      </c:lineChart>
      <c:catAx>
        <c:axId val="118313728"/>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315264"/>
        <c:crosses val="autoZero"/>
        <c:auto val="1"/>
        <c:lblAlgn val="ctr"/>
        <c:lblOffset val="100"/>
        <c:noMultiLvlLbl val="0"/>
      </c:catAx>
      <c:valAx>
        <c:axId val="118315264"/>
        <c:scaling>
          <c:orientation val="minMax"/>
          <c:min val="45"/>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18313728"/>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30 </a:t>
            </a:r>
            <a:r>
              <a:rPr lang="en-US" sz="1097" b="0" i="0" u="none" strike="noStrike" baseline="0">
                <a:effectLst/>
              </a:rPr>
              <a:t>new infringement cases</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51213087480937"/>
          <c:y val="2.6014568158168574E-2"/>
        </c:manualLayout>
      </c:layout>
      <c:overlay val="0"/>
      <c:spPr>
        <a:noFill/>
        <a:ln w="2532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096-4536-BBE8-7B93DBC45009}"/>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096-4536-BBE8-7B93DBC45009}"/>
              </c:ext>
            </c:extLst>
          </c:dPt>
          <c:dPt>
            <c:idx val="2"/>
            <c:bubble3D val="0"/>
            <c:explosion val="1"/>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096-4536-BBE8-7B93DBC45009}"/>
              </c:ext>
            </c:extLst>
          </c:dPt>
          <c:dPt>
            <c:idx val="3"/>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096-4536-BBE8-7B93DBC45009}"/>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096-4536-BBE8-7B93DBC45009}"/>
              </c:ext>
            </c:extLst>
          </c:dPt>
          <c:dPt>
            <c:idx val="5"/>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5096-4536-BBE8-7B93DBC45009}"/>
              </c:ext>
            </c:extLst>
          </c:dPt>
          <c:dPt>
            <c:idx val="6"/>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5096-4536-BBE8-7B93DBC45009}"/>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8F5C-4759-99C9-117A40B13DE2}"/>
              </c:ext>
            </c:extLst>
          </c:dPt>
          <c:dLbls>
            <c:dLbl>
              <c:idx val="0"/>
              <c:layout>
                <c:manualLayout>
                  <c:x val="-1.6664792680756858E-2"/>
                  <c:y val="-2.22778929428826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96-4536-BBE8-7B93DBC45009}"/>
                </c:ext>
              </c:extLst>
            </c:dLbl>
            <c:dLbl>
              <c:idx val="1"/>
              <c:layout>
                <c:manualLayout>
                  <c:x val="-2.9166280043360058E-2"/>
                  <c:y val="4.74309077650413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96-4536-BBE8-7B93DBC45009}"/>
                </c:ext>
              </c:extLst>
            </c:dLbl>
            <c:dLbl>
              <c:idx val="2"/>
              <c:layout>
                <c:manualLayout>
                  <c:x val="-4.4234218400504004E-2"/>
                  <c:y val="6.479880701696839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96-4536-BBE8-7B93DBC45009}"/>
                </c:ext>
              </c:extLst>
            </c:dLbl>
            <c:dLbl>
              <c:idx val="3"/>
              <c:layout>
                <c:manualLayout>
                  <c:x val="8.3390553582715372E-3"/>
                  <c:y val="2.71448704187730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96-4536-BBE8-7B93DBC45009}"/>
                </c:ext>
              </c:extLst>
            </c:dLbl>
            <c:dLbl>
              <c:idx val="4"/>
              <c:layout>
                <c:manualLayout>
                  <c:x val="-7.3795017962973672E-5"/>
                  <c:y val="-9.9879554597818868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96-4536-BBE8-7B93DBC45009}"/>
                </c:ext>
              </c:extLst>
            </c:dLbl>
            <c:dLbl>
              <c:idx val="5"/>
              <c:layout>
                <c:manualLayout>
                  <c:x val="5.2598818188070315E-2"/>
                  <c:y val="-6.0037936204904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96-4536-BBE8-7B93DBC45009}"/>
                </c:ext>
              </c:extLst>
            </c:dLbl>
            <c:dLbl>
              <c:idx val="6"/>
              <c:layout>
                <c:manualLayout>
                  <c:x val="4.441914260232236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096-4536-BBE8-7B93DBC45009}"/>
                </c:ext>
              </c:extLst>
            </c:dLbl>
            <c:spPr>
              <a:noFill/>
              <a:ln w="25329">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Blad1!$A$4:$A$11</c:f>
              <c:strCache>
                <c:ptCount val="8"/>
                <c:pt idx="0">
                  <c:v>Health and food safety</c:v>
                </c:pt>
                <c:pt idx="1">
                  <c:v>Taxation and customs</c:v>
                </c:pt>
                <c:pt idx="2">
                  <c:v>Environment</c:v>
                </c:pt>
                <c:pt idx="3">
                  <c:v>Internal market, industry, entrepreneurship and SMEs</c:v>
                </c:pt>
                <c:pt idx="4">
                  <c:v>Energy</c:v>
                </c:pt>
                <c:pt idx="5">
                  <c:v>Mobility and transport</c:v>
                </c:pt>
                <c:pt idx="6">
                  <c:v>Employment</c:v>
                </c:pt>
                <c:pt idx="7">
                  <c:v>Other</c:v>
                </c:pt>
              </c:strCache>
            </c:strRef>
          </c:cat>
          <c:val>
            <c:numRef>
              <c:f>Blad1!$B$4:$B$11</c:f>
              <c:numCache>
                <c:formatCode>General</c:formatCode>
                <c:ptCount val="8"/>
                <c:pt idx="0">
                  <c:v>6</c:v>
                </c:pt>
                <c:pt idx="1">
                  <c:v>6</c:v>
                </c:pt>
                <c:pt idx="2">
                  <c:v>3</c:v>
                </c:pt>
                <c:pt idx="3">
                  <c:v>3</c:v>
                </c:pt>
                <c:pt idx="4">
                  <c:v>3</c:v>
                </c:pt>
                <c:pt idx="5">
                  <c:v>3</c:v>
                </c:pt>
                <c:pt idx="6">
                  <c:v>2</c:v>
                </c:pt>
                <c:pt idx="7">
                  <c:v>4</c:v>
                </c:pt>
              </c:numCache>
            </c:numRef>
          </c:val>
          <c:extLst xmlns:c16r2="http://schemas.microsoft.com/office/drawing/2015/06/chart">
            <c:ext xmlns:c16="http://schemas.microsoft.com/office/drawing/2014/chart" uri="{C3380CC4-5D6E-409C-BE32-E72D297353CC}">
              <c16:uniqueId val="{0000000D-5096-4536-BBE8-7B93DBC45009}"/>
            </c:ext>
          </c:extLst>
        </c:ser>
        <c:dLbls>
          <c:showLegendKey val="0"/>
          <c:showVal val="0"/>
          <c:showCatName val="0"/>
          <c:showSerName val="0"/>
          <c:showPercent val="0"/>
          <c:showBubbleSize val="0"/>
          <c:showLeaderLines val="0"/>
        </c:dLbls>
        <c:firstSliceAng val="228"/>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16</c:v>
                </c:pt>
                <c:pt idx="1">
                  <c:v>14</c:v>
                </c:pt>
                <c:pt idx="2">
                  <c:v>25</c:v>
                </c:pt>
                <c:pt idx="3">
                  <c:v>21</c:v>
                </c:pt>
                <c:pt idx="4">
                  <c:v>27</c:v>
                </c:pt>
              </c:numCache>
            </c:numRef>
          </c:val>
          <c:smooth val="0"/>
          <c:extLst xmlns:c16r2="http://schemas.microsoft.com/office/drawing/2015/06/chart">
            <c:ext xmlns:c16="http://schemas.microsoft.com/office/drawing/2014/chart" uri="{C3380CC4-5D6E-409C-BE32-E72D297353CC}">
              <c16:uniqueId val="{00000002-53B4-4662-A0A7-2F8B18A7EED7}"/>
            </c:ext>
          </c:extLst>
        </c:ser>
        <c:dLbls>
          <c:dLblPos val="t"/>
          <c:showLegendKey val="0"/>
          <c:showVal val="1"/>
          <c:showCatName val="0"/>
          <c:showSerName val="0"/>
          <c:showPercent val="0"/>
          <c:showBubbleSize val="0"/>
        </c:dLbls>
        <c:marker val="1"/>
        <c:smooth val="0"/>
        <c:axId val="118060160"/>
        <c:axId val="118067200"/>
      </c:lineChart>
      <c:catAx>
        <c:axId val="118060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067200"/>
        <c:crosses val="autoZero"/>
        <c:auto val="1"/>
        <c:lblAlgn val="ctr"/>
        <c:lblOffset val="100"/>
        <c:noMultiLvlLbl val="0"/>
      </c:catAx>
      <c:valAx>
        <c:axId val="11806720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8060160"/>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66439078836076E-2"/>
                  <c:y val="6.8354322159241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F1-4286-BE3B-46546DCD53DF}"/>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20</c:v>
                </c:pt>
                <c:pt idx="1">
                  <c:v>16</c:v>
                </c:pt>
                <c:pt idx="2">
                  <c:v>25</c:v>
                </c:pt>
                <c:pt idx="3">
                  <c:v>29</c:v>
                </c:pt>
                <c:pt idx="4">
                  <c:v>17</c:v>
                </c:pt>
              </c:numCache>
            </c:numRef>
          </c:val>
          <c:smooth val="0"/>
          <c:extLst xmlns:c16r2="http://schemas.microsoft.com/office/drawing/2015/06/chart">
            <c:ext xmlns:c16="http://schemas.microsoft.com/office/drawing/2014/chart" uri="{C3380CC4-5D6E-409C-BE32-E72D297353CC}">
              <c16:uniqueId val="{00000001-8CF1-4286-BE3B-46546DCD53DF}"/>
            </c:ext>
          </c:extLst>
        </c:ser>
        <c:dLbls>
          <c:showLegendKey val="0"/>
          <c:showVal val="0"/>
          <c:showCatName val="0"/>
          <c:showSerName val="0"/>
          <c:showPercent val="0"/>
          <c:showBubbleSize val="0"/>
        </c:dLbls>
        <c:marker val="1"/>
        <c:smooth val="0"/>
        <c:axId val="118100352"/>
        <c:axId val="118101888"/>
      </c:lineChart>
      <c:catAx>
        <c:axId val="118100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101888"/>
        <c:crosses val="autoZero"/>
        <c:auto val="1"/>
        <c:lblAlgn val="ctr"/>
        <c:lblOffset val="100"/>
        <c:noMultiLvlLbl val="0"/>
      </c:catAx>
      <c:valAx>
        <c:axId val="11810188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8100352"/>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the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F8C-4972-8CD0-DE945A5BAC68}"/>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F8C-4972-8CD0-DE945A5BAC68}"/>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F8C-4972-8CD0-DE945A5BAC68}"/>
              </c:ext>
            </c:extLst>
          </c:dPt>
          <c:dPt>
            <c:idx val="3"/>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F8C-4972-8CD0-DE945A5BAC68}"/>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F8C-4972-8CD0-DE945A5BAC68}"/>
              </c:ext>
            </c:extLst>
          </c:dPt>
          <c:dPt>
            <c:idx val="5"/>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7F8C-4972-8CD0-DE945A5BAC68}"/>
              </c:ext>
            </c:extLst>
          </c:dPt>
          <c:dPt>
            <c:idx val="6"/>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7F8C-4972-8CD0-DE945A5BAC68}"/>
              </c:ext>
            </c:extLst>
          </c:dPt>
          <c:dLbls>
            <c:dLbl>
              <c:idx val="0"/>
              <c:layout>
                <c:manualLayout>
                  <c:x val="2.2082559447510922E-2"/>
                  <c:y val="-7.893615570780925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8C-4972-8CD0-DE945A5BAC68}"/>
                </c:ext>
              </c:extLst>
            </c:dLbl>
            <c:dLbl>
              <c:idx val="1"/>
              <c:layout>
                <c:manualLayout>
                  <c:x val="-4.1977310975662924E-3"/>
                  <c:y val="5.128293622388110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8C-4972-8CD0-DE945A5BAC68}"/>
                </c:ext>
              </c:extLst>
            </c:dLbl>
            <c:dLbl>
              <c:idx val="2"/>
              <c:layout>
                <c:manualLayout>
                  <c:x val="-5.2526137721156949E-3"/>
                  <c:y val="5.77755905511810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8C-4972-8CD0-DE945A5BAC68}"/>
                </c:ext>
              </c:extLst>
            </c:dLbl>
            <c:dLbl>
              <c:idx val="3"/>
              <c:layout>
                <c:manualLayout>
                  <c:x val="-1.1050871548033341E-2"/>
                  <c:y val="3.34125847905375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F8C-4972-8CD0-DE945A5BAC68}"/>
                </c:ext>
              </c:extLst>
            </c:dLbl>
            <c:dLbl>
              <c:idx val="4"/>
              <c:layout>
                <c:manualLayout>
                  <c:x val="-9.1258578142848476E-2"/>
                  <c:y val="-6.409994205269795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8C-4972-8CD0-DE945A5BAC68}"/>
                </c:ext>
              </c:extLst>
            </c:dLbl>
            <c:dLbl>
              <c:idx val="5"/>
              <c:layout>
                <c:manualLayout>
                  <c:x val="-2.7705816585312643E-2"/>
                  <c:y val="3.36477772815743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F8C-4972-8CD0-DE945A5BAC68}"/>
                </c:ext>
              </c:extLst>
            </c:dLbl>
            <c:dLbl>
              <c:idx val="6"/>
              <c:layout>
                <c:manualLayout>
                  <c:x val="-3.5991140642303431E-2"/>
                  <c:y val="8.333333333333332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F8C-4972-8CD0-DE945A5BAC68}"/>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Health and food safety</c:v>
                </c:pt>
                <c:pt idx="1">
                  <c:v>Environment</c:v>
                </c:pt>
                <c:pt idx="2">
                  <c:v>Internal market, industry, entrepreneurship and SMEs</c:v>
                </c:pt>
                <c:pt idx="3">
                  <c:v>Mobility and transport</c:v>
                </c:pt>
                <c:pt idx="4">
                  <c:v>Other</c:v>
                </c:pt>
              </c:strCache>
            </c:strRef>
          </c:cat>
          <c:val>
            <c:numRef>
              <c:f>Blad1!$B$4:$B$8</c:f>
              <c:numCache>
                <c:formatCode>General</c:formatCode>
                <c:ptCount val="5"/>
                <c:pt idx="0">
                  <c:v>6</c:v>
                </c:pt>
                <c:pt idx="1">
                  <c:v>3</c:v>
                </c:pt>
                <c:pt idx="2">
                  <c:v>2</c:v>
                </c:pt>
                <c:pt idx="3">
                  <c:v>2</c:v>
                </c:pt>
                <c:pt idx="4">
                  <c:v>4</c:v>
                </c:pt>
              </c:numCache>
            </c:numRef>
          </c:val>
          <c:extLst xmlns:c16r2="http://schemas.microsoft.com/office/drawing/2015/06/chart">
            <c:ext xmlns:c16="http://schemas.microsoft.com/office/drawing/2014/chart" uri="{C3380CC4-5D6E-409C-BE32-E72D297353CC}">
              <c16:uniqueId val="{0000000E-7F8C-4972-8CD0-DE945A5BAC68}"/>
            </c:ext>
          </c:extLst>
        </c:ser>
        <c:dLbls>
          <c:dLblPos val="inEnd"/>
          <c:showLegendKey val="0"/>
          <c:showVal val="0"/>
          <c:showCatName val="0"/>
          <c:showSerName val="0"/>
          <c:showPercent val="1"/>
          <c:showBubbleSize val="0"/>
          <c:showLeaderLines val="0"/>
        </c:dLbls>
        <c:firstSliceAng val="23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30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Malta</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B65-4E60-B38C-38B3D99CEAFD}"/>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B65-4E60-B38C-38B3D99CEAFD}"/>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B65-4E60-B38C-38B3D99CEAFD}"/>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B65-4E60-B38C-38B3D99CEAFD}"/>
              </c:ext>
            </c:extLst>
          </c:dPt>
          <c:dPt>
            <c:idx val="4"/>
            <c:bubble3D val="0"/>
            <c:extLst xmlns:c16r2="http://schemas.microsoft.com/office/drawing/2015/06/chart">
              <c:ext xmlns:c16="http://schemas.microsoft.com/office/drawing/2014/chart" uri="{C3380CC4-5D6E-409C-BE32-E72D297353CC}">
                <c16:uniqueId val="{00000008-CB65-4E60-B38C-38B3D99CEAFD}"/>
              </c:ext>
            </c:extLst>
          </c:dPt>
          <c:dLbls>
            <c:dLbl>
              <c:idx val="0"/>
              <c:layout>
                <c:manualLayout>
                  <c:x val="-4.1369482354771517E-2"/>
                  <c:y val="0.13716164992505039"/>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B65-4E60-B38C-38B3D99CEAFD}"/>
                </c:ext>
              </c:extLst>
            </c:dLbl>
            <c:dLbl>
              <c:idx val="1"/>
              <c:layout>
                <c:manualLayout>
                  <c:x val="-8.2508621658297105E-3"/>
                  <c:y val="1.8666101581494947E-2"/>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B65-4E60-B38C-38B3D99CEAFD}"/>
                </c:ext>
              </c:extLst>
            </c:dLbl>
            <c:dLbl>
              <c:idx val="2"/>
              <c:layout>
                <c:manualLayout>
                  <c:x val="4.9044054729163247E-3"/>
                  <c:y val="6.7461354866052509E-2"/>
                </c:manualLayout>
              </c:layout>
              <c:spPr>
                <a:noFill/>
                <a:ln w="25387">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B65-4E60-B38C-38B3D99CEAFD}"/>
                </c:ext>
              </c:extLst>
            </c:dLbl>
            <c:dLbl>
              <c:idx val="3"/>
              <c:layout>
                <c:manualLayout>
                  <c:x val="-0.13473560862552808"/>
                  <c:y val="-0.12021857923497267"/>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B65-4E60-B38C-38B3D99CEAFD}"/>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Environment</c:v>
                </c:pt>
                <c:pt idx="2">
                  <c:v>Internal market, industry, entrepreneurship and SMEs</c:v>
                </c:pt>
                <c:pt idx="3">
                  <c:v>Other</c:v>
                </c:pt>
              </c:strCache>
            </c:strRef>
          </c:cat>
          <c:val>
            <c:numRef>
              <c:f>Blad1!$B$3:$B$6</c:f>
              <c:numCache>
                <c:formatCode>General</c:formatCode>
                <c:ptCount val="4"/>
                <c:pt idx="0">
                  <c:v>10</c:v>
                </c:pt>
                <c:pt idx="1">
                  <c:v>4</c:v>
                </c:pt>
                <c:pt idx="2">
                  <c:v>4</c:v>
                </c:pt>
                <c:pt idx="3">
                  <c:v>12</c:v>
                </c:pt>
              </c:numCache>
            </c:numRef>
          </c:val>
          <c:extLst xmlns:c16r2="http://schemas.microsoft.com/office/drawing/2015/06/chart">
            <c:ext xmlns:c16="http://schemas.microsoft.com/office/drawing/2014/chart" uri="{C3380CC4-5D6E-409C-BE32-E72D297353CC}">
              <c16:uniqueId val="{00000009-CB65-4E60-B38C-38B3D99CEAFD}"/>
            </c:ext>
          </c:extLst>
        </c:ser>
        <c:dLbls>
          <c:showLegendKey val="0"/>
          <c:showVal val="0"/>
          <c:showCatName val="0"/>
          <c:showSerName val="0"/>
          <c:showPercent val="0"/>
          <c:showBubbleSize val="0"/>
          <c:showLeaderLines val="0"/>
        </c:dLbls>
        <c:firstSliceAng val="261"/>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0433745533052146E-2"/>
                  <c:y val="6.6006878450538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8D-4FC3-892F-BB85568A0237}"/>
                </c:ext>
              </c:extLst>
            </c:dLbl>
            <c:dLbl>
              <c:idx val="2"/>
              <c:layout>
                <c:manualLayout>
                  <c:x val="-4.2127292228006381E-2"/>
                  <c:y val="6.0214348206474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A8D-4FC3-892F-BB85568A0237}"/>
                </c:ext>
              </c:extLst>
            </c:dLbl>
            <c:dLbl>
              <c:idx val="4"/>
              <c:layout>
                <c:manualLayout>
                  <c:x val="-3.3790583391006469E-2"/>
                  <c:y val="5.63330356901263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A8D-4FC3-892F-BB85568A0237}"/>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29</c:v>
                </c:pt>
                <c:pt idx="1">
                  <c:v>25</c:v>
                </c:pt>
                <c:pt idx="2">
                  <c:v>21</c:v>
                </c:pt>
                <c:pt idx="3">
                  <c:v>5</c:v>
                </c:pt>
                <c:pt idx="4">
                  <c:v>5</c:v>
                </c:pt>
              </c:numCache>
            </c:numRef>
          </c:val>
          <c:smooth val="0"/>
          <c:extLst xmlns:c16r2="http://schemas.microsoft.com/office/drawing/2015/06/chart">
            <c:ext xmlns:c16="http://schemas.microsoft.com/office/drawing/2014/chart" uri="{C3380CC4-5D6E-409C-BE32-E72D297353CC}">
              <c16:uniqueId val="{00000003-BA8D-4FC3-892F-BB85568A0237}"/>
            </c:ext>
          </c:extLst>
        </c:ser>
        <c:dLbls>
          <c:showLegendKey val="0"/>
          <c:showVal val="0"/>
          <c:showCatName val="0"/>
          <c:showSerName val="0"/>
          <c:showPercent val="0"/>
          <c:showBubbleSize val="0"/>
        </c:dLbls>
        <c:marker val="1"/>
        <c:smooth val="0"/>
        <c:axId val="104440192"/>
        <c:axId val="104441728"/>
      </c:lineChart>
      <c:catAx>
        <c:axId val="10444019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441728"/>
        <c:crosses val="autoZero"/>
        <c:auto val="1"/>
        <c:lblAlgn val="ctr"/>
        <c:lblOffset val="100"/>
        <c:noMultiLvlLbl val="0"/>
      </c:catAx>
      <c:valAx>
        <c:axId val="104441728"/>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0444019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141871569536395E-2"/>
                  <c:y val="5.82143333778192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D45-49DE-9DD2-7005711FA0A2}"/>
                </c:ext>
              </c:extLst>
            </c:dLbl>
            <c:dLbl>
              <c:idx val="2"/>
              <c:layout>
                <c:manualLayout>
                  <c:x val="-4.2131860383123748E-2"/>
                  <c:y val="6.1772451585443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D45-49DE-9DD2-7005711FA0A2}"/>
                </c:ext>
              </c:extLst>
            </c:dLbl>
            <c:dLbl>
              <c:idx val="4"/>
              <c:layout>
                <c:manualLayout>
                  <c:x val="-3.6554541378845055E-2"/>
                  <c:y val="8.9826736185003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D45-49DE-9DD2-7005711FA0A2}"/>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21</c:v>
                </c:pt>
                <c:pt idx="1">
                  <c:v>23</c:v>
                </c:pt>
                <c:pt idx="2">
                  <c:v>26</c:v>
                </c:pt>
                <c:pt idx="3">
                  <c:v>15</c:v>
                </c:pt>
                <c:pt idx="4">
                  <c:v>11</c:v>
                </c:pt>
              </c:numCache>
            </c:numRef>
          </c:val>
          <c:smooth val="0"/>
          <c:extLst xmlns:c16r2="http://schemas.microsoft.com/office/drawing/2015/06/chart">
            <c:ext xmlns:c16="http://schemas.microsoft.com/office/drawing/2014/chart" uri="{C3380CC4-5D6E-409C-BE32-E72D297353CC}">
              <c16:uniqueId val="{00000003-CD45-49DE-9DD2-7005711FA0A2}"/>
            </c:ext>
          </c:extLst>
        </c:ser>
        <c:dLbls>
          <c:showLegendKey val="0"/>
          <c:showVal val="0"/>
          <c:showCatName val="0"/>
          <c:showSerName val="0"/>
          <c:showPercent val="0"/>
          <c:showBubbleSize val="0"/>
        </c:dLbls>
        <c:marker val="1"/>
        <c:smooth val="0"/>
        <c:axId val="104541568"/>
        <c:axId val="104547456"/>
      </c:lineChart>
      <c:catAx>
        <c:axId val="104541568"/>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547456"/>
        <c:crosses val="autoZero"/>
        <c:auto val="1"/>
        <c:lblAlgn val="ctr"/>
        <c:lblOffset val="100"/>
        <c:noMultiLvlLbl val="0"/>
      </c:catAx>
      <c:valAx>
        <c:axId val="104547456"/>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04541568"/>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5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Malta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3C0-48D7-BC5E-7AFF7113B805}"/>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3C0-48D7-BC5E-7AFF7113B805}"/>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3C0-48D7-BC5E-7AFF7113B805}"/>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3C0-48D7-BC5E-7AFF7113B805}"/>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3C0-48D7-BC5E-7AFF7113B805}"/>
              </c:ext>
            </c:extLst>
          </c:dPt>
          <c:dLbls>
            <c:dLbl>
              <c:idx val="0"/>
              <c:layout>
                <c:manualLayout>
                  <c:x val="6.0156834903833743E-2"/>
                  <c:y val="-0.1025641025641025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3C0-48D7-BC5E-7AFF7113B805}"/>
                </c:ext>
              </c:extLst>
            </c:dLbl>
            <c:dLbl>
              <c:idx val="1"/>
              <c:layout>
                <c:manualLayout>
                  <c:x val="-1.356073318704017E-2"/>
                  <c:y val="-0.192024138008389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3C0-48D7-BC5E-7AFF7113B805}"/>
                </c:ext>
              </c:extLst>
            </c:dLbl>
            <c:dLbl>
              <c:idx val="2"/>
              <c:layout>
                <c:manualLayout>
                  <c:x val="-0.16197597484614765"/>
                  <c:y val="0.1048209818039715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3C0-48D7-BC5E-7AFF7113B805}"/>
                </c:ext>
              </c:extLst>
            </c:dLbl>
            <c:dLbl>
              <c:idx val="3"/>
              <c:layout>
                <c:manualLayout>
                  <c:x val="-1.3682405740238102E-2"/>
                  <c:y val="-2.51685524477723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3C0-48D7-BC5E-7AFF7113B805}"/>
                </c:ext>
              </c:extLst>
            </c:dLbl>
            <c:dLbl>
              <c:idx val="4"/>
              <c:layout>
                <c:manualLayout>
                  <c:x val="1.0239889832849841E-2"/>
                  <c:y val="-4.57317073170732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3C0-48D7-BC5E-7AFF7113B805}"/>
                </c:ext>
              </c:extLst>
            </c:dLbl>
            <c:dLbl>
              <c:idx val="5"/>
              <c:layout>
                <c:manualLayout>
                  <c:x val="3.5635964912280702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3C0-48D7-BC5E-7AFF7113B805}"/>
                </c:ext>
              </c:extLst>
            </c:dLbl>
            <c:dLbl>
              <c:idx val="6"/>
              <c:layout>
                <c:manualLayout>
                  <c:x val="-4.1118421052631582E-2"/>
                  <c:y val="-9.14634146341463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3C0-48D7-BC5E-7AFF7113B805}"/>
                </c:ext>
              </c:extLst>
            </c:dLbl>
            <c:spPr>
              <a:noFill/>
              <a:ln w="25398">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Employment</c:v>
                </c:pt>
                <c:pt idx="1">
                  <c:v>Energy</c:v>
                </c:pt>
                <c:pt idx="2">
                  <c:v>Taxation and customs</c:v>
                </c:pt>
                <c:pt idx="3">
                  <c:v>Environment </c:v>
                </c:pt>
              </c:strCache>
            </c:strRef>
          </c:cat>
          <c:val>
            <c:numRef>
              <c:f>Blad1!$B$3:$B$6</c:f>
              <c:numCache>
                <c:formatCode>General</c:formatCode>
                <c:ptCount val="4"/>
                <c:pt idx="0">
                  <c:v>1</c:v>
                </c:pt>
                <c:pt idx="1">
                  <c:v>2</c:v>
                </c:pt>
                <c:pt idx="2">
                  <c:v>1</c:v>
                </c:pt>
                <c:pt idx="3">
                  <c:v>1</c:v>
                </c:pt>
              </c:numCache>
            </c:numRef>
          </c:val>
          <c:extLst xmlns:c16r2="http://schemas.microsoft.com/office/drawing/2015/06/chart">
            <c:ext xmlns:c16="http://schemas.microsoft.com/office/drawing/2014/chart" uri="{C3380CC4-5D6E-409C-BE32-E72D297353CC}">
              <c16:uniqueId val="{0000000C-E3C0-48D7-BC5E-7AFF7113B805}"/>
            </c:ext>
          </c:extLst>
        </c:ser>
        <c:dLbls>
          <c:showLegendKey val="0"/>
          <c:showVal val="0"/>
          <c:showCatName val="0"/>
          <c:showSerName val="0"/>
          <c:showPercent val="0"/>
          <c:showBubbleSize val="0"/>
          <c:showLeaderLines val="0"/>
        </c:dLbls>
        <c:firstSliceAng val="109"/>
      </c:pieChart>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Malta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065007421336014E-2"/>
                  <c:y val="-6.4485458612975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792-42E9-A75A-96A8196BAEA5}"/>
                </c:ext>
              </c:extLst>
            </c:dLbl>
            <c:dLbl>
              <c:idx val="1"/>
              <c:layout>
                <c:manualLayout>
                  <c:x val="-5.5451961539633415E-2"/>
                  <c:y val="-6.44854586129753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92-42E9-A75A-96A8196BAEA5}"/>
                </c:ext>
              </c:extLst>
            </c:dLbl>
            <c:dLbl>
              <c:idx val="2"/>
              <c:layout>
                <c:manualLayout>
                  <c:x val="-4.6673560558952366E-2"/>
                  <c:y val="-7.5508533076797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92-42E9-A75A-96A8196BAEA5}"/>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792-42E9-A75A-96A8196BAEA5}"/>
                </c:ext>
              </c:extLst>
            </c:dLbl>
            <c:dLbl>
              <c:idx val="4"/>
              <c:layout>
                <c:manualLayout>
                  <c:x val="-4.992404556395625E-2"/>
                  <c:y val="-5.88926174496644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792-42E9-A75A-96A8196BAEA5}"/>
                </c:ext>
              </c:extLst>
            </c:dLbl>
            <c:spPr>
              <a:noFill/>
              <a:ln w="25417">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0.88</c:v>
                </c:pt>
                <c:pt idx="1">
                  <c:v>0.83</c:v>
                </c:pt>
                <c:pt idx="2">
                  <c:v>0.74</c:v>
                </c:pt>
                <c:pt idx="3">
                  <c:v>0.93</c:v>
                </c:pt>
                <c:pt idx="4">
                  <c:v>0.78</c:v>
                </c:pt>
              </c:numCache>
            </c:numRef>
          </c:val>
          <c:smooth val="0"/>
          <c:extLst xmlns:c16r2="http://schemas.microsoft.com/office/drawing/2015/06/chart">
            <c:ext xmlns:c16="http://schemas.microsoft.com/office/drawing/2014/chart" uri="{C3380CC4-5D6E-409C-BE32-E72D297353CC}">
              <c16:uniqueId val="{00000005-B792-42E9-A75A-96A8196BAEA5}"/>
            </c:ext>
          </c:extLst>
        </c:ser>
        <c:ser>
          <c:idx val="1"/>
          <c:order val="1"/>
          <c:tx>
            <c:strRef>
              <c:f>Blad1!$C$2</c:f>
              <c:strCache>
                <c:ptCount val="1"/>
                <c:pt idx="0">
                  <c:v>General rate for all Member States</c:v>
                </c:pt>
              </c:strCache>
            </c:strRef>
          </c:tx>
          <c:spPr>
            <a:ln w="25417">
              <a:solidFill>
                <a:srgbClr val="92D050"/>
              </a:solidFill>
            </a:ln>
          </c:spPr>
          <c:marker>
            <c:symbol val="square"/>
            <c:size val="5"/>
            <c:spPr>
              <a:solidFill>
                <a:srgbClr val="92D050"/>
              </a:solidFill>
              <a:ln>
                <a:solidFill>
                  <a:srgbClr val="92D050"/>
                </a:solidFill>
              </a:ln>
            </c:spPr>
          </c:marker>
          <c:dLbls>
            <c:dLbl>
              <c:idx val="1"/>
              <c:layout>
                <c:manualLayout>
                  <c:x val="-4.992404556395625E-2"/>
                  <c:y val="7.0078299776286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792-42E9-A75A-96A8196BAEA5}"/>
                </c:ext>
              </c:extLst>
            </c:dLbl>
            <c:dLbl>
              <c:idx val="2"/>
              <c:layout>
                <c:manualLayout>
                  <c:x val="-4.7160087576117664E-2"/>
                  <c:y val="6.44854586129753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792-42E9-A75A-96A8196BAEA5}"/>
                </c:ext>
              </c:extLst>
            </c:dLbl>
            <c:dLbl>
              <c:idx val="3"/>
              <c:layout>
                <c:manualLayout>
                  <c:x val="-5.2688003551794829E-2"/>
                  <c:y val="9.8042505592841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92-42E9-A75A-96A8196BAEA5}"/>
                </c:ext>
              </c:extLst>
            </c:dLbl>
            <c:dLbl>
              <c:idx val="4"/>
              <c:layout>
                <c:manualLayout>
                  <c:x val="-4.992404556395625E-2"/>
                  <c:y val="6.44854586129753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792-42E9-A75A-96A8196BAEA5}"/>
                </c:ext>
              </c:extLst>
            </c:dLbl>
            <c:spPr>
              <a:noFill/>
              <a:ln w="25417">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A-B792-42E9-A75A-96A8196BAEA5}"/>
            </c:ext>
          </c:extLst>
        </c:ser>
        <c:dLbls>
          <c:showLegendKey val="0"/>
          <c:showVal val="0"/>
          <c:showCatName val="0"/>
          <c:showSerName val="0"/>
          <c:showPercent val="0"/>
          <c:showBubbleSize val="0"/>
        </c:dLbls>
        <c:marker val="1"/>
        <c:smooth val="0"/>
        <c:axId val="104706432"/>
        <c:axId val="104707968"/>
      </c:lineChart>
      <c:catAx>
        <c:axId val="104706432"/>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707968"/>
        <c:crosses val="autoZero"/>
        <c:auto val="1"/>
        <c:lblAlgn val="ctr"/>
        <c:lblOffset val="100"/>
        <c:noMultiLvlLbl val="0"/>
      </c:catAx>
      <c:valAx>
        <c:axId val="104707968"/>
        <c:scaling>
          <c:orientation val="minMax"/>
          <c:min val="0.5"/>
        </c:scaling>
        <c:delete val="1"/>
        <c:axPos val="l"/>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extTo"/>
        <c:crossAx val="104706432"/>
        <c:crosses val="autoZero"/>
        <c:crossBetween val="between"/>
      </c:valAx>
      <c:spPr>
        <a:noFill/>
        <a:ln w="25417">
          <a:noFill/>
        </a:ln>
      </c:spPr>
    </c:plotArea>
    <c:legend>
      <c:legendPos val="b"/>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814268432752059E-2"/>
                  <c:y val="6.2150792794736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87A-4721-98B5-9D98B4E67EC7}"/>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18</c:v>
                </c:pt>
                <c:pt idx="1">
                  <c:v>24</c:v>
                </c:pt>
                <c:pt idx="2">
                  <c:v>31</c:v>
                </c:pt>
                <c:pt idx="3">
                  <c:v>33</c:v>
                </c:pt>
                <c:pt idx="4">
                  <c:v>39</c:v>
                </c:pt>
              </c:numCache>
            </c:numRef>
          </c:val>
          <c:smooth val="0"/>
          <c:extLst xmlns:c16r2="http://schemas.microsoft.com/office/drawing/2015/06/chart">
            <c:ext xmlns:c16="http://schemas.microsoft.com/office/drawing/2014/chart" uri="{C3380CC4-5D6E-409C-BE32-E72D297353CC}">
              <c16:uniqueId val="{00000001-887A-4721-98B5-9D98B4E67EC7}"/>
            </c:ext>
          </c:extLst>
        </c:ser>
        <c:dLbls>
          <c:showLegendKey val="0"/>
          <c:showVal val="0"/>
          <c:showCatName val="0"/>
          <c:showSerName val="0"/>
          <c:showPercent val="0"/>
          <c:showBubbleSize val="0"/>
        </c:dLbls>
        <c:marker val="1"/>
        <c:smooth val="0"/>
        <c:axId val="103779328"/>
        <c:axId val="103805696"/>
      </c:lineChart>
      <c:catAx>
        <c:axId val="103779328"/>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805696"/>
        <c:crosses val="autoZero"/>
        <c:auto val="1"/>
        <c:lblAlgn val="ctr"/>
        <c:lblOffset val="100"/>
        <c:noMultiLvlLbl val="0"/>
      </c:catAx>
      <c:valAx>
        <c:axId val="103805696"/>
        <c:scaling>
          <c:orientation val="minMax"/>
          <c:min val="1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03779328"/>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938397406207E-2"/>
        </c:manualLayout>
      </c:layout>
      <c:overlay val="0"/>
      <c:spPr>
        <a:noFill/>
        <a:ln w="25321">
          <a:noFill/>
        </a:ln>
      </c:spPr>
    </c:title>
    <c:autoTitleDeleted val="0"/>
    <c:plotArea>
      <c:layout/>
      <c:pieChart>
        <c:varyColors val="1"/>
        <c:ser>
          <c:idx val="0"/>
          <c:order val="0"/>
          <c:tx>
            <c:strRef>
              <c:f>Blad1!$B$1</c:f>
              <c:strCache>
                <c:ptCount val="1"/>
                <c:pt idx="0">
                  <c:v>[Number of infringement cases] infringement cases against Malta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6D2-4597-B321-E5605B4E69EC}"/>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6D2-4597-B321-E5605B4E69EC}"/>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6D2-4597-B321-E5605B4E69EC}"/>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6D2-4597-B321-E5605B4E69EC}"/>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6D2-4597-B321-E5605B4E69EC}"/>
              </c:ext>
            </c:extLst>
          </c:dPt>
          <c:dPt>
            <c:idx val="5"/>
            <c:bubble3D val="0"/>
            <c:extLst xmlns:c16r2="http://schemas.microsoft.com/office/drawing/2015/06/chart">
              <c:ext xmlns:c16="http://schemas.microsoft.com/office/drawing/2014/chart" uri="{C3380CC4-5D6E-409C-BE32-E72D297353CC}">
                <c16:uniqueId val="{0000000A-F6D2-4597-B321-E5605B4E69E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D2-4597-B321-E5605B4E69EC}"/>
                </c:ext>
              </c:extLst>
            </c:dLbl>
            <c:dLbl>
              <c:idx val="1"/>
              <c:layout>
                <c:manualLayout>
                  <c:x val="-3.7966771566489511E-2"/>
                  <c:y val="0.115325407514850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6D2-4597-B321-E5605B4E69EC}"/>
                </c:ext>
              </c:extLst>
            </c:dLbl>
            <c:dLbl>
              <c:idx val="2"/>
              <c:layout>
                <c:manualLayout>
                  <c:x val="2.7970166664490322E-2"/>
                  <c:y val="6.54786572731039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6D2-4597-B321-E5605B4E69EC}"/>
                </c:ext>
              </c:extLst>
            </c:dLbl>
            <c:dLbl>
              <c:idx val="3"/>
              <c:layout>
                <c:manualLayout>
                  <c:x val="2.548782770312915E-2"/>
                  <c:y val="-2.07176405580881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6D2-4597-B321-E5605B4E69EC}"/>
                </c:ext>
              </c:extLst>
            </c:dLbl>
            <c:dLbl>
              <c:idx val="4"/>
              <c:layout>
                <c:manualLayout>
                  <c:x val="-9.9912199171094701E-2"/>
                  <c:y val="-0.225661728724587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6D2-4597-B321-E5605B4E69EC}"/>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Mobility and transport</c:v>
                </c:pt>
                <c:pt idx="2">
                  <c:v>Energy</c:v>
                </c:pt>
                <c:pt idx="3">
                  <c:v>Environment</c:v>
                </c:pt>
                <c:pt idx="4">
                  <c:v>Other</c:v>
                </c:pt>
              </c:strCache>
            </c:strRef>
          </c:cat>
          <c:val>
            <c:numRef>
              <c:f>Blad1!$B$2:$B$6</c:f>
              <c:numCache>
                <c:formatCode>General</c:formatCode>
                <c:ptCount val="5"/>
                <c:pt idx="0">
                  <c:v>0</c:v>
                </c:pt>
                <c:pt idx="1">
                  <c:v>5</c:v>
                </c:pt>
                <c:pt idx="2">
                  <c:v>4</c:v>
                </c:pt>
                <c:pt idx="3">
                  <c:v>3</c:v>
                </c:pt>
                <c:pt idx="4">
                  <c:v>10</c:v>
                </c:pt>
              </c:numCache>
            </c:numRef>
          </c:val>
          <c:extLst xmlns:c16r2="http://schemas.microsoft.com/office/drawing/2015/06/chart">
            <c:ext xmlns:c16="http://schemas.microsoft.com/office/drawing/2014/chart" uri="{C3380CC4-5D6E-409C-BE32-E72D297353CC}">
              <c16:uniqueId val="{0000000B-F6D2-4597-B321-E5605B4E69EC}"/>
            </c:ext>
          </c:extLst>
        </c:ser>
        <c:dLbls>
          <c:showLegendKey val="0"/>
          <c:showVal val="0"/>
          <c:showCatName val="0"/>
          <c:showSerName val="0"/>
          <c:showPercent val="0"/>
          <c:showBubbleSize val="0"/>
          <c:showLeaderLines val="0"/>
        </c:dLbls>
        <c:firstSliceAng val="281"/>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38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6">
          <a:noFill/>
        </a:ln>
      </c:spPr>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63A-4E74-A9C9-5AF5B069562E}"/>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63A-4E74-A9C9-5AF5B069562E}"/>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63A-4E74-A9C9-5AF5B069562E}"/>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63A-4E74-A9C9-5AF5B069562E}"/>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7227-40F5-B1CB-44FD80FBBBF8}"/>
              </c:ext>
            </c:extLst>
          </c:dPt>
          <c:dLbls>
            <c:dLbl>
              <c:idx val="0"/>
              <c:layout>
                <c:manualLayout>
                  <c:x val="-5.7283142389525366E-2"/>
                  <c:y val="0.108983664959617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63A-4E74-A9C9-5AF5B069562E}"/>
                </c:ext>
              </c:extLst>
            </c:dLbl>
            <c:dLbl>
              <c:idx val="1"/>
              <c:layout>
                <c:manualLayout>
                  <c:x val="-1.0911074740861976E-2"/>
                  <c:y val="3.55330647936359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63A-4E74-A9C9-5AF5B069562E}"/>
                </c:ext>
              </c:extLst>
            </c:dLbl>
            <c:dLbl>
              <c:idx val="2"/>
              <c:layout>
                <c:manualLayout>
                  <c:x val="1.0911074740861976E-2"/>
                  <c:y val="2.607938789142359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63A-4E74-A9C9-5AF5B069562E}"/>
                </c:ext>
              </c:extLst>
            </c:dLbl>
            <c:dLbl>
              <c:idx val="3"/>
              <c:layout>
                <c:manualLayout>
                  <c:x val="-2.188357797337526E-2"/>
                  <c:y val="6.2734449324939781E-2"/>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025378988019294"/>
                      <c:h val="0.3329189339137486"/>
                    </c:manualLayout>
                  </c15:layout>
                </c:ext>
                <c:ext xmlns:c16="http://schemas.microsoft.com/office/drawing/2014/chart" uri="{C3380CC4-5D6E-409C-BE32-E72D297353CC}">
                  <c16:uniqueId val="{00000007-663A-4E74-A9C9-5AF5B069562E}"/>
                </c:ext>
              </c:extLst>
            </c:dLbl>
            <c:dLbl>
              <c:idx val="4"/>
              <c:layout>
                <c:manualLayout>
                  <c:x val="-8.456082924168036E-2"/>
                  <c:y val="-6.80047770378317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227-40F5-B1CB-44FD80FBBBF8}"/>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Justice and consumers</c:v>
                </c:pt>
                <c:pt idx="1">
                  <c:v>Migration and home affairs</c:v>
                </c:pt>
                <c:pt idx="2">
                  <c:v>Mobility and transport</c:v>
                </c:pt>
                <c:pt idx="3">
                  <c:v>Internal market, industry, entrepreneurship and SMEs</c:v>
                </c:pt>
                <c:pt idx="4">
                  <c:v>Other</c:v>
                </c:pt>
              </c:strCache>
            </c:strRef>
          </c:cat>
          <c:val>
            <c:numRef>
              <c:f>Blad1!$B$3:$B$7</c:f>
              <c:numCache>
                <c:formatCode>General</c:formatCode>
                <c:ptCount val="5"/>
                <c:pt idx="0">
                  <c:v>14</c:v>
                </c:pt>
                <c:pt idx="1">
                  <c:v>4</c:v>
                </c:pt>
                <c:pt idx="2">
                  <c:v>3</c:v>
                </c:pt>
                <c:pt idx="3">
                  <c:v>3</c:v>
                </c:pt>
                <c:pt idx="4">
                  <c:v>14</c:v>
                </c:pt>
              </c:numCache>
            </c:numRef>
          </c:val>
          <c:extLst xmlns:c16r2="http://schemas.microsoft.com/office/drawing/2015/06/chart">
            <c:ext xmlns:c16="http://schemas.microsoft.com/office/drawing/2014/chart" uri="{C3380CC4-5D6E-409C-BE32-E72D297353CC}">
              <c16:uniqueId val="{00000008-663A-4E74-A9C9-5AF5B069562E}"/>
            </c:ext>
          </c:extLst>
        </c:ser>
        <c:dLbls>
          <c:dLblPos val="outEnd"/>
          <c:showLegendKey val="0"/>
          <c:showVal val="1"/>
          <c:showCatName val="0"/>
          <c:showSerName val="0"/>
          <c:showPercent val="0"/>
          <c:showBubbleSize val="0"/>
          <c:showLeaderLines val="0"/>
        </c:dLbls>
        <c:firstSliceAng val="260"/>
      </c:pieChart>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5</c:v>
                </c:pt>
                <c:pt idx="1">
                  <c:v>13</c:v>
                </c:pt>
                <c:pt idx="2">
                  <c:v>23</c:v>
                </c:pt>
                <c:pt idx="3">
                  <c:v>23</c:v>
                </c:pt>
                <c:pt idx="4">
                  <c:v>21</c:v>
                </c:pt>
              </c:numCache>
            </c:numRef>
          </c:val>
          <c:smooth val="0"/>
          <c:extLst xmlns:c16r2="http://schemas.microsoft.com/office/drawing/2015/06/chart">
            <c:ext xmlns:c16="http://schemas.microsoft.com/office/drawing/2014/chart" uri="{C3380CC4-5D6E-409C-BE32-E72D297353CC}">
              <c16:uniqueId val="{00000002-CE78-4B5B-BE1D-6D89A3D6F15D}"/>
            </c:ext>
          </c:extLst>
        </c:ser>
        <c:dLbls>
          <c:dLblPos val="b"/>
          <c:showLegendKey val="0"/>
          <c:showVal val="1"/>
          <c:showCatName val="0"/>
          <c:showSerName val="0"/>
          <c:showPercent val="0"/>
          <c:showBubbleSize val="0"/>
        </c:dLbls>
        <c:marker val="1"/>
        <c:smooth val="0"/>
        <c:axId val="103934976"/>
        <c:axId val="105060224"/>
      </c:lineChart>
      <c:catAx>
        <c:axId val="10393497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060224"/>
        <c:crosses val="autoZero"/>
        <c:auto val="1"/>
        <c:lblAlgn val="ctr"/>
        <c:lblOffset val="100"/>
        <c:noMultiLvlLbl val="0"/>
      </c:catAx>
      <c:valAx>
        <c:axId val="10506022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0393497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77917014759119E-2"/>
          <c:y val="5.7426259462281387E-2"/>
          <c:w val="0.93868450390189517"/>
          <c:h val="0.8204519356955380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14076508840718E-2"/>
                  <c:y val="-5.40442835843563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735-4227-B7B1-DE1F6876FB50}"/>
                </c:ext>
              </c:extLst>
            </c:dLbl>
            <c:dLbl>
              <c:idx val="3"/>
              <c:layout>
                <c:manualLayout>
                  <c:x val="-5.6229094024369618E-2"/>
                  <c:y val="7.9375649472387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35-4227-B7B1-DE1F6876FB50}"/>
                </c:ext>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13</c:v>
                </c:pt>
                <c:pt idx="1">
                  <c:v>20</c:v>
                </c:pt>
                <c:pt idx="2">
                  <c:v>19</c:v>
                </c:pt>
                <c:pt idx="3">
                  <c:v>16</c:v>
                </c:pt>
                <c:pt idx="4">
                  <c:v>13</c:v>
                </c:pt>
              </c:numCache>
            </c:numRef>
          </c:val>
          <c:smooth val="0"/>
          <c:extLst xmlns:c16r2="http://schemas.microsoft.com/office/drawing/2015/06/chart">
            <c:ext xmlns:c16="http://schemas.microsoft.com/office/drawing/2014/chart" uri="{C3380CC4-5D6E-409C-BE32-E72D297353CC}">
              <c16:uniqueId val="{00000002-B735-4227-B7B1-DE1F6876FB50}"/>
            </c:ext>
          </c:extLst>
        </c:ser>
        <c:dLbls>
          <c:showLegendKey val="0"/>
          <c:showVal val="0"/>
          <c:showCatName val="0"/>
          <c:showSerName val="0"/>
          <c:showPercent val="0"/>
          <c:showBubbleSize val="0"/>
        </c:dLbls>
        <c:marker val="1"/>
        <c:smooth val="0"/>
        <c:axId val="105094144"/>
        <c:axId val="105095936"/>
      </c:lineChart>
      <c:catAx>
        <c:axId val="105094144"/>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095936"/>
        <c:crosses val="autoZero"/>
        <c:auto val="1"/>
        <c:lblAlgn val="ctr"/>
        <c:lblOffset val="100"/>
        <c:noMultiLvlLbl val="0"/>
      </c:catAx>
      <c:valAx>
        <c:axId val="105095936"/>
        <c:scaling>
          <c:orientation val="minMax"/>
          <c:min val="5"/>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05094144"/>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13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286209286209286"/>
          <c:y val="3.2822757111597371E-2"/>
        </c:manualLayout>
      </c:layout>
      <c:overlay val="0"/>
      <c:spPr>
        <a:noFill/>
        <a:ln w="25340">
          <a:noFill/>
        </a:ln>
      </c:spPr>
    </c:title>
    <c:autoTitleDeleted val="0"/>
    <c:plotArea>
      <c:layout>
        <c:manualLayout>
          <c:layoutTarget val="inner"/>
          <c:xMode val="edge"/>
          <c:yMode val="edge"/>
          <c:x val="0.31614720034995625"/>
          <c:y val="0.27320508623511774"/>
          <c:w val="0.31797945747562084"/>
          <c:h val="0.6273484208894019"/>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685-45AD-8EAB-062BE1AD5E39}"/>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685-45AD-8EAB-062BE1AD5E39}"/>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685-45AD-8EAB-062BE1AD5E39}"/>
              </c:ext>
            </c:extLst>
          </c:dPt>
          <c:dPt>
            <c:idx val="3"/>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685-45AD-8EAB-062BE1AD5E39}"/>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7685-45AD-8EAB-062BE1AD5E39}"/>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B73-4CD3-9DA6-49F1AB497160}"/>
              </c:ext>
            </c:extLst>
          </c:dPt>
          <c:dPt>
            <c:idx val="6"/>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B73-4CD3-9DA6-49F1AB497160}"/>
              </c:ext>
            </c:extLst>
          </c:dPt>
          <c:dPt>
            <c:idx val="7"/>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CB73-4CD3-9DA6-49F1AB497160}"/>
              </c:ext>
            </c:extLst>
          </c:dPt>
          <c:dPt>
            <c:idx val="8"/>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B73-4CD3-9DA6-49F1AB497160}"/>
              </c:ext>
            </c:extLst>
          </c:dPt>
          <c:dLbls>
            <c:dLbl>
              <c:idx val="0"/>
              <c:layout>
                <c:manualLayout>
                  <c:x val="-3.3273256619991684E-2"/>
                  <c:y val="-0.1039387308533917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685-45AD-8EAB-062BE1AD5E39}"/>
                </c:ext>
              </c:extLst>
            </c:dLbl>
            <c:dLbl>
              <c:idx val="1"/>
              <c:layout>
                <c:manualLayout>
                  <c:x val="1.1091085539997202E-2"/>
                  <c:y val="8.20568927789934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685-45AD-8EAB-062BE1AD5E39}"/>
                </c:ext>
              </c:extLst>
            </c:dLbl>
            <c:dLbl>
              <c:idx val="2"/>
              <c:layout>
                <c:manualLayout>
                  <c:x val="-3.8818799389990395E-2"/>
                  <c:y val="7.65864332603938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685-45AD-8EAB-062BE1AD5E39}"/>
                </c:ext>
              </c:extLst>
            </c:dLbl>
            <c:dLbl>
              <c:idx val="3"/>
              <c:layout>
                <c:manualLayout>
                  <c:x val="1.2415029294220416E-2"/>
                  <c:y val="3.8293216630196934E-2"/>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1075846213802505"/>
                      <c:h val="0.26107789589758612"/>
                    </c:manualLayout>
                  </c15:layout>
                </c:ext>
                <c:ext xmlns:c16="http://schemas.microsoft.com/office/drawing/2014/chart" uri="{C3380CC4-5D6E-409C-BE32-E72D297353CC}">
                  <c16:uniqueId val="{00000007-7685-45AD-8EAB-062BE1AD5E39}"/>
                </c:ext>
              </c:extLst>
            </c:dLbl>
            <c:dLbl>
              <c:idx val="4"/>
              <c:layout>
                <c:manualLayout>
                  <c:x val="0"/>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685-45AD-8EAB-062BE1AD5E39}"/>
                </c:ext>
              </c:extLst>
            </c:dLbl>
            <c:dLbl>
              <c:idx val="5"/>
              <c:layout>
                <c:manualLayout>
                  <c:x val="5.268265631498683E-2"/>
                  <c:y val="-4.37634607763745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003903712784549"/>
                      <c:h val="0.18618730508795808"/>
                    </c:manualLayout>
                  </c15:layout>
                </c:ext>
                <c:ext xmlns:c16="http://schemas.microsoft.com/office/drawing/2014/chart" uri="{C3380CC4-5D6E-409C-BE32-E72D297353CC}">
                  <c16:uniqueId val="{0000000B-CB73-4CD3-9DA6-49F1AB497160}"/>
                </c:ext>
              </c:extLst>
            </c:dLbl>
            <c:dLbl>
              <c:idx val="6"/>
              <c:layout>
                <c:manualLayout>
                  <c:x val="6.100097046998465E-2"/>
                  <c:y val="-1.09409190371991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B73-4CD3-9DA6-49F1AB497160}"/>
                </c:ext>
              </c:extLst>
            </c:dLbl>
            <c:dLbl>
              <c:idx val="7"/>
              <c:layout>
                <c:manualLayout>
                  <c:x val="6.9319284624982672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CB73-4CD3-9DA6-49F1AB497160}"/>
                </c:ext>
              </c:extLst>
            </c:dLbl>
            <c:dLbl>
              <c:idx val="8"/>
              <c:layout>
                <c:manualLayout>
                  <c:x val="-7.4864936559209033E-2"/>
                  <c:y val="-2.1537242219268996E-7"/>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882989047553025"/>
                      <c:h val="0.25938205344682019"/>
                    </c:manualLayout>
                  </c15:layout>
                </c:ext>
                <c:ext xmlns:c16="http://schemas.microsoft.com/office/drawing/2014/chart" uri="{C3380CC4-5D6E-409C-BE32-E72D297353CC}">
                  <c16:uniqueId val="{00000009-CB73-4CD3-9DA6-49F1AB497160}"/>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Blad1!$A$4:$A$12</c:f>
              <c:strCache>
                <c:ptCount val="9"/>
                <c:pt idx="0">
                  <c:v>Environment</c:v>
                </c:pt>
                <c:pt idx="1">
                  <c:v>Health and food safety</c:v>
                </c:pt>
                <c:pt idx="2">
                  <c:v>Justice and consumers</c:v>
                </c:pt>
                <c:pt idx="3">
                  <c:v>Internal market, industry, entrepreneurship and SMEs</c:v>
                </c:pt>
                <c:pt idx="4">
                  <c:v>Mobility and transport</c:v>
                </c:pt>
                <c:pt idx="5">
                  <c:v>Migration and home affairs</c:v>
                </c:pt>
                <c:pt idx="6">
                  <c:v>Communication networks</c:v>
                </c:pt>
                <c:pt idx="7">
                  <c:v>Energy</c:v>
                </c:pt>
                <c:pt idx="8">
                  <c:v>Financial stability, financial services and Capital Markets Union</c:v>
                </c:pt>
              </c:strCache>
            </c:strRef>
          </c:cat>
          <c:val>
            <c:numRef>
              <c:f>Blad1!$B$4:$B$12</c:f>
              <c:numCache>
                <c:formatCode>General</c:formatCode>
                <c:ptCount val="9"/>
                <c:pt idx="0">
                  <c:v>3</c:v>
                </c:pt>
                <c:pt idx="1">
                  <c:v>2</c:v>
                </c:pt>
                <c:pt idx="2">
                  <c:v>2</c:v>
                </c:pt>
                <c:pt idx="3">
                  <c:v>1</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9-7685-45AD-8EAB-062BE1AD5E39}"/>
            </c:ext>
          </c:extLst>
        </c:ser>
        <c:dLbls>
          <c:dLblPos val="outEnd"/>
          <c:showLegendKey val="0"/>
          <c:showVal val="1"/>
          <c:showCatName val="0"/>
          <c:showSerName val="0"/>
          <c:showPercent val="0"/>
          <c:showBubbleSize val="0"/>
          <c:showLeaderLines val="0"/>
        </c:dLbls>
        <c:firstSliceAng val="214"/>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615485564304459E-2"/>
                  <c:y val="6.9391369785070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CF3-4CFE-8135-9710D7CAE862}"/>
                </c:ext>
              </c:extLst>
            </c:dLbl>
            <c:dLbl>
              <c:idx val="2"/>
              <c:layout>
                <c:manualLayout>
                  <c:x val="-4.7358935255788159E-2"/>
                  <c:y val="-6.0937499999999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19D-41A7-A76A-F56886A0FC65}"/>
                </c:ext>
              </c:extLst>
            </c:dLbl>
            <c:dLbl>
              <c:idx val="3"/>
              <c:layout>
                <c:manualLayout>
                  <c:x val="-4.7364393467175955E-2"/>
                  <c:y val="6.05902777777776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CF3-4CFE-8135-9710D7CAE862}"/>
                </c:ext>
              </c:extLst>
            </c:dLbl>
            <c:dLbl>
              <c:idx val="4"/>
              <c:layout>
                <c:manualLayout>
                  <c:x val="-3.911111111111111E-2"/>
                  <c:y val="7.84965034965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CF3-4CFE-8135-9710D7CAE862}"/>
                </c:ext>
              </c:extLst>
            </c:dLbl>
            <c:spPr>
              <a:noFill/>
              <a:ln w="25398">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87</c:v>
                </c:pt>
                <c:pt idx="1">
                  <c:v>79</c:v>
                </c:pt>
                <c:pt idx="2">
                  <c:v>107</c:v>
                </c:pt>
                <c:pt idx="3">
                  <c:v>85</c:v>
                </c:pt>
                <c:pt idx="4">
                  <c:v>110</c:v>
                </c:pt>
              </c:numCache>
            </c:numRef>
          </c:val>
          <c:smooth val="0"/>
          <c:extLst xmlns:c16r2="http://schemas.microsoft.com/office/drawing/2015/06/chart">
            <c:ext xmlns:c16="http://schemas.microsoft.com/office/drawing/2014/chart" uri="{C3380CC4-5D6E-409C-BE32-E72D297353CC}">
              <c16:uniqueId val="{00000003-FCF3-4CFE-8135-9710D7CAE862}"/>
            </c:ext>
          </c:extLst>
        </c:ser>
        <c:dLbls>
          <c:showLegendKey val="0"/>
          <c:showVal val="0"/>
          <c:showCatName val="0"/>
          <c:showSerName val="0"/>
          <c:showPercent val="0"/>
          <c:showBubbleSize val="0"/>
        </c:dLbls>
        <c:marker val="1"/>
        <c:smooth val="0"/>
        <c:axId val="105304064"/>
        <c:axId val="105305600"/>
      </c:lineChart>
      <c:catAx>
        <c:axId val="105304064"/>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305600"/>
        <c:crosses val="autoZero"/>
        <c:auto val="1"/>
        <c:lblAlgn val="ctr"/>
        <c:lblOffset val="100"/>
        <c:noMultiLvlLbl val="0"/>
      </c:catAx>
      <c:valAx>
        <c:axId val="105305600"/>
        <c:scaling>
          <c:orientation val="minMax"/>
          <c:min val="60"/>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05304064"/>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110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6">
          <a:noFill/>
        </a:ln>
      </c:spPr>
    </c:title>
    <c:autoTitleDeleted val="0"/>
    <c:plotArea>
      <c:layout>
        <c:manualLayout>
          <c:layoutTarget val="inner"/>
          <c:xMode val="edge"/>
          <c:yMode val="edge"/>
          <c:x val="0.32691232270499665"/>
          <c:y val="0.24729935073905235"/>
          <c:w val="0.33519862226332581"/>
          <c:h val="0.63967728700055471"/>
        </c:manualLayout>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2E6-48F8-8667-86A73016F090}"/>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2E6-48F8-8667-86A73016F090}"/>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2E6-48F8-8667-86A73016F090}"/>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2E6-48F8-8667-86A73016F090}"/>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2E6-48F8-8667-86A73016F090}"/>
              </c:ext>
            </c:extLst>
          </c:dPt>
          <c:dLbls>
            <c:dLbl>
              <c:idx val="3"/>
              <c:layout>
                <c:manualLayout>
                  <c:x val="0.150933040614709"/>
                  <c:y val="-6.808064938465567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2E6-48F8-8667-86A73016F090}"/>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Blad1!$A$3:$A$6</c:f>
              <c:strCache>
                <c:ptCount val="4"/>
                <c:pt idx="0">
                  <c:v>Justice and consumers</c:v>
                </c:pt>
                <c:pt idx="1">
                  <c:v>Employment</c:v>
                </c:pt>
                <c:pt idx="2">
                  <c:v>Taxation and customs</c:v>
                </c:pt>
                <c:pt idx="3">
                  <c:v>Other</c:v>
                </c:pt>
              </c:strCache>
            </c:strRef>
          </c:cat>
          <c:val>
            <c:numRef>
              <c:f>Blad1!$B$3:$B$6</c:f>
              <c:numCache>
                <c:formatCode>General</c:formatCode>
                <c:ptCount val="4"/>
                <c:pt idx="0">
                  <c:v>32</c:v>
                </c:pt>
                <c:pt idx="1">
                  <c:v>20</c:v>
                </c:pt>
                <c:pt idx="2">
                  <c:v>16</c:v>
                </c:pt>
                <c:pt idx="3">
                  <c:v>42</c:v>
                </c:pt>
              </c:numCache>
            </c:numRef>
          </c:val>
          <c:extLst xmlns:c16r2="http://schemas.microsoft.com/office/drawing/2015/06/chart">
            <c:ext xmlns:c16="http://schemas.microsoft.com/office/drawing/2014/chart" uri="{C3380CC4-5D6E-409C-BE32-E72D297353CC}">
              <c16:uniqueId val="{0000000A-72E6-48F8-8667-86A73016F090}"/>
            </c:ext>
          </c:extLst>
        </c:ser>
        <c:dLbls>
          <c:dLblPos val="outEnd"/>
          <c:showLegendKey val="0"/>
          <c:showVal val="1"/>
          <c:showCatName val="0"/>
          <c:showSerName val="0"/>
          <c:showPercent val="0"/>
          <c:showBubbleSize val="0"/>
          <c:showLeaderLines val="0"/>
        </c:dLbls>
        <c:firstSliceAng val="246"/>
      </c:pieChart>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3"/>
              <c:layout>
                <c:manualLayout>
                  <c:x val="-3.6975724055254337E-2"/>
                  <c:y val="5.7437098628313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B15-42F1-A7A0-243F9803F673}"/>
                </c:ext>
              </c:extLst>
            </c:dLbl>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32</c:v>
                </c:pt>
                <c:pt idx="1">
                  <c:v>20</c:v>
                </c:pt>
                <c:pt idx="2">
                  <c:v>23</c:v>
                </c:pt>
                <c:pt idx="3">
                  <c:v>4</c:v>
                </c:pt>
                <c:pt idx="4">
                  <c:v>3</c:v>
                </c:pt>
              </c:numCache>
            </c:numRef>
          </c:val>
          <c:smooth val="0"/>
          <c:extLst xmlns:c16r2="http://schemas.microsoft.com/office/drawing/2015/06/chart">
            <c:ext xmlns:c16="http://schemas.microsoft.com/office/drawing/2014/chart" uri="{C3380CC4-5D6E-409C-BE32-E72D297353CC}">
              <c16:uniqueId val="{00000000-713D-4786-B2F1-AA407BF24B13}"/>
            </c:ext>
          </c:extLst>
        </c:ser>
        <c:dLbls>
          <c:showLegendKey val="0"/>
          <c:showVal val="0"/>
          <c:showCatName val="0"/>
          <c:showSerName val="0"/>
          <c:showPercent val="0"/>
          <c:showBubbleSize val="0"/>
        </c:dLbls>
        <c:marker val="1"/>
        <c:smooth val="0"/>
        <c:axId val="104842368"/>
        <c:axId val="104843904"/>
      </c:lineChart>
      <c:catAx>
        <c:axId val="104842368"/>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843904"/>
        <c:crosses val="autoZero"/>
        <c:auto val="1"/>
        <c:lblAlgn val="ctr"/>
        <c:lblOffset val="100"/>
        <c:noMultiLvlLbl val="0"/>
      </c:catAx>
      <c:valAx>
        <c:axId val="104843904"/>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04842368"/>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41</c:v>
                </c:pt>
                <c:pt idx="1">
                  <c:v>29</c:v>
                </c:pt>
                <c:pt idx="2">
                  <c:v>31</c:v>
                </c:pt>
                <c:pt idx="3">
                  <c:v>23</c:v>
                </c:pt>
                <c:pt idx="4">
                  <c:v>15</c:v>
                </c:pt>
              </c:numCache>
            </c:numRef>
          </c:val>
          <c:smooth val="0"/>
          <c:extLst xmlns:c16r2="http://schemas.microsoft.com/office/drawing/2015/06/chart">
            <c:ext xmlns:c16="http://schemas.microsoft.com/office/drawing/2014/chart" uri="{C3380CC4-5D6E-409C-BE32-E72D297353CC}">
              <c16:uniqueId val="{00000000-1A8B-45C6-A4E2-5206E0B7E5D4}"/>
            </c:ext>
          </c:extLst>
        </c:ser>
        <c:dLbls>
          <c:showLegendKey val="0"/>
          <c:showVal val="0"/>
          <c:showCatName val="0"/>
          <c:showSerName val="0"/>
          <c:showPercent val="0"/>
          <c:showBubbleSize val="0"/>
        </c:dLbls>
        <c:marker val="1"/>
        <c:smooth val="0"/>
        <c:axId val="104934400"/>
        <c:axId val="104940288"/>
      </c:lineChart>
      <c:catAx>
        <c:axId val="10493440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940288"/>
        <c:crosses val="autoZero"/>
        <c:auto val="1"/>
        <c:lblAlgn val="ctr"/>
        <c:lblOffset val="100"/>
        <c:noMultiLvlLbl val="0"/>
      </c:catAx>
      <c:valAx>
        <c:axId val="104940288"/>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04934400"/>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 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Netherlands</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olidFill>
              <a:srgbClr val="CCC0D9"/>
            </a:solidFill>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5B1-4F09-AA3A-670936C8C31D}"/>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5B1-4F09-AA3A-670936C8C31D}"/>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5B1-4F09-AA3A-670936C8C31D}"/>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5B1-4F09-AA3A-670936C8C31D}"/>
              </c:ext>
            </c:extLst>
          </c:dPt>
          <c:dPt>
            <c:idx val="4"/>
            <c:bubble3D val="0"/>
            <c:extLst xmlns:c16r2="http://schemas.microsoft.com/office/drawing/2015/06/chart">
              <c:ext xmlns:c16="http://schemas.microsoft.com/office/drawing/2014/chart" uri="{C3380CC4-5D6E-409C-BE32-E72D297353CC}">
                <c16:uniqueId val="{00000008-C5B1-4F09-AA3A-670936C8C31D}"/>
              </c:ext>
            </c:extLst>
          </c:dPt>
          <c:dLbls>
            <c:dLbl>
              <c:idx val="0"/>
              <c:layout>
                <c:manualLayout>
                  <c:x val="8.2269218814753423E-3"/>
                  <c:y val="-4.08480571026182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5B1-4F09-AA3A-670936C8C31D}"/>
                </c:ext>
              </c:extLst>
            </c:dLbl>
            <c:dLbl>
              <c:idx val="1"/>
              <c:layout>
                <c:manualLayout>
                  <c:x val="8.2282224055610243E-3"/>
                  <c:y val="4.864776983635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5B1-4F09-AA3A-670936C8C31D}"/>
                </c:ext>
              </c:extLst>
            </c:dLbl>
            <c:dLbl>
              <c:idx val="2"/>
              <c:layout>
                <c:manualLayout>
                  <c:x val="0.24893453681341932"/>
                  <c:y val="-4.72813238770686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5B1-4F09-AA3A-670936C8C31D}"/>
                </c:ext>
              </c:extLst>
            </c:dLbl>
            <c:dLbl>
              <c:idx val="3"/>
              <c:layout>
                <c:manualLayout>
                  <c:x val="-0.12613678394136341"/>
                  <c:y val="-4.76485264599395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B1-4F09-AA3A-670936C8C31D}"/>
                </c:ext>
              </c:extLst>
            </c:dLbl>
            <c:dLbl>
              <c:idx val="4"/>
              <c:layout>
                <c:manualLayout>
                  <c:x val="-2.7412280701754384E-3"/>
                  <c:y val="3.556870558863069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5B1-4F09-AA3A-670936C8C31D}"/>
                </c:ext>
              </c:extLst>
            </c:dLbl>
            <c:dLbl>
              <c:idx val="5"/>
              <c:layout>
                <c:manualLayout>
                  <c:x val="-2.7412280701754384E-3"/>
                  <c:y val="6.6056910569105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B1-4F09-AA3A-670936C8C31D}"/>
                </c:ext>
              </c:extLst>
            </c:dLbl>
            <c:dLbl>
              <c:idx val="6"/>
              <c:layout>
                <c:manualLayout>
                  <c:x val="-0.15076754385964913"/>
                  <c:y val="-9.14634146341463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5B1-4F09-AA3A-670936C8C31D}"/>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Environment</c:v>
                </c:pt>
                <c:pt idx="1">
                  <c:v>Migration and home affairs</c:v>
                </c:pt>
                <c:pt idx="2">
                  <c:v>Maritime affairs and fisheries</c:v>
                </c:pt>
              </c:strCache>
            </c:strRef>
          </c:cat>
          <c:val>
            <c:numRef>
              <c:f>Blad1!$B$3:$B$5</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B-C5B1-4F09-AA3A-670936C8C31D}"/>
            </c:ext>
          </c:extLst>
        </c:ser>
        <c:dLbls>
          <c:showLegendKey val="0"/>
          <c:showVal val="0"/>
          <c:showCatName val="0"/>
          <c:showSerName val="0"/>
          <c:showPercent val="0"/>
          <c:showBubbleSize val="0"/>
          <c:showLeaderLines val="0"/>
        </c:dLbls>
        <c:firstSliceAng val="240"/>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the Netherlands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5.4868097046463574E-2"/>
                  <c:y val="5.66281258402796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EB9-40D3-8AC9-009963B14ABA}"/>
                </c:ext>
              </c:extLst>
            </c:dLbl>
            <c:dLbl>
              <c:idx val="4"/>
              <c:layout>
                <c:manualLayout>
                  <c:x val="-5.7642360546583532E-2"/>
                  <c:y val="-4.55621589920243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AF5-4908-A905-1296199FB2E5}"/>
                </c:ext>
              </c:extLst>
            </c:dLbl>
            <c:spPr>
              <a:noFill/>
              <a:ln w="25390">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0.77</c:v>
                </c:pt>
                <c:pt idx="1">
                  <c:v>0.87</c:v>
                </c:pt>
                <c:pt idx="2">
                  <c:v>0.81</c:v>
                </c:pt>
                <c:pt idx="3">
                  <c:v>0.62</c:v>
                </c:pt>
                <c:pt idx="4">
                  <c:v>0.91</c:v>
                </c:pt>
              </c:numCache>
            </c:numRef>
          </c:val>
          <c:smooth val="0"/>
          <c:extLst xmlns:c16r2="http://schemas.microsoft.com/office/drawing/2015/06/chart">
            <c:ext xmlns:c16="http://schemas.microsoft.com/office/drawing/2014/chart" uri="{C3380CC4-5D6E-409C-BE32-E72D297353CC}">
              <c16:uniqueId val="{00000001-5AF5-4908-A905-1296199FB2E5}"/>
            </c:ext>
          </c:extLst>
        </c:ser>
        <c:ser>
          <c:idx val="1"/>
          <c:order val="1"/>
          <c:tx>
            <c:strRef>
              <c:f>Blad1!$C$2</c:f>
              <c:strCache>
                <c:ptCount val="1"/>
                <c:pt idx="0">
                  <c:v>General rate for all Member States</c:v>
                </c:pt>
              </c:strCache>
            </c:strRef>
          </c:tx>
          <c:spPr>
            <a:ln w="25390">
              <a:solidFill>
                <a:srgbClr val="92D050"/>
              </a:solidFill>
            </a:ln>
          </c:spPr>
          <c:marker>
            <c:symbol val="square"/>
            <c:size val="4"/>
            <c:spPr>
              <a:solidFill>
                <a:srgbClr val="92D050"/>
              </a:solidFill>
              <a:ln>
                <a:solidFill>
                  <a:srgbClr val="92D050"/>
                </a:solidFill>
              </a:ln>
            </c:spPr>
          </c:marker>
          <c:dLbls>
            <c:dLbl>
              <c:idx val="3"/>
              <c:layout>
                <c:manualLayout>
                  <c:x val="-4.2561246232843998E-2"/>
                  <c:y val="-4.856144124764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EB9-40D3-8AC9-009963B14ABA}"/>
                </c:ext>
              </c:extLst>
            </c:dLbl>
            <c:dLbl>
              <c:idx val="4"/>
              <c:layout>
                <c:manualLayout>
                  <c:x val="-4.9537712476218063E-2"/>
                  <c:y val="-6.23700808573975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AF5-4908-A905-1296199FB2E5}"/>
                </c:ext>
              </c:extLst>
            </c:dLbl>
            <c:spPr>
              <a:noFill/>
              <a:ln w="25390">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3-5AF5-4908-A905-1296199FB2E5}"/>
            </c:ext>
          </c:extLst>
        </c:ser>
        <c:dLbls>
          <c:showLegendKey val="0"/>
          <c:showVal val="0"/>
          <c:showCatName val="0"/>
          <c:showSerName val="0"/>
          <c:showPercent val="0"/>
          <c:showBubbleSize val="0"/>
        </c:dLbls>
        <c:marker val="1"/>
        <c:smooth val="0"/>
        <c:axId val="105609472"/>
        <c:axId val="105623552"/>
      </c:lineChart>
      <c:catAx>
        <c:axId val="105609472"/>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623552"/>
        <c:crosses val="autoZero"/>
        <c:auto val="1"/>
        <c:lblAlgn val="ctr"/>
        <c:lblOffset val="100"/>
        <c:noMultiLvlLbl val="0"/>
      </c:catAx>
      <c:valAx>
        <c:axId val="105623552"/>
        <c:scaling>
          <c:orientation val="minMax"/>
        </c:scaling>
        <c:delete val="1"/>
        <c:axPos val="l"/>
        <c:majorGridlines>
          <c:spPr>
            <a:ln w="9521" cap="flat" cmpd="sng" algn="ctr">
              <a:solidFill>
                <a:schemeClr val="tx1">
                  <a:lumMod val="15000"/>
                  <a:lumOff val="85000"/>
                </a:schemeClr>
              </a:solidFill>
              <a:round/>
            </a:ln>
            <a:effectLst/>
          </c:spPr>
        </c:majorGridlines>
        <c:numFmt formatCode="0%" sourceLinked="1"/>
        <c:majorTickMark val="out"/>
        <c:minorTickMark val="none"/>
        <c:tickLblPos val="nextTo"/>
        <c:crossAx val="105609472"/>
        <c:crosses val="autoZero"/>
        <c:crossBetween val="between"/>
      </c:valAx>
      <c:spPr>
        <a:noFill/>
        <a:ln w="25390">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3432633420822398E-2"/>
                  <c:y val="5.4335320704720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8B2-45EB-A8C4-C5371E4A590C}"/>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33</c:v>
                </c:pt>
                <c:pt idx="1">
                  <c:v>38</c:v>
                </c:pt>
                <c:pt idx="2">
                  <c:v>45</c:v>
                </c:pt>
                <c:pt idx="3">
                  <c:v>40</c:v>
                </c:pt>
                <c:pt idx="4">
                  <c:v>47</c:v>
                </c:pt>
              </c:numCache>
            </c:numRef>
          </c:val>
          <c:smooth val="0"/>
          <c:extLst xmlns:c16r2="http://schemas.microsoft.com/office/drawing/2015/06/chart">
            <c:ext xmlns:c16="http://schemas.microsoft.com/office/drawing/2014/chart" uri="{C3380CC4-5D6E-409C-BE32-E72D297353CC}">
              <c16:uniqueId val="{00000001-A8B2-45EB-A8C4-C5371E4A590C}"/>
            </c:ext>
          </c:extLst>
        </c:ser>
        <c:dLbls>
          <c:showLegendKey val="0"/>
          <c:showVal val="0"/>
          <c:showCatName val="0"/>
          <c:showSerName val="0"/>
          <c:showPercent val="0"/>
          <c:showBubbleSize val="0"/>
        </c:dLbls>
        <c:marker val="1"/>
        <c:smooth val="0"/>
        <c:axId val="105727104"/>
        <c:axId val="105728640"/>
      </c:lineChart>
      <c:catAx>
        <c:axId val="10572710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728640"/>
        <c:crosses val="autoZero"/>
        <c:auto val="1"/>
        <c:lblAlgn val="ctr"/>
        <c:lblOffset val="100"/>
        <c:noMultiLvlLbl val="0"/>
      </c:catAx>
      <c:valAx>
        <c:axId val="105728640"/>
        <c:scaling>
          <c:orientation val="minMax"/>
          <c:min val="2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05727104"/>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65">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38</c:v>
                </c:pt>
                <c:pt idx="1">
                  <c:v>38</c:v>
                </c:pt>
                <c:pt idx="2">
                  <c:v>26</c:v>
                </c:pt>
                <c:pt idx="3">
                  <c:v>7</c:v>
                </c:pt>
                <c:pt idx="4">
                  <c:v>3</c:v>
                </c:pt>
              </c:numCache>
            </c:numRef>
          </c:val>
          <c:smooth val="0"/>
          <c:extLst xmlns:c16r2="http://schemas.microsoft.com/office/drawing/2015/06/chart">
            <c:ext xmlns:c16="http://schemas.microsoft.com/office/drawing/2014/chart" uri="{C3380CC4-5D6E-409C-BE32-E72D297353CC}">
              <c16:uniqueId val="{00000000-A4A3-4F29-AEE1-5799D68170F0}"/>
            </c:ext>
          </c:extLst>
        </c:ser>
        <c:dLbls>
          <c:showLegendKey val="0"/>
          <c:showVal val="0"/>
          <c:showCatName val="0"/>
          <c:showSerName val="0"/>
          <c:showPercent val="0"/>
          <c:showBubbleSize val="0"/>
        </c:dLbls>
        <c:marker val="1"/>
        <c:smooth val="0"/>
        <c:axId val="102056320"/>
        <c:axId val="102057856"/>
      </c:lineChart>
      <c:catAx>
        <c:axId val="102056320"/>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057856"/>
        <c:crosses val="autoZero"/>
        <c:auto val="1"/>
        <c:lblAlgn val="ctr"/>
        <c:lblOffset val="100"/>
        <c:noMultiLvlLbl val="0"/>
      </c:catAx>
      <c:valAx>
        <c:axId val="102057856"/>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102056320"/>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9733388589"/>
          <c:y val="2.7310674336573203E-2"/>
        </c:manualLayout>
      </c:layout>
      <c:overlay val="0"/>
      <c:spPr>
        <a:noFill/>
        <a:ln w="25321">
          <a:noFill/>
        </a:ln>
      </c:spPr>
    </c:title>
    <c:autoTitleDeleted val="0"/>
    <c:plotArea>
      <c:layout/>
      <c:pieChart>
        <c:varyColors val="1"/>
        <c:ser>
          <c:idx val="0"/>
          <c:order val="0"/>
          <c:tx>
            <c:strRef>
              <c:f>Blad1!$B$1</c:f>
              <c:strCache>
                <c:ptCount val="1"/>
                <c:pt idx="0">
                  <c:v>[Number of infringement cases] infringement cases against Netherlands</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65F-41D8-BCF2-F3D2A45E6340}"/>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65F-41D8-BCF2-F3D2A45E6340}"/>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65F-41D8-BCF2-F3D2A45E6340}"/>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65F-41D8-BCF2-F3D2A45E6340}"/>
              </c:ext>
            </c:extLst>
          </c:dPt>
          <c:dPt>
            <c:idx val="4"/>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65F-41D8-BCF2-F3D2A45E6340}"/>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765F-41D8-BCF2-F3D2A45E634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5F-41D8-BCF2-F3D2A45E6340}"/>
                </c:ext>
              </c:extLst>
            </c:dLbl>
            <c:dLbl>
              <c:idx val="1"/>
              <c:layout>
                <c:manualLayout>
                  <c:x val="-1.8295612519848101E-2"/>
                  <c:y val="0.209817607544819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3595131406271586"/>
                      <c:h val="0.29969901078904021"/>
                    </c:manualLayout>
                  </c15:layout>
                </c:ext>
                <c:ext xmlns:c16="http://schemas.microsoft.com/office/drawing/2014/chart" uri="{C3380CC4-5D6E-409C-BE32-E72D297353CC}">
                  <c16:uniqueId val="{00000003-765F-41D8-BCF2-F3D2A45E6340}"/>
                </c:ext>
              </c:extLst>
            </c:dLbl>
            <c:dLbl>
              <c:idx val="2"/>
              <c:layout>
                <c:manualLayout>
                  <c:x val="3.8068103329189112E-2"/>
                  <c:y val="8.124897586049277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65F-41D8-BCF2-F3D2A45E6340}"/>
                </c:ext>
              </c:extLst>
            </c:dLbl>
            <c:dLbl>
              <c:idx val="3"/>
              <c:layout>
                <c:manualLayout>
                  <c:x val="1.0545310125707971E-2"/>
                  <c:y val="1.99657613992117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65F-41D8-BCF2-F3D2A45E6340}"/>
                </c:ext>
              </c:extLst>
            </c:dLbl>
            <c:dLbl>
              <c:idx val="4"/>
              <c:layout>
                <c:manualLayout>
                  <c:x val="3.4885688631026382E-2"/>
                  <c:y val="-0.1129097636070410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65F-41D8-BCF2-F3D2A45E6340}"/>
                </c:ext>
              </c:extLst>
            </c:dLbl>
            <c:dLbl>
              <c:idx val="5"/>
              <c:layout>
                <c:manualLayout>
                  <c:x val="2.4639107611548455E-2"/>
                  <c:y val="-5.404438081603637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65F-41D8-BCF2-F3D2A45E6340}"/>
                </c:ext>
              </c:extLst>
            </c:dLbl>
            <c:dLbl>
              <c:idx val="6"/>
              <c:layout>
                <c:manualLayout>
                  <c:x val="0"/>
                  <c:y val="1.63934426229508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65F-41D8-BCF2-F3D2A45E6340}"/>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Policy Area</c:v>
                </c:pt>
                <c:pt idx="1">
                  <c:v>Internal market, industry, entrepreneurship and SMEs</c:v>
                </c:pt>
                <c:pt idx="2">
                  <c:v>Mobility and transport</c:v>
                </c:pt>
                <c:pt idx="3">
                  <c:v>Energy</c:v>
                </c:pt>
                <c:pt idx="4">
                  <c:v>Health and food safety</c:v>
                </c:pt>
                <c:pt idx="5">
                  <c:v>Communication networks</c:v>
                </c:pt>
                <c:pt idx="6">
                  <c:v>Other</c:v>
                </c:pt>
              </c:strCache>
            </c:strRef>
          </c:cat>
          <c:val>
            <c:numRef>
              <c:f>Blad1!$B$2:$B$8</c:f>
              <c:numCache>
                <c:formatCode>General</c:formatCode>
                <c:ptCount val="7"/>
                <c:pt idx="0">
                  <c:v>0</c:v>
                </c:pt>
                <c:pt idx="1">
                  <c:v>5</c:v>
                </c:pt>
                <c:pt idx="2">
                  <c:v>3</c:v>
                </c:pt>
                <c:pt idx="3">
                  <c:v>3</c:v>
                </c:pt>
                <c:pt idx="4">
                  <c:v>2</c:v>
                </c:pt>
                <c:pt idx="5">
                  <c:v>2</c:v>
                </c:pt>
                <c:pt idx="6">
                  <c:v>4</c:v>
                </c:pt>
              </c:numCache>
            </c:numRef>
          </c:val>
          <c:extLst xmlns:c16r2="http://schemas.microsoft.com/office/drawing/2015/06/chart">
            <c:ext xmlns:c16="http://schemas.microsoft.com/office/drawing/2014/chart" uri="{C3380CC4-5D6E-409C-BE32-E72D297353CC}">
              <c16:uniqueId val="{0000000C-765F-41D8-BCF2-F3D2A45E6340}"/>
            </c:ext>
          </c:extLst>
        </c:ser>
        <c:dLbls>
          <c:showLegendKey val="0"/>
          <c:showVal val="0"/>
          <c:showCatName val="0"/>
          <c:showSerName val="0"/>
          <c:showPercent val="0"/>
          <c:showBubbleSize val="0"/>
          <c:showLeaderLines val="0"/>
        </c:dLbls>
        <c:firstSliceAng val="248"/>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77298553155065E-2"/>
                  <c:y val="8.14412065051354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D6B-4319-BCD3-8330987CCCA7}"/>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10</c:v>
                </c:pt>
                <c:pt idx="1">
                  <c:v>14</c:v>
                </c:pt>
                <c:pt idx="2">
                  <c:v>23</c:v>
                </c:pt>
                <c:pt idx="3">
                  <c:v>19</c:v>
                </c:pt>
                <c:pt idx="4">
                  <c:v>20</c:v>
                </c:pt>
              </c:numCache>
            </c:numRef>
          </c:val>
          <c:smooth val="0"/>
          <c:extLst xmlns:c16r2="http://schemas.microsoft.com/office/drawing/2015/06/chart">
            <c:ext xmlns:c16="http://schemas.microsoft.com/office/drawing/2014/chart" uri="{C3380CC4-5D6E-409C-BE32-E72D297353CC}">
              <c16:uniqueId val="{00000001-0D6B-4319-BCD3-8330987CCCA7}"/>
            </c:ext>
          </c:extLst>
        </c:ser>
        <c:dLbls>
          <c:showLegendKey val="0"/>
          <c:showVal val="0"/>
          <c:showCatName val="0"/>
          <c:showSerName val="0"/>
          <c:showPercent val="0"/>
          <c:showBubbleSize val="0"/>
        </c:dLbls>
        <c:marker val="1"/>
        <c:smooth val="0"/>
        <c:axId val="105838464"/>
        <c:axId val="105840000"/>
      </c:lineChart>
      <c:catAx>
        <c:axId val="10583846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840000"/>
        <c:crosses val="autoZero"/>
        <c:auto val="1"/>
        <c:lblAlgn val="ctr"/>
        <c:lblOffset val="100"/>
        <c:noMultiLvlLbl val="0"/>
      </c:catAx>
      <c:valAx>
        <c:axId val="10584000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0583846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3.3906444833930641E-2"/>
                  <c:y val="6.7481021942964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F29-429B-AE8D-7329D08AFC67}"/>
                </c:ext>
              </c:extLst>
            </c:dLbl>
            <c:dLbl>
              <c:idx val="1"/>
              <c:layout>
                <c:manualLayout>
                  <c:x val="-3.6630986850437371E-2"/>
                  <c:y val="6.5363614114152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F29-429B-AE8D-7329D08AFC67}"/>
                </c:ext>
              </c:extLst>
            </c:dLbl>
            <c:dLbl>
              <c:idx val="3"/>
              <c:layout>
                <c:manualLayout>
                  <c:x val="-3.6585347246819062E-2"/>
                  <c:y val="5.28787922243818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F29-429B-AE8D-7329D08AFC67}"/>
                </c:ext>
              </c:extLst>
            </c:dLbl>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9</c:v>
                </c:pt>
                <c:pt idx="1">
                  <c:v>11</c:v>
                </c:pt>
                <c:pt idx="2">
                  <c:v>20</c:v>
                </c:pt>
                <c:pt idx="3">
                  <c:v>9</c:v>
                </c:pt>
                <c:pt idx="4">
                  <c:v>9</c:v>
                </c:pt>
              </c:numCache>
            </c:numRef>
          </c:val>
          <c:smooth val="0"/>
          <c:extLst xmlns:c16r2="http://schemas.microsoft.com/office/drawing/2015/06/chart">
            <c:ext xmlns:c16="http://schemas.microsoft.com/office/drawing/2014/chart" uri="{C3380CC4-5D6E-409C-BE32-E72D297353CC}">
              <c16:uniqueId val="{00000003-CF29-429B-AE8D-7329D08AFC67}"/>
            </c:ext>
          </c:extLst>
        </c:ser>
        <c:dLbls>
          <c:showLegendKey val="0"/>
          <c:showVal val="0"/>
          <c:showCatName val="0"/>
          <c:showSerName val="0"/>
          <c:showPercent val="0"/>
          <c:showBubbleSize val="0"/>
        </c:dLbls>
        <c:marker val="1"/>
        <c:smooth val="0"/>
        <c:axId val="106202240"/>
        <c:axId val="106203776"/>
      </c:lineChart>
      <c:catAx>
        <c:axId val="106202240"/>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203776"/>
        <c:crosses val="autoZero"/>
        <c:auto val="1"/>
        <c:lblAlgn val="ctr"/>
        <c:lblOffset val="100"/>
        <c:noMultiLvlLbl val="0"/>
      </c:catAx>
      <c:valAx>
        <c:axId val="106203776"/>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106202240"/>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 9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Netherlands</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48B-4198-A893-D8E5EBDC3D8E}"/>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48B-4198-A893-D8E5EBDC3D8E}"/>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48B-4198-A893-D8E5EBDC3D8E}"/>
              </c:ext>
            </c:extLst>
          </c:dPt>
          <c:dPt>
            <c:idx val="3"/>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648B-4198-A893-D8E5EBDC3D8E}"/>
              </c:ext>
            </c:extLst>
          </c:dPt>
          <c:dPt>
            <c:idx val="4"/>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48B-4198-A893-D8E5EBDC3D8E}"/>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8886-4931-A67A-CB844CD7E278}"/>
              </c:ext>
            </c:extLst>
          </c:dPt>
          <c:dPt>
            <c:idx val="6"/>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886-4931-A67A-CB844CD7E278}"/>
              </c:ext>
            </c:extLst>
          </c:dPt>
          <c:dLbls>
            <c:dLbl>
              <c:idx val="0"/>
              <c:layout>
                <c:manualLayout>
                  <c:x val="-1.7674780115954244E-2"/>
                  <c:y val="-6.02066003505047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48B-4198-A893-D8E5EBDC3D8E}"/>
                </c:ext>
              </c:extLst>
            </c:dLbl>
            <c:dLbl>
              <c:idx val="1"/>
              <c:layout>
                <c:manualLayout>
                  <c:x val="-6.2412027277957229E-2"/>
                  <c:y val="0.198537095088819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193966274803477"/>
                      <c:h val="0.28591974592517627"/>
                    </c:manualLayout>
                  </c15:layout>
                </c:ext>
                <c:ext xmlns:c16="http://schemas.microsoft.com/office/drawing/2014/chart" uri="{C3380CC4-5D6E-409C-BE32-E72D297353CC}">
                  <c16:uniqueId val="{00000003-648B-4198-A893-D8E5EBDC3D8E}"/>
                </c:ext>
              </c:extLst>
            </c:dLbl>
            <c:dLbl>
              <c:idx val="2"/>
              <c:layout>
                <c:manualLayout>
                  <c:x val="-1.0977336414675602E-2"/>
                  <c:y val="7.8318070742724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48B-4198-A893-D8E5EBDC3D8E}"/>
                </c:ext>
              </c:extLst>
            </c:dLbl>
            <c:dLbl>
              <c:idx val="3"/>
              <c:layout>
                <c:manualLayout>
                  <c:x val="-5.5496910106533374E-3"/>
                  <c:y val="4.06363389529286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48B-4198-A893-D8E5EBDC3D8E}"/>
                </c:ext>
              </c:extLst>
            </c:dLbl>
            <c:dLbl>
              <c:idx val="4"/>
              <c:layout>
                <c:manualLayout>
                  <c:x val="4.1591570774989602E-2"/>
                  <c:y val="-7.71451961921687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48B-4198-A893-D8E5EBDC3D8E}"/>
                </c:ext>
              </c:extLst>
            </c:dLbl>
            <c:dLbl>
              <c:idx val="5"/>
              <c:layout>
                <c:manualLayout>
                  <c:x val="4.8849681950022435E-2"/>
                  <c:y val="0"/>
                </c:manualLayout>
              </c:layout>
              <c:spPr>
                <a:noFill/>
                <a:ln w="2534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823929017052542"/>
                      <c:h val="0.25295213881963813"/>
                    </c:manualLayout>
                  </c15:layout>
                </c:ext>
                <c:ext xmlns:c16="http://schemas.microsoft.com/office/drawing/2014/chart" uri="{C3380CC4-5D6E-409C-BE32-E72D297353CC}">
                  <c16:uniqueId val="{00000006-8886-4931-A67A-CB844CD7E278}"/>
                </c:ext>
              </c:extLst>
            </c:dLbl>
            <c:dLbl>
              <c:idx val="6"/>
              <c:layout>
                <c:manualLayout>
                  <c:x val="-0.10813808401497296"/>
                  <c:y val="-2.08986415882968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886-4931-A67A-CB844CD7E278}"/>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Blad1!$A$4:$A$10</c:f>
              <c:strCache>
                <c:ptCount val="7"/>
                <c:pt idx="0">
                  <c:v>Health and food safety</c:v>
                </c:pt>
                <c:pt idx="1">
                  <c:v>Internal market, industry, entrepreneurship and SMEs</c:v>
                </c:pt>
                <c:pt idx="2">
                  <c:v>Justice and consumers</c:v>
                </c:pt>
                <c:pt idx="3">
                  <c:v>Communication networks</c:v>
                </c:pt>
                <c:pt idx="4">
                  <c:v>Migration and home affairs</c:v>
                </c:pt>
                <c:pt idx="5">
                  <c:v>Financial stability, financial services and Capital Markets Union</c:v>
                </c:pt>
                <c:pt idx="6">
                  <c:v>Employment</c:v>
                </c:pt>
              </c:strCache>
            </c:strRef>
          </c:cat>
          <c:val>
            <c:numRef>
              <c:f>Blad1!$B$4:$B$10</c:f>
              <c:numCache>
                <c:formatCode>General</c:formatCode>
                <c:ptCount val="7"/>
                <c:pt idx="0">
                  <c:v>2</c:v>
                </c:pt>
                <c:pt idx="1">
                  <c:v>2</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8-648B-4198-A893-D8E5EBDC3D8E}"/>
            </c:ext>
          </c:extLst>
        </c:ser>
        <c:dLbls>
          <c:showLegendKey val="0"/>
          <c:showVal val="0"/>
          <c:showCatName val="0"/>
          <c:showSerName val="0"/>
          <c:showPercent val="0"/>
          <c:showBubbleSize val="0"/>
          <c:showLeaderLines val="0"/>
        </c:dLbls>
        <c:firstSliceAng val="210"/>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483038288119802E-2"/>
          <c:y val="5.5813953488372092E-2"/>
          <c:w val="0.926723626708991"/>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8.8374655647382921E-2"/>
                  <c:y val="5.33726475679901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80-41E0-9401-B34FBD5366E8}"/>
                </c:ext>
              </c:extLst>
            </c:dLbl>
            <c:dLbl>
              <c:idx val="1"/>
              <c:layout>
                <c:manualLayout>
                  <c:x val="-4.9865946508752521E-2"/>
                  <c:y val="7.69159206126631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80-41E0-9401-B34FBD5366E8}"/>
                </c:ext>
              </c:extLst>
            </c:dLbl>
            <c:dLbl>
              <c:idx val="4"/>
              <c:layout>
                <c:manualLayout>
                  <c:x val="-2.8128980779509129E-2"/>
                  <c:y val="-6.55581735147557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86-4227-9C6E-44BCA126C5E7}"/>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78</c:v>
                </c:pt>
                <c:pt idx="1">
                  <c:v>99</c:v>
                </c:pt>
                <c:pt idx="2">
                  <c:v>103</c:v>
                </c:pt>
                <c:pt idx="3">
                  <c:v>117</c:v>
                </c:pt>
                <c:pt idx="4">
                  <c:v>65</c:v>
                </c:pt>
              </c:numCache>
            </c:numRef>
          </c:val>
          <c:smooth val="0"/>
          <c:extLst xmlns:c16r2="http://schemas.microsoft.com/office/drawing/2015/06/chart">
            <c:ext xmlns:c16="http://schemas.microsoft.com/office/drawing/2014/chart" uri="{C3380CC4-5D6E-409C-BE32-E72D297353CC}">
              <c16:uniqueId val="{00000002-4180-41E0-9401-B34FBD5366E8}"/>
            </c:ext>
          </c:extLst>
        </c:ser>
        <c:dLbls>
          <c:showLegendKey val="0"/>
          <c:showVal val="0"/>
          <c:showCatName val="0"/>
          <c:showSerName val="0"/>
          <c:showPercent val="0"/>
          <c:showBubbleSize val="0"/>
        </c:dLbls>
        <c:marker val="1"/>
        <c:smooth val="0"/>
        <c:axId val="106539648"/>
        <c:axId val="106549632"/>
      </c:lineChart>
      <c:catAx>
        <c:axId val="106539648"/>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549632"/>
        <c:crosses val="autoZero"/>
        <c:auto val="1"/>
        <c:lblAlgn val="ctr"/>
        <c:lblOffset val="100"/>
        <c:noMultiLvlLbl val="0"/>
      </c:catAx>
      <c:valAx>
        <c:axId val="106549632"/>
        <c:scaling>
          <c:orientation val="minMax"/>
          <c:min val="6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06539648"/>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65 complaints made against Austria</a:t>
            </a: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828-4287-9CB4-32C6387BDD2C}"/>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828-4287-9CB4-32C6387BDD2C}"/>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828-4287-9CB4-32C6387BDD2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828-4287-9CB4-32C6387BDD2C}"/>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828-4287-9CB4-32C6387BDD2C}"/>
              </c:ext>
            </c:extLst>
          </c:dPt>
          <c:dLbls>
            <c:dLbl>
              <c:idx val="0"/>
              <c:layout>
                <c:manualLayout>
                  <c:x val="-5.5035773252614252E-2"/>
                  <c:y val="8.93561103810775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28-4287-9CB4-32C6387BDD2C}"/>
                </c:ext>
              </c:extLst>
            </c:dLbl>
            <c:dLbl>
              <c:idx val="1"/>
              <c:layout>
                <c:manualLayout>
                  <c:x val="0"/>
                  <c:y val="6.83311432325886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28-4287-9CB4-32C6387BDD2C}"/>
                </c:ext>
              </c:extLst>
            </c:dLbl>
            <c:dLbl>
              <c:idx val="2"/>
              <c:layout>
                <c:manualLayout>
                  <c:x val="2.7517886626307101E-3"/>
                  <c:y val="-4.204993429697766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28-4287-9CB4-32C6387BDD2C}"/>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Employment</c:v>
                </c:pt>
                <c:pt idx="1">
                  <c:v>Mobility and transport</c:v>
                </c:pt>
                <c:pt idx="2">
                  <c:v>Justice and consumers</c:v>
                </c:pt>
                <c:pt idx="3">
                  <c:v>Other</c:v>
                </c:pt>
              </c:strCache>
            </c:strRef>
          </c:cat>
          <c:val>
            <c:numRef>
              <c:f>Blad1!$B$2:$B$5</c:f>
              <c:numCache>
                <c:formatCode>General</c:formatCode>
                <c:ptCount val="4"/>
                <c:pt idx="0">
                  <c:v>14</c:v>
                </c:pt>
                <c:pt idx="1">
                  <c:v>10</c:v>
                </c:pt>
                <c:pt idx="2">
                  <c:v>9</c:v>
                </c:pt>
                <c:pt idx="3">
                  <c:v>32</c:v>
                </c:pt>
              </c:numCache>
            </c:numRef>
          </c:val>
          <c:extLst xmlns:c16r2="http://schemas.microsoft.com/office/drawing/2015/06/chart">
            <c:ext xmlns:c16="http://schemas.microsoft.com/office/drawing/2014/chart" uri="{C3380CC4-5D6E-409C-BE32-E72D297353CC}">
              <c16:uniqueId val="{0000000A-8828-4287-9CB4-32C6387BDD2C}"/>
            </c:ext>
          </c:extLst>
        </c:ser>
        <c:dLbls>
          <c:dLblPos val="outEnd"/>
          <c:showLegendKey val="0"/>
          <c:showVal val="1"/>
          <c:showCatName val="0"/>
          <c:showSerName val="0"/>
          <c:showPercent val="0"/>
          <c:showBubbleSize val="0"/>
          <c:showLeaderLines val="0"/>
        </c:dLbls>
        <c:firstSliceAng val="30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6894109262832213E-2"/>
                  <c:y val="8.5115441078339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3E-4B19-83C0-B82C80188C09}"/>
                </c:ext>
              </c:extLst>
            </c:dLbl>
            <c:dLbl>
              <c:idx val="4"/>
              <c:layout>
                <c:manualLayout>
                  <c:x val="-9.2561983471073379E-3"/>
                  <c:y val="5.33220720720720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3E-4B19-83C0-B82C80188C09}"/>
                </c:ext>
              </c:extLst>
            </c:dLbl>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25</c:v>
                </c:pt>
                <c:pt idx="1">
                  <c:v>22</c:v>
                </c:pt>
                <c:pt idx="2">
                  <c:v>24</c:v>
                </c:pt>
                <c:pt idx="3">
                  <c:v>3</c:v>
                </c:pt>
                <c:pt idx="4">
                  <c:v>2</c:v>
                </c:pt>
              </c:numCache>
            </c:numRef>
          </c:val>
          <c:smooth val="0"/>
          <c:extLst xmlns:c16r2="http://schemas.microsoft.com/office/drawing/2015/06/chart">
            <c:ext xmlns:c16="http://schemas.microsoft.com/office/drawing/2014/chart" uri="{C3380CC4-5D6E-409C-BE32-E72D297353CC}">
              <c16:uniqueId val="{00000002-673E-4B19-83C0-B82C80188C09}"/>
            </c:ext>
          </c:extLst>
        </c:ser>
        <c:dLbls>
          <c:showLegendKey val="0"/>
          <c:showVal val="0"/>
          <c:showCatName val="0"/>
          <c:showSerName val="0"/>
          <c:showPercent val="0"/>
          <c:showBubbleSize val="0"/>
        </c:dLbls>
        <c:marker val="1"/>
        <c:smooth val="0"/>
        <c:axId val="106673664"/>
        <c:axId val="106675200"/>
      </c:lineChart>
      <c:catAx>
        <c:axId val="10667366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675200"/>
        <c:crosses val="autoZero"/>
        <c:auto val="1"/>
        <c:lblAlgn val="ctr"/>
        <c:lblOffset val="100"/>
        <c:noMultiLvlLbl val="0"/>
      </c:catAx>
      <c:valAx>
        <c:axId val="106675200"/>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06673664"/>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8613630192777625E-2"/>
                  <c:y val="6.80195872807095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6B-410C-B973-F09D8BF127E2}"/>
                </c:ext>
              </c:extLst>
            </c:dLbl>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30</c:v>
                </c:pt>
                <c:pt idx="1">
                  <c:v>29</c:v>
                </c:pt>
                <c:pt idx="2">
                  <c:v>32</c:v>
                </c:pt>
                <c:pt idx="3">
                  <c:v>23</c:v>
                </c:pt>
                <c:pt idx="4">
                  <c:v>12</c:v>
                </c:pt>
              </c:numCache>
            </c:numRef>
          </c:val>
          <c:smooth val="0"/>
          <c:extLst xmlns:c16r2="http://schemas.microsoft.com/office/drawing/2015/06/chart">
            <c:ext xmlns:c16="http://schemas.microsoft.com/office/drawing/2014/chart" uri="{C3380CC4-5D6E-409C-BE32-E72D297353CC}">
              <c16:uniqueId val="{00000001-716B-410C-B973-F09D8BF127E2}"/>
            </c:ext>
          </c:extLst>
        </c:ser>
        <c:dLbls>
          <c:showLegendKey val="0"/>
          <c:showVal val="0"/>
          <c:showCatName val="0"/>
          <c:showSerName val="0"/>
          <c:showPercent val="0"/>
          <c:showBubbleSize val="0"/>
        </c:dLbls>
        <c:marker val="1"/>
        <c:smooth val="0"/>
        <c:axId val="106717184"/>
        <c:axId val="106718720"/>
      </c:lineChart>
      <c:catAx>
        <c:axId val="10671718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718720"/>
        <c:crosses val="autoZero"/>
        <c:auto val="1"/>
        <c:lblAlgn val="ctr"/>
        <c:lblOffset val="100"/>
        <c:noMultiLvlLbl val="0"/>
      </c:catAx>
      <c:valAx>
        <c:axId val="106718720"/>
        <c:scaling>
          <c:orientation val="minMax"/>
          <c:min val="10"/>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06717184"/>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Austria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3698589900633804E-2"/>
                  <c:y val="-6.33093338634536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94-484C-8ECE-FF6DA68AB121}"/>
                </c:ext>
              </c:extLst>
            </c:dLbl>
            <c:dLbl>
              <c:idx val="1"/>
              <c:layout>
                <c:manualLayout>
                  <c:x val="-4.9898719139798049E-2"/>
                  <c:y val="4.10352040243049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BF-491D-B0A0-F6EB727F632C}"/>
                </c:ext>
              </c:extLst>
            </c:dLbl>
            <c:dLbl>
              <c:idx val="2"/>
              <c:layout>
                <c:manualLayout>
                  <c:x val="-4.7323073977454944E-2"/>
                  <c:y val="5.16197481352152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BF-491D-B0A0-F6EB727F632C}"/>
                </c:ext>
              </c:extLst>
            </c:dLbl>
            <c:dLbl>
              <c:idx val="3"/>
              <c:layout>
                <c:manualLayout>
                  <c:x val="-4.8040419076968613E-2"/>
                  <c:y val="6.690539093797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BF-491D-B0A0-F6EB727F632C}"/>
                </c:ext>
              </c:extLst>
            </c:dLbl>
            <c:dLbl>
              <c:idx val="4"/>
              <c:layout>
                <c:manualLayout>
                  <c:x val="-5.2773746608559914E-2"/>
                  <c:y val="-5.18971969886859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BF-491D-B0A0-F6EB727F632C}"/>
                </c:ext>
              </c:extLst>
            </c:dLbl>
            <c:spPr>
              <a:noFill/>
              <a:ln w="25370">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0.86</c:v>
                </c:pt>
                <c:pt idx="1">
                  <c:v>0.52</c:v>
                </c:pt>
                <c:pt idx="2">
                  <c:v>0.67</c:v>
                </c:pt>
                <c:pt idx="3">
                  <c:v>0.62</c:v>
                </c:pt>
                <c:pt idx="4">
                  <c:v>0.75</c:v>
                </c:pt>
              </c:numCache>
            </c:numRef>
          </c:val>
          <c:smooth val="0"/>
          <c:extLst xmlns:c16r2="http://schemas.microsoft.com/office/drawing/2015/06/chart">
            <c:ext xmlns:c16="http://schemas.microsoft.com/office/drawing/2014/chart" uri="{C3380CC4-5D6E-409C-BE32-E72D297353CC}">
              <c16:uniqueId val="{00000004-BBBF-491D-B0A0-F6EB727F632C}"/>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4"/>
              <c:layout>
                <c:manualLayout>
                  <c:x val="-4.2974633006464133E-2"/>
                  <c:y val="4.41001063121774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2F-465F-8F34-13677A44E033}"/>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5-BBBF-491D-B0A0-F6EB727F632C}"/>
            </c:ext>
          </c:extLst>
        </c:ser>
        <c:dLbls>
          <c:showLegendKey val="0"/>
          <c:showVal val="0"/>
          <c:showCatName val="0"/>
          <c:showSerName val="0"/>
          <c:showPercent val="0"/>
          <c:showBubbleSize val="0"/>
        </c:dLbls>
        <c:marker val="1"/>
        <c:smooth val="0"/>
        <c:axId val="106829312"/>
        <c:axId val="106830848"/>
      </c:lineChart>
      <c:catAx>
        <c:axId val="10682931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830848"/>
        <c:crosses val="autoZero"/>
        <c:auto val="1"/>
        <c:lblAlgn val="ctr"/>
        <c:lblOffset val="100"/>
        <c:noMultiLvlLbl val="0"/>
      </c:catAx>
      <c:valAx>
        <c:axId val="106830848"/>
        <c:scaling>
          <c:orientation val="minMax"/>
          <c:min val="0.5"/>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106829312"/>
        <c:crosses val="autoZero"/>
        <c:crossBetween val="between"/>
      </c:valAx>
      <c:spPr>
        <a:noFill/>
        <a:ln w="25370">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53</c:v>
                </c:pt>
                <c:pt idx="1">
                  <c:v>49</c:v>
                </c:pt>
                <c:pt idx="2">
                  <c:v>66</c:v>
                </c:pt>
                <c:pt idx="3">
                  <c:v>62</c:v>
                </c:pt>
                <c:pt idx="4">
                  <c:v>66</c:v>
                </c:pt>
              </c:numCache>
            </c:numRef>
          </c:val>
          <c:smooth val="0"/>
          <c:extLst xmlns:c16r2="http://schemas.microsoft.com/office/drawing/2015/06/chart">
            <c:ext xmlns:c16="http://schemas.microsoft.com/office/drawing/2014/chart" uri="{C3380CC4-5D6E-409C-BE32-E72D297353CC}">
              <c16:uniqueId val="{00000000-38ED-41F6-B7A5-DFCA9C5AE498}"/>
            </c:ext>
          </c:extLst>
        </c:ser>
        <c:dLbls>
          <c:showLegendKey val="0"/>
          <c:showVal val="0"/>
          <c:showCatName val="0"/>
          <c:showSerName val="0"/>
          <c:showPercent val="0"/>
          <c:showBubbleSize val="0"/>
        </c:dLbls>
        <c:marker val="1"/>
        <c:smooth val="0"/>
        <c:axId val="106847616"/>
        <c:axId val="106869888"/>
      </c:lineChart>
      <c:catAx>
        <c:axId val="106847616"/>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869888"/>
        <c:crosses val="autoZero"/>
        <c:auto val="1"/>
        <c:lblAlgn val="ctr"/>
        <c:lblOffset val="100"/>
        <c:noMultiLvlLbl val="0"/>
      </c:catAx>
      <c:valAx>
        <c:axId val="106869888"/>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6847616"/>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65">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36</c:v>
                </c:pt>
                <c:pt idx="1">
                  <c:v>48</c:v>
                </c:pt>
                <c:pt idx="2">
                  <c:v>37</c:v>
                </c:pt>
                <c:pt idx="3">
                  <c:v>27</c:v>
                </c:pt>
                <c:pt idx="4">
                  <c:v>17</c:v>
                </c:pt>
              </c:numCache>
            </c:numRef>
          </c:val>
          <c:smooth val="0"/>
          <c:extLst xmlns:c16r2="http://schemas.microsoft.com/office/drawing/2015/06/chart">
            <c:ext xmlns:c16="http://schemas.microsoft.com/office/drawing/2014/chart" uri="{C3380CC4-5D6E-409C-BE32-E72D297353CC}">
              <c16:uniqueId val="{00000000-A18F-4047-873E-AB4425BC05EC}"/>
            </c:ext>
          </c:extLst>
        </c:ser>
        <c:dLbls>
          <c:showLegendKey val="0"/>
          <c:showVal val="0"/>
          <c:showCatName val="0"/>
          <c:showSerName val="0"/>
          <c:showPercent val="0"/>
          <c:showBubbleSize val="0"/>
        </c:dLbls>
        <c:marker val="1"/>
        <c:smooth val="0"/>
        <c:axId val="101914880"/>
        <c:axId val="101924864"/>
      </c:lineChart>
      <c:catAx>
        <c:axId val="101914880"/>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924864"/>
        <c:crosses val="autoZero"/>
        <c:auto val="1"/>
        <c:lblAlgn val="ctr"/>
        <c:lblOffset val="100"/>
        <c:noMultiLvlLbl val="0"/>
      </c:catAx>
      <c:valAx>
        <c:axId val="101924864"/>
        <c:scaling>
          <c:orientation val="minMax"/>
          <c:min val="10"/>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101914880"/>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Austria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799515840258E-2"/>
        </c:manualLayout>
      </c:layout>
      <c:overlay val="0"/>
      <c:spPr>
        <a:noFill/>
        <a:ln w="25335">
          <a:noFill/>
        </a:ln>
      </c:spPr>
    </c:title>
    <c:autoTitleDeleted val="0"/>
    <c:plotArea>
      <c:layout>
        <c:manualLayout>
          <c:layoutTarget val="inner"/>
          <c:xMode val="edge"/>
          <c:yMode val="edge"/>
          <c:x val="0.34579590093184659"/>
          <c:y val="0.28393573199183436"/>
          <c:w val="0.28883347425531541"/>
          <c:h val="0.59772482866724996"/>
        </c:manualLayout>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B80-412E-89D1-7ADFEAE65CCD}"/>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B80-412E-89D1-7ADFEAE65CCD}"/>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B80-412E-89D1-7ADFEAE65CCD}"/>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B80-412E-89D1-7ADFEAE65CCD}"/>
              </c:ext>
            </c:extLst>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B80-412E-89D1-7ADFEAE65CCD}"/>
              </c:ext>
            </c:extLst>
          </c:dPt>
          <c:dPt>
            <c:idx val="5"/>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5B80-412E-89D1-7ADFEAE65CCD}"/>
              </c:ext>
            </c:extLst>
          </c:dPt>
          <c:dPt>
            <c:idx val="6"/>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5B80-412E-89D1-7ADFEAE65CCD}"/>
              </c:ext>
            </c:extLst>
          </c:dPt>
          <c:dPt>
            <c:idx val="7"/>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0-9D19-4F5D-9E9D-5C72EC1009AA}"/>
              </c:ext>
            </c:extLst>
          </c:dPt>
          <c:dPt>
            <c:idx val="8"/>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9D19-4F5D-9E9D-5C72EC1009AA}"/>
              </c:ext>
            </c:extLst>
          </c:dPt>
          <c:dPt>
            <c:idx val="9"/>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9D19-4F5D-9E9D-5C72EC1009AA}"/>
              </c:ext>
            </c:extLst>
          </c:dPt>
          <c:dLbls>
            <c:dLbl>
              <c:idx val="0"/>
              <c:layout>
                <c:manualLayout>
                  <c:x val="-3.9612838873328754E-2"/>
                  <c:y val="-0.20122439122193059"/>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156749282178654"/>
                      <c:h val="0.28342036672499271"/>
                    </c:manualLayout>
                  </c15:layout>
                </c:ext>
                <c:ext xmlns:c16="http://schemas.microsoft.com/office/drawing/2014/chart" uri="{C3380CC4-5D6E-409C-BE32-E72D297353CC}">
                  <c16:uniqueId val="{00000001-5B80-412E-89D1-7ADFEAE65CCD}"/>
                </c:ext>
              </c:extLst>
            </c:dLbl>
            <c:dLbl>
              <c:idx val="1"/>
              <c:layout>
                <c:manualLayout>
                  <c:x val="6.0834258133840398E-3"/>
                  <c:y val="-2.1566965587634931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80-412E-89D1-7ADFEAE65CCD}"/>
                </c:ext>
              </c:extLst>
            </c:dLbl>
            <c:dLbl>
              <c:idx val="2"/>
              <c:layout>
                <c:manualLayout>
                  <c:x val="-6.5953689513643006E-3"/>
                  <c:y val="2.5468886701662294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80-412E-89D1-7ADFEAE65CCD}"/>
                </c:ext>
              </c:extLst>
            </c:dLbl>
            <c:dLbl>
              <c:idx val="3"/>
              <c:layout>
                <c:manualLayout>
                  <c:x val="-7.8017932322218108E-3"/>
                  <c:y val="2.9882072032662584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80-412E-89D1-7ADFEAE65CCD}"/>
                </c:ext>
              </c:extLst>
            </c:dLbl>
            <c:dLbl>
              <c:idx val="4"/>
              <c:layout>
                <c:manualLayout>
                  <c:x val="2.3007715478517181E-3"/>
                  <c:y val="-8.3192074948964714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80-412E-89D1-7ADFEAE65CCD}"/>
                </c:ext>
              </c:extLst>
            </c:dLbl>
            <c:dLbl>
              <c:idx val="5"/>
              <c:layout>
                <c:manualLayout>
                  <c:x val="1.9928570170339447E-2"/>
                  <c:y val="-9.9249052201808102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B80-412E-89D1-7ADFEAE65CCD}"/>
                </c:ext>
              </c:extLst>
            </c:dLbl>
            <c:dLbl>
              <c:idx val="6"/>
              <c:layout>
                <c:manualLayout>
                  <c:x val="2.8871611266712466E-2"/>
                  <c:y val="-0.12965241324001167"/>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B80-412E-89D1-7ADFEAE65CCD}"/>
                </c:ext>
              </c:extLst>
            </c:dLbl>
            <c:dLbl>
              <c:idx val="7"/>
              <c:layout>
                <c:manualLayout>
                  <c:x val="2.3711554721767163E-2"/>
                  <c:y val="-3.4722222222222224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684563758389263"/>
                      <c:h val="0.24160879629629631"/>
                    </c:manualLayout>
                  </c15:layout>
                </c:ext>
                <c:ext xmlns:c16="http://schemas.microsoft.com/office/drawing/2014/chart" uri="{C3380CC4-5D6E-409C-BE32-E72D297353CC}">
                  <c16:uniqueId val="{00000010-9D19-4F5D-9E9D-5C72EC1009AA}"/>
                </c:ext>
              </c:extLst>
            </c:dLbl>
            <c:dLbl>
              <c:idx val="8"/>
              <c:layout>
                <c:manualLayout>
                  <c:x val="4.2619981856294807E-2"/>
                  <c:y val="-9.2592592592581982E-4"/>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D19-4F5D-9E9D-5C72EC1009AA}"/>
                </c:ext>
              </c:extLst>
            </c:dLbl>
            <c:dLbl>
              <c:idx val="9"/>
              <c:layout>
                <c:manualLayout>
                  <c:x val="-9.2402213355880822E-2"/>
                  <c:y val="-4.2386628754738989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0565295319628674"/>
                      <c:h val="0.1796875"/>
                    </c:manualLayout>
                  </c15:layout>
                </c:ext>
                <c:ext xmlns:c16="http://schemas.microsoft.com/office/drawing/2014/chart" uri="{C3380CC4-5D6E-409C-BE32-E72D297353CC}">
                  <c16:uniqueId val="{0000000E-9D19-4F5D-9E9D-5C72EC1009AA}"/>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Blad1!$A$2:$A$11</c:f>
              <c:strCache>
                <c:ptCount val="10"/>
                <c:pt idx="0">
                  <c:v>Internal market, industry, entrepreneurship and SMEs</c:v>
                </c:pt>
                <c:pt idx="1">
                  <c:v>Mobility and transport</c:v>
                </c:pt>
                <c:pt idx="2">
                  <c:v>Justice and consumers</c:v>
                </c:pt>
                <c:pt idx="3">
                  <c:v>Migration and home affairs</c:v>
                </c:pt>
                <c:pt idx="4">
                  <c:v>Environment</c:v>
                </c:pt>
                <c:pt idx="5">
                  <c:v>Energy</c:v>
                </c:pt>
                <c:pt idx="6">
                  <c:v>Communication networks</c:v>
                </c:pt>
                <c:pt idx="7">
                  <c:v>Financial stability, financial services and Capital Markets Union</c:v>
                </c:pt>
                <c:pt idx="8">
                  <c:v>Employment</c:v>
                </c:pt>
                <c:pt idx="9">
                  <c:v>Health and food safety</c:v>
                </c:pt>
              </c:strCache>
            </c:strRef>
          </c:cat>
          <c:val>
            <c:numRef>
              <c:f>Blad1!$B$2:$B$11</c:f>
              <c:numCache>
                <c:formatCode>General</c:formatCode>
                <c:ptCount val="10"/>
                <c:pt idx="0">
                  <c:v>5</c:v>
                </c:pt>
                <c:pt idx="1">
                  <c:v>3</c:v>
                </c:pt>
                <c:pt idx="2">
                  <c:v>3</c:v>
                </c:pt>
                <c:pt idx="3">
                  <c:v>3</c:v>
                </c:pt>
                <c:pt idx="4">
                  <c:v>3</c:v>
                </c:pt>
                <c:pt idx="5">
                  <c:v>2</c:v>
                </c:pt>
                <c:pt idx="6">
                  <c:v>2</c:v>
                </c:pt>
                <c:pt idx="7">
                  <c:v>2</c:v>
                </c:pt>
                <c:pt idx="8">
                  <c:v>2</c:v>
                </c:pt>
                <c:pt idx="9">
                  <c:v>1</c:v>
                </c:pt>
              </c:numCache>
            </c:numRef>
          </c:val>
          <c:extLst xmlns:c16r2="http://schemas.microsoft.com/office/drawing/2015/06/chart">
            <c:ext xmlns:c16="http://schemas.microsoft.com/office/drawing/2014/chart" uri="{C3380CC4-5D6E-409C-BE32-E72D297353CC}">
              <c16:uniqueId val="{0000000E-5B80-412E-89D1-7ADFEAE65CCD}"/>
            </c:ext>
          </c:extLst>
        </c:ser>
        <c:dLbls>
          <c:showLegendKey val="0"/>
          <c:showVal val="0"/>
          <c:showCatName val="0"/>
          <c:showSerName val="0"/>
          <c:showPercent val="0"/>
          <c:showBubbleSize val="0"/>
          <c:showLeaderLines val="0"/>
        </c:dLbls>
        <c:firstSliceAng val="198"/>
      </c:pieChart>
      <c:spPr>
        <a:noFill/>
        <a:ln w="25335">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058928817293126E-2"/>
          <c:y val="6.9996818326439711E-2"/>
          <c:w val="0.93941897287622189"/>
          <c:h val="0.79018992336425653"/>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51">
                <a:noFill/>
              </a:ln>
            </c:spPr>
            <c:txPr>
              <a:bodyPr/>
              <a:lstStyle/>
              <a:p>
                <a:pPr>
                  <a:defRPr sz="898">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21</c:v>
                </c:pt>
                <c:pt idx="1">
                  <c:v>18</c:v>
                </c:pt>
                <c:pt idx="2">
                  <c:v>34</c:v>
                </c:pt>
                <c:pt idx="3">
                  <c:v>32</c:v>
                </c:pt>
                <c:pt idx="4">
                  <c:v>34</c:v>
                </c:pt>
              </c:numCache>
            </c:numRef>
          </c:val>
          <c:smooth val="0"/>
          <c:extLst xmlns:c16r2="http://schemas.microsoft.com/office/drawing/2015/06/chart">
            <c:ext xmlns:c16="http://schemas.microsoft.com/office/drawing/2014/chart" uri="{C3380CC4-5D6E-409C-BE32-E72D297353CC}">
              <c16:uniqueId val="{00000005-9083-480F-AFCB-BAF0BC8E8E04}"/>
            </c:ext>
          </c:extLst>
        </c:ser>
        <c:dLbls>
          <c:dLblPos val="t"/>
          <c:showLegendKey val="0"/>
          <c:showVal val="1"/>
          <c:showCatName val="0"/>
          <c:showSerName val="0"/>
          <c:showPercent val="0"/>
          <c:showBubbleSize val="0"/>
        </c:dLbls>
        <c:marker val="1"/>
        <c:smooth val="0"/>
        <c:axId val="106002688"/>
        <c:axId val="106022016"/>
      </c:lineChart>
      <c:catAx>
        <c:axId val="106002688"/>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22016"/>
        <c:crosses val="autoZero"/>
        <c:auto val="1"/>
        <c:lblAlgn val="ctr"/>
        <c:lblOffset val="100"/>
        <c:noMultiLvlLbl val="0"/>
      </c:catAx>
      <c:valAx>
        <c:axId val="106022016"/>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06002688"/>
        <c:crosses val="autoZero"/>
        <c:crossBetween val="between"/>
      </c:valAx>
      <c:spPr>
        <a:noFill/>
        <a:ln w="25351">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26</c:v>
                </c:pt>
                <c:pt idx="1">
                  <c:v>14</c:v>
                </c:pt>
                <c:pt idx="2">
                  <c:v>40</c:v>
                </c:pt>
                <c:pt idx="3">
                  <c:v>22</c:v>
                </c:pt>
                <c:pt idx="4">
                  <c:v>19</c:v>
                </c:pt>
              </c:numCache>
            </c:numRef>
          </c:val>
          <c:smooth val="0"/>
          <c:extLst xmlns:c16r2="http://schemas.microsoft.com/office/drawing/2015/06/chart">
            <c:ext xmlns:c16="http://schemas.microsoft.com/office/drawing/2014/chart" uri="{C3380CC4-5D6E-409C-BE32-E72D297353CC}">
              <c16:uniqueId val="{00000005-1189-4E3D-8571-59DD8F7C5EDD}"/>
            </c:ext>
          </c:extLst>
        </c:ser>
        <c:dLbls>
          <c:dLblPos val="t"/>
          <c:showLegendKey val="0"/>
          <c:showVal val="1"/>
          <c:showCatName val="0"/>
          <c:showSerName val="0"/>
          <c:showPercent val="0"/>
          <c:showBubbleSize val="0"/>
        </c:dLbls>
        <c:marker val="1"/>
        <c:smooth val="0"/>
        <c:axId val="106032512"/>
        <c:axId val="106117376"/>
      </c:lineChart>
      <c:catAx>
        <c:axId val="10603251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117376"/>
        <c:crosses val="autoZero"/>
        <c:auto val="1"/>
        <c:lblAlgn val="ctr"/>
        <c:lblOffset val="100"/>
        <c:noMultiLvlLbl val="0"/>
      </c:catAx>
      <c:valAx>
        <c:axId val="106117376"/>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0603251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Austria</a:t>
            </a:r>
          </a:p>
        </c:rich>
      </c:tx>
      <c:overlay val="0"/>
      <c:spPr>
        <a:noFill/>
        <a:ln w="25321">
          <a:noFill/>
        </a:ln>
      </c:spPr>
    </c:title>
    <c:autoTitleDeleted val="0"/>
    <c:plotArea>
      <c:layout>
        <c:manualLayout>
          <c:layoutTarget val="inner"/>
          <c:xMode val="edge"/>
          <c:yMode val="edge"/>
          <c:x val="0.31614720034995625"/>
          <c:y val="0.29048097260980077"/>
          <c:w val="0.29975012308266674"/>
          <c:h val="0.61007269689482935"/>
        </c:manualLayout>
      </c:layout>
      <c:pieChart>
        <c:varyColors val="1"/>
        <c:ser>
          <c:idx val="0"/>
          <c:order val="0"/>
          <c:tx>
            <c:strRef>
              <c:f>Blad1!$B$1</c:f>
              <c:strCache>
                <c:ptCount val="1"/>
                <c:pt idx="0">
                  <c:v>New late transposition cases against Austria</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135-40C4-BFC3-0D8FA98BDB39}"/>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135-40C4-BFC3-0D8FA98BDB39}"/>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135-40C4-BFC3-0D8FA98BDB39}"/>
              </c:ext>
            </c:extLst>
          </c:dPt>
          <c:dPt>
            <c:idx val="3"/>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135-40C4-BFC3-0D8FA98BDB39}"/>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135-40C4-BFC3-0D8FA98BDB39}"/>
              </c:ext>
            </c:extLst>
          </c:dPt>
          <c:dPt>
            <c:idx val="5"/>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92ED-4E74-9670-52A16D8F9904}"/>
              </c:ext>
            </c:extLst>
          </c:dPt>
          <c:dPt>
            <c:idx val="6"/>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92ED-4E74-9670-52A16D8F9904}"/>
              </c:ext>
            </c:extLst>
          </c:dPt>
          <c:dPt>
            <c:idx val="7"/>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92ED-4E74-9670-52A16D8F9904}"/>
              </c:ext>
            </c:extLst>
          </c:dPt>
          <c:dPt>
            <c:idx val="8"/>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92ED-4E74-9670-52A16D8F9904}"/>
              </c:ext>
            </c:extLst>
          </c:dPt>
          <c:dLbls>
            <c:dLbl>
              <c:idx val="0"/>
              <c:layout>
                <c:manualLayout>
                  <c:x val="-3.5843637526731593E-2"/>
                  <c:y val="-0.18273359876290859"/>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35-40C4-BFC3-0D8FA98BDB39}"/>
                </c:ext>
              </c:extLst>
            </c:dLbl>
            <c:dLbl>
              <c:idx val="1"/>
              <c:layout>
                <c:manualLayout>
                  <c:x val="2.1289862682317907E-2"/>
                  <c:y val="1.6214606921312908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35-40C4-BFC3-0D8FA98BDB39}"/>
                </c:ext>
              </c:extLst>
            </c:dLbl>
            <c:dLbl>
              <c:idx val="2"/>
              <c:layout>
                <c:manualLayout>
                  <c:x val="-1.3475862294759933E-2"/>
                  <c:y val="5.637928733484586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35-40C4-BFC3-0D8FA98BDB39}"/>
                </c:ext>
              </c:extLst>
            </c:dLbl>
            <c:dLbl>
              <c:idx val="3"/>
              <c:layout>
                <c:manualLayout>
                  <c:x val="-1.2080768428832019E-2"/>
                  <c:y val="8.5852100033771167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35-40C4-BFC3-0D8FA98BDB39}"/>
                </c:ext>
              </c:extLst>
            </c:dLbl>
            <c:dLbl>
              <c:idx val="4"/>
              <c:layout>
                <c:manualLayout>
                  <c:x val="-4.3988817216508687E-3"/>
                  <c:y val="6.8786992765859117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35-40C4-BFC3-0D8FA98BDB39}"/>
                </c:ext>
              </c:extLst>
            </c:dLbl>
            <c:dLbl>
              <c:idx val="7"/>
              <c:layout>
                <c:manualLayout>
                  <c:x val="-8.5104759451165926E-2"/>
                  <c:y val="-4.8812676632126305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2ED-4E74-9670-52A16D8F9904}"/>
                </c:ext>
              </c:extLst>
            </c:dLbl>
            <c:dLbl>
              <c:idx val="8"/>
              <c:layout>
                <c:manualLayout>
                  <c:x val="-5.0140658107463459E-2"/>
                  <c:y val="-0.16289481168127121"/>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2ED-4E74-9670-52A16D8F9904}"/>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Blad1!$A$4:$A$12</c:f>
              <c:strCache>
                <c:ptCount val="9"/>
                <c:pt idx="0">
                  <c:v>Justice and consumers</c:v>
                </c:pt>
                <c:pt idx="1">
                  <c:v>Migration and home affairs</c:v>
                </c:pt>
                <c:pt idx="2">
                  <c:v>Communication networks</c:v>
                </c:pt>
                <c:pt idx="3">
                  <c:v>Internal market, industry, entrepreneurship and SMEs</c:v>
                </c:pt>
                <c:pt idx="4">
                  <c:v>Financial stability, financial services and Capital Markets Union</c:v>
                </c:pt>
                <c:pt idx="5">
                  <c:v>Employment</c:v>
                </c:pt>
                <c:pt idx="6">
                  <c:v>Mobility and transport</c:v>
                </c:pt>
                <c:pt idx="7">
                  <c:v>Environment</c:v>
                </c:pt>
                <c:pt idx="8">
                  <c:v>Health and food safety</c:v>
                </c:pt>
              </c:strCache>
            </c:strRef>
          </c:cat>
          <c:val>
            <c:numRef>
              <c:f>Blad1!$B$4:$B$12</c:f>
              <c:numCache>
                <c:formatCode>General</c:formatCode>
                <c:ptCount val="9"/>
                <c:pt idx="0">
                  <c:v>3</c:v>
                </c:pt>
                <c:pt idx="1">
                  <c:v>3</c:v>
                </c:pt>
                <c:pt idx="2">
                  <c:v>2</c:v>
                </c:pt>
                <c:pt idx="3">
                  <c:v>2</c:v>
                </c:pt>
                <c:pt idx="4">
                  <c:v>2</c:v>
                </c:pt>
                <c:pt idx="5">
                  <c:v>2</c:v>
                </c:pt>
                <c:pt idx="6">
                  <c:v>2</c:v>
                </c:pt>
                <c:pt idx="7">
                  <c:v>2</c:v>
                </c:pt>
                <c:pt idx="8">
                  <c:v>1</c:v>
                </c:pt>
              </c:numCache>
            </c:numRef>
          </c:val>
          <c:extLst xmlns:c16r2="http://schemas.microsoft.com/office/drawing/2015/06/chart">
            <c:ext xmlns:c16="http://schemas.microsoft.com/office/drawing/2014/chart" uri="{C3380CC4-5D6E-409C-BE32-E72D297353CC}">
              <c16:uniqueId val="{0000000A-E135-40C4-BFC3-0D8FA98BDB39}"/>
            </c:ext>
          </c:extLst>
        </c:ser>
        <c:dLbls>
          <c:showLegendKey val="0"/>
          <c:showVal val="0"/>
          <c:showCatName val="0"/>
          <c:showSerName val="0"/>
          <c:showPercent val="0"/>
          <c:showBubbleSize val="0"/>
          <c:showLeaderLines val="0"/>
        </c:dLbls>
        <c:firstSliceAng val="228"/>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6.1538461538461542E-2"/>
                  <c:y val="5.4803240740740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94-4C9D-BCC8-43F65F4ADA01}"/>
                </c:ext>
              </c:extLst>
            </c:dLbl>
            <c:dLbl>
              <c:idx val="1"/>
              <c:layout>
                <c:manualLayout>
                  <c:x val="-5.0390189520624303E-2"/>
                  <c:y val="-6.67245370370370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94-4C9D-BCC8-43F65F4ADA01}"/>
                </c:ext>
              </c:extLst>
            </c:dLbl>
            <c:dLbl>
              <c:idx val="2"/>
              <c:layout>
                <c:manualLayout>
                  <c:x val="-5.8703333069988275E-2"/>
                  <c:y val="7.21306321084864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94-4C9D-BCC8-43F65F4ADA01}"/>
                </c:ext>
              </c:extLst>
            </c:dLbl>
            <c:dLbl>
              <c:idx val="3"/>
              <c:layout>
                <c:manualLayout>
                  <c:x val="-5.0222222222222224E-2"/>
                  <c:y val="-6.0484022375686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94-4C9D-BCC8-43F65F4ADA01}"/>
                </c:ext>
              </c:extLst>
            </c:dLbl>
            <c:dLbl>
              <c:idx val="4"/>
              <c:layout>
                <c:manualLayout>
                  <c:x val="-4.1888888888888892E-2"/>
                  <c:y val="-6.049985636311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D94-4C9D-BCC8-43F65F4ADA01}"/>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191</c:v>
                </c:pt>
                <c:pt idx="1">
                  <c:v>184</c:v>
                </c:pt>
                <c:pt idx="2">
                  <c:v>152</c:v>
                </c:pt>
                <c:pt idx="3">
                  <c:v>221</c:v>
                </c:pt>
                <c:pt idx="4">
                  <c:v>237</c:v>
                </c:pt>
              </c:numCache>
            </c:numRef>
          </c:val>
          <c:smooth val="0"/>
          <c:extLst xmlns:c16r2="http://schemas.microsoft.com/office/drawing/2015/06/chart">
            <c:ext xmlns:c16="http://schemas.microsoft.com/office/drawing/2014/chart" uri="{C3380CC4-5D6E-409C-BE32-E72D297353CC}">
              <c16:uniqueId val="{00000005-0D94-4C9D-BCC8-43F65F4ADA01}"/>
            </c:ext>
          </c:extLst>
        </c:ser>
        <c:dLbls>
          <c:showLegendKey val="0"/>
          <c:showVal val="0"/>
          <c:showCatName val="0"/>
          <c:showSerName val="0"/>
          <c:showPercent val="0"/>
          <c:showBubbleSize val="0"/>
        </c:dLbls>
        <c:marker val="1"/>
        <c:smooth val="0"/>
        <c:axId val="107565440"/>
        <c:axId val="107566976"/>
      </c:lineChart>
      <c:catAx>
        <c:axId val="107565440"/>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566976"/>
        <c:crosses val="autoZero"/>
        <c:auto val="1"/>
        <c:lblAlgn val="ctr"/>
        <c:lblOffset val="100"/>
        <c:noMultiLvlLbl val="0"/>
      </c:catAx>
      <c:valAx>
        <c:axId val="107566976"/>
        <c:scaling>
          <c:orientation val="minMax"/>
          <c:min val="14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07565440"/>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237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03B-4BE2-90E9-6777ABE6BB70}"/>
              </c:ext>
            </c:extLst>
          </c:dPt>
          <c:dPt>
            <c:idx val="1"/>
            <c:bubble3D val="0"/>
            <c:spPr>
              <a:solidFill>
                <a:srgbClr val="0B5A8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03B-4BE2-90E9-6777ABE6BB70}"/>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03B-4BE2-90E9-6777ABE6BB70}"/>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03B-4BE2-90E9-6777ABE6BB70}"/>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03B-4BE2-90E9-6777ABE6BB70}"/>
              </c:ext>
            </c:extLst>
          </c:dPt>
          <c:dLbls>
            <c:dLbl>
              <c:idx val="0"/>
              <c:layout>
                <c:manualLayout>
                  <c:x val="-0.24137790953957325"/>
                  <c:y val="0.1233855683247471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3B-4BE2-90E9-6777ABE6BB70}"/>
                </c:ext>
              </c:extLst>
            </c:dLbl>
            <c:dLbl>
              <c:idx val="1"/>
              <c:layout>
                <c:manualLayout>
                  <c:x val="-1.9000765349141902E-2"/>
                  <c:y val="1.328428208768985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3B-4BE2-90E9-6777ABE6BB70}"/>
                </c:ext>
              </c:extLst>
            </c:dLbl>
            <c:dLbl>
              <c:idx val="2"/>
              <c:layout>
                <c:manualLayout>
                  <c:x val="1.6850653141174485E-2"/>
                  <c:y val="-1.878576653328169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3B-4BE2-90E9-6777ABE6BB70}"/>
                </c:ext>
              </c:extLst>
            </c:dLbl>
            <c:dLbl>
              <c:idx val="3"/>
              <c:layout>
                <c:manualLayout>
                  <c:x val="-4.3214603663016327E-2"/>
                  <c:y val="-4.2925015937559326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3B-4BE2-90E9-6777ABE6BB70}"/>
                </c:ext>
              </c:extLst>
            </c:dLbl>
            <c:dLbl>
              <c:idx val="4"/>
              <c:layout>
                <c:manualLayout>
                  <c:x val="-4.1696963805450245E-2"/>
                  <c:y val="-0.13811023622047244"/>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3B-4BE2-90E9-6777ABE6BB70}"/>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Regional and urban policy</c:v>
                </c:pt>
                <c:pt idx="2">
                  <c:v>Employment</c:v>
                </c:pt>
                <c:pt idx="3">
                  <c:v>Other</c:v>
                </c:pt>
              </c:strCache>
            </c:strRef>
          </c:cat>
          <c:val>
            <c:numRef>
              <c:f>Blad1!$B$3:$B$6</c:f>
              <c:numCache>
                <c:formatCode>General</c:formatCode>
                <c:ptCount val="4"/>
                <c:pt idx="0">
                  <c:v>94</c:v>
                </c:pt>
                <c:pt idx="1">
                  <c:v>26</c:v>
                </c:pt>
                <c:pt idx="2">
                  <c:v>25</c:v>
                </c:pt>
                <c:pt idx="3">
                  <c:v>92</c:v>
                </c:pt>
              </c:numCache>
            </c:numRef>
          </c:val>
          <c:extLst xmlns:c16r2="http://schemas.microsoft.com/office/drawing/2015/06/chart">
            <c:ext xmlns:c16="http://schemas.microsoft.com/office/drawing/2014/chart" uri="{C3380CC4-5D6E-409C-BE32-E72D297353CC}">
              <c16:uniqueId val="{0000000A-503B-4BE2-90E9-6777ABE6BB70}"/>
            </c:ext>
          </c:extLst>
        </c:ser>
        <c:dLbls>
          <c:showLegendKey val="0"/>
          <c:showVal val="0"/>
          <c:showCatName val="0"/>
          <c:showSerName val="0"/>
          <c:showPercent val="0"/>
          <c:showBubbleSize val="0"/>
          <c:showLeaderLines val="0"/>
        </c:dLbls>
        <c:firstSliceAng val="292"/>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3.6996648775304571E-2"/>
                  <c:y val="5.32904351522989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30-46E3-94D7-F0CF7B528CAC}"/>
                </c:ext>
              </c:extLst>
            </c:dLbl>
            <c:spPr>
              <a:noFill/>
              <a:ln w="25418">
                <a:noFill/>
              </a:ln>
            </c:spPr>
            <c:txPr>
              <a:bodyPr/>
              <a:lstStyle/>
              <a:p>
                <a:pPr>
                  <a:defRPr sz="901">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58</c:v>
                </c:pt>
                <c:pt idx="1">
                  <c:v>41</c:v>
                </c:pt>
                <c:pt idx="2">
                  <c:v>41</c:v>
                </c:pt>
                <c:pt idx="3">
                  <c:v>8</c:v>
                </c:pt>
                <c:pt idx="4">
                  <c:v>4</c:v>
                </c:pt>
              </c:numCache>
            </c:numRef>
          </c:val>
          <c:smooth val="0"/>
          <c:extLst xmlns:c16r2="http://schemas.microsoft.com/office/drawing/2015/06/chart">
            <c:ext xmlns:c16="http://schemas.microsoft.com/office/drawing/2014/chart" uri="{C3380CC4-5D6E-409C-BE32-E72D297353CC}">
              <c16:uniqueId val="{00000000-F5B3-4120-9B0C-EC6232DCCCD6}"/>
            </c:ext>
          </c:extLst>
        </c:ser>
        <c:dLbls>
          <c:showLegendKey val="0"/>
          <c:showVal val="0"/>
          <c:showCatName val="0"/>
          <c:showSerName val="0"/>
          <c:showPercent val="0"/>
          <c:showBubbleSize val="0"/>
        </c:dLbls>
        <c:marker val="1"/>
        <c:smooth val="0"/>
        <c:axId val="107641472"/>
        <c:axId val="107647360"/>
      </c:lineChart>
      <c:catAx>
        <c:axId val="107641472"/>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647360"/>
        <c:crosses val="autoZero"/>
        <c:auto val="1"/>
        <c:lblAlgn val="ctr"/>
        <c:lblOffset val="100"/>
        <c:noMultiLvlLbl val="0"/>
      </c:catAx>
      <c:valAx>
        <c:axId val="107647360"/>
        <c:scaling>
          <c:orientation val="minMax"/>
        </c:scaling>
        <c:delete val="1"/>
        <c:axPos val="l"/>
        <c:majorGridlines>
          <c:spPr>
            <a:ln w="9532" cap="flat" cmpd="sng" algn="ctr">
              <a:solidFill>
                <a:schemeClr val="tx1">
                  <a:lumMod val="15000"/>
                  <a:lumOff val="85000"/>
                </a:schemeClr>
              </a:solidFill>
              <a:round/>
            </a:ln>
            <a:effectLst/>
          </c:spPr>
        </c:majorGridlines>
        <c:numFmt formatCode="General" sourceLinked="1"/>
        <c:majorTickMark val="out"/>
        <c:minorTickMark val="none"/>
        <c:tickLblPos val="nextTo"/>
        <c:crossAx val="107641472"/>
        <c:crosses val="autoZero"/>
        <c:crossBetween val="between"/>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8">
                <a:noFill/>
              </a:ln>
            </c:spPr>
            <c:txPr>
              <a:bodyPr/>
              <a:lstStyle/>
              <a:p>
                <a:pPr>
                  <a:defRPr sz="901">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73</c:v>
                </c:pt>
                <c:pt idx="1">
                  <c:v>74</c:v>
                </c:pt>
                <c:pt idx="2">
                  <c:v>61</c:v>
                </c:pt>
                <c:pt idx="3">
                  <c:v>48</c:v>
                </c:pt>
                <c:pt idx="4">
                  <c:v>33</c:v>
                </c:pt>
              </c:numCache>
            </c:numRef>
          </c:val>
          <c:smooth val="0"/>
          <c:extLst xmlns:c16r2="http://schemas.microsoft.com/office/drawing/2015/06/chart">
            <c:ext xmlns:c16="http://schemas.microsoft.com/office/drawing/2014/chart" uri="{C3380CC4-5D6E-409C-BE32-E72D297353CC}">
              <c16:uniqueId val="{00000000-638A-4815-A7E6-D7D7D7508196}"/>
            </c:ext>
          </c:extLst>
        </c:ser>
        <c:dLbls>
          <c:showLegendKey val="0"/>
          <c:showVal val="0"/>
          <c:showCatName val="0"/>
          <c:showSerName val="0"/>
          <c:showPercent val="0"/>
          <c:showBubbleSize val="0"/>
        </c:dLbls>
        <c:marker val="1"/>
        <c:smooth val="0"/>
        <c:axId val="107848064"/>
        <c:axId val="107849600"/>
      </c:lineChart>
      <c:catAx>
        <c:axId val="107848064"/>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849600"/>
        <c:crosses val="autoZero"/>
        <c:auto val="1"/>
        <c:lblAlgn val="ctr"/>
        <c:lblOffset val="100"/>
        <c:noMultiLvlLbl val="0"/>
      </c:catAx>
      <c:valAx>
        <c:axId val="107849600"/>
        <c:scaling>
          <c:orientation val="minMax"/>
          <c:min val="20"/>
        </c:scaling>
        <c:delete val="1"/>
        <c:axPos val="l"/>
        <c:majorGridlines>
          <c:spPr>
            <a:ln w="9532" cap="flat" cmpd="sng" algn="ctr">
              <a:solidFill>
                <a:schemeClr val="tx1">
                  <a:lumMod val="15000"/>
                  <a:lumOff val="85000"/>
                </a:schemeClr>
              </a:solidFill>
              <a:round/>
            </a:ln>
            <a:effectLst/>
          </c:spPr>
        </c:majorGridlines>
        <c:numFmt formatCode="General" sourceLinked="1"/>
        <c:majorTickMark val="out"/>
        <c:minorTickMark val="none"/>
        <c:tickLblPos val="nextTo"/>
        <c:crossAx val="107848064"/>
        <c:crosses val="autoZero"/>
        <c:crossBetween val="between"/>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Poland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687061658276322"/>
          <c:y val="4.2027843446283165E-2"/>
        </c:manualLayout>
      </c:layout>
      <c:overlay val="0"/>
    </c:title>
    <c:autoTitleDeleted val="0"/>
    <c:plotArea>
      <c:layout/>
      <c:pieChart>
        <c:varyColors val="1"/>
        <c:ser>
          <c:idx val="0"/>
          <c:order val="0"/>
          <c:tx>
            <c:strRef>
              <c:f>Blad1!$B$3:$B$6</c:f>
              <c:strCache>
                <c:ptCount val="4"/>
                <c:pt idx="0">
                  <c:v>1</c:v>
                </c:pt>
                <c:pt idx="1">
                  <c:v>1</c:v>
                </c:pt>
                <c:pt idx="2">
                  <c:v>1</c:v>
                </c:pt>
                <c:pt idx="3">
                  <c:v>1</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996-4B0C-BA92-90F716CF97D4}"/>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996-4B0C-BA92-90F716CF97D4}"/>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996-4B0C-BA92-90F716CF97D4}"/>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996-4B0C-BA92-90F716CF97D4}"/>
              </c:ext>
            </c:extLst>
          </c:dPt>
          <c:dPt>
            <c:idx val="4"/>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996-4B0C-BA92-90F716CF97D4}"/>
              </c:ext>
            </c:extLst>
          </c:dPt>
          <c:dLbls>
            <c:dLbl>
              <c:idx val="0"/>
              <c:layout>
                <c:manualLayout>
                  <c:x val="3.5589086848897056E-2"/>
                  <c:y val="-8.50854030592313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36073823877444"/>
                      <c:h val="0.33124866774754053"/>
                    </c:manualLayout>
                  </c15:layout>
                </c:ext>
                <c:ext xmlns:c16="http://schemas.microsoft.com/office/drawing/2014/chart" uri="{C3380CC4-5D6E-409C-BE32-E72D297353CC}">
                  <c16:uniqueId val="{00000001-6996-4B0C-BA92-90F716CF97D4}"/>
                </c:ext>
              </c:extLst>
            </c:dLbl>
            <c:dLbl>
              <c:idx val="1"/>
              <c:layout>
                <c:manualLayout>
                  <c:x val="6.012634172130097E-2"/>
                  <c:y val="6.65551342587508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96-4B0C-BA92-90F716CF97D4}"/>
                </c:ext>
              </c:extLst>
            </c:dLbl>
            <c:dLbl>
              <c:idx val="2"/>
              <c:layout>
                <c:manualLayout>
                  <c:x val="-2.7342097074459066E-3"/>
                  <c:y val="-0.1129737166775400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96-4B0C-BA92-90F716CF97D4}"/>
                </c:ext>
              </c:extLst>
            </c:dLbl>
            <c:dLbl>
              <c:idx val="3"/>
              <c:layout>
                <c:manualLayout>
                  <c:x val="-0.12527426619190721"/>
                  <c:y val="-3.6999393988281018E-2"/>
                </c:manualLayout>
              </c:layou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96-4B0C-BA92-90F716CF97D4}"/>
                </c:ext>
              </c:extLst>
            </c:dLbl>
            <c:dLbl>
              <c:idx val="4"/>
              <c:layout>
                <c:manualLayout>
                  <c:x val="-8.2236842105263153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96-4B0C-BA92-90F716CF97D4}"/>
                </c:ext>
              </c:extLst>
            </c:dLbl>
            <c:dLbl>
              <c:idx val="5"/>
              <c:layout>
                <c:manualLayout>
                  <c:x val="-5.4824561403508769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96-4B0C-BA92-90F716CF97D4}"/>
                </c:ext>
              </c:extLst>
            </c:dLbl>
            <c:dLbl>
              <c:idx val="6"/>
              <c:layout>
                <c:manualLayout>
                  <c:x val="-3.8377192982456142E-2"/>
                  <c:y val="-6.6056910569105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96-4B0C-BA92-90F716CF97D4}"/>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Internal market, industry, entrepreneurship and SMEs</c:v>
                </c:pt>
                <c:pt idx="1">
                  <c:v>Energy</c:v>
                </c:pt>
                <c:pt idx="2">
                  <c:v>Mobility and transport</c:v>
                </c:pt>
                <c:pt idx="3">
                  <c:v>Taxation and customs</c:v>
                </c:pt>
              </c:strCache>
            </c:strRef>
          </c:cat>
          <c:val>
            <c:numRef>
              <c:f>Blad1!$B$3:$B$6</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6996-4B0C-BA92-90F716CF97D4}"/>
            </c:ext>
          </c:extLst>
        </c:ser>
        <c:dLbls>
          <c:showLegendKey val="0"/>
          <c:showVal val="0"/>
          <c:showCatName val="0"/>
          <c:showSerName val="0"/>
          <c:showPercent val="0"/>
          <c:showBubbleSize val="0"/>
          <c:showLeaderLines val="0"/>
        </c:dLbls>
        <c:firstSliceAng val="237"/>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217993079584777E-2"/>
          <c:y val="4.8923679060665359E-2"/>
          <c:w val="0.93909191583610185"/>
          <c:h val="0.73152723578174428"/>
        </c:manualLayout>
      </c:layout>
      <c:lineChart>
        <c:grouping val="standard"/>
        <c:varyColors val="0"/>
        <c:ser>
          <c:idx val="0"/>
          <c:order val="0"/>
          <c:tx>
            <c:strRef>
              <c:f>Blad1!$B$2</c:f>
              <c:strCache>
                <c:ptCount val="1"/>
                <c:pt idx="0">
                  <c:v>Poland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312617947549945E-2"/>
                  <c:y val="7.5225245967061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00-442E-B8C5-320338F8B8B6}"/>
                </c:ext>
              </c:extLst>
            </c:dLbl>
            <c:dLbl>
              <c:idx val="1"/>
              <c:layout>
                <c:manualLayout>
                  <c:x val="-5.5517884644584715E-2"/>
                  <c:y val="-6.3303754987282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00-442E-B8C5-320338F8B8B6}"/>
                </c:ext>
              </c:extLst>
            </c:dLbl>
            <c:dLbl>
              <c:idx val="2"/>
              <c:layout>
                <c:manualLayout>
                  <c:x val="-4.7210851540908379E-2"/>
                  <c:y val="-5.1123160043591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00-442E-B8C5-320338F8B8B6}"/>
                </c:ext>
              </c:extLst>
            </c:dLbl>
            <c:dLbl>
              <c:idx val="3"/>
              <c:layout>
                <c:manualLayout>
                  <c:x val="-5.1001930543805994E-2"/>
                  <c:y val="5.40515833353648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00-442E-B8C5-320338F8B8B6}"/>
                </c:ext>
              </c:extLst>
            </c:dLbl>
            <c:dLbl>
              <c:idx val="4"/>
              <c:layout>
                <c:manualLayout>
                  <c:x val="-4.9993275633934187E-2"/>
                  <c:y val="-4.8341906178136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00-442E-B8C5-320338F8B8B6}"/>
                </c:ext>
              </c:extLst>
            </c:dLbl>
            <c:spPr>
              <a:noFill/>
              <a:ln w="25387">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0.74</c:v>
                </c:pt>
                <c:pt idx="1">
                  <c:v>0.77</c:v>
                </c:pt>
                <c:pt idx="2">
                  <c:v>0.74</c:v>
                </c:pt>
                <c:pt idx="3">
                  <c:v>0.56999999999999995</c:v>
                </c:pt>
                <c:pt idx="4">
                  <c:v>0.74</c:v>
                </c:pt>
              </c:numCache>
            </c:numRef>
          </c:val>
          <c:smooth val="0"/>
          <c:extLst xmlns:c16r2="http://schemas.microsoft.com/office/drawing/2015/06/chart">
            <c:ext xmlns:c16="http://schemas.microsoft.com/office/drawing/2014/chart" uri="{C3380CC4-5D6E-409C-BE32-E72D297353CC}">
              <c16:uniqueId val="{00000005-5200-442E-B8C5-320338F8B8B6}"/>
            </c:ext>
          </c:extLst>
        </c:ser>
        <c:ser>
          <c:idx val="1"/>
          <c:order val="1"/>
          <c:tx>
            <c:strRef>
              <c:f>Blad1!$C$2</c:f>
              <c:strCache>
                <c:ptCount val="1"/>
                <c:pt idx="0">
                  <c:v>General rate for all Member States</c:v>
                </c:pt>
              </c:strCache>
            </c:strRef>
          </c:tx>
          <c:spPr>
            <a:ln w="25387">
              <a:solidFill>
                <a:srgbClr val="92D050"/>
              </a:solidFill>
            </a:ln>
          </c:spPr>
          <c:marker>
            <c:symbol val="square"/>
            <c:size val="4"/>
            <c:spPr>
              <a:solidFill>
                <a:srgbClr val="92D050"/>
              </a:solidFill>
              <a:ln>
                <a:solidFill>
                  <a:srgbClr val="92D050"/>
                </a:solidFill>
              </a:ln>
            </c:spPr>
          </c:marker>
          <c:dLbls>
            <c:dLbl>
              <c:idx val="1"/>
              <c:layout>
                <c:manualLayout>
                  <c:x val="-5.6646059738400471E-2"/>
                  <c:y val="5.6914344685242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3B-4938-A7A5-9CB2E1433544}"/>
                </c:ext>
              </c:extLst>
            </c:dLbl>
            <c:dLbl>
              <c:idx val="2"/>
              <c:layout>
                <c:manualLayout>
                  <c:x val="-4.8448330165625851E-2"/>
                  <c:y val="6.8322376430484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00-442E-B8C5-320338F8B8B6}"/>
                </c:ext>
              </c:extLst>
            </c:dLbl>
            <c:dLbl>
              <c:idx val="3"/>
              <c:layout>
                <c:manualLayout>
                  <c:x val="-4.4497299407821954E-2"/>
                  <c:y val="-4.1412934838253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00-442E-B8C5-320338F8B8B6}"/>
                </c:ext>
              </c:extLst>
            </c:dLbl>
            <c:dLbl>
              <c:idx val="4"/>
              <c:layout>
                <c:manualLayout>
                  <c:x val="-3.6246502245070707E-2"/>
                  <c:y val="4.06015618016788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200-442E-B8C5-320338F8B8B6}"/>
                </c:ext>
              </c:extLst>
            </c:dLbl>
            <c:spPr>
              <a:noFill/>
              <a:ln w="25387">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9-5200-442E-B8C5-320338F8B8B6}"/>
            </c:ext>
          </c:extLst>
        </c:ser>
        <c:dLbls>
          <c:showLegendKey val="0"/>
          <c:showVal val="0"/>
          <c:showCatName val="0"/>
          <c:showSerName val="0"/>
          <c:showPercent val="0"/>
          <c:showBubbleSize val="0"/>
        </c:dLbls>
        <c:marker val="1"/>
        <c:smooth val="0"/>
        <c:axId val="107947136"/>
        <c:axId val="107948672"/>
      </c:lineChart>
      <c:catAx>
        <c:axId val="107947136"/>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948672"/>
        <c:crosses val="autoZero"/>
        <c:auto val="1"/>
        <c:lblAlgn val="ctr"/>
        <c:lblOffset val="100"/>
        <c:noMultiLvlLbl val="0"/>
      </c:catAx>
      <c:valAx>
        <c:axId val="107948672"/>
        <c:scaling>
          <c:orientation val="minMax"/>
          <c:min val="0.5"/>
        </c:scaling>
        <c:delete val="1"/>
        <c:axPos val="l"/>
        <c:majorGridlines>
          <c:spPr>
            <a:ln w="9520" cap="flat" cmpd="sng" algn="ctr">
              <a:solidFill>
                <a:schemeClr val="tx1">
                  <a:lumMod val="15000"/>
                  <a:lumOff val="85000"/>
                </a:schemeClr>
              </a:solidFill>
              <a:round/>
            </a:ln>
            <a:effectLst/>
          </c:spPr>
        </c:majorGridlines>
        <c:numFmt formatCode="0%" sourceLinked="1"/>
        <c:majorTickMark val="out"/>
        <c:minorTickMark val="none"/>
        <c:tickLblPos val="nextTo"/>
        <c:crossAx val="107947136"/>
        <c:crosses val="autoZero"/>
        <c:crossBetween val="between"/>
      </c:valAx>
      <c:spPr>
        <a:noFill/>
        <a:ln w="25387">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Hungary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4A7-4CBD-9A5B-0292656FB3ED}"/>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4A7-4CBD-9A5B-0292656FB3ED}"/>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4A7-4CBD-9A5B-0292656FB3ED}"/>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4A7-4CBD-9A5B-0292656FB3ED}"/>
              </c:ext>
            </c:extLst>
          </c:dPt>
          <c:dPt>
            <c:idx val="4"/>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4A7-4CBD-9A5B-0292656FB3ED}"/>
              </c:ext>
            </c:extLst>
          </c:dPt>
          <c:dLbls>
            <c:dLbl>
              <c:idx val="0"/>
              <c:layout>
                <c:manualLayout>
                  <c:x val="-1.5582217408110462E-3"/>
                  <c:y val="-0.112457372741777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087252665138451"/>
                      <c:h val="0.33057830755708145"/>
                    </c:manualLayout>
                  </c15:layout>
                </c:ext>
                <c:ext xmlns:c16="http://schemas.microsoft.com/office/drawing/2014/chart" uri="{C3380CC4-5D6E-409C-BE32-E72D297353CC}">
                  <c16:uniqueId val="{00000001-D4A7-4CBD-9A5B-0292656FB3ED}"/>
                </c:ext>
              </c:extLst>
            </c:dLbl>
            <c:dLbl>
              <c:idx val="1"/>
              <c:layout>
                <c:manualLayout>
                  <c:x val="1.7664476269742914E-2"/>
                  <c:y val="0.1920408411495924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2460002734855734"/>
                      <c:h val="0.21177545170596021"/>
                    </c:manualLayout>
                  </c15:layout>
                </c:ext>
                <c:ext xmlns:c16="http://schemas.microsoft.com/office/drawing/2014/chart" uri="{C3380CC4-5D6E-409C-BE32-E72D297353CC}">
                  <c16:uniqueId val="{00000003-D4A7-4CBD-9A5B-0292656FB3ED}"/>
                </c:ext>
              </c:extLst>
            </c:dLbl>
            <c:dLbl>
              <c:idx val="2"/>
              <c:layout>
                <c:manualLayout>
                  <c:x val="5.476580913506409E-2"/>
                  <c:y val="-0.1094446986470399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4A7-4CBD-9A5B-0292656FB3ED}"/>
                </c:ext>
              </c:extLst>
            </c:dLbl>
            <c:dLbl>
              <c:idx val="3"/>
              <c:layout>
                <c:manualLayout>
                  <c:x val="0.16990878189406652"/>
                  <c:y val="-1.319277239105442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A7-4CBD-9A5B-0292656FB3ED}"/>
                </c:ext>
              </c:extLst>
            </c:dLbl>
            <c:dLbl>
              <c:idx val="4"/>
              <c:layout>
                <c:manualLayout>
                  <c:x val="-2.7412280701754384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A7-4CBD-9A5B-0292656FB3ED}"/>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Internal market, industry, entrepreneurship and SMEs</c:v>
                </c:pt>
                <c:pt idx="1">
                  <c:v>Energy</c:v>
                </c:pt>
                <c:pt idx="2">
                  <c:v>Mobility and transport</c:v>
                </c:pt>
              </c:strCache>
            </c:strRef>
          </c:cat>
          <c:val>
            <c:numRef>
              <c:f>Blad1!$B$3:$B$5</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A-D4A7-4CBD-9A5B-0292656FB3ED}"/>
            </c:ext>
          </c:extLst>
        </c:ser>
        <c:dLbls>
          <c:showLegendKey val="0"/>
          <c:showVal val="0"/>
          <c:showCatName val="0"/>
          <c:showSerName val="0"/>
          <c:showPercent val="0"/>
          <c:showBubbleSize val="0"/>
          <c:showLeaderLines val="0"/>
        </c:dLbls>
        <c:firstSliceAng val="203"/>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2277777777777775E-2"/>
                  <c:y val="-7.07909604519774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A8-4315-BCA5-076C1EA3B510}"/>
                </c:ext>
              </c:extLst>
            </c:dLbl>
            <c:dLbl>
              <c:idx val="1"/>
              <c:layout>
                <c:manualLayout>
                  <c:x val="-4.2277777777777775E-2"/>
                  <c:y val="-6.3696452466525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A8-4315-BCA5-076C1EA3B510}"/>
                </c:ext>
              </c:extLst>
            </c:dLbl>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79</c:v>
                </c:pt>
                <c:pt idx="1">
                  <c:v>78</c:v>
                </c:pt>
                <c:pt idx="2">
                  <c:v>76</c:v>
                </c:pt>
                <c:pt idx="3">
                  <c:v>70</c:v>
                </c:pt>
                <c:pt idx="4">
                  <c:v>70</c:v>
                </c:pt>
              </c:numCache>
            </c:numRef>
          </c:val>
          <c:smooth val="0"/>
          <c:extLst xmlns:c16r2="http://schemas.microsoft.com/office/drawing/2015/06/chart">
            <c:ext xmlns:c16="http://schemas.microsoft.com/office/drawing/2014/chart" uri="{C3380CC4-5D6E-409C-BE32-E72D297353CC}">
              <c16:uniqueId val="{00000002-24A8-4315-BCA5-076C1EA3B510}"/>
            </c:ext>
          </c:extLst>
        </c:ser>
        <c:dLbls>
          <c:showLegendKey val="0"/>
          <c:showVal val="0"/>
          <c:showCatName val="0"/>
          <c:showSerName val="0"/>
          <c:showPercent val="0"/>
          <c:showBubbleSize val="0"/>
        </c:dLbls>
        <c:marker val="1"/>
        <c:smooth val="0"/>
        <c:axId val="108007424"/>
        <c:axId val="108008960"/>
      </c:lineChart>
      <c:catAx>
        <c:axId val="108007424"/>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008960"/>
        <c:crosses val="autoZero"/>
        <c:auto val="1"/>
        <c:lblAlgn val="ctr"/>
        <c:lblOffset val="100"/>
        <c:noMultiLvlLbl val="0"/>
      </c:catAx>
      <c:valAx>
        <c:axId val="108008960"/>
        <c:scaling>
          <c:orientation val="minMax"/>
          <c:min val="60"/>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108007424"/>
        <c:crosses val="autoZero"/>
        <c:crossBetween val="between"/>
      </c:valAx>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New infringement cases against Poland</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099-4D82-9478-480DC0D51E3D}"/>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099-4D82-9478-480DC0D51E3D}"/>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099-4D82-9478-480DC0D51E3D}"/>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099-4D82-9478-480DC0D51E3D}"/>
              </c:ext>
            </c:extLst>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099-4D82-9478-480DC0D51E3D}"/>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099-4D82-9478-480DC0D51E3D}"/>
              </c:ext>
            </c:extLst>
          </c:dPt>
          <c:dPt>
            <c:idx val="6"/>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0099-4D82-9478-480DC0D51E3D}"/>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636D-4727-B094-0D91ACC18CB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99-4D82-9478-480DC0D51E3D}"/>
                </c:ext>
              </c:extLst>
            </c:dLbl>
            <c:dLbl>
              <c:idx val="1"/>
              <c:layout>
                <c:manualLayout>
                  <c:x val="-2.8800074823609185E-3"/>
                  <c:y val="8.92745406824146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99-4D82-9478-480DC0D51E3D}"/>
                </c:ext>
              </c:extLst>
            </c:dLbl>
            <c:dLbl>
              <c:idx val="2"/>
              <c:layout>
                <c:manualLayout>
                  <c:x val="-5.6361203512662522E-2"/>
                  <c:y val="0.16608708894323362"/>
                </c:manualLayout>
              </c:layout>
              <c:spPr>
                <a:noFill/>
                <a:ln w="25345">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8245703912679365"/>
                      <c:h val="0.33031854379977249"/>
                    </c:manualLayout>
                  </c15:layout>
                </c:ext>
                <c:ext xmlns:c16="http://schemas.microsoft.com/office/drawing/2014/chart" uri="{C3380CC4-5D6E-409C-BE32-E72D297353CC}">
                  <c16:uniqueId val="{00000005-0099-4D82-9478-480DC0D51E3D}"/>
                </c:ext>
              </c:extLst>
            </c:dLbl>
            <c:dLbl>
              <c:idx val="3"/>
              <c:layout>
                <c:manualLayout>
                  <c:x val="3.355696848054421E-3"/>
                  <c:y val="7.80060555570485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99-4D82-9478-480DC0D51E3D}"/>
                </c:ext>
              </c:extLst>
            </c:dLbl>
            <c:dLbl>
              <c:idx val="4"/>
              <c:layout>
                <c:manualLayout>
                  <c:x val="1.8321239256857598E-3"/>
                  <c:y val="2.200917291481904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99-4D82-9478-480DC0D51E3D}"/>
                </c:ext>
              </c:extLst>
            </c:dLbl>
            <c:dLbl>
              <c:idx val="5"/>
              <c:layout>
                <c:manualLayout>
                  <c:x val="8.998741467476994E-3"/>
                  <c:y val="-5.95021185491745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099-4D82-9478-480DC0D51E3D}"/>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Environment</c:v>
                </c:pt>
                <c:pt idx="2">
                  <c:v>Internal market, industry, entrepreneurship and SMEs</c:v>
                </c:pt>
                <c:pt idx="3">
                  <c:v>Mobility and transport</c:v>
                </c:pt>
                <c:pt idx="4">
                  <c:v>Energy</c:v>
                </c:pt>
                <c:pt idx="5">
                  <c:v>Justice and consumers</c:v>
                </c:pt>
                <c:pt idx="6">
                  <c:v>Communication networks</c:v>
                </c:pt>
                <c:pt idx="7">
                  <c:v>Other</c:v>
                </c:pt>
              </c:strCache>
            </c:strRef>
          </c:cat>
          <c:val>
            <c:numRef>
              <c:f>Blad1!$B$2:$B$9</c:f>
              <c:numCache>
                <c:formatCode>General</c:formatCode>
                <c:ptCount val="8"/>
                <c:pt idx="0">
                  <c:v>0</c:v>
                </c:pt>
                <c:pt idx="1">
                  <c:v>5</c:v>
                </c:pt>
                <c:pt idx="2">
                  <c:v>4</c:v>
                </c:pt>
                <c:pt idx="3">
                  <c:v>4</c:v>
                </c:pt>
                <c:pt idx="4">
                  <c:v>4</c:v>
                </c:pt>
                <c:pt idx="5">
                  <c:v>3</c:v>
                </c:pt>
                <c:pt idx="6">
                  <c:v>3</c:v>
                </c:pt>
                <c:pt idx="7">
                  <c:v>6</c:v>
                </c:pt>
              </c:numCache>
            </c:numRef>
          </c:val>
          <c:extLst xmlns:c16r2="http://schemas.microsoft.com/office/drawing/2015/06/chart">
            <c:ext xmlns:c16="http://schemas.microsoft.com/office/drawing/2014/chart" uri="{C3380CC4-5D6E-409C-BE32-E72D297353CC}">
              <c16:uniqueId val="{0000000D-0099-4D82-9478-480DC0D51E3D}"/>
            </c:ext>
          </c:extLst>
        </c:ser>
        <c:dLbls>
          <c:showLegendKey val="0"/>
          <c:showVal val="0"/>
          <c:showCatName val="0"/>
          <c:showSerName val="0"/>
          <c:showPercent val="0"/>
          <c:showBubbleSize val="0"/>
          <c:showLeaderLines val="0"/>
        </c:dLbls>
        <c:firstSliceAng val="238"/>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4444444444445E-2"/>
          <c:y val="6.5476190476190479E-2"/>
          <c:w val="0.93888888888888888"/>
          <c:h val="0.8042181951442283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352641473449038E-2"/>
                  <c:y val="6.43796854585723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EA-4092-BCF7-73479A844F70}"/>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23</c:v>
                </c:pt>
                <c:pt idx="1">
                  <c:v>30</c:v>
                </c:pt>
                <c:pt idx="2">
                  <c:v>39</c:v>
                </c:pt>
                <c:pt idx="3">
                  <c:v>39</c:v>
                </c:pt>
                <c:pt idx="4">
                  <c:v>33</c:v>
                </c:pt>
              </c:numCache>
            </c:numRef>
          </c:val>
          <c:smooth val="0"/>
          <c:extLst xmlns:c16r2="http://schemas.microsoft.com/office/drawing/2015/06/chart">
            <c:ext xmlns:c16="http://schemas.microsoft.com/office/drawing/2014/chart" uri="{C3380CC4-5D6E-409C-BE32-E72D297353CC}">
              <c16:uniqueId val="{00000001-D6EA-4092-BCF7-73479A844F70}"/>
            </c:ext>
          </c:extLst>
        </c:ser>
        <c:dLbls>
          <c:showLegendKey val="0"/>
          <c:showVal val="0"/>
          <c:showCatName val="0"/>
          <c:showSerName val="0"/>
          <c:showPercent val="0"/>
          <c:showBubbleSize val="0"/>
        </c:dLbls>
        <c:marker val="1"/>
        <c:smooth val="0"/>
        <c:axId val="107092224"/>
        <c:axId val="107098112"/>
      </c:lineChart>
      <c:catAx>
        <c:axId val="107092224"/>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098112"/>
        <c:crosses val="autoZero"/>
        <c:auto val="1"/>
        <c:lblAlgn val="ctr"/>
        <c:lblOffset val="100"/>
        <c:noMultiLvlLbl val="0"/>
      </c:catAx>
      <c:valAx>
        <c:axId val="107098112"/>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07092224"/>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4444444444445E-2"/>
          <c:y val="6.5476190476190479E-2"/>
          <c:w val="0.93888888888888888"/>
          <c:h val="0.8042181951442283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18</c:v>
                </c:pt>
                <c:pt idx="1">
                  <c:v>22</c:v>
                </c:pt>
                <c:pt idx="2">
                  <c:v>36</c:v>
                </c:pt>
                <c:pt idx="3">
                  <c:v>21</c:v>
                </c:pt>
                <c:pt idx="4">
                  <c:v>16</c:v>
                </c:pt>
              </c:numCache>
            </c:numRef>
          </c:val>
          <c:smooth val="0"/>
          <c:extLst xmlns:c16r2="http://schemas.microsoft.com/office/drawing/2015/06/chart">
            <c:ext xmlns:c16="http://schemas.microsoft.com/office/drawing/2014/chart" uri="{C3380CC4-5D6E-409C-BE32-E72D297353CC}">
              <c16:uniqueId val="{00000002-796E-4D6F-B699-EDFA124FA2CD}"/>
            </c:ext>
          </c:extLst>
        </c:ser>
        <c:dLbls>
          <c:dLblPos val="b"/>
          <c:showLegendKey val="0"/>
          <c:showVal val="1"/>
          <c:showCatName val="0"/>
          <c:showSerName val="0"/>
          <c:showPercent val="0"/>
          <c:showBubbleSize val="0"/>
        </c:dLbls>
        <c:marker val="1"/>
        <c:smooth val="0"/>
        <c:axId val="107104896"/>
        <c:axId val="107124224"/>
      </c:lineChart>
      <c:catAx>
        <c:axId val="107104896"/>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124224"/>
        <c:crosses val="autoZero"/>
        <c:auto val="1"/>
        <c:lblAlgn val="ctr"/>
        <c:lblOffset val="100"/>
        <c:noMultiLvlLbl val="0"/>
      </c:catAx>
      <c:valAx>
        <c:axId val="107124224"/>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07104896"/>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16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9">
          <a:noFill/>
        </a:ln>
      </c:spPr>
    </c:title>
    <c:autoTitleDeleted val="0"/>
    <c:plotArea>
      <c:layout>
        <c:manualLayout>
          <c:layoutTarget val="inner"/>
          <c:xMode val="edge"/>
          <c:yMode val="edge"/>
          <c:x val="0.34659706291038878"/>
          <c:y val="0.2832780063248595"/>
          <c:w val="0.31418227392856168"/>
          <c:h val="0.59626134203673709"/>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C15-4FEF-95FF-504A4F376DAC}"/>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C15-4FEF-95FF-504A4F376DAC}"/>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C15-4FEF-95FF-504A4F376DAC}"/>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C15-4FEF-95FF-504A4F376DAC}"/>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C15-4FEF-95FF-504A4F376DAC}"/>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6C15-4FEF-95FF-504A4F376DAC}"/>
              </c:ext>
            </c:extLst>
          </c:dPt>
          <c:dPt>
            <c:idx val="6"/>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6C15-4FEF-95FF-504A4F376DAC}"/>
              </c:ext>
            </c:extLst>
          </c:dPt>
          <c:dPt>
            <c:idx val="7"/>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0-CB0C-46EF-935D-2B087486A2C8}"/>
              </c:ext>
            </c:extLst>
          </c:dPt>
          <c:dPt>
            <c:idx val="8"/>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CB0C-46EF-935D-2B087486A2C8}"/>
              </c:ext>
            </c:extLst>
          </c:dPt>
          <c:dPt>
            <c:idx val="9"/>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CB0C-46EF-935D-2B087486A2C8}"/>
              </c:ext>
            </c:extLst>
          </c:dPt>
          <c:dLbls>
            <c:dLbl>
              <c:idx val="0"/>
              <c:layout>
                <c:manualLayout>
                  <c:x val="-0.13008876658583773"/>
                  <c:y val="-4.3972044865559829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15-4FEF-95FF-504A4F376DAC}"/>
                </c:ext>
              </c:extLst>
            </c:dLbl>
            <c:dLbl>
              <c:idx val="1"/>
              <c:layout>
                <c:manualLayout>
                  <c:x val="7.3390186088330657E-3"/>
                  <c:y val="-1.4347172324499722E-2"/>
                </c:manualLayout>
              </c:layout>
              <c:spPr>
                <a:noFill/>
                <a:ln w="25379">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9118349998637713"/>
                      <c:h val="0.17880241329171911"/>
                    </c:manualLayout>
                  </c15:layout>
                </c:ext>
                <c:ext xmlns:c16="http://schemas.microsoft.com/office/drawing/2014/chart" uri="{C3380CC4-5D6E-409C-BE32-E72D297353CC}">
                  <c16:uniqueId val="{00000003-6C15-4FEF-95FF-504A4F376DAC}"/>
                </c:ext>
              </c:extLst>
            </c:dLbl>
            <c:dLbl>
              <c:idx val="2"/>
              <c:layout>
                <c:manualLayout>
                  <c:x val="-3.3004168596572514E-2"/>
                  <c:y val="0.1524253912705356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15-4FEF-95FF-504A4F376DAC}"/>
                </c:ext>
              </c:extLst>
            </c:dLbl>
            <c:dLbl>
              <c:idx val="3"/>
              <c:layout>
                <c:manualLayout>
                  <c:x val="-7.7548429283709752E-2"/>
                  <c:y val="7.9315972028319151E-2"/>
                </c:manualLayout>
              </c:layout>
              <c:spPr>
                <a:noFill/>
                <a:ln w="25379">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211083562651554"/>
                      <c:h val="0.17717383435817569"/>
                    </c:manualLayout>
                  </c15:layout>
                </c:ext>
                <c:ext xmlns:c16="http://schemas.microsoft.com/office/drawing/2014/chart" uri="{C3380CC4-5D6E-409C-BE32-E72D297353CC}">
                  <c16:uniqueId val="{00000007-6C15-4FEF-95FF-504A4F376DAC}"/>
                </c:ext>
              </c:extLst>
            </c:dLbl>
            <c:dLbl>
              <c:idx val="4"/>
              <c:layout>
                <c:manualLayout>
                  <c:x val="-3.6100155300656619E-2"/>
                  <c:y val="4.202784344628316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C15-4FEF-95FF-504A4F376DAC}"/>
                </c:ext>
              </c:extLst>
            </c:dLbl>
            <c:dLbl>
              <c:idx val="5"/>
              <c:layout>
                <c:manualLayout>
                  <c:x val="4.6993324796338075E-2"/>
                  <c:y val="0.11295024292176244"/>
                </c:manualLayout>
              </c:layout>
              <c:spPr>
                <a:noFill/>
                <a:ln w="25379">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283044982698962"/>
                      <c:h val="0.24384050102484234"/>
                    </c:manualLayout>
                  </c15:layout>
                </c:ext>
                <c:ext xmlns:c16="http://schemas.microsoft.com/office/drawing/2014/chart" uri="{C3380CC4-5D6E-409C-BE32-E72D297353CC}">
                  <c16:uniqueId val="{0000000B-6C15-4FEF-95FF-504A4F376DAC}"/>
                </c:ext>
              </c:extLst>
            </c:dLbl>
            <c:dLbl>
              <c:idx val="6"/>
              <c:layout>
                <c:manualLayout>
                  <c:x val="8.3044982698961944E-3"/>
                  <c:y val="5.77882847386392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C15-4FEF-95FF-504A4F376DAC}"/>
                </c:ext>
              </c:extLst>
            </c:dLbl>
            <c:dLbl>
              <c:idx val="7"/>
              <c:layout>
                <c:manualLayout>
                  <c:x val="0"/>
                  <c:y val="5.778828473863934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B0C-46EF-935D-2B087486A2C8}"/>
                </c:ext>
              </c:extLst>
            </c:dLbl>
            <c:dLbl>
              <c:idx val="8"/>
              <c:layout>
                <c:manualLayout>
                  <c:x val="-1.1072664359861591E-2"/>
                  <c:y val="2.62674021539269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B0C-46EF-935D-2B087486A2C8}"/>
                </c:ext>
              </c:extLst>
            </c:dLbl>
            <c:dLbl>
              <c:idx val="9"/>
              <c:layout>
                <c:manualLayout>
                  <c:x val="-2.4913494809688581E-2"/>
                  <c:y val="2.10139217231414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B0C-46EF-935D-2B087486A2C8}"/>
                </c:ext>
              </c:extLst>
            </c:dLbl>
            <c:spPr>
              <a:noFill/>
              <a:ln w="25379">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Blad1!$A$4:$A$13</c:f>
              <c:strCache>
                <c:ptCount val="10"/>
                <c:pt idx="0">
                  <c:v>Communication networks</c:v>
                </c:pt>
                <c:pt idx="1">
                  <c:v>Mobility and transport</c:v>
                </c:pt>
                <c:pt idx="2">
                  <c:v>Internal market, industry, entrepreneurship and SMEs</c:v>
                </c:pt>
                <c:pt idx="3">
                  <c:v>Migration and home affairs</c:v>
                </c:pt>
                <c:pt idx="4">
                  <c:v>Justice and consumers</c:v>
                </c:pt>
                <c:pt idx="5">
                  <c:v>Financial stability, financial services and Capital Markets Union</c:v>
                </c:pt>
                <c:pt idx="6">
                  <c:v>Environment</c:v>
                </c:pt>
                <c:pt idx="7">
                  <c:v>Health and food safety</c:v>
                </c:pt>
                <c:pt idx="8">
                  <c:v>Energy</c:v>
                </c:pt>
                <c:pt idx="9">
                  <c:v>Taxation and customs</c:v>
                </c:pt>
              </c:strCache>
            </c:strRef>
          </c:cat>
          <c:val>
            <c:numRef>
              <c:f>Blad1!$B$4:$B$13</c:f>
              <c:numCache>
                <c:formatCode>General</c:formatCode>
                <c:ptCount val="10"/>
                <c:pt idx="0">
                  <c:v>3</c:v>
                </c:pt>
                <c:pt idx="1">
                  <c:v>3</c:v>
                </c:pt>
                <c:pt idx="2">
                  <c:v>2</c:v>
                </c:pt>
                <c:pt idx="3">
                  <c:v>2</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E-6C15-4FEF-95FF-504A4F376DAC}"/>
            </c:ext>
          </c:extLst>
        </c:ser>
        <c:dLbls>
          <c:showLegendKey val="0"/>
          <c:showVal val="0"/>
          <c:showCatName val="0"/>
          <c:showSerName val="0"/>
          <c:showPercent val="0"/>
          <c:showBubbleSize val="0"/>
          <c:showLeaderLines val="0"/>
        </c:dLbls>
        <c:firstSliceAng val="150"/>
      </c:pieChart>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11111111111109E-2"/>
          <c:y val="8.3333333333333329E-2"/>
          <c:w val="0.93888888888888888"/>
          <c:h val="0.82822916666666668"/>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7654088221671255E-2"/>
                  <c:y val="8.98399313777709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C7-4747-86B2-1D95E645E055}"/>
                </c:ext>
              </c:extLst>
            </c:dLbl>
            <c:dLbl>
              <c:idx val="3"/>
              <c:layout>
                <c:manualLayout>
                  <c:x val="-4.7621132420688078E-2"/>
                  <c:y val="8.9986608816755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C7-4747-86B2-1D95E645E055}"/>
                </c:ext>
              </c:extLst>
            </c:dLbl>
            <c:spPr>
              <a:noFill/>
              <a:ln w="2536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105</c:v>
                </c:pt>
                <c:pt idx="1">
                  <c:v>88</c:v>
                </c:pt>
                <c:pt idx="2">
                  <c:v>76</c:v>
                </c:pt>
                <c:pt idx="3">
                  <c:v>111</c:v>
                </c:pt>
                <c:pt idx="4">
                  <c:v>161</c:v>
                </c:pt>
              </c:numCache>
            </c:numRef>
          </c:val>
          <c:smooth val="0"/>
          <c:extLst xmlns:c16r2="http://schemas.microsoft.com/office/drawing/2015/06/chart">
            <c:ext xmlns:c16="http://schemas.microsoft.com/office/drawing/2014/chart" uri="{C3380CC4-5D6E-409C-BE32-E72D297353CC}">
              <c16:uniqueId val="{00000002-15C7-4747-86B2-1D95E645E055}"/>
            </c:ext>
          </c:extLst>
        </c:ser>
        <c:dLbls>
          <c:showLegendKey val="0"/>
          <c:showVal val="0"/>
          <c:showCatName val="0"/>
          <c:showSerName val="0"/>
          <c:showPercent val="0"/>
          <c:showBubbleSize val="0"/>
        </c:dLbls>
        <c:marker val="1"/>
        <c:smooth val="0"/>
        <c:axId val="108459136"/>
        <c:axId val="108460672"/>
      </c:lineChart>
      <c:catAx>
        <c:axId val="108459136"/>
        <c:scaling>
          <c:orientation val="minMax"/>
        </c:scaling>
        <c:delete val="0"/>
        <c:axPos val="b"/>
        <c:numFmt formatCode="General" sourceLinked="1"/>
        <c:majorTickMark val="none"/>
        <c:minorTickMark val="none"/>
        <c:tickLblPos val="nextTo"/>
        <c:spPr>
          <a:noFill/>
          <a:ln w="1268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460672"/>
        <c:crosses val="autoZero"/>
        <c:auto val="1"/>
        <c:lblAlgn val="ctr"/>
        <c:lblOffset val="100"/>
        <c:noMultiLvlLbl val="0"/>
      </c:catAx>
      <c:valAx>
        <c:axId val="108460672"/>
        <c:scaling>
          <c:orientation val="minMax"/>
          <c:min val="50"/>
        </c:scaling>
        <c:delete val="1"/>
        <c:axPos val="l"/>
        <c:majorGridlines>
          <c:spPr>
            <a:ln w="9510" cap="flat" cmpd="sng" algn="ctr">
              <a:solidFill>
                <a:schemeClr val="tx1">
                  <a:lumMod val="15000"/>
                  <a:lumOff val="85000"/>
                </a:schemeClr>
              </a:solidFill>
              <a:round/>
            </a:ln>
            <a:effectLst/>
          </c:spPr>
        </c:majorGridlines>
        <c:numFmt formatCode="General" sourceLinked="1"/>
        <c:majorTickMark val="out"/>
        <c:minorTickMark val="none"/>
        <c:tickLblPos val="nextTo"/>
        <c:crossAx val="108459136"/>
        <c:crosses val="autoZero"/>
        <c:crossBetween val="between"/>
      </c:valAx>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161 complaints made against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58">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8DA-495D-9F47-06F46B357576}"/>
              </c:ext>
            </c:extLst>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8DA-495D-9F47-06F46B357576}"/>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8DA-495D-9F47-06F46B357576}"/>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8DA-495D-9F47-06F46B357576}"/>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8DA-495D-9F47-06F46B357576}"/>
              </c:ext>
            </c:extLst>
          </c:dPt>
          <c:dLbls>
            <c:dLbl>
              <c:idx val="0"/>
              <c:layout>
                <c:manualLayout>
                  <c:x val="-4.6438109890489812E-2"/>
                  <c:y val="0.15849277915280752"/>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DA-495D-9F47-06F46B357576}"/>
                </c:ext>
              </c:extLst>
            </c:dLbl>
            <c:dLbl>
              <c:idx val="1"/>
              <c:layout>
                <c:manualLayout>
                  <c:x val="-1.3715783468888562E-2"/>
                  <c:y val="-5.7629156936184318E-2"/>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DA-495D-9F47-06F46B357576}"/>
                </c:ext>
              </c:extLst>
            </c:dLbl>
            <c:dLbl>
              <c:idx val="2"/>
              <c:layout>
                <c:manualLayout>
                  <c:x val="1.1107677813599316E-2"/>
                  <c:y val="-3.7818141783097323E-2"/>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DA-495D-9F47-06F46B357576}"/>
                </c:ext>
              </c:extLst>
            </c:dLbl>
            <c:dLbl>
              <c:idx val="3"/>
              <c:layout>
                <c:manualLayout>
                  <c:x val="-7.1507256022195903E-2"/>
                  <c:y val="-0.10872832210843243"/>
                </c:manualLayout>
              </c:layout>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DA-495D-9F47-06F46B357576}"/>
                </c:ext>
              </c:extLst>
            </c:dLbl>
            <c:spPr>
              <a:noFill/>
              <a:ln w="2535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Taxation and customs</c:v>
                </c:pt>
                <c:pt idx="1">
                  <c:v>Employment</c:v>
                </c:pt>
                <c:pt idx="2">
                  <c:v>Justice and consumers</c:v>
                </c:pt>
                <c:pt idx="3">
                  <c:v>Other</c:v>
                </c:pt>
              </c:strCache>
            </c:strRef>
          </c:cat>
          <c:val>
            <c:numRef>
              <c:f>Blad1!$B$3:$B$6</c:f>
              <c:numCache>
                <c:formatCode>General</c:formatCode>
                <c:ptCount val="4"/>
                <c:pt idx="0">
                  <c:v>64</c:v>
                </c:pt>
                <c:pt idx="1">
                  <c:v>26</c:v>
                </c:pt>
                <c:pt idx="2">
                  <c:v>24</c:v>
                </c:pt>
                <c:pt idx="3">
                  <c:v>47</c:v>
                </c:pt>
              </c:numCache>
            </c:numRef>
          </c:val>
          <c:extLst xmlns:c16r2="http://schemas.microsoft.com/office/drawing/2015/06/chart">
            <c:ext xmlns:c16="http://schemas.microsoft.com/office/drawing/2014/chart" uri="{C3380CC4-5D6E-409C-BE32-E72D297353CC}">
              <c16:uniqueId val="{0000000A-D8DA-495D-9F47-06F46B357576}"/>
            </c:ext>
          </c:extLst>
        </c:ser>
        <c:dLbls>
          <c:showLegendKey val="0"/>
          <c:showVal val="0"/>
          <c:showCatName val="0"/>
          <c:showSerName val="0"/>
          <c:showPercent val="0"/>
          <c:showBubbleSize val="0"/>
          <c:showLeaderLines val="0"/>
        </c:dLbls>
        <c:firstSliceAng val="262"/>
      </c:pieChart>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7631724902939548E-2"/>
                  <c:y val="6.8144818046392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60-48C8-B03E-CB4B9C27DE14}"/>
                </c:ext>
              </c:extLst>
            </c:dLbl>
            <c:dLbl>
              <c:idx val="4"/>
              <c:layout>
                <c:manualLayout>
                  <c:x val="-3.7631724902939548E-2"/>
                  <c:y val="5.1252482797758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60-48C8-B03E-CB4B9C27DE14}"/>
                </c:ext>
              </c:extLst>
            </c:dLbl>
            <c:spPr>
              <a:noFill/>
              <a:ln w="25382">
                <a:noFill/>
              </a:ln>
            </c:spPr>
            <c:txPr>
              <a:bodyPr rot="0" vert="horz"/>
              <a:lstStyle/>
              <a:p>
                <a:pPr>
                  <a:defRPr>
                    <a:solidFill>
                      <a:schemeClr val="accent2"/>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45</c:v>
                </c:pt>
                <c:pt idx="1">
                  <c:v>42</c:v>
                </c:pt>
                <c:pt idx="2">
                  <c:v>32</c:v>
                </c:pt>
                <c:pt idx="3">
                  <c:v>6</c:v>
                </c:pt>
                <c:pt idx="4">
                  <c:v>6</c:v>
                </c:pt>
              </c:numCache>
            </c:numRef>
          </c:val>
          <c:smooth val="0"/>
          <c:extLst xmlns:c16r2="http://schemas.microsoft.com/office/drawing/2015/06/chart">
            <c:ext xmlns:c16="http://schemas.microsoft.com/office/drawing/2014/chart" uri="{C3380CC4-5D6E-409C-BE32-E72D297353CC}">
              <c16:uniqueId val="{00000002-C460-48C8-B03E-CB4B9C27DE14}"/>
            </c:ext>
          </c:extLst>
        </c:ser>
        <c:dLbls>
          <c:showLegendKey val="0"/>
          <c:showVal val="0"/>
          <c:showCatName val="0"/>
          <c:showSerName val="0"/>
          <c:showPercent val="0"/>
          <c:showBubbleSize val="0"/>
        </c:dLbls>
        <c:marker val="1"/>
        <c:smooth val="0"/>
        <c:axId val="109143552"/>
        <c:axId val="109145088"/>
      </c:lineChart>
      <c:catAx>
        <c:axId val="109143552"/>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vert="horz"/>
          <a:lstStyle/>
          <a:p>
            <a:pPr>
              <a:defRPr sz="899">
                <a:latin typeface="Arial" panose="020B0604020202020204" pitchFamily="34" charset="0"/>
                <a:cs typeface="Arial" panose="020B0604020202020204" pitchFamily="34" charset="0"/>
              </a:defRPr>
            </a:pPr>
            <a:endParaRPr lang="en-US"/>
          </a:p>
        </c:txPr>
        <c:crossAx val="109145088"/>
        <c:crosses val="autoZero"/>
        <c:auto val="1"/>
        <c:lblAlgn val="ctr"/>
        <c:lblOffset val="100"/>
        <c:noMultiLvlLbl val="0"/>
      </c:catAx>
      <c:valAx>
        <c:axId val="109145088"/>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109143552"/>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7631724902939548E-2"/>
                  <c:y val="6.8144818046392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2F-4BF3-8063-8EFBFEC05E2E}"/>
                </c:ext>
              </c:extLst>
            </c:dLbl>
            <c:dLbl>
              <c:idx val="4"/>
              <c:layout>
                <c:manualLayout>
                  <c:x val="-3.7631724902939548E-2"/>
                  <c:y val="5.1252482797758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2F-4BF3-8063-8EFBFEC05E2E}"/>
                </c:ext>
              </c:extLst>
            </c:dLbl>
            <c:spPr>
              <a:noFill/>
              <a:ln w="25382">
                <a:noFill/>
              </a:ln>
            </c:spPr>
            <c:txPr>
              <a:bodyPr rot="0" vert="horz"/>
              <a:lstStyle/>
              <a:p>
                <a:pPr>
                  <a:defRPr>
                    <a:solidFill>
                      <a:schemeClr val="accent2"/>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55</c:v>
                </c:pt>
                <c:pt idx="1">
                  <c:v>57</c:v>
                </c:pt>
                <c:pt idx="2">
                  <c:v>46</c:v>
                </c:pt>
                <c:pt idx="3">
                  <c:v>28</c:v>
                </c:pt>
                <c:pt idx="4">
                  <c:v>20</c:v>
                </c:pt>
              </c:numCache>
            </c:numRef>
          </c:val>
          <c:smooth val="0"/>
          <c:extLst xmlns:c16r2="http://schemas.microsoft.com/office/drawing/2015/06/chart">
            <c:ext xmlns:c16="http://schemas.microsoft.com/office/drawing/2014/chart" uri="{C3380CC4-5D6E-409C-BE32-E72D297353CC}">
              <c16:uniqueId val="{00000002-EF2F-4BF3-8063-8EFBFEC05E2E}"/>
            </c:ext>
          </c:extLst>
        </c:ser>
        <c:dLbls>
          <c:showLegendKey val="0"/>
          <c:showVal val="0"/>
          <c:showCatName val="0"/>
          <c:showSerName val="0"/>
          <c:showPercent val="0"/>
          <c:showBubbleSize val="0"/>
        </c:dLbls>
        <c:marker val="1"/>
        <c:smooth val="0"/>
        <c:axId val="108953600"/>
        <c:axId val="108955136"/>
      </c:lineChart>
      <c:catAx>
        <c:axId val="108953600"/>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vert="horz"/>
          <a:lstStyle/>
          <a:p>
            <a:pPr>
              <a:defRPr sz="899">
                <a:latin typeface="Arial" panose="020B0604020202020204" pitchFamily="34" charset="0"/>
                <a:cs typeface="Arial" panose="020B0604020202020204" pitchFamily="34" charset="0"/>
              </a:defRPr>
            </a:pPr>
            <a:endParaRPr lang="en-US"/>
          </a:p>
        </c:txPr>
        <c:crossAx val="108955136"/>
        <c:crosses val="autoZero"/>
        <c:auto val="1"/>
        <c:lblAlgn val="ctr"/>
        <c:lblOffset val="100"/>
        <c:noMultiLvlLbl val="0"/>
      </c:catAx>
      <c:valAx>
        <c:axId val="108955136"/>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108953600"/>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Portugal</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E92-4DAF-BECA-F0E0449BD01F}"/>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E92-4DAF-BECA-F0E0449BD01F}"/>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E92-4DAF-BECA-F0E0449BD01F}"/>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E92-4DAF-BECA-F0E0449BD01F}"/>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E92-4DAF-BECA-F0E0449BD01F}"/>
              </c:ext>
            </c:extLst>
          </c:dPt>
          <c:dLbls>
            <c:dLbl>
              <c:idx val="0"/>
              <c:layout>
                <c:manualLayout>
                  <c:x val="4.3111662867656745E-3"/>
                  <c:y val="-2.11528291909042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92-4DAF-BECA-F0E0449BD01F}"/>
                </c:ext>
              </c:extLst>
            </c:dLbl>
            <c:dLbl>
              <c:idx val="1"/>
              <c:layout>
                <c:manualLayout>
                  <c:x val="-0.13683990649808184"/>
                  <c:y val="-1.12834200809644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92-4DAF-BECA-F0E0449BD01F}"/>
                </c:ext>
              </c:extLst>
            </c:dLbl>
            <c:dLbl>
              <c:idx val="2"/>
              <c:layout>
                <c:manualLayout>
                  <c:x val="-5.4957679722552116E-3"/>
                  <c:y val="-3.99532897370879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E92-4DAF-BECA-F0E0449BD01F}"/>
                </c:ext>
              </c:extLst>
            </c:dLbl>
            <c:dLbl>
              <c:idx val="3"/>
              <c:layout>
                <c:manualLayout>
                  <c:x val="-1.9293868862590727E-2"/>
                  <c:y val="-7.1008496819253523E-3"/>
                </c:manualLayout>
              </c:layout>
              <c:spPr>
                <a:noFill/>
                <a:ln w="25390">
                  <a:noFill/>
                </a:ln>
              </c:spPr>
              <c:txPr>
                <a:bodyPr/>
                <a:lstStyle/>
                <a:p>
                  <a:pPr>
                    <a:defRPr sz="82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E92-4DAF-BECA-F0E0449BD01F}"/>
                </c:ext>
              </c:extLst>
            </c:dLbl>
            <c:dLbl>
              <c:idx val="4"/>
              <c:layout>
                <c:manualLayout>
                  <c:x val="0.10964912280701754"/>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E92-4DAF-BECA-F0E0449BD01F}"/>
                </c:ext>
              </c:extLst>
            </c:dLbl>
            <c:dLbl>
              <c:idx val="5"/>
              <c:layout>
                <c:manualLayout>
                  <c:x val="1.6447368421052631E-2"/>
                  <c:y val="9.3156105424536533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E92-4DAF-BECA-F0E0449BD01F}"/>
                </c:ext>
              </c:extLst>
            </c:dLbl>
            <c:dLbl>
              <c:idx val="6"/>
              <c:layout>
                <c:manualLayout>
                  <c:x val="2.741228070175451E-3"/>
                  <c:y val="-4.0650406504065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E92-4DAF-BECA-F0E0449BD01F}"/>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Agricultural and rural development</c:v>
                </c:pt>
                <c:pt idx="1">
                  <c:v>Environment</c:v>
                </c:pt>
                <c:pt idx="2">
                  <c:v>Energy</c:v>
                </c:pt>
                <c:pt idx="3">
                  <c:v>Migration and home affairs</c:v>
                </c:pt>
              </c:strCache>
            </c:strRef>
          </c:cat>
          <c:val>
            <c:numRef>
              <c:f>Blad1!$B$3:$B$6</c:f>
              <c:numCache>
                <c:formatCode>General</c:formatCode>
                <c:ptCount val="4"/>
                <c:pt idx="0">
                  <c:v>1</c:v>
                </c:pt>
                <c:pt idx="1">
                  <c:v>1</c:v>
                </c:pt>
                <c:pt idx="2">
                  <c:v>3</c:v>
                </c:pt>
                <c:pt idx="3">
                  <c:v>1</c:v>
                </c:pt>
              </c:numCache>
            </c:numRef>
          </c:val>
          <c:extLst xmlns:c16r2="http://schemas.microsoft.com/office/drawing/2015/06/chart">
            <c:ext xmlns:c16="http://schemas.microsoft.com/office/drawing/2014/chart" uri="{C3380CC4-5D6E-409C-BE32-E72D297353CC}">
              <c16:uniqueId val="{0000000C-0E92-4DAF-BECA-F0E0449BD01F}"/>
            </c:ext>
          </c:extLst>
        </c:ser>
        <c:dLbls>
          <c:showLegendKey val="0"/>
          <c:showVal val="0"/>
          <c:showCatName val="0"/>
          <c:showSerName val="0"/>
          <c:showPercent val="0"/>
          <c:showBubbleSize val="0"/>
          <c:showLeaderLines val="0"/>
        </c:dLbls>
        <c:firstSliceAng val="93"/>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Hungary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775454792288894E-2"/>
                  <c:y val="5.39647269334606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03-4700-BF5B-8AD4DCE49341}"/>
                </c:ext>
              </c:extLst>
            </c:dLbl>
            <c:dLbl>
              <c:idx val="1"/>
              <c:layout>
                <c:manualLayout>
                  <c:x val="-5.8267499620398691E-2"/>
                  <c:y val="6.55705065976342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03-4700-BF5B-8AD4DCE49341}"/>
                </c:ext>
              </c:extLst>
            </c:dLbl>
            <c:dLbl>
              <c:idx val="2"/>
              <c:layout>
                <c:manualLayout>
                  <c:x val="-4.722730879570286E-2"/>
                  <c:y val="6.57416960810933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603-4700-BF5B-8AD4DCE49341}"/>
                </c:ext>
              </c:extLst>
            </c:dLbl>
            <c:dLbl>
              <c:idx val="3"/>
              <c:layout>
                <c:manualLayout>
                  <c:x val="-5.0987998913928967E-2"/>
                  <c:y val="-6.50992252184847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603-4700-BF5B-8AD4DCE49341}"/>
                </c:ext>
              </c:extLst>
            </c:dLbl>
            <c:dLbl>
              <c:idx val="4"/>
              <c:layout>
                <c:manualLayout>
                  <c:x val="-2.2319483420973764E-2"/>
                  <c:y val="-8.9491104018220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603-4700-BF5B-8AD4DCE49341}"/>
                </c:ext>
              </c:extLst>
            </c:dLbl>
            <c:spPr>
              <a:noFill/>
              <a:ln w="25395">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0.62</c:v>
                </c:pt>
                <c:pt idx="1">
                  <c:v>0.69</c:v>
                </c:pt>
                <c:pt idx="2">
                  <c:v>0.5</c:v>
                </c:pt>
                <c:pt idx="3">
                  <c:v>0.82</c:v>
                </c:pt>
                <c:pt idx="4">
                  <c:v>0.77</c:v>
                </c:pt>
              </c:numCache>
            </c:numRef>
          </c:val>
          <c:smooth val="0"/>
          <c:extLst xmlns:c16r2="http://schemas.microsoft.com/office/drawing/2015/06/chart">
            <c:ext xmlns:c16="http://schemas.microsoft.com/office/drawing/2014/chart" uri="{C3380CC4-5D6E-409C-BE32-E72D297353CC}">
              <c16:uniqueId val="{00000005-E603-4700-BF5B-8AD4DCE49341}"/>
            </c:ext>
          </c:extLst>
        </c:ser>
        <c:ser>
          <c:idx val="1"/>
          <c:order val="1"/>
          <c:tx>
            <c:strRef>
              <c:f>Blad1!$C$2</c:f>
              <c:strCache>
                <c:ptCount val="1"/>
                <c:pt idx="0">
                  <c:v>General rate for all Member States</c:v>
                </c:pt>
              </c:strCache>
            </c:strRef>
          </c:tx>
          <c:spPr>
            <a:ln w="25395">
              <a:solidFill>
                <a:srgbClr val="92D050"/>
              </a:solidFill>
            </a:ln>
          </c:spPr>
          <c:marker>
            <c:symbol val="square"/>
            <c:size val="4"/>
            <c:spPr>
              <a:solidFill>
                <a:srgbClr val="92D050"/>
              </a:solidFill>
              <a:ln>
                <a:solidFill>
                  <a:srgbClr val="92D050"/>
                </a:solidFill>
              </a:ln>
            </c:spPr>
          </c:marker>
          <c:dLbls>
            <c:dLbl>
              <c:idx val="0"/>
              <c:layout>
                <c:manualLayout>
                  <c:x val="-4.17509638881347E-2"/>
                  <c:y val="-5.9596879239551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603-4700-BF5B-8AD4DCE49341}"/>
                </c:ext>
              </c:extLst>
            </c:dLbl>
            <c:dLbl>
              <c:idx val="1"/>
              <c:layout>
                <c:manualLayout>
                  <c:x val="-4.9965293594499034E-2"/>
                  <c:y val="-6.5076133462769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603-4700-BF5B-8AD4DCE49341}"/>
                </c:ext>
              </c:extLst>
            </c:dLbl>
            <c:dLbl>
              <c:idx val="2"/>
              <c:layout>
                <c:manualLayout>
                  <c:x val="-4.722730879570286E-2"/>
                  <c:y val="-5.99809937550909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603-4700-BF5B-8AD4DCE49341}"/>
                </c:ext>
              </c:extLst>
            </c:dLbl>
            <c:dLbl>
              <c:idx val="3"/>
              <c:layout>
                <c:manualLayout>
                  <c:x val="-4.8448330165625851E-2"/>
                  <c:y val="5.7412707498568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1E0-46E4-9E3F-7E23B5BC2FC5}"/>
                </c:ext>
              </c:extLst>
            </c:dLbl>
            <c:dLbl>
              <c:idx val="4"/>
              <c:layout>
                <c:manualLayout>
                  <c:x val="-4.4502522429167357E-2"/>
                  <c:y val="4.90449386570421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603-4700-BF5B-8AD4DCE49341}"/>
                </c:ext>
              </c:extLst>
            </c:dLbl>
            <c:spPr>
              <a:noFill/>
              <a:ln w="25395">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A-E603-4700-BF5B-8AD4DCE49341}"/>
            </c:ext>
          </c:extLst>
        </c:ser>
        <c:dLbls>
          <c:showLegendKey val="0"/>
          <c:showVal val="0"/>
          <c:showCatName val="0"/>
          <c:showSerName val="0"/>
          <c:showPercent val="0"/>
          <c:showBubbleSize val="0"/>
        </c:dLbls>
        <c:marker val="1"/>
        <c:smooth val="0"/>
        <c:axId val="102214656"/>
        <c:axId val="102232832"/>
      </c:lineChart>
      <c:catAx>
        <c:axId val="10221465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232832"/>
        <c:crosses val="autoZero"/>
        <c:auto val="1"/>
        <c:lblAlgn val="ctr"/>
        <c:lblOffset val="100"/>
        <c:noMultiLvlLbl val="0"/>
      </c:catAx>
      <c:valAx>
        <c:axId val="102232832"/>
        <c:scaling>
          <c:orientation val="minMax"/>
        </c:scaling>
        <c:delete val="1"/>
        <c:axPos val="l"/>
        <c:majorGridlines>
          <c:spPr>
            <a:ln w="9523" cap="flat" cmpd="sng" algn="ctr">
              <a:solidFill>
                <a:schemeClr val="tx1">
                  <a:lumMod val="15000"/>
                  <a:lumOff val="85000"/>
                </a:schemeClr>
              </a:solidFill>
              <a:round/>
            </a:ln>
            <a:effectLst/>
          </c:spPr>
        </c:majorGridlines>
        <c:numFmt formatCode="0%" sourceLinked="1"/>
        <c:majorTickMark val="out"/>
        <c:minorTickMark val="none"/>
        <c:tickLblPos val="nextTo"/>
        <c:crossAx val="102214656"/>
        <c:crosses val="autoZero"/>
        <c:crossBetween val="between"/>
      </c:valAx>
      <c:spPr>
        <a:noFill/>
        <a:ln w="25395">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Portugal</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9685860931304525E-2"/>
                  <c:y val="7.00321876995105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F8-44B0-9DC7-DE5C7594593B}"/>
                </c:ext>
              </c:extLst>
            </c:dLbl>
            <c:dLbl>
              <c:idx val="1"/>
              <c:layout>
                <c:manualLayout>
                  <c:x val="-6.6199336469079981E-2"/>
                  <c:y val="6.480225988700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F8-44B0-9DC7-DE5C7594593B}"/>
                </c:ext>
              </c:extLst>
            </c:dLbl>
            <c:dLbl>
              <c:idx val="3"/>
              <c:layout>
                <c:manualLayout>
                  <c:x val="-5.6440624377398371E-2"/>
                  <c:y val="6.4388540415498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F8-44B0-9DC7-DE5C7594593B}"/>
                </c:ext>
              </c:extLst>
            </c:dLbl>
            <c:spPr>
              <a:noFill/>
              <a:ln w="25358">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0.62</c:v>
                </c:pt>
                <c:pt idx="1">
                  <c:v>0.7</c:v>
                </c:pt>
                <c:pt idx="2">
                  <c:v>0.69</c:v>
                </c:pt>
                <c:pt idx="3">
                  <c:v>0.71</c:v>
                </c:pt>
                <c:pt idx="4">
                  <c:v>0.71</c:v>
                </c:pt>
              </c:numCache>
            </c:numRef>
          </c:val>
          <c:smooth val="0"/>
          <c:extLst xmlns:c16r2="http://schemas.microsoft.com/office/drawing/2015/06/chart">
            <c:ext xmlns:c16="http://schemas.microsoft.com/office/drawing/2014/chart" uri="{C3380CC4-5D6E-409C-BE32-E72D297353CC}">
              <c16:uniqueId val="{00000003-28F8-44B0-9DC7-DE5C7594593B}"/>
            </c:ext>
          </c:extLst>
        </c:ser>
        <c:ser>
          <c:idx val="1"/>
          <c:order val="1"/>
          <c:tx>
            <c:strRef>
              <c:f>Blad1!$C$2</c:f>
              <c:strCache>
                <c:ptCount val="1"/>
                <c:pt idx="0">
                  <c:v>General rate for all Member States</c:v>
                </c:pt>
              </c:strCache>
            </c:strRef>
          </c:tx>
          <c:spPr>
            <a:ln w="25358">
              <a:solidFill>
                <a:srgbClr val="92D050"/>
              </a:solidFill>
            </a:ln>
          </c:spPr>
          <c:marker>
            <c:symbol val="square"/>
            <c:size val="4"/>
            <c:spPr>
              <a:solidFill>
                <a:srgbClr val="92D050"/>
              </a:solidFill>
              <a:ln>
                <a:solidFill>
                  <a:srgbClr val="92D050"/>
                </a:solidFill>
              </a:ln>
            </c:spPr>
          </c:marker>
          <c:dLbls>
            <c:dLbl>
              <c:idx val="1"/>
              <c:layout>
                <c:manualLayout>
                  <c:x val="-5.2427171851043369E-2"/>
                  <c:y val="-5.35028248587570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F8-44B0-9DC7-DE5C7594593B}"/>
                </c:ext>
              </c:extLst>
            </c:dLbl>
            <c:spPr>
              <a:noFill/>
              <a:ln w="25358">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5-28F8-44B0-9DC7-DE5C7594593B}"/>
            </c:ext>
          </c:extLst>
        </c:ser>
        <c:dLbls>
          <c:showLegendKey val="0"/>
          <c:showVal val="0"/>
          <c:showCatName val="0"/>
          <c:showSerName val="0"/>
          <c:showPercent val="0"/>
          <c:showBubbleSize val="0"/>
        </c:dLbls>
        <c:marker val="1"/>
        <c:smooth val="0"/>
        <c:axId val="109042304"/>
        <c:axId val="109515136"/>
      </c:lineChart>
      <c:catAx>
        <c:axId val="109042304"/>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515136"/>
        <c:crosses val="autoZero"/>
        <c:auto val="1"/>
        <c:lblAlgn val="ctr"/>
        <c:lblOffset val="100"/>
        <c:noMultiLvlLbl val="0"/>
      </c:catAx>
      <c:valAx>
        <c:axId val="109515136"/>
        <c:scaling>
          <c:orientation val="minMax"/>
          <c:min val="0.5"/>
        </c:scaling>
        <c:delete val="1"/>
        <c:axPos val="l"/>
        <c:majorGridlines>
          <c:spPr>
            <a:ln w="9509" cap="flat" cmpd="sng" algn="ctr">
              <a:solidFill>
                <a:schemeClr val="tx1">
                  <a:lumMod val="15000"/>
                  <a:lumOff val="85000"/>
                </a:schemeClr>
              </a:solidFill>
              <a:round/>
            </a:ln>
            <a:effectLst/>
          </c:spPr>
        </c:majorGridlines>
        <c:numFmt formatCode="0%" sourceLinked="1"/>
        <c:majorTickMark val="out"/>
        <c:minorTickMark val="none"/>
        <c:tickLblPos val="nextTo"/>
        <c:crossAx val="109042304"/>
        <c:crosses val="autoZero"/>
        <c:crossBetween val="between"/>
      </c:valAx>
      <c:spPr>
        <a:noFill/>
        <a:ln w="25358">
          <a:noFill/>
        </a:ln>
      </c:spPr>
    </c:plotArea>
    <c:legend>
      <c:legendPos val="b"/>
      <c:layout>
        <c:manualLayout>
          <c:xMode val="edge"/>
          <c:yMode val="edge"/>
          <c:x val="9.8609200165768754E-2"/>
          <c:y val="0.87599145239588416"/>
          <c:w val="0.78077922364967534"/>
          <c:h val="9.0110329129212796E-2"/>
        </c:manualLayout>
      </c:layout>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52</c:v>
                </c:pt>
                <c:pt idx="1">
                  <c:v>55</c:v>
                </c:pt>
                <c:pt idx="2">
                  <c:v>84</c:v>
                </c:pt>
                <c:pt idx="3">
                  <c:v>85</c:v>
                </c:pt>
                <c:pt idx="4">
                  <c:v>57</c:v>
                </c:pt>
              </c:numCache>
            </c:numRef>
          </c:val>
          <c:smooth val="0"/>
          <c:extLst xmlns:c16r2="http://schemas.microsoft.com/office/drawing/2015/06/chart">
            <c:ext xmlns:c16="http://schemas.microsoft.com/office/drawing/2014/chart" uri="{C3380CC4-5D6E-409C-BE32-E72D297353CC}">
              <c16:uniqueId val="{00000000-13FC-4DB0-B938-6C0F948DA668}"/>
            </c:ext>
          </c:extLst>
        </c:ser>
        <c:dLbls>
          <c:showLegendKey val="0"/>
          <c:showVal val="0"/>
          <c:showCatName val="0"/>
          <c:showSerName val="0"/>
          <c:showPercent val="0"/>
          <c:showBubbleSize val="0"/>
        </c:dLbls>
        <c:marker val="1"/>
        <c:smooth val="0"/>
        <c:axId val="109544192"/>
        <c:axId val="109545728"/>
      </c:lineChart>
      <c:catAx>
        <c:axId val="109544192"/>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545728"/>
        <c:crosses val="autoZero"/>
        <c:auto val="1"/>
        <c:lblAlgn val="ctr"/>
        <c:lblOffset val="100"/>
        <c:noMultiLvlLbl val="0"/>
      </c:catAx>
      <c:valAx>
        <c:axId val="109545728"/>
        <c:scaling>
          <c:orientation val="minMax"/>
          <c:min val="40"/>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09544192"/>
        <c:crosses val="autoZero"/>
        <c:crossBetween val="between"/>
      </c:valAx>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807011512856"/>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3AB-4F07-95D6-492D51B38960}"/>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3AB-4F07-95D6-492D51B38960}"/>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3AB-4F07-95D6-492D51B38960}"/>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3AB-4F07-95D6-492D51B38960}"/>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3AB-4F07-95D6-492D51B38960}"/>
              </c:ext>
            </c:extLst>
          </c:dPt>
          <c:dPt>
            <c:idx val="5"/>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3AB-4F07-95D6-492D51B38960}"/>
              </c:ext>
            </c:extLst>
          </c:dPt>
          <c:dPt>
            <c:idx val="6"/>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83AB-4F07-95D6-492D51B38960}"/>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2DA8-401B-A438-BBA07EBDB96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AB-4F07-95D6-492D51B38960}"/>
                </c:ext>
              </c:extLst>
            </c:dLbl>
            <c:dLbl>
              <c:idx val="1"/>
              <c:layout>
                <c:manualLayout>
                  <c:x val="-2.0476882277796024E-4"/>
                  <c:y val="-8.1975692617874463E-2"/>
                </c:manualLayout>
              </c:layout>
              <c:spPr>
                <a:noFill/>
                <a:ln w="25345">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412212964250778"/>
                      <c:h val="0.30912962470055894"/>
                    </c:manualLayout>
                  </c15:layout>
                </c:ext>
                <c:ext xmlns:c16="http://schemas.microsoft.com/office/drawing/2014/chart" uri="{C3380CC4-5D6E-409C-BE32-E72D297353CC}">
                  <c16:uniqueId val="{00000003-83AB-4F07-95D6-492D51B38960}"/>
                </c:ext>
              </c:extLst>
            </c:dLbl>
            <c:dLbl>
              <c:idx val="2"/>
              <c:layout>
                <c:manualLayout>
                  <c:x val="-2.6330325304260552E-2"/>
                  <c:y val="7.60969025797513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AB-4F07-95D6-492D51B38960}"/>
                </c:ext>
              </c:extLst>
            </c:dLbl>
            <c:dLbl>
              <c:idx val="3"/>
              <c:layout>
                <c:manualLayout>
                  <c:x val="-1.9825876374329671E-2"/>
                  <c:y val="8.37416350371694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3AB-4F07-95D6-492D51B38960}"/>
                </c:ext>
              </c:extLst>
            </c:dLbl>
            <c:dLbl>
              <c:idx val="4"/>
              <c:layout>
                <c:manualLayout>
                  <c:x val="-1.7421011478508039E-2"/>
                  <c:y val="6.21200530662971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400029686804221"/>
                      <c:h val="0.18118200356709468"/>
                    </c:manualLayout>
                  </c15:layout>
                </c:ext>
                <c:ext xmlns:c16="http://schemas.microsoft.com/office/drawing/2014/chart" uri="{C3380CC4-5D6E-409C-BE32-E72D297353CC}">
                  <c16:uniqueId val="{00000009-83AB-4F07-95D6-492D51B38960}"/>
                </c:ext>
              </c:extLst>
            </c:dLbl>
            <c:dLbl>
              <c:idx val="5"/>
              <c:layout>
                <c:manualLayout>
                  <c:x val="9.6056680758158895E-3"/>
                  <c:y val="-1.26198026151708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3AB-4F07-95D6-492D51B38960}"/>
                </c:ext>
              </c:extLst>
            </c:dLbl>
            <c:dLbl>
              <c:idx val="6"/>
              <c:layout>
                <c:manualLayout>
                  <c:x val="1.929642274009203E-2"/>
                  <c:y val="-2.6616981634283647E-3"/>
                </c:manualLayout>
              </c:layout>
              <c:spPr>
                <a:noFill/>
                <a:ln w="25345">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8368710108356837"/>
                      <c:h val="0.26837923540100472"/>
                    </c:manualLayout>
                  </c15:layout>
                </c:ext>
                <c:ext xmlns:c16="http://schemas.microsoft.com/office/drawing/2014/chart" uri="{C3380CC4-5D6E-409C-BE32-E72D297353CC}">
                  <c16:uniqueId val="{0000000C-83AB-4F07-95D6-492D51B38960}"/>
                </c:ext>
              </c:extLst>
            </c:dLbl>
            <c:dLbl>
              <c:idx val="7"/>
              <c:layout>
                <c:manualLayout>
                  <c:x val="-3.859284548018406E-2"/>
                  <c:y val="-9.7594471906035607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DA8-401B-A438-BBA07EBDB969}"/>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Internal market, industry, entrepreneurship and SMEs</c:v>
                </c:pt>
                <c:pt idx="2">
                  <c:v>Environment</c:v>
                </c:pt>
                <c:pt idx="3">
                  <c:v>Migration and home affairs</c:v>
                </c:pt>
                <c:pt idx="4">
                  <c:v>Communication networks</c:v>
                </c:pt>
                <c:pt idx="5">
                  <c:v>Energy</c:v>
                </c:pt>
                <c:pt idx="6">
                  <c:v>Financial stability, financial services and Capital Markets Union</c:v>
                </c:pt>
                <c:pt idx="7">
                  <c:v>Other</c:v>
                </c:pt>
              </c:strCache>
            </c:strRef>
          </c:cat>
          <c:val>
            <c:numRef>
              <c:f>Blad1!$B$2:$B$9</c:f>
              <c:numCache>
                <c:formatCode>General</c:formatCode>
                <c:ptCount val="8"/>
                <c:pt idx="0">
                  <c:v>0</c:v>
                </c:pt>
                <c:pt idx="1">
                  <c:v>4</c:v>
                </c:pt>
                <c:pt idx="2">
                  <c:v>3</c:v>
                </c:pt>
                <c:pt idx="3">
                  <c:v>2</c:v>
                </c:pt>
                <c:pt idx="4">
                  <c:v>2</c:v>
                </c:pt>
                <c:pt idx="5">
                  <c:v>2</c:v>
                </c:pt>
                <c:pt idx="6">
                  <c:v>2</c:v>
                </c:pt>
                <c:pt idx="7">
                  <c:v>2</c:v>
                </c:pt>
              </c:numCache>
            </c:numRef>
          </c:val>
          <c:extLst xmlns:c16r2="http://schemas.microsoft.com/office/drawing/2015/06/chart">
            <c:ext xmlns:c16="http://schemas.microsoft.com/office/drawing/2014/chart" uri="{C3380CC4-5D6E-409C-BE32-E72D297353CC}">
              <c16:uniqueId val="{0000000D-83AB-4F07-95D6-492D51B38960}"/>
            </c:ext>
          </c:extLst>
        </c:ser>
        <c:dLbls>
          <c:showLegendKey val="0"/>
          <c:showVal val="0"/>
          <c:showCatName val="0"/>
          <c:showSerName val="0"/>
          <c:showPercent val="0"/>
          <c:showBubbleSize val="0"/>
          <c:showLeaderLines val="0"/>
        </c:dLbls>
        <c:firstSliceAng val="208"/>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96">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15</c:v>
                </c:pt>
                <c:pt idx="1">
                  <c:v>15</c:v>
                </c:pt>
                <c:pt idx="2">
                  <c:v>44</c:v>
                </c:pt>
                <c:pt idx="3">
                  <c:v>41</c:v>
                </c:pt>
                <c:pt idx="4">
                  <c:v>26</c:v>
                </c:pt>
              </c:numCache>
            </c:numRef>
          </c:val>
          <c:smooth val="0"/>
          <c:extLst xmlns:c16r2="http://schemas.microsoft.com/office/drawing/2015/06/chart">
            <c:ext xmlns:c16="http://schemas.microsoft.com/office/drawing/2014/chart" uri="{C3380CC4-5D6E-409C-BE32-E72D297353CC}">
              <c16:uniqueId val="{00000005-4C6A-41DE-8F68-B21120F010BC}"/>
            </c:ext>
          </c:extLst>
        </c:ser>
        <c:dLbls>
          <c:dLblPos val="b"/>
          <c:showLegendKey val="0"/>
          <c:showVal val="1"/>
          <c:showCatName val="0"/>
          <c:showSerName val="0"/>
          <c:showPercent val="0"/>
          <c:showBubbleSize val="0"/>
        </c:dLbls>
        <c:marker val="1"/>
        <c:smooth val="0"/>
        <c:axId val="111876352"/>
        <c:axId val="111887488"/>
      </c:lineChart>
      <c:catAx>
        <c:axId val="11187635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887488"/>
        <c:crosses val="autoZero"/>
        <c:auto val="1"/>
        <c:lblAlgn val="ctr"/>
        <c:lblOffset val="100"/>
        <c:noMultiLvlLbl val="0"/>
      </c:catAx>
      <c:valAx>
        <c:axId val="111887488"/>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11876352"/>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72361025587276E-2"/>
                  <c:y val="5.8262764324270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27-4506-AC8C-6CE08DABFBE6}"/>
                </c:ext>
              </c:extLst>
            </c:dLbl>
            <c:dLbl>
              <c:idx val="2"/>
              <c:layout>
                <c:manualLayout>
                  <c:x val="-4.2067440574903261E-2"/>
                  <c:y val="-5.8500000000000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AB-4BCF-B585-A8047390E7FA}"/>
                </c:ext>
              </c:extLst>
            </c:dLbl>
            <c:dLbl>
              <c:idx val="3"/>
              <c:layout>
                <c:manualLayout>
                  <c:x val="-4.2067440574903261E-2"/>
                  <c:y val="-7.0468750000000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27-4506-AC8C-6CE08DABFBE6}"/>
                </c:ext>
              </c:extLst>
            </c:dLbl>
            <c:dLbl>
              <c:idx val="4"/>
              <c:layout>
                <c:manualLayout>
                  <c:x val="-3.9404455487551483E-2"/>
                  <c:y val="6.9643252189730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27-4506-AC8C-6CE08DABFBE6}"/>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23</c:v>
                </c:pt>
                <c:pt idx="1">
                  <c:v>18</c:v>
                </c:pt>
                <c:pt idx="2">
                  <c:v>51</c:v>
                </c:pt>
                <c:pt idx="3">
                  <c:v>36</c:v>
                </c:pt>
                <c:pt idx="4">
                  <c:v>13</c:v>
                </c:pt>
              </c:numCache>
            </c:numRef>
          </c:val>
          <c:smooth val="0"/>
          <c:extLst xmlns:c16r2="http://schemas.microsoft.com/office/drawing/2015/06/chart">
            <c:ext xmlns:c16="http://schemas.microsoft.com/office/drawing/2014/chart" uri="{C3380CC4-5D6E-409C-BE32-E72D297353CC}">
              <c16:uniqueId val="{00000003-FF27-4506-AC8C-6CE08DABFBE6}"/>
            </c:ext>
          </c:extLst>
        </c:ser>
        <c:dLbls>
          <c:showLegendKey val="0"/>
          <c:showVal val="0"/>
          <c:showCatName val="0"/>
          <c:showSerName val="0"/>
          <c:showPercent val="0"/>
          <c:showBubbleSize val="0"/>
        </c:dLbls>
        <c:marker val="1"/>
        <c:smooth val="0"/>
        <c:axId val="111938176"/>
        <c:axId val="111952256"/>
      </c:lineChart>
      <c:catAx>
        <c:axId val="111938176"/>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952256"/>
        <c:crosses val="autoZero"/>
        <c:auto val="1"/>
        <c:lblAlgn val="ctr"/>
        <c:lblOffset val="100"/>
        <c:noMultiLvlLbl val="0"/>
      </c:catAx>
      <c:valAx>
        <c:axId val="111952256"/>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11938176"/>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13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BE3-4DC8-8B9D-F36D6ADC30D7}"/>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BE3-4DC8-8B9D-F36D6ADC30D7}"/>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BE3-4DC8-8B9D-F36D6ADC30D7}"/>
              </c:ext>
            </c:extLst>
          </c:dPt>
          <c:dPt>
            <c:idx val="3"/>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BE3-4DC8-8B9D-F36D6ADC30D7}"/>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BE3-4DC8-8B9D-F36D6ADC30D7}"/>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2EDC-4A49-82F8-5A500CE03DC9}"/>
              </c:ext>
            </c:extLst>
          </c:dPt>
          <c:dPt>
            <c:idx val="6"/>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EDC-4A49-82F8-5A500CE03DC9}"/>
              </c:ext>
            </c:extLst>
          </c:dPt>
          <c:dPt>
            <c:idx val="7"/>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2EDC-4A49-82F8-5A500CE03DC9}"/>
              </c:ext>
            </c:extLst>
          </c:dPt>
          <c:dLbls>
            <c:dLbl>
              <c:idx val="0"/>
              <c:layout>
                <c:manualLayout>
                  <c:x val="-5.4035856082248694E-2"/>
                  <c:y val="-2.17992925827838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193966274803477"/>
                      <c:h val="0.30883205062121183"/>
                    </c:manualLayout>
                  </c15:layout>
                </c:ext>
                <c:ext xmlns:c16="http://schemas.microsoft.com/office/drawing/2014/chart" uri="{C3380CC4-5D6E-409C-BE32-E72D297353CC}">
                  <c16:uniqueId val="{00000001-6BE3-4DC8-8B9D-F36D6ADC30D7}"/>
                </c:ext>
              </c:extLst>
            </c:dLbl>
            <c:dLbl>
              <c:idx val="1"/>
              <c:layout>
                <c:manualLayout>
                  <c:x val="9.3226250503507292E-5"/>
                  <c:y val="-6.96992588116102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E3-4DC8-8B9D-F36D6ADC30D7}"/>
                </c:ext>
              </c:extLst>
            </c:dLbl>
            <c:dLbl>
              <c:idx val="2"/>
              <c:layout>
                <c:manualLayout>
                  <c:x val="8.3549933355238949E-3"/>
                  <c:y val="5.20382680720214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E3-4DC8-8B9D-F36D6ADC30D7}"/>
                </c:ext>
              </c:extLst>
            </c:dLbl>
            <c:dLbl>
              <c:idx val="3"/>
              <c:layout>
                <c:manualLayout>
                  <c:x val="1.0283270254603729E-4"/>
                  <c:y val="4.67779634204866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E3-4DC8-8B9D-F36D6ADC30D7}"/>
                </c:ext>
              </c:extLst>
            </c:dLbl>
            <c:dLbl>
              <c:idx val="4"/>
              <c:layout>
                <c:manualLayout>
                  <c:x val="-3.1654132793916497E-2"/>
                  <c:y val="2.0808375251062015E-2"/>
                </c:manualLayout>
              </c:layout>
              <c:spPr>
                <a:noFill/>
                <a:ln w="25321">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605711909053099"/>
                      <c:h val="0.25064920637741955"/>
                    </c:manualLayout>
                  </c15:layout>
                </c:ext>
                <c:ext xmlns:c16="http://schemas.microsoft.com/office/drawing/2014/chart" uri="{C3380CC4-5D6E-409C-BE32-E72D297353CC}">
                  <c16:uniqueId val="{00000009-6BE3-4DC8-8B9D-F36D6ADC30D7}"/>
                </c:ext>
              </c:extLst>
            </c:dLbl>
            <c:dLbl>
              <c:idx val="5"/>
              <c:layout>
                <c:manualLayout>
                  <c:x val="2.2182171079994456E-2"/>
                  <c:y val="-7.3363431151241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EDC-4A49-82F8-5A500CE03DC9}"/>
                </c:ext>
              </c:extLst>
            </c:dLbl>
            <c:dLbl>
              <c:idx val="6"/>
              <c:layout>
                <c:manualLayout>
                  <c:x val="3.3273256619991684E-2"/>
                  <c:y val="-3.95033860045147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EDC-4A49-82F8-5A500CE03DC9}"/>
                </c:ext>
              </c:extLst>
            </c:dLbl>
            <c:dLbl>
              <c:idx val="7"/>
              <c:layout>
                <c:manualLayout>
                  <c:x val="3.0500485234992273E-2"/>
                  <c:y val="-1.0346005388007218E-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EDC-4A49-82F8-5A500CE03DC9}"/>
                </c:ext>
              </c:extLst>
            </c:dLbl>
            <c:spPr>
              <a:noFill/>
              <a:ln w="2532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Blad1!$A$4:$A$11</c:f>
              <c:strCache>
                <c:ptCount val="8"/>
                <c:pt idx="0">
                  <c:v>Internal market, industry, entrepreneurship and SMEs</c:v>
                </c:pt>
                <c:pt idx="1">
                  <c:v>Communication networks</c:v>
                </c:pt>
                <c:pt idx="2">
                  <c:v>Migration and home affairs</c:v>
                </c:pt>
                <c:pt idx="3">
                  <c:v>Environment</c:v>
                </c:pt>
                <c:pt idx="4">
                  <c:v>Financial stability, financial services and capital markets union</c:v>
                </c:pt>
                <c:pt idx="5">
                  <c:v>Justice and consumers</c:v>
                </c:pt>
                <c:pt idx="6">
                  <c:v>Health and food safety</c:v>
                </c:pt>
                <c:pt idx="7">
                  <c:v>Energy</c:v>
                </c:pt>
              </c:strCache>
            </c:strRef>
          </c:cat>
          <c:val>
            <c:numRef>
              <c:f>Blad1!$B$4:$B$11</c:f>
              <c:numCache>
                <c:formatCode>General</c:formatCode>
                <c:ptCount val="8"/>
                <c:pt idx="0">
                  <c:v>2</c:v>
                </c:pt>
                <c:pt idx="1">
                  <c:v>2</c:v>
                </c:pt>
                <c:pt idx="2">
                  <c:v>2</c:v>
                </c:pt>
                <c:pt idx="3">
                  <c:v>2</c:v>
                </c:pt>
                <c:pt idx="4">
                  <c:v>2</c:v>
                </c:pt>
                <c:pt idx="5">
                  <c:v>1</c:v>
                </c:pt>
                <c:pt idx="6">
                  <c:v>1</c:v>
                </c:pt>
                <c:pt idx="7">
                  <c:v>1</c:v>
                </c:pt>
              </c:numCache>
            </c:numRef>
          </c:val>
          <c:extLst xmlns:c16r2="http://schemas.microsoft.com/office/drawing/2015/06/chart">
            <c:ext xmlns:c16="http://schemas.microsoft.com/office/drawing/2014/chart" uri="{C3380CC4-5D6E-409C-BE32-E72D297353CC}">
              <c16:uniqueId val="{0000000A-6BE3-4DC8-8B9D-F36D6ADC30D7}"/>
            </c:ext>
          </c:extLst>
        </c:ser>
        <c:dLbls>
          <c:showLegendKey val="0"/>
          <c:showVal val="0"/>
          <c:showCatName val="0"/>
          <c:showSerName val="0"/>
          <c:showPercent val="0"/>
          <c:showBubbleSize val="0"/>
          <c:showLeaderLines val="0"/>
        </c:dLbls>
        <c:firstSliceAng val="182"/>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149</c:v>
                </c:pt>
                <c:pt idx="1">
                  <c:v>113</c:v>
                </c:pt>
                <c:pt idx="2">
                  <c:v>133</c:v>
                </c:pt>
                <c:pt idx="3">
                  <c:v>162</c:v>
                </c:pt>
                <c:pt idx="4">
                  <c:v>198</c:v>
                </c:pt>
              </c:numCache>
            </c:numRef>
          </c:val>
          <c:smooth val="0"/>
          <c:extLst xmlns:c16r2="http://schemas.microsoft.com/office/drawing/2015/06/chart">
            <c:ext xmlns:c16="http://schemas.microsoft.com/office/drawing/2014/chart" uri="{C3380CC4-5D6E-409C-BE32-E72D297353CC}">
              <c16:uniqueId val="{00000000-D2DA-4583-BA3F-ED39249E97D1}"/>
            </c:ext>
          </c:extLst>
        </c:ser>
        <c:dLbls>
          <c:showLegendKey val="0"/>
          <c:showVal val="0"/>
          <c:showCatName val="0"/>
          <c:showSerName val="0"/>
          <c:showPercent val="0"/>
          <c:showBubbleSize val="0"/>
        </c:dLbls>
        <c:marker val="1"/>
        <c:smooth val="0"/>
        <c:axId val="112353280"/>
        <c:axId val="112354816"/>
      </c:lineChart>
      <c:catAx>
        <c:axId val="112353280"/>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354816"/>
        <c:crosses val="autoZero"/>
        <c:auto val="1"/>
        <c:lblAlgn val="ctr"/>
        <c:lblOffset val="100"/>
        <c:noMultiLvlLbl val="0"/>
      </c:catAx>
      <c:valAx>
        <c:axId val="112354816"/>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12353280"/>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198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4CB-411E-9B75-70B3F3D0D666}"/>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4CB-411E-9B75-70B3F3D0D666}"/>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4CB-411E-9B75-70B3F3D0D666}"/>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4CB-411E-9B75-70B3F3D0D666}"/>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4CB-411E-9B75-70B3F3D0D666}"/>
              </c:ext>
            </c:extLst>
          </c:dPt>
          <c:dLbls>
            <c:dLbl>
              <c:idx val="0"/>
              <c:layout>
                <c:manualLayout>
                  <c:x val="5.5119838889513127E-2"/>
                  <c:y val="0.16489343372559828"/>
                </c:manualLayout>
              </c:layout>
              <c:spPr>
                <a:noFill/>
                <a:ln w="25387">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CB-411E-9B75-70B3F3D0D666}"/>
                </c:ext>
              </c:extLst>
            </c:dLbl>
            <c:dLbl>
              <c:idx val="1"/>
              <c:layout>
                <c:manualLayout>
                  <c:x val="5.472268079552524E-3"/>
                  <c:y val="-7.8244370164889221E-2"/>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CB-411E-9B75-70B3F3D0D666}"/>
                </c:ext>
              </c:extLst>
            </c:dLbl>
            <c:dLbl>
              <c:idx val="2"/>
              <c:layout>
                <c:manualLayout>
                  <c:x val="2.2145777332169374E-2"/>
                  <c:y val="-5.4226468409173138E-3"/>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CB-411E-9B75-70B3F3D0D666}"/>
                </c:ext>
              </c:extLst>
            </c:dLbl>
            <c:dLbl>
              <c:idx val="3"/>
              <c:layout>
                <c:manualLayout>
                  <c:x val="-2.2111636429639488E-2"/>
                  <c:y val="-0.32996778028567003"/>
                </c:manualLayout>
              </c:layout>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CB-411E-9B75-70B3F3D0D666}"/>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Internal market, industry, entrepreneurship and SMEs</c:v>
                </c:pt>
                <c:pt idx="1">
                  <c:v>Justice and consumers</c:v>
                </c:pt>
                <c:pt idx="2">
                  <c:v>Employment</c:v>
                </c:pt>
                <c:pt idx="3">
                  <c:v>Other</c:v>
                </c:pt>
              </c:strCache>
            </c:strRef>
          </c:cat>
          <c:val>
            <c:numRef>
              <c:f>Blad1!$B$3:$B$6</c:f>
              <c:numCache>
                <c:formatCode>General</c:formatCode>
                <c:ptCount val="4"/>
                <c:pt idx="0">
                  <c:v>60</c:v>
                </c:pt>
                <c:pt idx="1">
                  <c:v>42</c:v>
                </c:pt>
                <c:pt idx="2">
                  <c:v>15</c:v>
                </c:pt>
                <c:pt idx="3">
                  <c:v>81</c:v>
                </c:pt>
              </c:numCache>
            </c:numRef>
          </c:val>
          <c:extLst xmlns:c16r2="http://schemas.microsoft.com/office/drawing/2015/06/chart">
            <c:ext xmlns:c16="http://schemas.microsoft.com/office/drawing/2014/chart" uri="{C3380CC4-5D6E-409C-BE32-E72D297353CC}">
              <c16:uniqueId val="{0000000A-E4CB-411E-9B75-70B3F3D0D666}"/>
            </c:ext>
          </c:extLst>
        </c:ser>
        <c:dLbls>
          <c:showLegendKey val="0"/>
          <c:showVal val="0"/>
          <c:showCatName val="0"/>
          <c:showSerName val="0"/>
          <c:showPercent val="0"/>
          <c:showBubbleSize val="0"/>
          <c:showLeaderLines val="0"/>
        </c:dLbls>
        <c:firstSliceAng val="322"/>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265560165973E-2"/>
          <c:y val="6.2411347517730496E-2"/>
          <c:w val="0.93909191583610185"/>
          <c:h val="0.813038548752834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184642617347251E-2"/>
                  <c:y val="8.0618047744031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CB-45BE-B8AF-5AB0BEE11B43}"/>
                </c:ext>
              </c:extLst>
            </c:dLbl>
            <c:dLbl>
              <c:idx val="3"/>
              <c:layout>
                <c:manualLayout>
                  <c:x val="-5.3207811232898215E-2"/>
                  <c:y val="5.903279947149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CB-45BE-B8AF-5AB0BEE11B43}"/>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40</c:v>
                </c:pt>
                <c:pt idx="1">
                  <c:v>34</c:v>
                </c:pt>
                <c:pt idx="2">
                  <c:v>24</c:v>
                </c:pt>
                <c:pt idx="3">
                  <c:v>7</c:v>
                </c:pt>
                <c:pt idx="4">
                  <c:v>4</c:v>
                </c:pt>
              </c:numCache>
            </c:numRef>
          </c:val>
          <c:smooth val="0"/>
          <c:extLst xmlns:c16r2="http://schemas.microsoft.com/office/drawing/2015/06/chart">
            <c:ext xmlns:c16="http://schemas.microsoft.com/office/drawing/2014/chart" uri="{C3380CC4-5D6E-409C-BE32-E72D297353CC}">
              <c16:uniqueId val="{00000002-FACB-45BE-B8AF-5AB0BEE11B43}"/>
            </c:ext>
          </c:extLst>
        </c:ser>
        <c:dLbls>
          <c:showLegendKey val="0"/>
          <c:showVal val="0"/>
          <c:showCatName val="0"/>
          <c:showSerName val="0"/>
          <c:showPercent val="0"/>
          <c:showBubbleSize val="0"/>
        </c:dLbls>
        <c:marker val="1"/>
        <c:smooth val="0"/>
        <c:axId val="112427392"/>
        <c:axId val="112428928"/>
      </c:lineChart>
      <c:catAx>
        <c:axId val="112427392"/>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428928"/>
        <c:crosses val="autoZero"/>
        <c:auto val="1"/>
        <c:lblAlgn val="ctr"/>
        <c:lblOffset val="100"/>
        <c:noMultiLvlLbl val="0"/>
      </c:catAx>
      <c:valAx>
        <c:axId val="112428928"/>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12427392"/>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265560165973E-2"/>
          <c:y val="6.2411347517730496E-2"/>
          <c:w val="0.93909191583610185"/>
          <c:h val="0.813038548752834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184642617347251E-2"/>
                  <c:y val="8.06180477440319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69-4ADB-97D0-12DF76A04AF9}"/>
                </c:ext>
              </c:extLst>
            </c:dLbl>
            <c:dLbl>
              <c:idx val="3"/>
              <c:layout>
                <c:manualLayout>
                  <c:x val="-5.3207811232898215E-2"/>
                  <c:y val="5.903279947149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69-4ADB-97D0-12DF76A04AF9}"/>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50</c:v>
                </c:pt>
                <c:pt idx="1">
                  <c:v>53</c:v>
                </c:pt>
                <c:pt idx="2">
                  <c:v>43</c:v>
                </c:pt>
                <c:pt idx="3">
                  <c:v>27</c:v>
                </c:pt>
                <c:pt idx="4">
                  <c:v>19</c:v>
                </c:pt>
              </c:numCache>
            </c:numRef>
          </c:val>
          <c:smooth val="0"/>
          <c:extLst xmlns:c16r2="http://schemas.microsoft.com/office/drawing/2015/06/chart">
            <c:ext xmlns:c16="http://schemas.microsoft.com/office/drawing/2014/chart" uri="{C3380CC4-5D6E-409C-BE32-E72D297353CC}">
              <c16:uniqueId val="{00000002-DA69-4ADB-97D0-12DF76A04AF9}"/>
            </c:ext>
          </c:extLst>
        </c:ser>
        <c:dLbls>
          <c:showLegendKey val="0"/>
          <c:showVal val="0"/>
          <c:showCatName val="0"/>
          <c:showSerName val="0"/>
          <c:showPercent val="0"/>
          <c:showBubbleSize val="0"/>
        </c:dLbls>
        <c:marker val="1"/>
        <c:smooth val="0"/>
        <c:axId val="112499712"/>
        <c:axId val="112501504"/>
      </c:lineChart>
      <c:catAx>
        <c:axId val="112499712"/>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501504"/>
        <c:crosses val="autoZero"/>
        <c:auto val="1"/>
        <c:lblAlgn val="ctr"/>
        <c:lblOffset val="100"/>
        <c:noMultiLvlLbl val="0"/>
      </c:catAx>
      <c:valAx>
        <c:axId val="112501504"/>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12499712"/>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2"/>
              <c:layout>
                <c:manualLayout>
                  <c:x val="-3.9349589951775059E-2"/>
                  <c:y val="-5.62037172409151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10-482C-9B03-CDC9D5F4B6A4}"/>
                </c:ext>
              </c:extLst>
            </c:dLbl>
            <c:dLbl>
              <c:idx val="3"/>
              <c:layout>
                <c:manualLayout>
                  <c:x val="-3.9355039097621447E-2"/>
                  <c:y val="6.76302067016158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6CA-4B0B-B406-B940DF1074D3}"/>
                </c:ext>
              </c:extLst>
            </c:dLbl>
            <c:dLbl>
              <c:idx val="4"/>
              <c:layout>
                <c:manualLayout>
                  <c:x val="-4.7749191234816579E-2"/>
                  <c:y val="7.28722072285133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6CA-4B0B-B406-B940DF1074D3}"/>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44</c:v>
                </c:pt>
                <c:pt idx="1">
                  <c:v>38</c:v>
                </c:pt>
                <c:pt idx="2">
                  <c:v>57</c:v>
                </c:pt>
                <c:pt idx="3">
                  <c:v>48</c:v>
                </c:pt>
                <c:pt idx="4">
                  <c:v>50</c:v>
                </c:pt>
              </c:numCache>
            </c:numRef>
          </c:val>
          <c:smooth val="0"/>
          <c:extLst xmlns:c16r2="http://schemas.microsoft.com/office/drawing/2015/06/chart">
            <c:ext xmlns:c16="http://schemas.microsoft.com/office/drawing/2014/chart" uri="{C3380CC4-5D6E-409C-BE32-E72D297353CC}">
              <c16:uniqueId val="{00000002-66CA-4B0B-B406-B940DF1074D3}"/>
            </c:ext>
          </c:extLst>
        </c:ser>
        <c:dLbls>
          <c:showLegendKey val="0"/>
          <c:showVal val="0"/>
          <c:showCatName val="0"/>
          <c:showSerName val="0"/>
          <c:showPercent val="0"/>
          <c:showBubbleSize val="0"/>
        </c:dLbls>
        <c:marker val="1"/>
        <c:smooth val="0"/>
        <c:axId val="102279424"/>
        <c:axId val="102281216"/>
      </c:lineChart>
      <c:catAx>
        <c:axId val="10227942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281216"/>
        <c:crosses val="autoZero"/>
        <c:auto val="1"/>
        <c:lblAlgn val="ctr"/>
        <c:lblOffset val="100"/>
        <c:noMultiLvlLbl val="0"/>
      </c:catAx>
      <c:valAx>
        <c:axId val="102281216"/>
        <c:scaling>
          <c:orientation val="minMax"/>
          <c:min val="3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0227942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 EU Pilot files opened against Romania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D2E-445D-BB32-DC3CCCA6FE3F}"/>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D2E-445D-BB32-DC3CCCA6FE3F}"/>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D2E-445D-BB32-DC3CCCA6FE3F}"/>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D2E-445D-BB32-DC3CCCA6FE3F}"/>
              </c:ext>
            </c:extLst>
          </c:dPt>
          <c:dPt>
            <c:idx val="4"/>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DD2E-445D-BB32-DC3CCCA6FE3F}"/>
              </c:ext>
            </c:extLst>
          </c:dPt>
          <c:dLbls>
            <c:dLbl>
              <c:idx val="0"/>
              <c:layout>
                <c:manualLayout>
                  <c:x val="5.5328069633303221E-3"/>
                  <c:y val="8.7531852483059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2E-445D-BB32-DC3CCCA6FE3F}"/>
                </c:ext>
              </c:extLst>
            </c:dLbl>
            <c:dLbl>
              <c:idx val="1"/>
              <c:layout>
                <c:manualLayout>
                  <c:x val="-2.7177790387305202E-2"/>
                  <c:y val="3.211467713258004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2733488308491728"/>
                      <c:h val="0.13366285119667012"/>
                    </c:manualLayout>
                  </c15:layout>
                </c:ext>
                <c:ext xmlns:c16="http://schemas.microsoft.com/office/drawing/2014/chart" uri="{C3380CC4-5D6E-409C-BE32-E72D297353CC}">
                  <c16:uniqueId val="{00000003-DD2E-445D-BB32-DC3CCCA6FE3F}"/>
                </c:ext>
              </c:extLst>
            </c:dLbl>
            <c:dLbl>
              <c:idx val="2"/>
              <c:layout>
                <c:manualLayout>
                  <c:x val="1.8796426598733137E-2"/>
                  <c:y val="-3.372471261071554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2E-445D-BB32-DC3CCCA6FE3F}"/>
                </c:ext>
              </c:extLst>
            </c:dLbl>
            <c:dLbl>
              <c:idx val="3"/>
              <c:layout>
                <c:manualLayout>
                  <c:x val="-2.7212891291637908E-2"/>
                  <c:y val="-5.8336132801297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2E-445D-BB32-DC3CCCA6FE3F}"/>
                </c:ext>
              </c:extLst>
            </c:dLbl>
            <c:dLbl>
              <c:idx val="4"/>
              <c:layout>
                <c:manualLayout>
                  <c:x val="8.4978070175438597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D2E-445D-BB32-DC3CCCA6FE3F}"/>
                </c:ext>
              </c:extLst>
            </c:dLbl>
            <c:dLbl>
              <c:idx val="5"/>
              <c:layout>
                <c:manualLayout>
                  <c:x val="1.6447368421052631E-2"/>
                  <c:y val="9.3156105424536533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D2E-445D-BB32-DC3CCCA6FE3F}"/>
                </c:ext>
              </c:extLst>
            </c:dLbl>
            <c:dLbl>
              <c:idx val="6"/>
              <c:layout>
                <c:manualLayout>
                  <c:x val="0"/>
                  <c:y val="-4.57317073170731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D2E-445D-BB32-DC3CCCA6FE3F}"/>
                </c:ext>
              </c:extLst>
            </c:dLbl>
            <c:spPr>
              <a:noFill/>
              <a:ln w="25361">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Agriculture and rural development</c:v>
                </c:pt>
                <c:pt idx="1">
                  <c:v>Energy</c:v>
                </c:pt>
                <c:pt idx="2">
                  <c:v>Environment</c:v>
                </c:pt>
                <c:pt idx="3">
                  <c:v>Migration and home affairs</c:v>
                </c:pt>
              </c:strCache>
            </c:strRef>
          </c:cat>
          <c:val>
            <c:numRef>
              <c:f>Blad1!$B$3:$B$6</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DD2E-445D-BB32-DC3CCCA6FE3F}"/>
            </c:ext>
          </c:extLst>
        </c:ser>
        <c:dLbls>
          <c:showLegendKey val="0"/>
          <c:showVal val="0"/>
          <c:showCatName val="0"/>
          <c:showSerName val="0"/>
          <c:showPercent val="0"/>
          <c:showBubbleSize val="0"/>
          <c:showLeaderLines val="0"/>
        </c:dLbls>
        <c:firstSliceAng val="268"/>
      </c:pieChart>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Romania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863338006210125E-2"/>
                  <c:y val="-4.3531468531468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6C-4061-AEA2-C0D51232C5D1}"/>
                </c:ext>
              </c:extLst>
            </c:dLbl>
            <c:dLbl>
              <c:idx val="1"/>
              <c:layout>
                <c:manualLayout>
                  <c:x val="-6.3726221843159347E-2"/>
                  <c:y val="8.40856481481481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C2-4B94-A53B-3EF396242EA4}"/>
                </c:ext>
              </c:extLst>
            </c:dLbl>
            <c:dLbl>
              <c:idx val="2"/>
              <c:layout>
                <c:manualLayout>
                  <c:x val="-5.5452739587435615E-2"/>
                  <c:y val="-6.6377314814814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6C-4061-AEA2-C0D51232C5D1}"/>
                </c:ext>
              </c:extLst>
            </c:dLbl>
            <c:dLbl>
              <c:idx val="3"/>
              <c:layout>
                <c:manualLayout>
                  <c:x val="-4.7336998735893122E-2"/>
                  <c:y val="6.1525317147856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6C-4061-AEA2-C0D51232C5D1}"/>
                </c:ext>
              </c:extLst>
            </c:dLbl>
            <c:dLbl>
              <c:idx val="4"/>
              <c:layout>
                <c:manualLayout>
                  <c:x val="-5.0087753265523165E-2"/>
                  <c:y val="9.59150302119988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6C-4061-AEA2-C0D51232C5D1}"/>
                </c:ext>
              </c:extLst>
            </c:dLbl>
            <c:spPr>
              <a:noFill/>
              <a:ln w="25396">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0.79</c:v>
                </c:pt>
                <c:pt idx="1">
                  <c:v>0.68</c:v>
                </c:pt>
                <c:pt idx="2">
                  <c:v>0.74</c:v>
                </c:pt>
                <c:pt idx="3">
                  <c:v>0.73</c:v>
                </c:pt>
                <c:pt idx="4">
                  <c:v>0.57999999999999996</c:v>
                </c:pt>
              </c:numCache>
            </c:numRef>
          </c:val>
          <c:smooth val="0"/>
          <c:extLst xmlns:c16r2="http://schemas.microsoft.com/office/drawing/2015/06/chart">
            <c:ext xmlns:c16="http://schemas.microsoft.com/office/drawing/2014/chart" uri="{C3380CC4-5D6E-409C-BE32-E72D297353CC}">
              <c16:uniqueId val="{00000004-B16C-4061-AEA2-C0D51232C5D1}"/>
            </c:ext>
          </c:extLst>
        </c:ser>
        <c:ser>
          <c:idx val="1"/>
          <c:order val="1"/>
          <c:tx>
            <c:strRef>
              <c:f>Blad1!$C$2</c:f>
              <c:strCache>
                <c:ptCount val="1"/>
                <c:pt idx="0">
                  <c:v>General rate for all Member States</c:v>
                </c:pt>
              </c:strCache>
            </c:strRef>
          </c:tx>
          <c:spPr>
            <a:ln w="25396">
              <a:solidFill>
                <a:srgbClr val="92D050"/>
              </a:solidFill>
            </a:ln>
          </c:spPr>
          <c:marker>
            <c:symbol val="square"/>
            <c:size val="4"/>
            <c:spPr>
              <a:solidFill>
                <a:srgbClr val="92D050"/>
              </a:solidFill>
              <a:ln>
                <a:solidFill>
                  <a:srgbClr val="92D050"/>
                </a:solidFill>
              </a:ln>
            </c:spPr>
          </c:marker>
          <c:dLbls>
            <c:dLbl>
              <c:idx val="1"/>
              <c:layout>
                <c:manualLayout>
                  <c:x val="-4.8528653454101602E-2"/>
                  <c:y val="-5.2256944444444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C2-4B94-A53B-3EF396242EA4}"/>
                </c:ext>
              </c:extLst>
            </c:dLbl>
            <c:dLbl>
              <c:idx val="2"/>
              <c:layout>
                <c:manualLayout>
                  <c:x val="-4.3002264948989795E-2"/>
                  <c:y val="5.7696759259259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6C-4061-AEA2-C0D51232C5D1}"/>
                </c:ext>
              </c:extLst>
            </c:dLbl>
            <c:dLbl>
              <c:idx val="3"/>
              <c:layout>
                <c:manualLayout>
                  <c:x val="-3.6281175684760872E-2"/>
                  <c:y val="-9.5965022601341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6C-4061-AEA2-C0D51232C5D1}"/>
                </c:ext>
              </c:extLst>
            </c:dLbl>
            <c:dLbl>
              <c:idx val="4"/>
              <c:layout>
                <c:manualLayout>
                  <c:x val="-5.0087753265523165E-2"/>
                  <c:y val="-7.843312240081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6C-4061-AEA2-C0D51232C5D1}"/>
                </c:ext>
              </c:extLst>
            </c:dLbl>
            <c:spPr>
              <a:noFill/>
              <a:ln w="25396">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8-B16C-4061-AEA2-C0D51232C5D1}"/>
            </c:ext>
          </c:extLst>
        </c:ser>
        <c:dLbls>
          <c:showLegendKey val="0"/>
          <c:showVal val="0"/>
          <c:showCatName val="0"/>
          <c:showSerName val="0"/>
          <c:showPercent val="0"/>
          <c:showBubbleSize val="0"/>
        </c:dLbls>
        <c:marker val="1"/>
        <c:smooth val="0"/>
        <c:axId val="109452672"/>
        <c:axId val="109458560"/>
      </c:lineChart>
      <c:catAx>
        <c:axId val="10945267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458560"/>
        <c:crosses val="autoZero"/>
        <c:auto val="1"/>
        <c:lblAlgn val="ctr"/>
        <c:lblOffset val="100"/>
        <c:noMultiLvlLbl val="0"/>
      </c:catAx>
      <c:valAx>
        <c:axId val="109458560"/>
        <c:scaling>
          <c:orientation val="minMax"/>
          <c:min val="0.4"/>
        </c:scaling>
        <c:delete val="1"/>
        <c:axPos val="l"/>
        <c:majorGridlines>
          <c:spPr>
            <a:ln w="9524" cap="flat" cmpd="sng" algn="ctr">
              <a:solidFill>
                <a:schemeClr val="tx1">
                  <a:lumMod val="15000"/>
                  <a:lumOff val="85000"/>
                </a:schemeClr>
              </a:solidFill>
              <a:round/>
            </a:ln>
            <a:effectLst/>
          </c:spPr>
        </c:majorGridlines>
        <c:numFmt formatCode="0%" sourceLinked="1"/>
        <c:majorTickMark val="out"/>
        <c:minorTickMark val="none"/>
        <c:tickLblPos val="nextTo"/>
        <c:crossAx val="109452672"/>
        <c:crosses val="autoZero"/>
        <c:crossBetween val="between"/>
      </c:valAx>
      <c:spPr>
        <a:noFill/>
        <a:ln w="2539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97879664050666E-2"/>
          <c:y val="5.9961842463886618E-2"/>
          <c:w val="0.93939393939393945"/>
          <c:h val="0.8205170068027211"/>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2177317674200264E-2"/>
                  <c:y val="-6.8481403029854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A7-4D88-9B74-30AAF9BA2E8C}"/>
                </c:ext>
              </c:extLst>
            </c:dLbl>
            <c:dLbl>
              <c:idx val="2"/>
              <c:layout>
                <c:manualLayout>
                  <c:x val="-3.9252293876488577E-2"/>
                  <c:y val="6.73870051957791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A7-4D88-9B74-30AAF9BA2E8C}"/>
                </c:ext>
              </c:extLst>
            </c:dLbl>
            <c:dLbl>
              <c:idx val="3"/>
              <c:layout>
                <c:manualLayout>
                  <c:x val="-4.2025386313465786E-2"/>
                  <c:y val="5.74289439149053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A7-4D88-9B74-30AAF9BA2E8C}"/>
                </c:ext>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68</c:v>
                </c:pt>
                <c:pt idx="1">
                  <c:v>50</c:v>
                </c:pt>
                <c:pt idx="2">
                  <c:v>57</c:v>
                </c:pt>
                <c:pt idx="3">
                  <c:v>58</c:v>
                </c:pt>
                <c:pt idx="4">
                  <c:v>59</c:v>
                </c:pt>
              </c:numCache>
            </c:numRef>
          </c:val>
          <c:smooth val="0"/>
          <c:extLst xmlns:c16r2="http://schemas.microsoft.com/office/drawing/2015/06/chart">
            <c:ext xmlns:c16="http://schemas.microsoft.com/office/drawing/2014/chart" uri="{C3380CC4-5D6E-409C-BE32-E72D297353CC}">
              <c16:uniqueId val="{00000003-FFA7-4D88-9B74-30AAF9BA2E8C}"/>
            </c:ext>
          </c:extLst>
        </c:ser>
        <c:dLbls>
          <c:showLegendKey val="0"/>
          <c:showVal val="0"/>
          <c:showCatName val="0"/>
          <c:showSerName val="0"/>
          <c:showPercent val="0"/>
          <c:showBubbleSize val="0"/>
        </c:dLbls>
        <c:marker val="1"/>
        <c:smooth val="0"/>
        <c:axId val="112933504"/>
        <c:axId val="112959872"/>
      </c:lineChart>
      <c:catAx>
        <c:axId val="112933504"/>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959872"/>
        <c:crosses val="autoZero"/>
        <c:auto val="1"/>
        <c:lblAlgn val="ctr"/>
        <c:lblOffset val="100"/>
        <c:noMultiLvlLbl val="0"/>
      </c:catAx>
      <c:valAx>
        <c:axId val="112959872"/>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12933504"/>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31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manualLayout>
          <c:layoutTarget val="inner"/>
          <c:xMode val="edge"/>
          <c:yMode val="edge"/>
          <c:x val="0.3170594896373739"/>
          <c:y val="0.25189768580756672"/>
          <c:w val="0.3491586126984963"/>
          <c:h val="0.63657576339542921"/>
        </c:manualLayout>
      </c:layout>
      <c:pieChart>
        <c:varyColors val="1"/>
        <c:ser>
          <c:idx val="0"/>
          <c:order val="0"/>
          <c:tx>
            <c:strRef>
              <c:f>Blad1!$B$1</c:f>
              <c:strCache>
                <c:ptCount val="1"/>
                <c:pt idx="0">
                  <c:v>[Number of infringement cases] infringement cases against Romania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5AD-4EBC-B61D-DDA9EAC4B2D6}"/>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5AD-4EBC-B61D-DDA9EAC4B2D6}"/>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5AD-4EBC-B61D-DDA9EAC4B2D6}"/>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5AD-4EBC-B61D-DDA9EAC4B2D6}"/>
              </c:ext>
            </c:extLst>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5AD-4EBC-B61D-DDA9EAC4B2D6}"/>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5AD-4EBC-B61D-DDA9EAC4B2D6}"/>
              </c:ext>
            </c:extLst>
          </c:dPt>
          <c:dPt>
            <c:idx val="6"/>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C5AD-4EBC-B61D-DDA9EAC4B2D6}"/>
              </c:ext>
            </c:extLst>
          </c:dPt>
          <c:dPt>
            <c:idx val="7"/>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C5AD-4EBC-B61D-DDA9EAC4B2D6}"/>
              </c:ext>
            </c:extLst>
          </c:dPt>
          <c:dPt>
            <c:idx val="8"/>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E7DF-4EC3-9061-CBA8AD09C757}"/>
              </c:ext>
            </c:extLst>
          </c:dPt>
          <c:dPt>
            <c:idx val="9"/>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ED2B-4D5C-BA98-2DC34E017A62}"/>
              </c:ext>
            </c:extLst>
          </c:dPt>
          <c:dPt>
            <c:idx val="10"/>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0-E7DF-4EC3-9061-CBA8AD09C75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AD-4EBC-B61D-DDA9EAC4B2D6}"/>
                </c:ext>
              </c:extLst>
            </c:dLbl>
            <c:dLbl>
              <c:idx val="1"/>
              <c:layout>
                <c:manualLayout>
                  <c:x val="-1.025386892691553E-2"/>
                  <c:y val="-5.94028155317422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AD-4EBC-B61D-DDA9EAC4B2D6}"/>
                </c:ext>
              </c:extLst>
            </c:dLbl>
            <c:dLbl>
              <c:idx val="2"/>
              <c:layout>
                <c:manualLayout>
                  <c:x val="-5.2630816632870725E-2"/>
                  <c:y val="7.91246559119134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AD-4EBC-B61D-DDA9EAC4B2D6}"/>
                </c:ext>
              </c:extLst>
            </c:dLbl>
            <c:dLbl>
              <c:idx val="3"/>
              <c:layout>
                <c:manualLayout>
                  <c:x val="-4.3644058497704509E-2"/>
                  <c:y val="0.10607235452275783"/>
                </c:manualLayout>
              </c:layout>
              <c:spPr>
                <a:noFill/>
                <a:ln w="25345">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184095717132351"/>
                      <c:h val="0.2183691024902375"/>
                    </c:manualLayout>
                  </c15:layout>
                </c:ext>
                <c:ext xmlns:c16="http://schemas.microsoft.com/office/drawing/2014/chart" uri="{C3380CC4-5D6E-409C-BE32-E72D297353CC}">
                  <c16:uniqueId val="{00000007-C5AD-4EBC-B61D-DDA9EAC4B2D6}"/>
                </c:ext>
              </c:extLst>
            </c:dLbl>
            <c:dLbl>
              <c:idx val="4"/>
              <c:layout>
                <c:manualLayout>
                  <c:x val="-2.8735329488496213E-2"/>
                  <c:y val="1.09187952115741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AD-4EBC-B61D-DDA9EAC4B2D6}"/>
                </c:ext>
              </c:extLst>
            </c:dLbl>
            <c:dLbl>
              <c:idx val="5"/>
              <c:layout>
                <c:manualLayout>
                  <c:x val="-1.3534616701340426E-2"/>
                  <c:y val="2.61514947826643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AD-4EBC-B61D-DDA9EAC4B2D6}"/>
                </c:ext>
              </c:extLst>
            </c:dLbl>
            <c:dLbl>
              <c:idx val="6"/>
              <c:layout>
                <c:manualLayout>
                  <c:x val="6.6356358465225291E-3"/>
                  <c:y val="-4.0650406504065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5AD-4EBC-B61D-DDA9EAC4B2D6}"/>
                </c:ext>
              </c:extLst>
            </c:dLbl>
            <c:dLbl>
              <c:idx val="7"/>
              <c:layout>
                <c:manualLayout>
                  <c:x val="4.1806020066889632E-2"/>
                  <c:y val="-0.1067073170731707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5AD-4EBC-B61D-DDA9EAC4B2D6}"/>
                </c:ext>
              </c:extLst>
            </c:dLbl>
            <c:dLbl>
              <c:idx val="8"/>
              <c:layout>
                <c:manualLayout>
                  <c:x val="4.7380046348721457E-2"/>
                  <c:y val="-2.5406504065041582E-3"/>
                </c:manualLayout>
              </c:layout>
              <c:spPr>
                <a:noFill/>
                <a:ln w="25345">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017986464066574"/>
                      <c:h val="0.21328780167722938"/>
                    </c:manualLayout>
                  </c15:layout>
                </c:ext>
                <c:ext xmlns:c16="http://schemas.microsoft.com/office/drawing/2014/chart" uri="{C3380CC4-5D6E-409C-BE32-E72D297353CC}">
                  <c16:uniqueId val="{0000000F-E7DF-4EC3-9061-CBA8AD09C757}"/>
                </c:ext>
              </c:extLst>
            </c:dLbl>
            <c:dLbl>
              <c:idx val="9"/>
              <c:layout>
                <c:manualLayout>
                  <c:x val="-2.5083612040133804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D2B-4D5C-BA98-2DC34E017A62}"/>
                </c:ext>
              </c:extLst>
            </c:dLbl>
            <c:dLbl>
              <c:idx val="10"/>
              <c:layout>
                <c:manualLayout>
                  <c:x val="-3.6231884057971037E-2"/>
                  <c:y val="-9.14634146341464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7DF-4EC3-9061-CBA8AD09C757}"/>
                </c:ext>
              </c:extLst>
            </c:dLbl>
            <c:spPr>
              <a:noFill/>
              <a:ln w="25345">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Blad1!$A$2:$A$12</c:f>
              <c:strCache>
                <c:ptCount val="11"/>
                <c:pt idx="0">
                  <c:v>Policy Area</c:v>
                </c:pt>
                <c:pt idx="1">
                  <c:v>Environment</c:v>
                </c:pt>
                <c:pt idx="2">
                  <c:v>Justice and consumers</c:v>
                </c:pt>
                <c:pt idx="3">
                  <c:v>Internal market, industry, entrepreneurship and SMEs</c:v>
                </c:pt>
                <c:pt idx="4">
                  <c:v>Energy</c:v>
                </c:pt>
                <c:pt idx="5">
                  <c:v>Communication networks</c:v>
                </c:pt>
                <c:pt idx="6">
                  <c:v>Migration and home affairs</c:v>
                </c:pt>
                <c:pt idx="7">
                  <c:v>Taxation and customs</c:v>
                </c:pt>
                <c:pt idx="8">
                  <c:v>Financial stability, financial services and Capital Markets Union</c:v>
                </c:pt>
                <c:pt idx="9">
                  <c:v>Health and food safety</c:v>
                </c:pt>
                <c:pt idx="10">
                  <c:v>Employment</c:v>
                </c:pt>
              </c:strCache>
            </c:strRef>
          </c:cat>
          <c:val>
            <c:numRef>
              <c:f>Blad1!$B$2:$B$12</c:f>
              <c:numCache>
                <c:formatCode>General</c:formatCode>
                <c:ptCount val="11"/>
                <c:pt idx="0">
                  <c:v>0</c:v>
                </c:pt>
                <c:pt idx="1">
                  <c:v>5</c:v>
                </c:pt>
                <c:pt idx="2">
                  <c:v>4</c:v>
                </c:pt>
                <c:pt idx="3">
                  <c:v>3</c:v>
                </c:pt>
                <c:pt idx="4">
                  <c:v>3</c:v>
                </c:pt>
                <c:pt idx="5">
                  <c:v>3</c:v>
                </c:pt>
                <c:pt idx="6">
                  <c:v>3</c:v>
                </c:pt>
                <c:pt idx="7">
                  <c:v>3</c:v>
                </c:pt>
                <c:pt idx="8">
                  <c:v>3</c:v>
                </c:pt>
                <c:pt idx="9">
                  <c:v>3</c:v>
                </c:pt>
                <c:pt idx="10">
                  <c:v>1</c:v>
                </c:pt>
              </c:numCache>
            </c:numRef>
          </c:val>
          <c:extLst xmlns:c16r2="http://schemas.microsoft.com/office/drawing/2015/06/chart">
            <c:ext xmlns:c16="http://schemas.microsoft.com/office/drawing/2014/chart" uri="{C3380CC4-5D6E-409C-BE32-E72D297353CC}">
              <c16:uniqueId val="{0000000F-C5AD-4EBC-B61D-DDA9EAC4B2D6}"/>
            </c:ext>
          </c:extLst>
        </c:ser>
        <c:dLbls>
          <c:showLegendKey val="0"/>
          <c:showVal val="0"/>
          <c:showCatName val="0"/>
          <c:showSerName val="0"/>
          <c:showPercent val="0"/>
          <c:showBubbleSize val="0"/>
          <c:showLeaderLines val="0"/>
        </c:dLbls>
        <c:firstSliceAng val="225"/>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34</c:v>
                </c:pt>
                <c:pt idx="1">
                  <c:v>24</c:v>
                </c:pt>
                <c:pt idx="2">
                  <c:v>38</c:v>
                </c:pt>
                <c:pt idx="3">
                  <c:v>34</c:v>
                </c:pt>
                <c:pt idx="4">
                  <c:v>34</c:v>
                </c:pt>
              </c:numCache>
            </c:numRef>
          </c:val>
          <c:smooth val="0"/>
          <c:extLst xmlns:c16r2="http://schemas.microsoft.com/office/drawing/2015/06/chart">
            <c:ext xmlns:c16="http://schemas.microsoft.com/office/drawing/2014/chart" uri="{C3380CC4-5D6E-409C-BE32-E72D297353CC}">
              <c16:uniqueId val="{00000000-BC76-4A5E-A4B4-8C1C6DC1A635}"/>
            </c:ext>
          </c:extLst>
        </c:ser>
        <c:dLbls>
          <c:showLegendKey val="0"/>
          <c:showVal val="0"/>
          <c:showCatName val="0"/>
          <c:showSerName val="0"/>
          <c:showPercent val="0"/>
          <c:showBubbleSize val="0"/>
        </c:dLbls>
        <c:marker val="1"/>
        <c:smooth val="0"/>
        <c:axId val="113038464"/>
        <c:axId val="113040000"/>
      </c:lineChart>
      <c:catAx>
        <c:axId val="113038464"/>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040000"/>
        <c:crosses val="autoZero"/>
        <c:auto val="1"/>
        <c:lblAlgn val="ctr"/>
        <c:lblOffset val="100"/>
        <c:noMultiLvlLbl val="0"/>
      </c:catAx>
      <c:valAx>
        <c:axId val="113040000"/>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13038464"/>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37</c:v>
                </c:pt>
                <c:pt idx="1">
                  <c:v>22</c:v>
                </c:pt>
                <c:pt idx="2">
                  <c:v>35</c:v>
                </c:pt>
                <c:pt idx="3">
                  <c:v>19</c:v>
                </c:pt>
                <c:pt idx="4">
                  <c:v>21</c:v>
                </c:pt>
              </c:numCache>
            </c:numRef>
          </c:val>
          <c:smooth val="0"/>
          <c:extLst xmlns:c16r2="http://schemas.microsoft.com/office/drawing/2015/06/chart">
            <c:ext xmlns:c16="http://schemas.microsoft.com/office/drawing/2014/chart" uri="{C3380CC4-5D6E-409C-BE32-E72D297353CC}">
              <c16:uniqueId val="{00000002-81FB-4ECF-8F88-41BC66EEDBE0}"/>
            </c:ext>
          </c:extLst>
        </c:ser>
        <c:dLbls>
          <c:dLblPos val="t"/>
          <c:showLegendKey val="0"/>
          <c:showVal val="1"/>
          <c:showCatName val="0"/>
          <c:showSerName val="0"/>
          <c:showPercent val="0"/>
          <c:showBubbleSize val="0"/>
        </c:dLbls>
        <c:marker val="1"/>
        <c:smooth val="0"/>
        <c:axId val="108845312"/>
        <c:axId val="108852352"/>
      </c:lineChart>
      <c:catAx>
        <c:axId val="10884531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852352"/>
        <c:crosses val="autoZero"/>
        <c:auto val="1"/>
        <c:lblAlgn val="ctr"/>
        <c:lblOffset val="100"/>
        <c:noMultiLvlLbl val="0"/>
      </c:catAx>
      <c:valAx>
        <c:axId val="108852352"/>
        <c:scaling>
          <c:orientation val="minMax"/>
          <c:min val="1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8845312"/>
        <c:crosses val="autoZero"/>
        <c:crossBetween val="between"/>
      </c:valAx>
      <c:spPr>
        <a:noFill/>
        <a:ln w="25405">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2">
          <a:noFill/>
        </a:ln>
      </c:spPr>
    </c:title>
    <c:autoTitleDeleted val="0"/>
    <c:plotArea>
      <c:layout>
        <c:manualLayout>
          <c:layoutTarget val="inner"/>
          <c:xMode val="edge"/>
          <c:yMode val="edge"/>
          <c:x val="0.31614720034995625"/>
          <c:y val="0.28761918832154093"/>
          <c:w val="0.33458997902078852"/>
          <c:h val="0.61293422880963422"/>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explosion val="17"/>
          <c:dPt>
            <c:idx val="0"/>
            <c:bubble3D val="0"/>
            <c:explosion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1BD-4E0B-BB11-62987E87E05D}"/>
              </c:ext>
            </c:extLst>
          </c:dPt>
          <c:dPt>
            <c:idx val="1"/>
            <c:bubble3D val="0"/>
            <c:explosion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1BD-4E0B-BB11-62987E87E05D}"/>
              </c:ext>
            </c:extLst>
          </c:dPt>
          <c:dPt>
            <c:idx val="2"/>
            <c:bubble3D val="0"/>
            <c:explosion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1BD-4E0B-BB11-62987E87E05D}"/>
              </c:ext>
            </c:extLst>
          </c:dPt>
          <c:dPt>
            <c:idx val="3"/>
            <c:bubble3D val="0"/>
            <c:explosion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1BD-4E0B-BB11-62987E87E05D}"/>
              </c:ext>
            </c:extLst>
          </c:dPt>
          <c:dPt>
            <c:idx val="4"/>
            <c:bubble3D val="0"/>
            <c:explosion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1BD-4E0B-BB11-62987E87E05D}"/>
              </c:ext>
            </c:extLst>
          </c:dPt>
          <c:dPt>
            <c:idx val="5"/>
            <c:bubble3D val="0"/>
            <c:explosion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E59-418B-8E23-97FBA2C7F721}"/>
              </c:ext>
            </c:extLst>
          </c:dPt>
          <c:dPt>
            <c:idx val="6"/>
            <c:bubble3D val="0"/>
            <c:explosion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E59-418B-8E23-97FBA2C7F721}"/>
              </c:ext>
            </c:extLst>
          </c:dPt>
          <c:dPt>
            <c:idx val="7"/>
            <c:bubble3D val="0"/>
            <c:explosion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CE59-418B-8E23-97FBA2C7F721}"/>
              </c:ext>
            </c:extLst>
          </c:dPt>
          <c:dPt>
            <c:idx val="8"/>
            <c:bubble3D val="0"/>
            <c:explosion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CE59-418B-8E23-97FBA2C7F721}"/>
              </c:ext>
            </c:extLst>
          </c:dPt>
          <c:dLbls>
            <c:dLbl>
              <c:idx val="0"/>
              <c:layout>
                <c:manualLayout>
                  <c:x val="8.2016183963163521E-3"/>
                  <c:y val="2.047843030777339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BD-4E0B-BB11-62987E87E05D}"/>
                </c:ext>
              </c:extLst>
            </c:dLbl>
            <c:dLbl>
              <c:idx val="1"/>
              <c:layout>
                <c:manualLayout>
                  <c:x val="-5.5219464348964312E-3"/>
                  <c:y val="5.72495248438772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BD-4E0B-BB11-62987E87E05D}"/>
                </c:ext>
              </c:extLst>
            </c:dLbl>
            <c:dLbl>
              <c:idx val="2"/>
              <c:layout>
                <c:manualLayout>
                  <c:x val="-5.4011933629403595E-3"/>
                  <c:y val="4.55930267844308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BD-4E0B-BB11-62987E87E05D}"/>
                </c:ext>
              </c:extLst>
            </c:dLbl>
            <c:dLbl>
              <c:idx val="3"/>
              <c:layout>
                <c:manualLayout>
                  <c:x val="1.1052611503146882E-2"/>
                  <c:y val="-6.592292089249493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1BD-4E0B-BB11-62987E87E05D}"/>
                </c:ext>
              </c:extLst>
            </c:dLbl>
            <c:dLbl>
              <c:idx val="4"/>
              <c:layout>
                <c:manualLayout>
                  <c:x val="2.9107484401819914E-2"/>
                  <c:y val="-2.5794189519422818E-4"/>
                </c:manualLayout>
              </c:layout>
              <c:spPr>
                <a:noFill/>
                <a:ln w="25382">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830161022259758"/>
                      <c:h val="0.21871635974509271"/>
                    </c:manualLayout>
                  </c15:layout>
                </c:ext>
                <c:ext xmlns:c16="http://schemas.microsoft.com/office/drawing/2014/chart" uri="{C3380CC4-5D6E-409C-BE32-E72D297353CC}">
                  <c16:uniqueId val="{00000009-81BD-4E0B-BB11-62987E87E05D}"/>
                </c:ext>
              </c:extLst>
            </c:dLbl>
            <c:dLbl>
              <c:idx val="5"/>
              <c:layout>
                <c:manualLayout>
                  <c:x val="6.914682723483094E-2"/>
                  <c:y val="2.7890466531440162E-2"/>
                </c:manualLayout>
              </c:layout>
              <c:spPr>
                <a:noFill/>
                <a:ln w="25382">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5827392856169792"/>
                      <c:h val="0.11143529092332018"/>
                    </c:manualLayout>
                  </c15:layout>
                </c:ext>
                <c:ext xmlns:c16="http://schemas.microsoft.com/office/drawing/2014/chart" uri="{C3380CC4-5D6E-409C-BE32-E72D297353CC}">
                  <c16:uniqueId val="{0000000A-CE59-418B-8E23-97FBA2C7F721}"/>
                </c:ext>
              </c:extLst>
            </c:dLbl>
            <c:dLbl>
              <c:idx val="6"/>
              <c:layout>
                <c:manualLayout>
                  <c:x val="-1.6608996539792413E-2"/>
                  <c:y val="-3.54969574036512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E59-418B-8E23-97FBA2C7F721}"/>
                </c:ext>
              </c:extLst>
            </c:dLbl>
            <c:dLbl>
              <c:idx val="7"/>
              <c:layout>
                <c:manualLayout>
                  <c:x val="-2.768166089965398E-2"/>
                  <c:y val="-5.57809330628804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E59-418B-8E23-97FBA2C7F721}"/>
                </c:ext>
              </c:extLst>
            </c:dLbl>
            <c:dLbl>
              <c:idx val="8"/>
              <c:layout>
                <c:manualLayout>
                  <c:x val="-1.1072664359861591E-2"/>
                  <c:y val="-7.0993914807302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E59-418B-8E23-97FBA2C7F721}"/>
                </c:ext>
              </c:extLst>
            </c:dLbl>
            <c:spPr>
              <a:noFill/>
              <a:ln w="25382">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Blad1!$A$4:$A$12</c:f>
              <c:strCache>
                <c:ptCount val="9"/>
                <c:pt idx="0">
                  <c:v>Justice and consumers</c:v>
                </c:pt>
                <c:pt idx="1">
                  <c:v>Communication networks</c:v>
                </c:pt>
                <c:pt idx="2">
                  <c:v>Migration and home affairs</c:v>
                </c:pt>
                <c:pt idx="3">
                  <c:v>Health and food safety</c:v>
                </c:pt>
                <c:pt idx="4">
                  <c:v>Internal market, industry, entrepreneurship and SMEs</c:v>
                </c:pt>
                <c:pt idx="5">
                  <c:v>Environment</c:v>
                </c:pt>
                <c:pt idx="6">
                  <c:v>Financial stability, financial services and capital markets union</c:v>
                </c:pt>
                <c:pt idx="7">
                  <c:v>Taxation and customs</c:v>
                </c:pt>
                <c:pt idx="8">
                  <c:v>Employment</c:v>
                </c:pt>
              </c:strCache>
            </c:strRef>
          </c:cat>
          <c:val>
            <c:numRef>
              <c:f>Blad1!$B$4:$B$12</c:f>
              <c:numCache>
                <c:formatCode>General</c:formatCode>
                <c:ptCount val="9"/>
                <c:pt idx="0">
                  <c:v>4</c:v>
                </c:pt>
                <c:pt idx="1">
                  <c:v>3</c:v>
                </c:pt>
                <c:pt idx="2">
                  <c:v>3</c:v>
                </c:pt>
                <c:pt idx="3">
                  <c:v>3</c:v>
                </c:pt>
                <c:pt idx="4">
                  <c:v>2</c:v>
                </c:pt>
                <c:pt idx="5">
                  <c:v>2</c:v>
                </c:pt>
                <c:pt idx="6">
                  <c:v>2</c:v>
                </c:pt>
                <c:pt idx="7">
                  <c:v>1</c:v>
                </c:pt>
                <c:pt idx="8">
                  <c:v>1</c:v>
                </c:pt>
              </c:numCache>
            </c:numRef>
          </c:val>
          <c:extLst xmlns:c16r2="http://schemas.microsoft.com/office/drawing/2015/06/chart">
            <c:ext xmlns:c16="http://schemas.microsoft.com/office/drawing/2014/chart" uri="{C3380CC4-5D6E-409C-BE32-E72D297353CC}">
              <c16:uniqueId val="{0000000A-81BD-4E0B-BB11-62987E87E05D}"/>
            </c:ext>
          </c:extLst>
        </c:ser>
        <c:dLbls>
          <c:showLegendKey val="0"/>
          <c:showVal val="0"/>
          <c:showCatName val="0"/>
          <c:showSerName val="0"/>
          <c:showPercent val="0"/>
          <c:showBubbleSize val="0"/>
          <c:showLeaderLines val="0"/>
        </c:dLbls>
        <c:firstSliceAng val="282"/>
      </c:pieChart>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37</c:v>
                </c:pt>
                <c:pt idx="1">
                  <c:v>49</c:v>
                </c:pt>
                <c:pt idx="2">
                  <c:v>37</c:v>
                </c:pt>
                <c:pt idx="3">
                  <c:v>42</c:v>
                </c:pt>
                <c:pt idx="4">
                  <c:v>49</c:v>
                </c:pt>
              </c:numCache>
            </c:numRef>
          </c:val>
          <c:smooth val="0"/>
          <c:extLst xmlns:c16r2="http://schemas.microsoft.com/office/drawing/2015/06/chart">
            <c:ext xmlns:c16="http://schemas.microsoft.com/office/drawing/2014/chart" uri="{C3380CC4-5D6E-409C-BE32-E72D297353CC}">
              <c16:uniqueId val="{00000000-0424-4D72-93BE-B5F8F4C818E3}"/>
            </c:ext>
          </c:extLst>
        </c:ser>
        <c:dLbls>
          <c:showLegendKey val="0"/>
          <c:showVal val="0"/>
          <c:showCatName val="0"/>
          <c:showSerName val="0"/>
          <c:showPercent val="0"/>
          <c:showBubbleSize val="0"/>
        </c:dLbls>
        <c:marker val="1"/>
        <c:smooth val="0"/>
        <c:axId val="113633920"/>
        <c:axId val="113066368"/>
      </c:lineChart>
      <c:catAx>
        <c:axId val="113633920"/>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066368"/>
        <c:crosses val="autoZero"/>
        <c:auto val="1"/>
        <c:lblAlgn val="ctr"/>
        <c:lblOffset val="100"/>
        <c:noMultiLvlLbl val="0"/>
      </c:catAx>
      <c:valAx>
        <c:axId val="113066368"/>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113633920"/>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49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99">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77D-4E87-91C7-C7E3693A153F}"/>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77D-4E87-91C7-C7E3693A153F}"/>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77D-4E87-91C7-C7E3693A153F}"/>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77D-4E87-91C7-C7E3693A153F}"/>
              </c:ext>
            </c:extLst>
          </c:dPt>
          <c:dPt>
            <c:idx val="4"/>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77D-4E87-91C7-C7E3693A153F}"/>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77D-4E87-91C7-C7E3693A153F}"/>
              </c:ext>
            </c:extLst>
          </c:dPt>
          <c:dPt>
            <c:idx val="6"/>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877D-4E87-91C7-C7E3693A153F}"/>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877D-4E87-91C7-C7E3693A153F}"/>
              </c:ext>
            </c:extLst>
          </c:dPt>
          <c:dLbls>
            <c:dLbl>
              <c:idx val="0"/>
              <c:layout>
                <c:manualLayout>
                  <c:x val="-2.9322811100145001E-2"/>
                  <c:y val="-3.8602866949323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7D-4E87-91C7-C7E3693A153F}"/>
                </c:ext>
              </c:extLst>
            </c:dLbl>
            <c:dLbl>
              <c:idx val="1"/>
              <c:layout>
                <c:manualLayout>
                  <c:x val="-3.3123647358682708E-2"/>
                  <c:y val="0.1917118052551123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7D-4E87-91C7-C7E3693A153F}"/>
                </c:ext>
              </c:extLst>
            </c:dLbl>
            <c:dLbl>
              <c:idx val="2"/>
              <c:layout>
                <c:manualLayout>
                  <c:x val="-6.6791981179277579E-2"/>
                  <c:y val="7.305663715112534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7D-4E87-91C7-C7E3693A153F}"/>
                </c:ext>
              </c:extLst>
            </c:dLbl>
            <c:dLbl>
              <c:idx val="3"/>
              <c:layout>
                <c:manualLayout>
                  <c:x val="-3.5078318300170115E-2"/>
                  <c:y val="4.56446790305058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7D-4E87-91C7-C7E3693A153F}"/>
                </c:ext>
              </c:extLst>
            </c:dLbl>
            <c:dLbl>
              <c:idx val="4"/>
              <c:layout>
                <c:manualLayout>
                  <c:x val="-6.9412205607366608E-3"/>
                  <c:y val="6.4783440531472031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77D-4E87-91C7-C7E3693A153F}"/>
                </c:ext>
              </c:extLst>
            </c:dLbl>
            <c:dLbl>
              <c:idx val="5"/>
              <c:layout>
                <c:manualLayout>
                  <c:x val="9.9723143876888302E-3"/>
                  <c:y val="6.6279022814455885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77D-4E87-91C7-C7E3693A153F}"/>
                </c:ext>
              </c:extLst>
            </c:dLbl>
            <c:dLbl>
              <c:idx val="6"/>
              <c:layout>
                <c:manualLayout>
                  <c:x val="-1.9519239636535589E-2"/>
                  <c:y val="1.2791862555642084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77D-4E87-91C7-C7E3693A153F}"/>
                </c:ext>
              </c:extLst>
            </c:dLbl>
            <c:dLbl>
              <c:idx val="7"/>
              <c:layout>
                <c:manualLayout>
                  <c:x val="7.7588585129824139E-2"/>
                  <c:y val="-1.8804957072673607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77D-4E87-91C7-C7E3693A153F}"/>
                </c:ext>
              </c:extLst>
            </c:dLbl>
            <c:spPr>
              <a:noFill/>
              <a:ln w="25399">
                <a:noFill/>
              </a:ln>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Blad1!$A$3:$A$10</c:f>
              <c:strCache>
                <c:ptCount val="8"/>
                <c:pt idx="0">
                  <c:v>Justice and consumers</c:v>
                </c:pt>
                <c:pt idx="1">
                  <c:v>Internal market, industry, entrepreneurship and SMEs</c:v>
                </c:pt>
                <c:pt idx="2">
                  <c:v>Mobility and transport</c:v>
                </c:pt>
                <c:pt idx="3">
                  <c:v>Communication networks</c:v>
                </c:pt>
                <c:pt idx="4">
                  <c:v>Taxation and customs</c:v>
                </c:pt>
                <c:pt idx="5">
                  <c:v>Environment</c:v>
                </c:pt>
                <c:pt idx="6">
                  <c:v>Education, youth, sport and culture </c:v>
                </c:pt>
                <c:pt idx="7">
                  <c:v>Other</c:v>
                </c:pt>
              </c:strCache>
            </c:strRef>
          </c:cat>
          <c:val>
            <c:numRef>
              <c:f>Blad1!$B$3:$B$10</c:f>
              <c:numCache>
                <c:formatCode>General</c:formatCode>
                <c:ptCount val="8"/>
                <c:pt idx="0">
                  <c:v>11</c:v>
                </c:pt>
                <c:pt idx="1">
                  <c:v>5</c:v>
                </c:pt>
                <c:pt idx="2">
                  <c:v>4</c:v>
                </c:pt>
                <c:pt idx="3">
                  <c:v>4</c:v>
                </c:pt>
                <c:pt idx="4">
                  <c:v>4</c:v>
                </c:pt>
                <c:pt idx="5">
                  <c:v>4</c:v>
                </c:pt>
                <c:pt idx="6">
                  <c:v>4</c:v>
                </c:pt>
                <c:pt idx="7">
                  <c:v>13</c:v>
                </c:pt>
              </c:numCache>
            </c:numRef>
          </c:val>
          <c:extLst xmlns:c16r2="http://schemas.microsoft.com/office/drawing/2015/06/chart">
            <c:ext xmlns:c16="http://schemas.microsoft.com/office/drawing/2014/chart" uri="{C3380CC4-5D6E-409C-BE32-E72D297353CC}">
              <c16:uniqueId val="{00000010-877D-4E87-91C7-C7E3693A153F}"/>
            </c:ext>
          </c:extLst>
        </c:ser>
        <c:dLbls>
          <c:showLegendKey val="0"/>
          <c:showVal val="0"/>
          <c:showCatName val="0"/>
          <c:showSerName val="0"/>
          <c:showPercent val="0"/>
          <c:showBubbleSize val="0"/>
          <c:showLeaderLines val="0"/>
        </c:dLbls>
        <c:firstSliceAng val="219"/>
      </c:pie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36</c:v>
                </c:pt>
                <c:pt idx="1">
                  <c:v>26</c:v>
                </c:pt>
                <c:pt idx="2">
                  <c:v>20</c:v>
                </c:pt>
                <c:pt idx="3">
                  <c:v>8</c:v>
                </c:pt>
                <c:pt idx="4">
                  <c:v>4</c:v>
                </c:pt>
              </c:numCache>
            </c:numRef>
          </c:val>
          <c:smooth val="0"/>
          <c:extLst xmlns:c16r2="http://schemas.microsoft.com/office/drawing/2015/06/chart">
            <c:ext xmlns:c16="http://schemas.microsoft.com/office/drawing/2014/chart" uri="{C3380CC4-5D6E-409C-BE32-E72D297353CC}">
              <c16:uniqueId val="{00000000-3715-472D-9DE3-DC18E6064A3C}"/>
            </c:ext>
          </c:extLst>
        </c:ser>
        <c:dLbls>
          <c:showLegendKey val="0"/>
          <c:showVal val="0"/>
          <c:showCatName val="0"/>
          <c:showSerName val="0"/>
          <c:showPercent val="0"/>
          <c:showBubbleSize val="0"/>
        </c:dLbls>
        <c:marker val="1"/>
        <c:smooth val="0"/>
        <c:axId val="113218304"/>
        <c:axId val="113219840"/>
      </c:lineChart>
      <c:catAx>
        <c:axId val="11321830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219840"/>
        <c:crosses val="autoZero"/>
        <c:auto val="1"/>
        <c:lblAlgn val="ctr"/>
        <c:lblOffset val="100"/>
        <c:noMultiLvlLbl val="0"/>
      </c:catAx>
      <c:valAx>
        <c:axId val="11321984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321830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0370367544887341"/>
          <c:y val="3.2786759167313224E-2"/>
        </c:manualLayout>
      </c:layout>
      <c:overlay val="0"/>
      <c:spPr>
        <a:noFill/>
        <a:ln w="25370">
          <a:noFill/>
        </a:ln>
      </c:spPr>
    </c:title>
    <c:autoTitleDeleted val="0"/>
    <c:plotArea>
      <c:layout/>
      <c:pieChart>
        <c:varyColors val="1"/>
        <c:ser>
          <c:idx val="0"/>
          <c:order val="0"/>
          <c:tx>
            <c:strRef>
              <c:f>Blad1!$B$1</c:f>
              <c:strCache>
                <c:ptCount val="1"/>
                <c:pt idx="0">
                  <c:v>[Number of infringement cases] infringement cases against Hungary</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832-46AA-9481-AF9CC7470611}"/>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832-46AA-9481-AF9CC7470611}"/>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832-46AA-9481-AF9CC7470611}"/>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832-46AA-9481-AF9CC7470611}"/>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832-46AA-9481-AF9CC7470611}"/>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9832-46AA-9481-AF9CC7470611}"/>
              </c:ext>
            </c:extLst>
          </c:dPt>
          <c:dPt>
            <c:idx val="6"/>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9832-46AA-9481-AF9CC7470611}"/>
              </c:ext>
            </c:extLst>
          </c:dPt>
          <c:dPt>
            <c:idx val="7"/>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6ECD-4B62-B58C-FED2653CADF6}"/>
              </c:ext>
            </c:extLst>
          </c:dPt>
          <c:dPt>
            <c:idx val="8"/>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6ECD-4B62-B58C-FED2653CAD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32-46AA-9481-AF9CC7470611}"/>
                </c:ext>
              </c:extLst>
            </c:dLbl>
            <c:dLbl>
              <c:idx val="1"/>
              <c:layout>
                <c:manualLayout>
                  <c:x val="8.2027082254856557E-3"/>
                  <c:y val="-2.994704662204495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832-46AA-9481-AF9CC7470611}"/>
                </c:ext>
              </c:extLst>
            </c:dLbl>
            <c:dLbl>
              <c:idx val="2"/>
              <c:layout>
                <c:manualLayout>
                  <c:x val="-9.8358390322316983E-2"/>
                  <c:y val="0.11115504414289495"/>
                </c:manualLayout>
              </c:layout>
              <c:spPr>
                <a:noFill/>
                <a:ln w="25370">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363332697599653"/>
                      <c:h val="0.29143946779706259"/>
                    </c:manualLayout>
                  </c15:layout>
                </c:ext>
                <c:ext xmlns:c16="http://schemas.microsoft.com/office/drawing/2014/chart" uri="{C3380CC4-5D6E-409C-BE32-E72D297353CC}">
                  <c16:uniqueId val="{00000005-9832-46AA-9481-AF9CC7470611}"/>
                </c:ext>
              </c:extLst>
            </c:dLbl>
            <c:dLbl>
              <c:idx val="3"/>
              <c:layout>
                <c:manualLayout>
                  <c:x val="1.0883034084407269E-3"/>
                  <c:y val="-1.246089570604880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832-46AA-9481-AF9CC7470611}"/>
                </c:ext>
              </c:extLst>
            </c:dLbl>
            <c:dLbl>
              <c:idx val="4"/>
              <c:layout>
                <c:manualLayout>
                  <c:x val="5.2462196550689668E-3"/>
                  <c:y val="-5.828128852465690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832-46AA-9481-AF9CC7470611}"/>
                </c:ext>
              </c:extLst>
            </c:dLbl>
            <c:dLbl>
              <c:idx val="5"/>
              <c:layout>
                <c:manualLayout>
                  <c:x val="1.9657684657929868E-2"/>
                  <c:y val="-2.8048777729375814E-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832-46AA-9481-AF9CC7470611}"/>
                </c:ext>
              </c:extLst>
            </c:dLbl>
            <c:dLbl>
              <c:idx val="6"/>
              <c:layout>
                <c:manualLayout>
                  <c:x val="7.4830286352614128E-2"/>
                  <c:y val="-2.1066499911001195E-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9832-46AA-9481-AF9CC7470611}"/>
                </c:ext>
              </c:extLst>
            </c:dLbl>
            <c:dLbl>
              <c:idx val="7"/>
              <c:layout>
                <c:manualLayout>
                  <c:x val="1.3778492221344304E-2"/>
                  <c:y val="-2.2619982039734261E-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460921450562624"/>
                      <c:h val="0.19554748273529868"/>
                    </c:manualLayout>
                  </c15:layout>
                </c:ext>
                <c:ext xmlns:c16="http://schemas.microsoft.com/office/drawing/2014/chart" uri="{C3380CC4-5D6E-409C-BE32-E72D297353CC}">
                  <c16:uniqueId val="{0000000E-6ECD-4B62-B58C-FED2653CADF6}"/>
                </c:ext>
              </c:extLst>
            </c:dLbl>
            <c:dLbl>
              <c:idx val="8"/>
              <c:layout>
                <c:manualLayout>
                  <c:x val="-4.7058823529411764E-2"/>
                  <c:y val="-0.1781097385808675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6ECD-4B62-B58C-FED2653CADF6}"/>
                </c:ext>
              </c:extLst>
            </c:dLbl>
            <c:spPr>
              <a:noFill/>
              <a:ln w="2537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Blad1!$A$2:$A$10</c:f>
              <c:strCache>
                <c:ptCount val="9"/>
                <c:pt idx="0">
                  <c:v>Policy Area</c:v>
                </c:pt>
                <c:pt idx="1">
                  <c:v>Mobility and transport</c:v>
                </c:pt>
                <c:pt idx="2">
                  <c:v>Internal market, industry, entrepreneurship and SMEs</c:v>
                </c:pt>
                <c:pt idx="3">
                  <c:v>Migration and home affairs</c:v>
                </c:pt>
                <c:pt idx="4">
                  <c:v>Justice and consumers</c:v>
                </c:pt>
                <c:pt idx="5">
                  <c:v>Communication networks</c:v>
                </c:pt>
                <c:pt idx="6">
                  <c:v>Energy</c:v>
                </c:pt>
                <c:pt idx="7">
                  <c:v>Health and food safety</c:v>
                </c:pt>
                <c:pt idx="8">
                  <c:v>Environment</c:v>
                </c:pt>
              </c:strCache>
            </c:strRef>
          </c:cat>
          <c:val>
            <c:numRef>
              <c:f>Blad1!$B$2:$B$10</c:f>
              <c:numCache>
                <c:formatCode>General</c:formatCode>
                <c:ptCount val="9"/>
                <c:pt idx="0">
                  <c:v>0</c:v>
                </c:pt>
                <c:pt idx="1">
                  <c:v>8</c:v>
                </c:pt>
                <c:pt idx="2">
                  <c:v>4</c:v>
                </c:pt>
                <c:pt idx="3">
                  <c:v>2</c:v>
                </c:pt>
                <c:pt idx="4">
                  <c:v>2</c:v>
                </c:pt>
                <c:pt idx="5">
                  <c:v>2</c:v>
                </c:pt>
                <c:pt idx="6">
                  <c:v>2</c:v>
                </c:pt>
                <c:pt idx="7">
                  <c:v>1</c:v>
                </c:pt>
                <c:pt idx="8">
                  <c:v>1</c:v>
                </c:pt>
              </c:numCache>
            </c:numRef>
          </c:val>
          <c:extLst xmlns:c16r2="http://schemas.microsoft.com/office/drawing/2015/06/chart">
            <c:ext xmlns:c16="http://schemas.microsoft.com/office/drawing/2014/chart" uri="{C3380CC4-5D6E-409C-BE32-E72D297353CC}">
              <c16:uniqueId val="{0000000D-9832-46AA-9481-AF9CC7470611}"/>
            </c:ext>
          </c:extLst>
        </c:ser>
        <c:dLbls>
          <c:showLegendKey val="0"/>
          <c:showVal val="0"/>
          <c:showCatName val="0"/>
          <c:showSerName val="0"/>
          <c:showPercent val="0"/>
          <c:showBubbleSize val="0"/>
          <c:showLeaderLines val="0"/>
        </c:dLbls>
        <c:firstSliceAng val="233"/>
      </c:pieChart>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37</c:v>
                </c:pt>
                <c:pt idx="1">
                  <c:v>36</c:v>
                </c:pt>
                <c:pt idx="2">
                  <c:v>27</c:v>
                </c:pt>
                <c:pt idx="3">
                  <c:v>24</c:v>
                </c:pt>
                <c:pt idx="4">
                  <c:v>17</c:v>
                </c:pt>
              </c:numCache>
            </c:numRef>
          </c:val>
          <c:smooth val="0"/>
          <c:extLst xmlns:c16r2="http://schemas.microsoft.com/office/drawing/2015/06/chart">
            <c:ext xmlns:c16="http://schemas.microsoft.com/office/drawing/2014/chart" uri="{C3380CC4-5D6E-409C-BE32-E72D297353CC}">
              <c16:uniqueId val="{00000000-4EF9-4EC0-9AAC-8BF167918A5C}"/>
            </c:ext>
          </c:extLst>
        </c:ser>
        <c:dLbls>
          <c:showLegendKey val="0"/>
          <c:showVal val="0"/>
          <c:showCatName val="0"/>
          <c:showSerName val="0"/>
          <c:showPercent val="0"/>
          <c:showBubbleSize val="0"/>
        </c:dLbls>
        <c:marker val="1"/>
        <c:smooth val="0"/>
        <c:axId val="113252608"/>
        <c:axId val="113274880"/>
      </c:lineChart>
      <c:catAx>
        <c:axId val="1132526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274880"/>
        <c:crosses val="autoZero"/>
        <c:auto val="1"/>
        <c:lblAlgn val="ctr"/>
        <c:lblOffset val="100"/>
        <c:noMultiLvlLbl val="0"/>
      </c:catAx>
      <c:valAx>
        <c:axId val="11327488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325260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Slovenia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5AF-49CB-AFA9-261BA35ACFB4}"/>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5AF-49CB-AFA9-261BA35ACFB4}"/>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5AF-49CB-AFA9-261BA35ACFB4}"/>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5AF-49CB-AFA9-261BA35ACFB4}"/>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5AF-49CB-AFA9-261BA35ACFB4}"/>
              </c:ext>
            </c:extLst>
          </c:dPt>
          <c:dLbls>
            <c:dLbl>
              <c:idx val="0"/>
              <c:layout>
                <c:manualLayout>
                  <c:x val="0.1641923400351655"/>
                  <c:y val="-0.1166735954695971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AF-49CB-AFA9-261BA35ACFB4}"/>
                </c:ext>
              </c:extLst>
            </c:dLbl>
            <c:dLbl>
              <c:idx val="1"/>
              <c:layout>
                <c:manualLayout>
                  <c:x val="-2.9882282764702273E-2"/>
                  <c:y val="2.440924198895941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AF-49CB-AFA9-261BA35ACFB4}"/>
                </c:ext>
              </c:extLst>
            </c:dLbl>
            <c:dLbl>
              <c:idx val="2"/>
              <c:layout>
                <c:manualLayout>
                  <c:x val="-1.6937739339959554E-2"/>
                  <c:y val="6.5129950238869985E-2"/>
                </c:manualLayout>
              </c:layout>
              <c:tx>
                <c:rich>
                  <a:bodyPr/>
                  <a:lstStyle/>
                  <a:p>
                    <a:pPr>
                      <a:defRPr sz="820" baseline="0">
                        <a:latin typeface="Arial" panose="020B0604020202020204" pitchFamily="34" charset="0"/>
                        <a:ea typeface="Verdana" panose="020B0604030504040204" pitchFamily="34" charset="0"/>
                        <a:cs typeface="Arial" panose="020B0604020202020204" pitchFamily="34" charset="0"/>
                      </a:defRPr>
                    </a:pPr>
                    <a:r>
                      <a:rPr lang="en-US" sz="820" baseline="0"/>
                      <a:t>Internal market, industry, entrepreneurship and SMEs
1</a:t>
                    </a:r>
                  </a:p>
                </c:rich>
              </c:tx>
              <c:spPr>
                <a:noFill/>
                <a:ln w="25390">
                  <a:noFill/>
                </a:ln>
              </c:sp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AF-49CB-AFA9-261BA35ACFB4}"/>
                </c:ext>
              </c:extLst>
            </c:dLbl>
            <c:dLbl>
              <c:idx val="3"/>
              <c:layout>
                <c:manualLayout>
                  <c:x val="-8.5426616754872859E-3"/>
                  <c:y val="7.4054662725518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AF-49CB-AFA9-261BA35ACFB4}"/>
                </c:ext>
              </c:extLst>
            </c:dLbl>
            <c:spPr>
              <a:noFill/>
              <a:ln w="25390">
                <a:noFill/>
              </a:ln>
            </c:spPr>
            <c:txPr>
              <a:bodyPr/>
              <a:lstStyle/>
              <a:p>
                <a:pPr>
                  <a:defRPr sz="900" baseline="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Environment</c:v>
                </c:pt>
                <c:pt idx="1">
                  <c:v>Energy</c:v>
                </c:pt>
                <c:pt idx="2">
                  <c:v>Migration and home affairs</c:v>
                </c:pt>
              </c:strCache>
            </c:strRef>
          </c:cat>
          <c:val>
            <c:numRef>
              <c:f>Blad1!$B$3:$B$5</c:f>
              <c:numCache>
                <c:formatCode>General</c:formatCode>
                <c:ptCount val="3"/>
                <c:pt idx="0">
                  <c:v>1</c:v>
                </c:pt>
                <c:pt idx="1">
                  <c:v>2</c:v>
                </c:pt>
                <c:pt idx="2">
                  <c:v>1</c:v>
                </c:pt>
              </c:numCache>
            </c:numRef>
          </c:val>
          <c:extLst xmlns:c16r2="http://schemas.microsoft.com/office/drawing/2015/06/chart">
            <c:ext xmlns:c16="http://schemas.microsoft.com/office/drawing/2014/chart" uri="{C3380CC4-5D6E-409C-BE32-E72D297353CC}">
              <c16:uniqueId val="{0000000A-95AF-49CB-AFA9-261BA35ACFB4}"/>
            </c:ext>
          </c:extLst>
        </c:ser>
        <c:dLbls>
          <c:showLegendKey val="0"/>
          <c:showVal val="0"/>
          <c:showCatName val="0"/>
          <c:showSerName val="0"/>
          <c:showPercent val="0"/>
          <c:showBubbleSize val="0"/>
          <c:showLeaderLines val="0"/>
        </c:dLbls>
        <c:firstSliceAng val="12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21801344599367E-2"/>
          <c:y val="5.1769147668422638E-2"/>
          <c:w val="0.93909191583610185"/>
          <c:h val="0.7336036076227016"/>
        </c:manualLayout>
      </c:layout>
      <c:lineChart>
        <c:grouping val="standard"/>
        <c:varyColors val="0"/>
        <c:ser>
          <c:idx val="0"/>
          <c:order val="0"/>
          <c:tx>
            <c:strRef>
              <c:f>Blad1!$B$2</c:f>
              <c:strCache>
                <c:ptCount val="1"/>
                <c:pt idx="0">
                  <c:v>Slovenia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308998626827278E-2"/>
                  <c:y val="-6.35714626580768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55-4275-A183-6C17158F3F58}"/>
                </c:ext>
              </c:extLst>
            </c:dLbl>
            <c:dLbl>
              <c:idx val="1"/>
              <c:layout>
                <c:manualLayout>
                  <c:x val="-5.5543967600076481E-2"/>
                  <c:y val="-5.71166785969935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55-4275-A183-6C17158F3F58}"/>
                </c:ext>
              </c:extLst>
            </c:dLbl>
            <c:dLbl>
              <c:idx val="2"/>
              <c:layout>
                <c:manualLayout>
                  <c:x val="-4.6268098937963881E-2"/>
                  <c:y val="6.66160820806490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55-4275-A183-6C17158F3F58}"/>
                </c:ext>
              </c:extLst>
            </c:dLbl>
            <c:dLbl>
              <c:idx val="3"/>
              <c:layout>
                <c:manualLayout>
                  <c:x val="-5.0949270827901481E-2"/>
                  <c:y val="6.73676926747792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55-4275-A183-6C17158F3F58}"/>
                </c:ext>
              </c:extLst>
            </c:dLbl>
            <c:dLbl>
              <c:idx val="4"/>
              <c:layout>
                <c:manualLayout>
                  <c:x val="-5.5544074432556392E-2"/>
                  <c:y val="4.4711992445703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55-4275-A183-6C17158F3F58}"/>
                </c:ext>
              </c:extLst>
            </c:dLbl>
            <c:spPr>
              <a:noFill/>
              <a:ln w="25366">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0.81</c:v>
                </c:pt>
                <c:pt idx="1">
                  <c:v>0.85</c:v>
                </c:pt>
                <c:pt idx="2">
                  <c:v>0.71</c:v>
                </c:pt>
                <c:pt idx="3">
                  <c:v>0.45</c:v>
                </c:pt>
                <c:pt idx="4">
                  <c:v>0.64</c:v>
                </c:pt>
              </c:numCache>
            </c:numRef>
          </c:val>
          <c:smooth val="0"/>
          <c:extLst xmlns:c16r2="http://schemas.microsoft.com/office/drawing/2015/06/chart">
            <c:ext xmlns:c16="http://schemas.microsoft.com/office/drawing/2014/chart" uri="{C3380CC4-5D6E-409C-BE32-E72D297353CC}">
              <c16:uniqueId val="{00000005-2F55-4275-A183-6C17158F3F58}"/>
            </c:ext>
          </c:extLst>
        </c:ser>
        <c:ser>
          <c:idx val="1"/>
          <c:order val="1"/>
          <c:tx>
            <c:strRef>
              <c:f>Blad1!$C$2</c:f>
              <c:strCache>
                <c:ptCount val="1"/>
                <c:pt idx="0">
                  <c:v>General rate for all Member States</c:v>
                </c:pt>
              </c:strCache>
            </c:strRef>
          </c:tx>
          <c:spPr>
            <a:ln w="25366">
              <a:solidFill>
                <a:srgbClr val="92D050"/>
              </a:solidFill>
            </a:ln>
          </c:spPr>
          <c:marker>
            <c:symbol val="square"/>
            <c:size val="4"/>
            <c:spPr>
              <a:solidFill>
                <a:srgbClr val="92D050"/>
              </a:solidFill>
              <a:ln>
                <a:solidFill>
                  <a:srgbClr val="92D050"/>
                </a:solidFill>
              </a:ln>
            </c:spPr>
          </c:marker>
          <c:dLbls>
            <c:dLbl>
              <c:idx val="0"/>
              <c:layout>
                <c:manualLayout>
                  <c:x val="-5.1193486989622998E-2"/>
                  <c:y val="5.43335719398710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54-4F06-AFD3-03BE53A71860}"/>
                </c:ext>
              </c:extLst>
            </c:dLbl>
            <c:dLbl>
              <c:idx val="2"/>
              <c:layout>
                <c:manualLayout>
                  <c:x val="-5.1193486989623088E-2"/>
                  <c:y val="-7.2939155332856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54-4F06-AFD3-03BE53A71860}"/>
                </c:ext>
              </c:extLst>
            </c:dLbl>
            <c:dLbl>
              <c:idx val="3"/>
              <c:layout>
                <c:manualLayout>
                  <c:x val="-4.2915341294258745E-2"/>
                  <c:y val="-7.2939155332856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54-4F06-AFD3-03BE53A71860}"/>
                </c:ext>
              </c:extLst>
            </c:dLbl>
            <c:spPr>
              <a:noFill/>
              <a:ln w="25366">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6-2F55-4275-A183-6C17158F3F58}"/>
            </c:ext>
          </c:extLst>
        </c:ser>
        <c:dLbls>
          <c:showLegendKey val="0"/>
          <c:showVal val="0"/>
          <c:showCatName val="0"/>
          <c:showSerName val="0"/>
          <c:showPercent val="0"/>
          <c:showBubbleSize val="0"/>
        </c:dLbls>
        <c:marker val="1"/>
        <c:smooth val="0"/>
        <c:axId val="113935872"/>
        <c:axId val="113937408"/>
      </c:lineChart>
      <c:catAx>
        <c:axId val="113935872"/>
        <c:scaling>
          <c:orientation val="minMax"/>
        </c:scaling>
        <c:delete val="0"/>
        <c:axPos val="b"/>
        <c:numFmt formatCode="General" sourceLinked="1"/>
        <c:majorTickMark val="none"/>
        <c:minorTickMark val="none"/>
        <c:tickLblPos val="nextTo"/>
        <c:spPr>
          <a:noFill/>
          <a:ln w="1268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937408"/>
        <c:crosses val="autoZero"/>
        <c:auto val="1"/>
        <c:lblAlgn val="ctr"/>
        <c:lblOffset val="100"/>
        <c:noMultiLvlLbl val="0"/>
      </c:catAx>
      <c:valAx>
        <c:axId val="113937408"/>
        <c:scaling>
          <c:orientation val="minMax"/>
        </c:scaling>
        <c:delete val="1"/>
        <c:axPos val="l"/>
        <c:majorGridlines>
          <c:spPr>
            <a:ln w="9512" cap="flat" cmpd="sng" algn="ctr">
              <a:solidFill>
                <a:schemeClr val="tx1">
                  <a:lumMod val="15000"/>
                  <a:lumOff val="85000"/>
                </a:schemeClr>
              </a:solidFill>
              <a:round/>
            </a:ln>
            <a:effectLst/>
          </c:spPr>
        </c:majorGridlines>
        <c:numFmt formatCode="0%" sourceLinked="1"/>
        <c:majorTickMark val="out"/>
        <c:minorTickMark val="none"/>
        <c:tickLblPos val="nextTo"/>
        <c:crossAx val="113935872"/>
        <c:crosses val="autoZero"/>
        <c:crossBetween val="between"/>
      </c:valAx>
      <c:spPr>
        <a:noFill/>
        <a:ln w="25366">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47</c:v>
                </c:pt>
                <c:pt idx="1">
                  <c:v>47</c:v>
                </c:pt>
                <c:pt idx="2">
                  <c:v>53</c:v>
                </c:pt>
                <c:pt idx="3">
                  <c:v>51</c:v>
                </c:pt>
                <c:pt idx="4">
                  <c:v>54</c:v>
                </c:pt>
              </c:numCache>
            </c:numRef>
          </c:val>
          <c:smooth val="0"/>
          <c:extLst xmlns:c16r2="http://schemas.microsoft.com/office/drawing/2015/06/chart">
            <c:ext xmlns:c16="http://schemas.microsoft.com/office/drawing/2014/chart" uri="{C3380CC4-5D6E-409C-BE32-E72D297353CC}">
              <c16:uniqueId val="{00000000-BE12-4556-B558-727DBFA56467}"/>
            </c:ext>
          </c:extLst>
        </c:ser>
        <c:dLbls>
          <c:showLegendKey val="0"/>
          <c:showVal val="0"/>
          <c:showCatName val="0"/>
          <c:showSerName val="0"/>
          <c:showPercent val="0"/>
          <c:showBubbleSize val="0"/>
        </c:dLbls>
        <c:marker val="1"/>
        <c:smooth val="0"/>
        <c:axId val="113725440"/>
        <c:axId val="113726976"/>
      </c:lineChart>
      <c:catAx>
        <c:axId val="113725440"/>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726976"/>
        <c:crosses val="autoZero"/>
        <c:auto val="1"/>
        <c:lblAlgn val="ctr"/>
        <c:lblOffset val="100"/>
        <c:noMultiLvlLbl val="0"/>
      </c:catAx>
      <c:valAx>
        <c:axId val="113726976"/>
        <c:scaling>
          <c:orientation val="minMax"/>
          <c:min val="2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13725440"/>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7D0-4F72-9B71-FE35DB783FBF}"/>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7D0-4F72-9B71-FE35DB783FBF}"/>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7D0-4F72-9B71-FE35DB783FBF}"/>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7D0-4F72-9B71-FE35DB783FBF}"/>
              </c:ext>
            </c:extLst>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7D0-4F72-9B71-FE35DB783FBF}"/>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7D0-4F72-9B71-FE35DB783FBF}"/>
              </c:ext>
            </c:extLst>
          </c:dPt>
          <c:dPt>
            <c:idx val="6"/>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6A01-49B4-9C7E-76E62F55D8EC}"/>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6A01-49B4-9C7E-76E62F55D8E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D0-4F72-9B71-FE35DB783FBF}"/>
                </c:ext>
              </c:extLst>
            </c:dLbl>
            <c:dLbl>
              <c:idx val="1"/>
              <c:layout>
                <c:manualLayout>
                  <c:x val="-2.7936215684482225E-2"/>
                  <c:y val="-8.65760604774702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D0-4F72-9B71-FE35DB783FBF}"/>
                </c:ext>
              </c:extLst>
            </c:dLbl>
            <c:dLbl>
              <c:idx val="2"/>
              <c:layout>
                <c:manualLayout>
                  <c:x val="1.209198974506295E-2"/>
                  <c:y val="7.3184732896411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D0-4F72-9B71-FE35DB783FBF}"/>
                </c:ext>
              </c:extLst>
            </c:dLbl>
            <c:dLbl>
              <c:idx val="3"/>
              <c:layout>
                <c:manualLayout>
                  <c:x val="-3.2140913977792576E-2"/>
                  <c:y val="8.42696496770239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D0-4F72-9B71-FE35DB783FBF}"/>
                </c:ext>
              </c:extLst>
            </c:dLbl>
            <c:dLbl>
              <c:idx val="4"/>
              <c:layout>
                <c:manualLayout>
                  <c:x val="-2.2107964116425845E-2"/>
                  <c:y val="5.214688732770678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D0-4F72-9B71-FE35DB783FBF}"/>
                </c:ext>
              </c:extLst>
            </c:dLbl>
            <c:dLbl>
              <c:idx val="5"/>
              <c:layout>
                <c:manualLayout>
                  <c:x val="-1.1111111111111112E-2"/>
                  <c:y val="4.89886368994290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D0-4F72-9B71-FE35DB783FBF}"/>
                </c:ext>
              </c:extLst>
            </c:dLbl>
            <c:spPr>
              <a:noFill/>
              <a:ln w="25345">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Environment</c:v>
                </c:pt>
                <c:pt idx="2">
                  <c:v>Internal market, industry, entrepreneurship and SMEs</c:v>
                </c:pt>
                <c:pt idx="3">
                  <c:v>Migration and home affairs</c:v>
                </c:pt>
                <c:pt idx="4">
                  <c:v>Mobility and transport</c:v>
                </c:pt>
                <c:pt idx="5">
                  <c:v>Justice and consumers</c:v>
                </c:pt>
                <c:pt idx="6">
                  <c:v>Energy</c:v>
                </c:pt>
                <c:pt idx="7">
                  <c:v>Other</c:v>
                </c:pt>
              </c:strCache>
            </c:strRef>
          </c:cat>
          <c:val>
            <c:numRef>
              <c:f>Blad1!$B$2:$B$9</c:f>
              <c:numCache>
                <c:formatCode>General</c:formatCode>
                <c:ptCount val="8"/>
                <c:pt idx="0">
                  <c:v>0</c:v>
                </c:pt>
                <c:pt idx="1">
                  <c:v>4</c:v>
                </c:pt>
                <c:pt idx="2">
                  <c:v>4</c:v>
                </c:pt>
                <c:pt idx="3">
                  <c:v>3</c:v>
                </c:pt>
                <c:pt idx="4">
                  <c:v>3</c:v>
                </c:pt>
                <c:pt idx="5">
                  <c:v>2</c:v>
                </c:pt>
                <c:pt idx="6">
                  <c:v>2</c:v>
                </c:pt>
                <c:pt idx="7">
                  <c:v>4</c:v>
                </c:pt>
              </c:numCache>
            </c:numRef>
          </c:val>
          <c:extLst xmlns:c16r2="http://schemas.microsoft.com/office/drawing/2015/06/chart">
            <c:ext xmlns:c16="http://schemas.microsoft.com/office/drawing/2014/chart" uri="{C3380CC4-5D6E-409C-BE32-E72D297353CC}">
              <c16:uniqueId val="{0000000C-E7D0-4F72-9B71-FE35DB783FBF}"/>
            </c:ext>
          </c:extLst>
        </c:ser>
        <c:dLbls>
          <c:showLegendKey val="0"/>
          <c:showVal val="0"/>
          <c:showCatName val="0"/>
          <c:showSerName val="0"/>
          <c:showPercent val="0"/>
          <c:showBubbleSize val="0"/>
          <c:showLeaderLines val="0"/>
        </c:dLbls>
        <c:firstSliceAng val="190"/>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31698638341349E-2"/>
                  <c:y val="7.82601419788969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60-4F77-9238-4EAF20D9CE1C}"/>
                </c:ext>
              </c:extLst>
            </c:dLbl>
            <c:spPr>
              <a:noFill/>
              <a:ln w="25411">
                <a:noFill/>
              </a:ln>
            </c:spPr>
            <c:txPr>
              <a:bodyPr rot="0" vert="horz"/>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26</c:v>
                </c:pt>
                <c:pt idx="1">
                  <c:v>30</c:v>
                </c:pt>
                <c:pt idx="2">
                  <c:v>36</c:v>
                </c:pt>
                <c:pt idx="3">
                  <c:v>33</c:v>
                </c:pt>
                <c:pt idx="4">
                  <c:v>33</c:v>
                </c:pt>
              </c:numCache>
            </c:numRef>
          </c:val>
          <c:smooth val="0"/>
          <c:extLst xmlns:c16r2="http://schemas.microsoft.com/office/drawing/2015/06/chart">
            <c:ext xmlns:c16="http://schemas.microsoft.com/office/drawing/2014/chart" uri="{C3380CC4-5D6E-409C-BE32-E72D297353CC}">
              <c16:uniqueId val="{00000001-3460-4F77-9238-4EAF20D9CE1C}"/>
            </c:ext>
          </c:extLst>
        </c:ser>
        <c:dLbls>
          <c:showLegendKey val="0"/>
          <c:showVal val="0"/>
          <c:showCatName val="0"/>
          <c:showSerName val="0"/>
          <c:showPercent val="0"/>
          <c:showBubbleSize val="0"/>
        </c:dLbls>
        <c:marker val="1"/>
        <c:smooth val="0"/>
        <c:axId val="113796608"/>
        <c:axId val="113798144"/>
      </c:lineChart>
      <c:catAx>
        <c:axId val="11379660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113798144"/>
        <c:crosses val="autoZero"/>
        <c:auto val="1"/>
        <c:lblAlgn val="ctr"/>
        <c:lblOffset val="100"/>
        <c:noMultiLvlLbl val="0"/>
      </c:catAx>
      <c:valAx>
        <c:axId val="113798144"/>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3796608"/>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328119219996831E-2"/>
                  <c:y val="7.826014197889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0D-44A6-B73D-03DEE2FF7D2A}"/>
                </c:ext>
              </c:extLst>
            </c:dLbl>
            <c:spPr>
              <a:noFill/>
              <a:ln w="25411">
                <a:noFill/>
              </a:ln>
            </c:spPr>
            <c:txPr>
              <a:bodyPr rot="0" vert="horz"/>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29</c:v>
                </c:pt>
                <c:pt idx="1">
                  <c:v>29</c:v>
                </c:pt>
                <c:pt idx="2">
                  <c:v>33</c:v>
                </c:pt>
                <c:pt idx="3">
                  <c:v>20</c:v>
                </c:pt>
                <c:pt idx="4">
                  <c:v>15</c:v>
                </c:pt>
              </c:numCache>
            </c:numRef>
          </c:val>
          <c:smooth val="0"/>
          <c:extLst xmlns:c16r2="http://schemas.microsoft.com/office/drawing/2015/06/chart">
            <c:ext xmlns:c16="http://schemas.microsoft.com/office/drawing/2014/chart" uri="{C3380CC4-5D6E-409C-BE32-E72D297353CC}">
              <c16:uniqueId val="{00000001-EF0D-44A6-B73D-03DEE2FF7D2A}"/>
            </c:ext>
          </c:extLst>
        </c:ser>
        <c:dLbls>
          <c:showLegendKey val="0"/>
          <c:showVal val="0"/>
          <c:showCatName val="0"/>
          <c:showSerName val="0"/>
          <c:showPercent val="0"/>
          <c:showBubbleSize val="0"/>
        </c:dLbls>
        <c:marker val="1"/>
        <c:smooth val="0"/>
        <c:axId val="114371968"/>
        <c:axId val="114390144"/>
      </c:lineChart>
      <c:catAx>
        <c:axId val="114371968"/>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114390144"/>
        <c:crosses val="autoZero"/>
        <c:auto val="1"/>
        <c:lblAlgn val="ctr"/>
        <c:lblOffset val="100"/>
        <c:noMultiLvlLbl val="0"/>
      </c:catAx>
      <c:valAx>
        <c:axId val="114390144"/>
        <c:scaling>
          <c:orientation val="minMax"/>
          <c:min val="1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4371968"/>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15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64C-45B4-9502-DF3753A65C17}"/>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64C-45B4-9502-DF3753A65C17}"/>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64C-45B4-9502-DF3753A65C17}"/>
              </c:ext>
            </c:extLst>
          </c:dPt>
          <c:dPt>
            <c:idx val="3"/>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64C-45B4-9502-DF3753A65C17}"/>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64C-45B4-9502-DF3753A65C17}"/>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664C-45B4-9502-DF3753A65C17}"/>
              </c:ext>
            </c:extLst>
          </c:dPt>
          <c:dLbls>
            <c:dLbl>
              <c:idx val="0"/>
              <c:layout>
                <c:manualLayout>
                  <c:x val="-8.4881736933860672E-3"/>
                  <c:y val="-9.161608982447173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4C-45B4-9502-DF3753A65C17}"/>
                </c:ext>
              </c:extLst>
            </c:dLbl>
            <c:dLbl>
              <c:idx val="1"/>
              <c:layout>
                <c:manualLayout>
                  <c:x val="-1.3863856924996533E-2"/>
                  <c:y val="9.00947916500295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4C-45B4-9502-DF3753A65C17}"/>
                </c:ext>
              </c:extLst>
            </c:dLbl>
            <c:dLbl>
              <c:idx val="2"/>
              <c:layout>
                <c:manualLayout>
                  <c:x val="-4.4018946543369311E-2"/>
                  <c:y val="3.939483477344236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4C-45B4-9502-DF3753A65C17}"/>
                </c:ext>
              </c:extLst>
            </c:dLbl>
            <c:dLbl>
              <c:idx val="3"/>
              <c:layout>
                <c:manualLayout>
                  <c:x val="-2.4671333801284091E-2"/>
                  <c:y val="8.4802943547389362E-2"/>
                </c:manualLayout>
              </c:layout>
              <c:spPr>
                <a:noFill/>
                <a:ln w="2534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6984720283041"/>
                      <c:h val="0.3241426298396638"/>
                    </c:manualLayout>
                  </c15:layout>
                </c:ext>
                <c:ext xmlns:c16="http://schemas.microsoft.com/office/drawing/2014/chart" uri="{C3380CC4-5D6E-409C-BE32-E72D297353CC}">
                  <c16:uniqueId val="{00000007-664C-45B4-9502-DF3753A65C17}"/>
                </c:ext>
              </c:extLst>
            </c:dLbl>
            <c:dLbl>
              <c:idx val="4"/>
              <c:layout>
                <c:manualLayout>
                  <c:x val="1.9422062745414831E-2"/>
                  <c:y val="-3.95437702640113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64C-45B4-9502-DF3753A65C17}"/>
                </c:ext>
              </c:extLst>
            </c:dLbl>
            <c:dLbl>
              <c:idx val="5"/>
              <c:layout>
                <c:manualLayout>
                  <c:x val="8.5723441546550871E-2"/>
                  <c:y val="-0.1272247883908128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64C-45B4-9502-DF3753A65C17}"/>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Environment</c:v>
                </c:pt>
                <c:pt idx="1">
                  <c:v>Migration and home affairs</c:v>
                </c:pt>
                <c:pt idx="2">
                  <c:v>Justice and consumers</c:v>
                </c:pt>
                <c:pt idx="3">
                  <c:v>Internal market, industry, entrepreneurship and SMEs</c:v>
                </c:pt>
                <c:pt idx="4">
                  <c:v>Other</c:v>
                </c:pt>
              </c:strCache>
            </c:strRef>
          </c:cat>
          <c:val>
            <c:numRef>
              <c:f>Blad1!$B$4:$B$8</c:f>
              <c:numCache>
                <c:formatCode>General</c:formatCode>
                <c:ptCount val="5"/>
                <c:pt idx="0">
                  <c:v>4</c:v>
                </c:pt>
                <c:pt idx="1">
                  <c:v>3</c:v>
                </c:pt>
                <c:pt idx="2">
                  <c:v>2</c:v>
                </c:pt>
                <c:pt idx="3">
                  <c:v>2</c:v>
                </c:pt>
                <c:pt idx="4">
                  <c:v>4</c:v>
                </c:pt>
              </c:numCache>
            </c:numRef>
          </c:val>
          <c:extLst xmlns:c16r2="http://schemas.microsoft.com/office/drawing/2015/06/chart">
            <c:ext xmlns:c16="http://schemas.microsoft.com/office/drawing/2014/chart" uri="{C3380CC4-5D6E-409C-BE32-E72D297353CC}">
              <c16:uniqueId val="{0000000C-664C-45B4-9502-DF3753A65C17}"/>
            </c:ext>
          </c:extLst>
        </c:ser>
        <c:dLbls>
          <c:showLegendKey val="0"/>
          <c:showVal val="0"/>
          <c:showCatName val="0"/>
          <c:showSerName val="0"/>
          <c:showPercent val="0"/>
          <c:showBubbleSize val="0"/>
          <c:showLeaderLines val="0"/>
        </c:dLbls>
        <c:firstSliceAng val="204"/>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417">
                <a:noFill/>
              </a:ln>
            </c:spPr>
            <c:txPr>
              <a:bodyPr/>
              <a:lstStyle/>
              <a:p>
                <a:pPr>
                  <a:defRPr sz="901">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46</c:v>
                </c:pt>
                <c:pt idx="1">
                  <c:v>40</c:v>
                </c:pt>
                <c:pt idx="2">
                  <c:v>36</c:v>
                </c:pt>
                <c:pt idx="3">
                  <c:v>61</c:v>
                </c:pt>
                <c:pt idx="4">
                  <c:v>52</c:v>
                </c:pt>
              </c:numCache>
            </c:numRef>
          </c:val>
          <c:smooth val="0"/>
          <c:extLst xmlns:c16r2="http://schemas.microsoft.com/office/drawing/2015/06/chart">
            <c:ext xmlns:c16="http://schemas.microsoft.com/office/drawing/2014/chart" uri="{C3380CC4-5D6E-409C-BE32-E72D297353CC}">
              <c16:uniqueId val="{00000000-8017-4FAD-AE39-555763D1D31A}"/>
            </c:ext>
          </c:extLst>
        </c:ser>
        <c:dLbls>
          <c:showLegendKey val="0"/>
          <c:showVal val="0"/>
          <c:showCatName val="0"/>
          <c:showSerName val="0"/>
          <c:showPercent val="0"/>
          <c:showBubbleSize val="0"/>
        </c:dLbls>
        <c:marker val="1"/>
        <c:smooth val="0"/>
        <c:axId val="114760704"/>
        <c:axId val="114762496"/>
      </c:lineChart>
      <c:catAx>
        <c:axId val="114760704"/>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762496"/>
        <c:crosses val="autoZero"/>
        <c:auto val="1"/>
        <c:lblAlgn val="ctr"/>
        <c:lblOffset val="100"/>
        <c:noMultiLvlLbl val="0"/>
      </c:catAx>
      <c:valAx>
        <c:axId val="114762496"/>
        <c:scaling>
          <c:orientation val="minMax"/>
          <c:min val="20"/>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114760704"/>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52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1">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BCA-44EE-A543-5E1AA9D9F378}"/>
              </c:ext>
            </c:extLst>
          </c:dPt>
          <c:dPt>
            <c:idx val="1"/>
            <c:bubble3D val="0"/>
            <c:spPr>
              <a:solidFill>
                <a:srgbClr val="0B5A8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BCA-44EE-A543-5E1AA9D9F378}"/>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BCA-44EE-A543-5E1AA9D9F378}"/>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BCA-44EE-A543-5E1AA9D9F378}"/>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BCA-44EE-A543-5E1AA9D9F378}"/>
              </c:ext>
            </c:extLst>
          </c:dPt>
          <c:dLbls>
            <c:dLbl>
              <c:idx val="0"/>
              <c:layout>
                <c:manualLayout>
                  <c:x val="-1.100762322337385E-2"/>
                  <c:y val="7.3279735664109946E-2"/>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CA-44EE-A543-5E1AA9D9F378}"/>
                </c:ext>
              </c:extLst>
            </c:dLbl>
            <c:dLbl>
              <c:idx val="1"/>
              <c:layout>
                <c:manualLayout>
                  <c:x val="-8.2145604466841108E-3"/>
                  <c:y val="7.9203334877257989E-3"/>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CA-44EE-A543-5E1AA9D9F378}"/>
                </c:ext>
              </c:extLst>
            </c:dLbl>
            <c:dLbl>
              <c:idx val="2"/>
              <c:layout>
                <c:manualLayout>
                  <c:x val="-5.2510004580932235E-3"/>
                  <c:y val="5.4081272760492811E-3"/>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CA-44EE-A543-5E1AA9D9F378}"/>
                </c:ext>
              </c:extLst>
            </c:dLbl>
            <c:dLbl>
              <c:idx val="3"/>
              <c:layout>
                <c:manualLayout>
                  <c:x val="-9.0481386725671367E-2"/>
                  <c:y val="-5.3711580709724744E-3"/>
                </c:manualLayout>
              </c:layout>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BCA-44EE-A543-5E1AA9D9F378}"/>
                </c:ext>
              </c:extLst>
            </c:dLbl>
            <c:spPr>
              <a:noFill/>
              <a:ln w="25401">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Justice and consumers</c:v>
                </c:pt>
                <c:pt idx="1">
                  <c:v>Regional and urban policy</c:v>
                </c:pt>
                <c:pt idx="2">
                  <c:v>Employment</c:v>
                </c:pt>
                <c:pt idx="3">
                  <c:v>Environment</c:v>
                </c:pt>
                <c:pt idx="4">
                  <c:v>Other</c:v>
                </c:pt>
              </c:strCache>
            </c:strRef>
          </c:cat>
          <c:val>
            <c:numRef>
              <c:f>Blad1!$B$3:$B$7</c:f>
              <c:numCache>
                <c:formatCode>General</c:formatCode>
                <c:ptCount val="5"/>
                <c:pt idx="0">
                  <c:v>10</c:v>
                </c:pt>
                <c:pt idx="1">
                  <c:v>8</c:v>
                </c:pt>
                <c:pt idx="2">
                  <c:v>8</c:v>
                </c:pt>
                <c:pt idx="3">
                  <c:v>5</c:v>
                </c:pt>
                <c:pt idx="4">
                  <c:v>21</c:v>
                </c:pt>
              </c:numCache>
            </c:numRef>
          </c:val>
          <c:extLst xmlns:c16r2="http://schemas.microsoft.com/office/drawing/2015/06/chart">
            <c:ext xmlns:c16="http://schemas.microsoft.com/office/drawing/2014/chart" uri="{C3380CC4-5D6E-409C-BE32-E72D297353CC}">
              <c16:uniqueId val="{00000009-3BCA-44EE-A543-5E1AA9D9F378}"/>
            </c:ext>
          </c:extLst>
        </c:ser>
        <c:dLbls>
          <c:showLegendKey val="0"/>
          <c:showVal val="0"/>
          <c:showCatName val="0"/>
          <c:showSerName val="0"/>
          <c:showPercent val="0"/>
          <c:showBubbleSize val="0"/>
          <c:showLeaderLines val="0"/>
        </c:dLbls>
        <c:firstSliceAng val="349"/>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429269919855336E-2"/>
                  <c:y val="6.9111548556430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131-4CFE-994C-657DA5C83282}"/>
                </c:ext>
              </c:extLst>
            </c:dLbl>
            <c:dLbl>
              <c:idx val="2"/>
              <c:layout>
                <c:manualLayout>
                  <c:x val="-3.6853505180504169E-2"/>
                  <c:y val="-6.38245094571165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131-4CFE-994C-657DA5C83282}"/>
                </c:ext>
              </c:extLst>
            </c:dLbl>
            <c:dLbl>
              <c:idx val="3"/>
              <c:layout>
                <c:manualLayout>
                  <c:x val="-5.0682936930087026E-2"/>
                  <c:y val="6.9231945008537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131-4CFE-994C-657DA5C83282}"/>
                </c:ext>
              </c:extLst>
            </c:dLbl>
            <c:dLbl>
              <c:idx val="4"/>
              <c:layout>
                <c:manualLayout>
                  <c:x val="-3.9632144214893687E-2"/>
                  <c:y val="6.90651189399993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131-4CFE-994C-657DA5C83282}"/>
                </c:ext>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18</c:v>
                </c:pt>
                <c:pt idx="1">
                  <c:v>13</c:v>
                </c:pt>
                <c:pt idx="2">
                  <c:v>32</c:v>
                </c:pt>
                <c:pt idx="3">
                  <c:v>15</c:v>
                </c:pt>
                <c:pt idx="4">
                  <c:v>17</c:v>
                </c:pt>
              </c:numCache>
            </c:numRef>
          </c:val>
          <c:smooth val="0"/>
          <c:extLst xmlns:c16r2="http://schemas.microsoft.com/office/drawing/2015/06/chart">
            <c:ext xmlns:c16="http://schemas.microsoft.com/office/drawing/2014/chart" uri="{C3380CC4-5D6E-409C-BE32-E72D297353CC}">
              <c16:uniqueId val="{00000004-3131-4CFE-994C-657DA5C83282}"/>
            </c:ext>
          </c:extLst>
        </c:ser>
        <c:dLbls>
          <c:showLegendKey val="0"/>
          <c:showVal val="0"/>
          <c:showCatName val="0"/>
          <c:showSerName val="0"/>
          <c:showPercent val="0"/>
          <c:showBubbleSize val="0"/>
        </c:dLbls>
        <c:marker val="1"/>
        <c:smooth val="0"/>
        <c:axId val="102310272"/>
        <c:axId val="102311808"/>
      </c:lineChart>
      <c:catAx>
        <c:axId val="102310272"/>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311808"/>
        <c:crosses val="autoZero"/>
        <c:auto val="1"/>
        <c:lblAlgn val="ctr"/>
        <c:lblOffset val="100"/>
        <c:noMultiLvlLbl val="0"/>
      </c:catAx>
      <c:valAx>
        <c:axId val="102311808"/>
        <c:scaling>
          <c:orientation val="minMax"/>
          <c:min val="1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02310272"/>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2">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32</c:v>
                </c:pt>
                <c:pt idx="1">
                  <c:v>26</c:v>
                </c:pt>
                <c:pt idx="2">
                  <c:v>23</c:v>
                </c:pt>
                <c:pt idx="3">
                  <c:v>4</c:v>
                </c:pt>
                <c:pt idx="4">
                  <c:v>2</c:v>
                </c:pt>
              </c:numCache>
            </c:numRef>
          </c:val>
          <c:smooth val="0"/>
          <c:extLst xmlns:c16r2="http://schemas.microsoft.com/office/drawing/2015/06/chart">
            <c:ext xmlns:c16="http://schemas.microsoft.com/office/drawing/2014/chart" uri="{C3380CC4-5D6E-409C-BE32-E72D297353CC}">
              <c16:uniqueId val="{00000000-AD7D-4074-83CF-DF4AF3D16A10}"/>
            </c:ext>
          </c:extLst>
        </c:ser>
        <c:dLbls>
          <c:showLegendKey val="0"/>
          <c:showVal val="0"/>
          <c:showCatName val="0"/>
          <c:showSerName val="0"/>
          <c:showPercent val="0"/>
          <c:showBubbleSize val="0"/>
        </c:dLbls>
        <c:marker val="1"/>
        <c:smooth val="0"/>
        <c:axId val="114170496"/>
        <c:axId val="114184576"/>
      </c:lineChart>
      <c:catAx>
        <c:axId val="114170496"/>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184576"/>
        <c:crosses val="autoZero"/>
        <c:auto val="1"/>
        <c:lblAlgn val="ctr"/>
        <c:lblOffset val="100"/>
        <c:noMultiLvlLbl val="0"/>
      </c:catAx>
      <c:valAx>
        <c:axId val="114184576"/>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114170496"/>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2">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39</c:v>
                </c:pt>
                <c:pt idx="1">
                  <c:v>36</c:v>
                </c:pt>
                <c:pt idx="2">
                  <c:v>34</c:v>
                </c:pt>
                <c:pt idx="3">
                  <c:v>27</c:v>
                </c:pt>
                <c:pt idx="4">
                  <c:v>19</c:v>
                </c:pt>
              </c:numCache>
            </c:numRef>
          </c:val>
          <c:smooth val="0"/>
          <c:extLst xmlns:c16r2="http://schemas.microsoft.com/office/drawing/2015/06/chart">
            <c:ext xmlns:c16="http://schemas.microsoft.com/office/drawing/2014/chart" uri="{C3380CC4-5D6E-409C-BE32-E72D297353CC}">
              <c16:uniqueId val="{00000000-FEA6-45F6-AD5D-264198615ECC}"/>
            </c:ext>
          </c:extLst>
        </c:ser>
        <c:dLbls>
          <c:showLegendKey val="0"/>
          <c:showVal val="0"/>
          <c:showCatName val="0"/>
          <c:showSerName val="0"/>
          <c:showPercent val="0"/>
          <c:showBubbleSize val="0"/>
        </c:dLbls>
        <c:marker val="1"/>
        <c:smooth val="0"/>
        <c:axId val="114266496"/>
        <c:axId val="114268032"/>
      </c:lineChart>
      <c:catAx>
        <c:axId val="114266496"/>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268032"/>
        <c:crosses val="autoZero"/>
        <c:auto val="1"/>
        <c:lblAlgn val="ctr"/>
        <c:lblOffset val="100"/>
        <c:noMultiLvlLbl val="0"/>
      </c:catAx>
      <c:valAx>
        <c:axId val="114268032"/>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114266496"/>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68166089965398E-2"/>
          <c:y val="7.6838638858397368E-2"/>
          <c:w val="0.9391003460207612"/>
          <c:h val="0.69832018116286509"/>
        </c:manualLayout>
      </c:layout>
      <c:lineChart>
        <c:grouping val="standard"/>
        <c:varyColors val="0"/>
        <c:ser>
          <c:idx val="0"/>
          <c:order val="0"/>
          <c:tx>
            <c:strRef>
              <c:f>Blad1!$B$2</c:f>
              <c:strCache>
                <c:ptCount val="1"/>
                <c:pt idx="0">
                  <c:v>Slovakia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0041467999891016E-2"/>
                  <c:y val="-6.87429233255832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64-48FA-ADDD-84794A1CD24D}"/>
                </c:ext>
              </c:extLst>
            </c:dLbl>
            <c:dLbl>
              <c:idx val="2"/>
              <c:layout>
                <c:manualLayout>
                  <c:x val="-5.5586082881508327E-2"/>
                  <c:y val="5.75732300751099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92-4FCA-9351-4EE76EB1D4CC}"/>
                </c:ext>
              </c:extLst>
            </c:dLbl>
            <c:dLbl>
              <c:idx val="3"/>
              <c:layout>
                <c:manualLayout>
                  <c:x val="-5.0041467999891016E-2"/>
                  <c:y val="-5.22775007130694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64-48FA-ADDD-84794A1CD24D}"/>
                </c:ext>
              </c:extLst>
            </c:dLbl>
            <c:dLbl>
              <c:idx val="4"/>
              <c:layout>
                <c:manualLayout>
                  <c:x val="-5.8354260949939396E-2"/>
                  <c:y val="-6.3185091172813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92-4FCA-9351-4EE76EB1D4CC}"/>
                </c:ext>
              </c:extLst>
            </c:dLbl>
            <c:spPr>
              <a:noFill/>
              <a:ln w="25418">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c:v>
                </c:pt>
                <c:pt idx="1">
                  <c:v>0.76</c:v>
                </c:pt>
                <c:pt idx="2">
                  <c:v>0.6</c:v>
                </c:pt>
                <c:pt idx="3">
                  <c:v>0.8</c:v>
                </c:pt>
                <c:pt idx="4">
                  <c:v>0.6</c:v>
                </c:pt>
              </c:numCache>
            </c:numRef>
          </c:val>
          <c:smooth val="0"/>
          <c:extLst xmlns:c16r2="http://schemas.microsoft.com/office/drawing/2015/06/chart">
            <c:ext xmlns:c16="http://schemas.microsoft.com/office/drawing/2014/chart" uri="{C3380CC4-5D6E-409C-BE32-E72D297353CC}">
              <c16:uniqueId val="{00000002-D392-4FCA-9351-4EE76EB1D4CC}"/>
            </c:ext>
          </c:extLst>
        </c:ser>
        <c:ser>
          <c:idx val="1"/>
          <c:order val="1"/>
          <c:tx>
            <c:strRef>
              <c:f>Blad1!$C$2</c:f>
              <c:strCache>
                <c:ptCount val="1"/>
                <c:pt idx="0">
                  <c:v>General rate for all Member States</c:v>
                </c:pt>
              </c:strCache>
            </c:strRef>
          </c:tx>
          <c:spPr>
            <a:ln w="25418">
              <a:solidFill>
                <a:srgbClr val="92D050"/>
              </a:solidFill>
            </a:ln>
          </c:spPr>
          <c:marker>
            <c:symbol val="square"/>
            <c:size val="5"/>
            <c:spPr>
              <a:solidFill>
                <a:srgbClr val="92D050"/>
              </a:solidFill>
              <a:ln>
                <a:solidFill>
                  <a:srgbClr val="92D050"/>
                </a:solidFill>
              </a:ln>
            </c:spPr>
          </c:marker>
          <c:dLbls>
            <c:dLbl>
              <c:idx val="1"/>
              <c:layout>
                <c:manualLayout>
                  <c:x val="-5.0041467999891065E-2"/>
                  <c:y val="6.3254881284735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64-48FA-ADDD-84794A1CD24D}"/>
                </c:ext>
              </c:extLst>
            </c:dLbl>
            <c:dLbl>
              <c:idx val="2"/>
              <c:layout>
                <c:manualLayout>
                  <c:x val="-4.7280063829230647E-2"/>
                  <c:y val="6.86679790026246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392-4FCA-9351-4EE76EB1D4CC}"/>
                </c:ext>
              </c:extLst>
            </c:dLbl>
            <c:dLbl>
              <c:idx val="3"/>
              <c:layout>
                <c:manualLayout>
                  <c:x val="-4.7273301909925618E-2"/>
                  <c:y val="6.87433554889063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64-48FA-ADDD-84794A1CD24D}"/>
                </c:ext>
              </c:extLst>
            </c:dLbl>
            <c:dLbl>
              <c:idx val="4"/>
              <c:layout>
                <c:manualLayout>
                  <c:x val="-4.4511514549053464E-2"/>
                  <c:y val="6.86679790026246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392-4FCA-9351-4EE76EB1D4CC}"/>
                </c:ext>
              </c:extLst>
            </c:dLbl>
            <c:spPr>
              <a:noFill/>
              <a:ln w="25418">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5-D392-4FCA-9351-4EE76EB1D4CC}"/>
            </c:ext>
          </c:extLst>
        </c:ser>
        <c:dLbls>
          <c:showLegendKey val="0"/>
          <c:showVal val="0"/>
          <c:showCatName val="0"/>
          <c:showSerName val="0"/>
          <c:showPercent val="0"/>
          <c:showBubbleSize val="0"/>
        </c:dLbls>
        <c:marker val="1"/>
        <c:smooth val="0"/>
        <c:axId val="114313856"/>
        <c:axId val="114332032"/>
      </c:lineChart>
      <c:catAx>
        <c:axId val="114313856"/>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332032"/>
        <c:crosses val="autoZero"/>
        <c:auto val="1"/>
        <c:lblAlgn val="ctr"/>
        <c:lblOffset val="100"/>
        <c:noMultiLvlLbl val="0"/>
      </c:catAx>
      <c:valAx>
        <c:axId val="114332032"/>
        <c:scaling>
          <c:orientation val="minMax"/>
          <c:min val="0.5"/>
        </c:scaling>
        <c:delete val="1"/>
        <c:axPos val="l"/>
        <c:majorGridlines>
          <c:spPr>
            <a:ln w="9532" cap="flat" cmpd="sng" algn="ctr">
              <a:solidFill>
                <a:schemeClr val="tx1">
                  <a:lumMod val="15000"/>
                  <a:lumOff val="85000"/>
                </a:schemeClr>
              </a:solidFill>
              <a:round/>
            </a:ln>
            <a:effectLst/>
          </c:spPr>
        </c:majorGridlines>
        <c:numFmt formatCode="0%" sourceLinked="1"/>
        <c:majorTickMark val="out"/>
        <c:minorTickMark val="none"/>
        <c:tickLblPos val="nextTo"/>
        <c:crossAx val="114313856"/>
        <c:crosses val="autoZero"/>
        <c:crossBetween val="between"/>
      </c:valAx>
      <c:spPr>
        <a:noFill/>
        <a:ln w="25418">
          <a:noFill/>
        </a:ln>
      </c:spPr>
    </c:plotArea>
    <c:legend>
      <c:legendPos val="b"/>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7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37</c:v>
                </c:pt>
                <c:pt idx="1">
                  <c:v>46</c:v>
                </c:pt>
                <c:pt idx="2">
                  <c:v>41</c:v>
                </c:pt>
                <c:pt idx="3">
                  <c:v>48</c:v>
                </c:pt>
                <c:pt idx="4">
                  <c:v>52</c:v>
                </c:pt>
              </c:numCache>
            </c:numRef>
          </c:val>
          <c:smooth val="0"/>
          <c:extLst xmlns:c16r2="http://schemas.microsoft.com/office/drawing/2015/06/chart">
            <c:ext xmlns:c16="http://schemas.microsoft.com/office/drawing/2014/chart" uri="{C3380CC4-5D6E-409C-BE32-E72D297353CC}">
              <c16:uniqueId val="{00000000-3D97-43B7-873B-FE30E96BAE4D}"/>
            </c:ext>
          </c:extLst>
        </c:ser>
        <c:dLbls>
          <c:showLegendKey val="0"/>
          <c:showVal val="0"/>
          <c:showCatName val="0"/>
          <c:showSerName val="0"/>
          <c:showPercent val="0"/>
          <c:showBubbleSize val="0"/>
        </c:dLbls>
        <c:marker val="1"/>
        <c:smooth val="0"/>
        <c:axId val="115184384"/>
        <c:axId val="115185920"/>
      </c:lineChart>
      <c:catAx>
        <c:axId val="11518438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5185920"/>
        <c:crosses val="autoZero"/>
        <c:auto val="1"/>
        <c:lblAlgn val="ctr"/>
        <c:lblOffset val="100"/>
        <c:noMultiLvlLbl val="0"/>
      </c:catAx>
      <c:valAx>
        <c:axId val="115185920"/>
        <c:scaling>
          <c:orientation val="minMax"/>
          <c:min val="30"/>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115184384"/>
        <c:crosses val="autoZero"/>
        <c:crossBetween val="between"/>
      </c:valAx>
      <c:spPr>
        <a:noFill/>
        <a:ln w="25375">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645669291341E-2"/>
        </c:manualLayout>
      </c:layout>
      <c:overlay val="0"/>
      <c:spPr>
        <a:noFill/>
        <a:ln w="25383">
          <a:noFill/>
        </a:ln>
      </c:spPr>
    </c:title>
    <c:autoTitleDeleted val="0"/>
    <c:plotArea>
      <c:layout/>
      <c:pieChart>
        <c:varyColors val="1"/>
        <c:ser>
          <c:idx val="0"/>
          <c:order val="0"/>
          <c:tx>
            <c:strRef>
              <c:f>Blad1!$B$1</c:f>
              <c:strCache>
                <c:ptCount val="1"/>
                <c:pt idx="0">
                  <c:v>[Number of infringement cases] infringement cases against Slovakia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0FE-4A34-A80F-8EBFFD4BC2F4}"/>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0FE-4A34-A80F-8EBFFD4BC2F4}"/>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0FE-4A34-A80F-8EBFFD4BC2F4}"/>
              </c:ext>
            </c:extLst>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0FE-4A34-A80F-8EBFFD4BC2F4}"/>
              </c:ext>
            </c:extLst>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0FE-4A34-A80F-8EBFFD4BC2F4}"/>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0FE-4A34-A80F-8EBFFD4BC2F4}"/>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C0FE-4A34-A80F-8EBFFD4BC2F4}"/>
              </c:ext>
            </c:extLst>
          </c:dPt>
          <c:dPt>
            <c:idx val="7"/>
            <c:bubble3D val="0"/>
            <c:extLst xmlns:c16r2="http://schemas.microsoft.com/office/drawing/2015/06/chart">
              <c:ext xmlns:c16="http://schemas.microsoft.com/office/drawing/2014/chart" uri="{C3380CC4-5D6E-409C-BE32-E72D297353CC}">
                <c16:uniqueId val="{0000000E-C0FE-4A34-A80F-8EBFFD4BC2F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FE-4A34-A80F-8EBFFD4BC2F4}"/>
                </c:ext>
              </c:extLst>
            </c:dLbl>
            <c:dLbl>
              <c:idx val="1"/>
              <c:layout>
                <c:manualLayout>
                  <c:x val="-6.5139777560115162E-3"/>
                  <c:y val="0.1011227763196267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FE-4A34-A80F-8EBFFD4BC2F4}"/>
                </c:ext>
              </c:extLst>
            </c:dLbl>
            <c:dLbl>
              <c:idx val="2"/>
              <c:layout>
                <c:manualLayout>
                  <c:x val="-1.9573310605964338E-2"/>
                  <c:y val="0.1104673153229583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FE-4A34-A80F-8EBFFD4BC2F4}"/>
                </c:ext>
              </c:extLst>
            </c:dLbl>
            <c:dLbl>
              <c:idx val="3"/>
              <c:layout>
                <c:manualLayout>
                  <c:x val="4.1165795309511012E-3"/>
                  <c:y val="-3.87832834027059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FE-4A34-A80F-8EBFFD4BC2F4}"/>
                </c:ext>
              </c:extLst>
            </c:dLbl>
            <c:dLbl>
              <c:idx val="4"/>
              <c:layout>
                <c:manualLayout>
                  <c:x val="3.0876996595134817E-2"/>
                  <c:y val="-3.797820726954585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FE-4A34-A80F-8EBFFD4BC2F4}"/>
                </c:ext>
              </c:extLst>
            </c:dLbl>
            <c:dLbl>
              <c:idx val="5"/>
              <c:layout>
                <c:manualLayout>
                  <c:x val="-1.8370583321672836E-3"/>
                  <c:y val="-3.766890249829882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FE-4A34-A80F-8EBFFD4BC2F4}"/>
                </c:ext>
              </c:extLst>
            </c:dLbl>
            <c:dLbl>
              <c:idx val="6"/>
              <c:layout>
                <c:manualLayout>
                  <c:x val="-2.01875007950339E-2"/>
                  <c:y val="-4.482665676891409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0FE-4A34-A80F-8EBFFD4BC2F4}"/>
                </c:ext>
              </c:extLst>
            </c:dLbl>
            <c:spPr>
              <a:noFill/>
              <a:ln w="2538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Policy Area</c:v>
                </c:pt>
                <c:pt idx="1">
                  <c:v>Mobility and transport</c:v>
                </c:pt>
                <c:pt idx="2">
                  <c:v>Internal market, industry, entrepreneurship and SMEs</c:v>
                </c:pt>
                <c:pt idx="3">
                  <c:v>Health and food safety</c:v>
                </c:pt>
                <c:pt idx="4">
                  <c:v>Environment</c:v>
                </c:pt>
                <c:pt idx="5">
                  <c:v>Justice and consumers</c:v>
                </c:pt>
                <c:pt idx="6">
                  <c:v>Other</c:v>
                </c:pt>
              </c:strCache>
            </c:strRef>
          </c:cat>
          <c:val>
            <c:numRef>
              <c:f>Blad1!$B$2:$B$8</c:f>
              <c:numCache>
                <c:formatCode>General</c:formatCode>
                <c:ptCount val="7"/>
                <c:pt idx="0">
                  <c:v>0</c:v>
                </c:pt>
                <c:pt idx="1">
                  <c:v>5</c:v>
                </c:pt>
                <c:pt idx="2">
                  <c:v>3</c:v>
                </c:pt>
                <c:pt idx="3">
                  <c:v>3</c:v>
                </c:pt>
                <c:pt idx="4">
                  <c:v>2</c:v>
                </c:pt>
                <c:pt idx="5">
                  <c:v>2</c:v>
                </c:pt>
                <c:pt idx="6">
                  <c:v>2</c:v>
                </c:pt>
              </c:numCache>
            </c:numRef>
          </c:val>
          <c:extLst xmlns:c16r2="http://schemas.microsoft.com/office/drawing/2015/06/chart">
            <c:ext xmlns:c16="http://schemas.microsoft.com/office/drawing/2014/chart" uri="{C3380CC4-5D6E-409C-BE32-E72D297353CC}">
              <c16:uniqueId val="{0000000F-C0FE-4A34-A80F-8EBFFD4BC2F4}"/>
            </c:ext>
          </c:extLst>
        </c:ser>
        <c:dLbls>
          <c:showLegendKey val="0"/>
          <c:showVal val="0"/>
          <c:showCatName val="0"/>
          <c:showSerName val="0"/>
          <c:showPercent val="0"/>
          <c:showBubbleSize val="0"/>
          <c:showLeaderLines val="0"/>
        </c:dLbls>
        <c:firstSliceAng val="273"/>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732652220125374E-2"/>
                  <c:y val="5.88955096829112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30-470D-BAF6-1F174BB64AA5}"/>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8</c:v>
                </c:pt>
                <c:pt idx="1">
                  <c:v>15</c:v>
                </c:pt>
                <c:pt idx="2">
                  <c:v>16</c:v>
                </c:pt>
                <c:pt idx="3">
                  <c:v>19</c:v>
                </c:pt>
                <c:pt idx="4">
                  <c:v>22</c:v>
                </c:pt>
              </c:numCache>
            </c:numRef>
          </c:val>
          <c:smooth val="0"/>
          <c:extLst xmlns:c16r2="http://schemas.microsoft.com/office/drawing/2015/06/chart">
            <c:ext xmlns:c16="http://schemas.microsoft.com/office/drawing/2014/chart" uri="{C3380CC4-5D6E-409C-BE32-E72D297353CC}">
              <c16:uniqueId val="{00000001-4A30-470D-BAF6-1F174BB64AA5}"/>
            </c:ext>
          </c:extLst>
        </c:ser>
        <c:dLbls>
          <c:showLegendKey val="0"/>
          <c:showVal val="0"/>
          <c:showCatName val="0"/>
          <c:showSerName val="0"/>
          <c:showPercent val="0"/>
          <c:showBubbleSize val="0"/>
        </c:dLbls>
        <c:marker val="1"/>
        <c:smooth val="0"/>
        <c:axId val="114869760"/>
        <c:axId val="114871296"/>
      </c:lineChart>
      <c:catAx>
        <c:axId val="114869760"/>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871296"/>
        <c:crosses val="autoZero"/>
        <c:auto val="1"/>
        <c:lblAlgn val="ctr"/>
        <c:lblOffset val="100"/>
        <c:noMultiLvlLbl val="0"/>
      </c:catAx>
      <c:valAx>
        <c:axId val="114871296"/>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4869760"/>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1977831283486255E-2"/>
                  <c:y val="6.4526140313541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27-4F71-A256-B0F08AF1CAC5}"/>
                </c:ext>
              </c:extLst>
            </c:dLbl>
            <c:spPr>
              <a:noFill/>
              <a:ln w="2539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12</c:v>
                </c:pt>
                <c:pt idx="1">
                  <c:v>15</c:v>
                </c:pt>
                <c:pt idx="2">
                  <c:v>15</c:v>
                </c:pt>
                <c:pt idx="3">
                  <c:v>14</c:v>
                </c:pt>
                <c:pt idx="4">
                  <c:v>10</c:v>
                </c:pt>
              </c:numCache>
            </c:numRef>
          </c:val>
          <c:smooth val="0"/>
          <c:extLst xmlns:c16r2="http://schemas.microsoft.com/office/drawing/2015/06/chart">
            <c:ext xmlns:c16="http://schemas.microsoft.com/office/drawing/2014/chart" uri="{C3380CC4-5D6E-409C-BE32-E72D297353CC}">
              <c16:uniqueId val="{00000001-A327-4F71-A256-B0F08AF1CAC5}"/>
            </c:ext>
          </c:extLst>
        </c:ser>
        <c:dLbls>
          <c:showLegendKey val="0"/>
          <c:showVal val="0"/>
          <c:showCatName val="0"/>
          <c:showSerName val="0"/>
          <c:showPercent val="0"/>
          <c:showBubbleSize val="0"/>
        </c:dLbls>
        <c:marker val="1"/>
        <c:smooth val="0"/>
        <c:axId val="114904448"/>
        <c:axId val="114918528"/>
      </c:lineChart>
      <c:catAx>
        <c:axId val="114904448"/>
        <c:scaling>
          <c:orientation val="minMax"/>
        </c:scaling>
        <c:delete val="0"/>
        <c:axPos val="b"/>
        <c:numFmt formatCode="General" sourceLinked="1"/>
        <c:majorTickMark val="none"/>
        <c:minorTickMark val="none"/>
        <c:tickLblPos val="nextTo"/>
        <c:spPr>
          <a:noFill/>
          <a:ln w="1269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4918528"/>
        <c:crosses val="autoZero"/>
        <c:auto val="1"/>
        <c:lblAlgn val="ctr"/>
        <c:lblOffset val="100"/>
        <c:noMultiLvlLbl val="0"/>
      </c:catAx>
      <c:valAx>
        <c:axId val="114918528"/>
        <c:scaling>
          <c:orientation val="minMax"/>
        </c:scaling>
        <c:delete val="1"/>
        <c:axPos val="l"/>
        <c:majorGridlines>
          <c:spPr>
            <a:ln w="9522" cap="flat" cmpd="sng" algn="ctr">
              <a:solidFill>
                <a:schemeClr val="tx1">
                  <a:lumMod val="15000"/>
                  <a:lumOff val="85000"/>
                </a:schemeClr>
              </a:solidFill>
              <a:round/>
            </a:ln>
            <a:effectLst/>
          </c:spPr>
        </c:majorGridlines>
        <c:numFmt formatCode="General" sourceLinked="1"/>
        <c:majorTickMark val="out"/>
        <c:minorTickMark val="none"/>
        <c:tickLblPos val="nextTo"/>
        <c:crossAx val="114904448"/>
        <c:crosses val="autoZero"/>
        <c:crossBetween val="between"/>
      </c:valAx>
      <c:spPr>
        <a:noFill/>
        <a:ln w="25392">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10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733-4983-9A26-B5CF053587D6}"/>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733-4983-9A26-B5CF053587D6}"/>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733-4983-9A26-B5CF053587D6}"/>
              </c:ext>
            </c:extLst>
          </c:dPt>
          <c:dPt>
            <c:idx val="3"/>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733-4983-9A26-B5CF053587D6}"/>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733-4983-9A26-B5CF053587D6}"/>
              </c:ext>
            </c:extLst>
          </c:dPt>
          <c:dLbls>
            <c:dLbl>
              <c:idx val="0"/>
              <c:layout>
                <c:manualLayout>
                  <c:x val="-2.2182171079994456E-2"/>
                  <c:y val="0.135440180586907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33-4983-9A26-B5CF053587D6}"/>
                </c:ext>
              </c:extLst>
            </c:dLbl>
            <c:dLbl>
              <c:idx val="1"/>
              <c:layout>
                <c:manualLayout>
                  <c:x val="-4.9972326868263882E-2"/>
                  <c:y val="2.82167042889390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421194889804171"/>
                      <c:h val="0.30883205062121183"/>
                    </c:manualLayout>
                  </c15:layout>
                </c:ext>
                <c:ext xmlns:c16="http://schemas.microsoft.com/office/drawing/2014/chart" uri="{C3380CC4-5D6E-409C-BE32-E72D297353CC}">
                  <c16:uniqueId val="{00000003-1733-4983-9A26-B5CF053587D6}"/>
                </c:ext>
              </c:extLst>
            </c:dLbl>
            <c:dLbl>
              <c:idx val="2"/>
              <c:layout>
                <c:manualLayout>
                  <c:x val="2.2182171079994352E-2"/>
                  <c:y val="-0.101580135440180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33-4983-9A26-B5CF053587D6}"/>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Health and food safety</c:v>
                </c:pt>
                <c:pt idx="1">
                  <c:v>Internal market, industry, entrepreneurship and SMEs</c:v>
                </c:pt>
                <c:pt idx="2">
                  <c:v>Justice and consumers</c:v>
                </c:pt>
                <c:pt idx="3">
                  <c:v>Mobility and transport</c:v>
                </c:pt>
                <c:pt idx="4">
                  <c:v>Communication networks</c:v>
                </c:pt>
              </c:strCache>
            </c:strRef>
          </c:cat>
          <c:val>
            <c:numRef>
              <c:f>Blad1!$B$4:$B$8</c:f>
              <c:numCache>
                <c:formatCode>General</c:formatCode>
                <c:ptCount val="5"/>
                <c:pt idx="0">
                  <c:v>3</c:v>
                </c:pt>
                <c:pt idx="1">
                  <c:v>2</c:v>
                </c:pt>
                <c:pt idx="2">
                  <c:v>2</c:v>
                </c:pt>
                <c:pt idx="3">
                  <c:v>2</c:v>
                </c:pt>
                <c:pt idx="4">
                  <c:v>1</c:v>
                </c:pt>
              </c:numCache>
            </c:numRef>
          </c:val>
          <c:extLst xmlns:c16r2="http://schemas.microsoft.com/office/drawing/2015/06/chart">
            <c:ext xmlns:c16="http://schemas.microsoft.com/office/drawing/2014/chart" uri="{C3380CC4-5D6E-409C-BE32-E72D297353CC}">
              <c16:uniqueId val="{0000000A-1733-4983-9A26-B5CF053587D6}"/>
            </c:ext>
          </c:extLst>
        </c:ser>
        <c:dLbls>
          <c:dLblPos val="outEnd"/>
          <c:showLegendKey val="0"/>
          <c:showVal val="1"/>
          <c:showCatName val="0"/>
          <c:showSerName val="0"/>
          <c:showPercent val="0"/>
          <c:showBubbleSize val="0"/>
          <c:showLeaderLines val="0"/>
        </c:dLbls>
        <c:firstSliceAng val="281"/>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890281448382967E-2"/>
                  <c:y val="7.55814648586479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3C-409F-AAB9-73DFA9C83DDA}"/>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72</c:v>
                </c:pt>
                <c:pt idx="1">
                  <c:v>34</c:v>
                </c:pt>
                <c:pt idx="2">
                  <c:v>43</c:v>
                </c:pt>
                <c:pt idx="3">
                  <c:v>50</c:v>
                </c:pt>
                <c:pt idx="4">
                  <c:v>50</c:v>
                </c:pt>
              </c:numCache>
            </c:numRef>
          </c:val>
          <c:smooth val="0"/>
          <c:extLst xmlns:c16r2="http://schemas.microsoft.com/office/drawing/2015/06/chart">
            <c:ext xmlns:c16="http://schemas.microsoft.com/office/drawing/2014/chart" uri="{C3380CC4-5D6E-409C-BE32-E72D297353CC}">
              <c16:uniqueId val="{00000001-C83C-409F-AAB9-73DFA9C83DDA}"/>
            </c:ext>
          </c:extLst>
        </c:ser>
        <c:dLbls>
          <c:showLegendKey val="0"/>
          <c:showVal val="0"/>
          <c:showCatName val="0"/>
          <c:showSerName val="0"/>
          <c:showPercent val="0"/>
          <c:showBubbleSize val="0"/>
        </c:dLbls>
        <c:marker val="1"/>
        <c:smooth val="0"/>
        <c:axId val="115905280"/>
        <c:axId val="115906816"/>
      </c:lineChart>
      <c:catAx>
        <c:axId val="11590528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5906816"/>
        <c:crosses val="autoZero"/>
        <c:auto val="1"/>
        <c:lblAlgn val="ctr"/>
        <c:lblOffset val="100"/>
        <c:noMultiLvlLbl val="0"/>
      </c:catAx>
      <c:valAx>
        <c:axId val="115906816"/>
        <c:scaling>
          <c:orientation val="minMax"/>
          <c:min val="2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5905280"/>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50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9">
          <a:noFill/>
        </a:ln>
      </c:spPr>
    </c:title>
    <c:autoTitleDeleted val="0"/>
    <c:plotArea>
      <c:layout/>
      <c:pieChart>
        <c:varyColors val="1"/>
        <c:ser>
          <c:idx val="0"/>
          <c:order val="0"/>
          <c:tx>
            <c:strRef>
              <c:f>Blad1!$B$1</c:f>
              <c:strCache>
                <c:ptCount val="1"/>
                <c:pt idx="0">
                  <c:v>[Number of new complaints] complaints made against [Member State]</c:v>
                </c:pt>
              </c:strCache>
            </c:strRef>
          </c:tx>
          <c:spPr>
            <a:solidFill>
              <a:srgbClr val="000099"/>
            </a:solidFill>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2D0-47EC-A80F-D98C9F96BDC2}"/>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2D0-47EC-A80F-D98C9F96BDC2}"/>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2D0-47EC-A80F-D98C9F96BDC2}"/>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2D0-47EC-A80F-D98C9F96BDC2}"/>
              </c:ext>
            </c:extLst>
          </c:dPt>
          <c:dPt>
            <c:idx val="4"/>
            <c:bubble3D val="0"/>
            <c:extLst xmlns:c16r2="http://schemas.microsoft.com/office/drawing/2015/06/chart">
              <c:ext xmlns:c16="http://schemas.microsoft.com/office/drawing/2014/chart" uri="{C3380CC4-5D6E-409C-BE32-E72D297353CC}">
                <c16:uniqueId val="{00000008-22D0-47EC-A80F-D98C9F96BDC2}"/>
              </c:ext>
            </c:extLst>
          </c:dPt>
          <c:dLbls>
            <c:dLbl>
              <c:idx val="0"/>
              <c:layout>
                <c:manualLayout>
                  <c:x val="4.3280106591841103E-3"/>
                  <c:y val="0.1222757001922074"/>
                </c:manualLayout>
              </c:layout>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D0-47EC-A80F-D98C9F96BDC2}"/>
                </c:ext>
              </c:extLst>
            </c:dLbl>
            <c:dLbl>
              <c:idx val="1"/>
              <c:layout>
                <c:manualLayout>
                  <c:x val="-2.2866606618823062E-3"/>
                  <c:y val="-2.5502950238637051E-2"/>
                </c:manualLayout>
              </c:layout>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D0-47EC-A80F-D98C9F96BDC2}"/>
                </c:ext>
              </c:extLst>
            </c:dLbl>
            <c:dLbl>
              <c:idx val="2"/>
              <c:layout>
                <c:manualLayout>
                  <c:x val="1.832773670818823E-3"/>
                  <c:y val="-4.4751439318167069E-7"/>
                </c:manualLayout>
              </c:layout>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374277246709475"/>
                      <c:h val="0.31102608337640658"/>
                    </c:manualLayout>
                  </c15:layout>
                </c:ext>
                <c:ext xmlns:c16="http://schemas.microsoft.com/office/drawing/2014/chart" uri="{C3380CC4-5D6E-409C-BE32-E72D297353CC}">
                  <c16:uniqueId val="{00000005-22D0-47EC-A80F-D98C9F96BDC2}"/>
                </c:ext>
              </c:extLst>
            </c:dLbl>
            <c:dLbl>
              <c:idx val="3"/>
              <c:layout>
                <c:manualLayout>
                  <c:x val="0"/>
                  <c:y val="-0.12618296529968451"/>
                </c:manualLayout>
              </c:layout>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D0-47EC-A80F-D98C9F96BDC2}"/>
                </c:ext>
              </c:extLst>
            </c:dLbl>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Taxation and customs</c:v>
                </c:pt>
                <c:pt idx="1">
                  <c:v>Justice and consumers</c:v>
                </c:pt>
                <c:pt idx="2">
                  <c:v>Internal market, industry, entrepreneurship and SMEs</c:v>
                </c:pt>
                <c:pt idx="3">
                  <c:v>Other</c:v>
                </c:pt>
              </c:strCache>
            </c:strRef>
          </c:cat>
          <c:val>
            <c:numRef>
              <c:f>Blad1!$B$3:$B$6</c:f>
              <c:numCache>
                <c:formatCode>General</c:formatCode>
                <c:ptCount val="4"/>
                <c:pt idx="0">
                  <c:v>9</c:v>
                </c:pt>
                <c:pt idx="1">
                  <c:v>8</c:v>
                </c:pt>
                <c:pt idx="2">
                  <c:v>7</c:v>
                </c:pt>
                <c:pt idx="3">
                  <c:v>26</c:v>
                </c:pt>
              </c:numCache>
            </c:numRef>
          </c:val>
          <c:extLst xmlns:c16r2="http://schemas.microsoft.com/office/drawing/2015/06/chart">
            <c:ext xmlns:c16="http://schemas.microsoft.com/office/drawing/2014/chart" uri="{C3380CC4-5D6E-409C-BE32-E72D297353CC}">
              <c16:uniqueId val="{00000009-22D0-47EC-A80F-D98C9F96BDC2}"/>
            </c:ext>
          </c:extLst>
        </c:ser>
        <c:dLbls>
          <c:showLegendKey val="0"/>
          <c:showVal val="0"/>
          <c:showCatName val="0"/>
          <c:showSerName val="0"/>
          <c:showPercent val="0"/>
          <c:showBubbleSize val="0"/>
          <c:showLeaderLines val="0"/>
        </c:dLbls>
        <c:firstSliceAng val="349"/>
      </c:pieChart>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F350C-6027-496B-BE79-2CBA36BB8BB7}">
  <ds:schemaRefs>
    <ds:schemaRef ds:uri="http://schemas.microsoft.com/sharepoint/v3/contenttype/forms"/>
  </ds:schemaRefs>
</ds:datastoreItem>
</file>

<file path=customXml/itemProps2.xml><?xml version="1.0" encoding="utf-8"?>
<ds:datastoreItem xmlns:ds="http://schemas.openxmlformats.org/officeDocument/2006/customXml" ds:itemID="{96824739-62C6-4C2A-86CB-1DCFDA3E7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D6B955-0A19-4693-B439-4B24E1E10DC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A2B9B0DB-5509-4497-BDA0-D7499177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11407</Words>
  <Characters>61715</Characters>
  <Application>Microsoft Office Word</Application>
  <DocSecurity>0</DocSecurity>
  <Lines>1542</Lines>
  <Paragraphs>1091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72031</CharactersWithSpaces>
  <SharedDoc>false</SharedDoc>
  <HLinks>
    <vt:vector size="222" baseType="variant">
      <vt:variant>
        <vt:i4>7995420</vt:i4>
      </vt:variant>
      <vt:variant>
        <vt:i4>618</vt:i4>
      </vt:variant>
      <vt:variant>
        <vt:i4>0</vt:i4>
      </vt:variant>
      <vt:variant>
        <vt:i4>5</vt:i4>
      </vt:variant>
      <vt:variant>
        <vt:lpwstr>https://ec.europa.eu/info/law/settlement-finality-directive-98-26-ec_en</vt:lpwstr>
      </vt:variant>
      <vt:variant>
        <vt:lpwstr/>
      </vt:variant>
      <vt:variant>
        <vt:i4>3014687</vt:i4>
      </vt:variant>
      <vt:variant>
        <vt:i4>615</vt:i4>
      </vt:variant>
      <vt:variant>
        <vt:i4>0</vt:i4>
      </vt:variant>
      <vt:variant>
        <vt:i4>5</vt:i4>
      </vt:variant>
      <vt:variant>
        <vt:lpwstr>http://ec.europa.eu/finance/general-policy/banking-union/european-deposit-insurance-scheme/index_en.htm</vt:lpwstr>
      </vt:variant>
      <vt:variant>
        <vt:lpwstr/>
      </vt:variant>
      <vt:variant>
        <vt:i4>3014687</vt:i4>
      </vt:variant>
      <vt:variant>
        <vt:i4>579</vt:i4>
      </vt:variant>
      <vt:variant>
        <vt:i4>0</vt:i4>
      </vt:variant>
      <vt:variant>
        <vt:i4>5</vt:i4>
      </vt:variant>
      <vt:variant>
        <vt:lpwstr>http://ec.europa.eu/finance/general-policy/banking-union/european-deposit-insurance-scheme/index_en.htm</vt:lpwstr>
      </vt:variant>
      <vt:variant>
        <vt:lpwstr/>
      </vt:variant>
      <vt:variant>
        <vt:i4>7995420</vt:i4>
      </vt:variant>
      <vt:variant>
        <vt:i4>477</vt:i4>
      </vt:variant>
      <vt:variant>
        <vt:i4>0</vt:i4>
      </vt:variant>
      <vt:variant>
        <vt:i4>5</vt:i4>
      </vt:variant>
      <vt:variant>
        <vt:lpwstr>https://ec.europa.eu/info/law/settlement-finality-directive-98-26-ec_en</vt:lpwstr>
      </vt:variant>
      <vt:variant>
        <vt:lpwstr/>
      </vt:variant>
      <vt:variant>
        <vt:i4>6094874</vt:i4>
      </vt:variant>
      <vt:variant>
        <vt:i4>441</vt:i4>
      </vt:variant>
      <vt:variant>
        <vt:i4>0</vt:i4>
      </vt:variant>
      <vt:variant>
        <vt:i4>5</vt:i4>
      </vt:variant>
      <vt:variant>
        <vt:lpwstr>http://eur-lex.europa.eu/LexUriServ/LexUriServ.do?uri=OJ:L:2006:409:0011:0085:EN:PDF</vt:lpwstr>
      </vt:variant>
      <vt:variant>
        <vt:lpwstr/>
      </vt:variant>
      <vt:variant>
        <vt:i4>2031665</vt:i4>
      </vt:variant>
      <vt:variant>
        <vt:i4>170</vt:i4>
      </vt:variant>
      <vt:variant>
        <vt:i4>0</vt:i4>
      </vt:variant>
      <vt:variant>
        <vt:i4>5</vt:i4>
      </vt:variant>
      <vt:variant>
        <vt:lpwstr/>
      </vt:variant>
      <vt:variant>
        <vt:lpwstr>_Toc484622345</vt:lpwstr>
      </vt:variant>
      <vt:variant>
        <vt:i4>2031665</vt:i4>
      </vt:variant>
      <vt:variant>
        <vt:i4>164</vt:i4>
      </vt:variant>
      <vt:variant>
        <vt:i4>0</vt:i4>
      </vt:variant>
      <vt:variant>
        <vt:i4>5</vt:i4>
      </vt:variant>
      <vt:variant>
        <vt:lpwstr/>
      </vt:variant>
      <vt:variant>
        <vt:lpwstr>_Toc484622344</vt:lpwstr>
      </vt:variant>
      <vt:variant>
        <vt:i4>2031665</vt:i4>
      </vt:variant>
      <vt:variant>
        <vt:i4>158</vt:i4>
      </vt:variant>
      <vt:variant>
        <vt:i4>0</vt:i4>
      </vt:variant>
      <vt:variant>
        <vt:i4>5</vt:i4>
      </vt:variant>
      <vt:variant>
        <vt:lpwstr/>
      </vt:variant>
      <vt:variant>
        <vt:lpwstr>_Toc484622343</vt:lpwstr>
      </vt:variant>
      <vt:variant>
        <vt:i4>2031665</vt:i4>
      </vt:variant>
      <vt:variant>
        <vt:i4>152</vt:i4>
      </vt:variant>
      <vt:variant>
        <vt:i4>0</vt:i4>
      </vt:variant>
      <vt:variant>
        <vt:i4>5</vt:i4>
      </vt:variant>
      <vt:variant>
        <vt:lpwstr/>
      </vt:variant>
      <vt:variant>
        <vt:lpwstr>_Toc484622342</vt:lpwstr>
      </vt:variant>
      <vt:variant>
        <vt:i4>2031665</vt:i4>
      </vt:variant>
      <vt:variant>
        <vt:i4>146</vt:i4>
      </vt:variant>
      <vt:variant>
        <vt:i4>0</vt:i4>
      </vt:variant>
      <vt:variant>
        <vt:i4>5</vt:i4>
      </vt:variant>
      <vt:variant>
        <vt:lpwstr/>
      </vt:variant>
      <vt:variant>
        <vt:lpwstr>_Toc484622341</vt:lpwstr>
      </vt:variant>
      <vt:variant>
        <vt:i4>2031665</vt:i4>
      </vt:variant>
      <vt:variant>
        <vt:i4>140</vt:i4>
      </vt:variant>
      <vt:variant>
        <vt:i4>0</vt:i4>
      </vt:variant>
      <vt:variant>
        <vt:i4>5</vt:i4>
      </vt:variant>
      <vt:variant>
        <vt:lpwstr/>
      </vt:variant>
      <vt:variant>
        <vt:lpwstr>_Toc484622340</vt:lpwstr>
      </vt:variant>
      <vt:variant>
        <vt:i4>1572913</vt:i4>
      </vt:variant>
      <vt:variant>
        <vt:i4>134</vt:i4>
      </vt:variant>
      <vt:variant>
        <vt:i4>0</vt:i4>
      </vt:variant>
      <vt:variant>
        <vt:i4>5</vt:i4>
      </vt:variant>
      <vt:variant>
        <vt:lpwstr/>
      </vt:variant>
      <vt:variant>
        <vt:lpwstr>_Toc484622339</vt:lpwstr>
      </vt:variant>
      <vt:variant>
        <vt:i4>1572913</vt:i4>
      </vt:variant>
      <vt:variant>
        <vt:i4>128</vt:i4>
      </vt:variant>
      <vt:variant>
        <vt:i4>0</vt:i4>
      </vt:variant>
      <vt:variant>
        <vt:i4>5</vt:i4>
      </vt:variant>
      <vt:variant>
        <vt:lpwstr/>
      </vt:variant>
      <vt:variant>
        <vt:lpwstr>_Toc484622338</vt:lpwstr>
      </vt:variant>
      <vt:variant>
        <vt:i4>1572913</vt:i4>
      </vt:variant>
      <vt:variant>
        <vt:i4>122</vt:i4>
      </vt:variant>
      <vt:variant>
        <vt:i4>0</vt:i4>
      </vt:variant>
      <vt:variant>
        <vt:i4>5</vt:i4>
      </vt:variant>
      <vt:variant>
        <vt:lpwstr/>
      </vt:variant>
      <vt:variant>
        <vt:lpwstr>_Toc484622337</vt:lpwstr>
      </vt:variant>
      <vt:variant>
        <vt:i4>1572913</vt:i4>
      </vt:variant>
      <vt:variant>
        <vt:i4>116</vt:i4>
      </vt:variant>
      <vt:variant>
        <vt:i4>0</vt:i4>
      </vt:variant>
      <vt:variant>
        <vt:i4>5</vt:i4>
      </vt:variant>
      <vt:variant>
        <vt:lpwstr/>
      </vt:variant>
      <vt:variant>
        <vt:lpwstr>_Toc484622336</vt:lpwstr>
      </vt:variant>
      <vt:variant>
        <vt:i4>1572913</vt:i4>
      </vt:variant>
      <vt:variant>
        <vt:i4>110</vt:i4>
      </vt:variant>
      <vt:variant>
        <vt:i4>0</vt:i4>
      </vt:variant>
      <vt:variant>
        <vt:i4>5</vt:i4>
      </vt:variant>
      <vt:variant>
        <vt:lpwstr/>
      </vt:variant>
      <vt:variant>
        <vt:lpwstr>_Toc484622335</vt:lpwstr>
      </vt:variant>
      <vt:variant>
        <vt:i4>1572913</vt:i4>
      </vt:variant>
      <vt:variant>
        <vt:i4>104</vt:i4>
      </vt:variant>
      <vt:variant>
        <vt:i4>0</vt:i4>
      </vt:variant>
      <vt:variant>
        <vt:i4>5</vt:i4>
      </vt:variant>
      <vt:variant>
        <vt:lpwstr/>
      </vt:variant>
      <vt:variant>
        <vt:lpwstr>_Toc484622334</vt:lpwstr>
      </vt:variant>
      <vt:variant>
        <vt:i4>1572913</vt:i4>
      </vt:variant>
      <vt:variant>
        <vt:i4>98</vt:i4>
      </vt:variant>
      <vt:variant>
        <vt:i4>0</vt:i4>
      </vt:variant>
      <vt:variant>
        <vt:i4>5</vt:i4>
      </vt:variant>
      <vt:variant>
        <vt:lpwstr/>
      </vt:variant>
      <vt:variant>
        <vt:lpwstr>_Toc484622333</vt:lpwstr>
      </vt:variant>
      <vt:variant>
        <vt:i4>1572913</vt:i4>
      </vt:variant>
      <vt:variant>
        <vt:i4>92</vt:i4>
      </vt:variant>
      <vt:variant>
        <vt:i4>0</vt:i4>
      </vt:variant>
      <vt:variant>
        <vt:i4>5</vt:i4>
      </vt:variant>
      <vt:variant>
        <vt:lpwstr/>
      </vt:variant>
      <vt:variant>
        <vt:lpwstr>_Toc484622332</vt:lpwstr>
      </vt:variant>
      <vt:variant>
        <vt:i4>1572913</vt:i4>
      </vt:variant>
      <vt:variant>
        <vt:i4>86</vt:i4>
      </vt:variant>
      <vt:variant>
        <vt:i4>0</vt:i4>
      </vt:variant>
      <vt:variant>
        <vt:i4>5</vt:i4>
      </vt:variant>
      <vt:variant>
        <vt:lpwstr/>
      </vt:variant>
      <vt:variant>
        <vt:lpwstr>_Toc484622331</vt:lpwstr>
      </vt:variant>
      <vt:variant>
        <vt:i4>1572913</vt:i4>
      </vt:variant>
      <vt:variant>
        <vt:i4>80</vt:i4>
      </vt:variant>
      <vt:variant>
        <vt:i4>0</vt:i4>
      </vt:variant>
      <vt:variant>
        <vt:i4>5</vt:i4>
      </vt:variant>
      <vt:variant>
        <vt:lpwstr/>
      </vt:variant>
      <vt:variant>
        <vt:lpwstr>_Toc484622330</vt:lpwstr>
      </vt:variant>
      <vt:variant>
        <vt:i4>1638449</vt:i4>
      </vt:variant>
      <vt:variant>
        <vt:i4>74</vt:i4>
      </vt:variant>
      <vt:variant>
        <vt:i4>0</vt:i4>
      </vt:variant>
      <vt:variant>
        <vt:i4>5</vt:i4>
      </vt:variant>
      <vt:variant>
        <vt:lpwstr/>
      </vt:variant>
      <vt:variant>
        <vt:lpwstr>_Toc484622329</vt:lpwstr>
      </vt:variant>
      <vt:variant>
        <vt:i4>1638449</vt:i4>
      </vt:variant>
      <vt:variant>
        <vt:i4>68</vt:i4>
      </vt:variant>
      <vt:variant>
        <vt:i4>0</vt:i4>
      </vt:variant>
      <vt:variant>
        <vt:i4>5</vt:i4>
      </vt:variant>
      <vt:variant>
        <vt:lpwstr/>
      </vt:variant>
      <vt:variant>
        <vt:lpwstr>_Toc484622328</vt:lpwstr>
      </vt:variant>
      <vt:variant>
        <vt:i4>1638449</vt:i4>
      </vt:variant>
      <vt:variant>
        <vt:i4>62</vt:i4>
      </vt:variant>
      <vt:variant>
        <vt:i4>0</vt:i4>
      </vt:variant>
      <vt:variant>
        <vt:i4>5</vt:i4>
      </vt:variant>
      <vt:variant>
        <vt:lpwstr/>
      </vt:variant>
      <vt:variant>
        <vt:lpwstr>_Toc484622327</vt:lpwstr>
      </vt:variant>
      <vt:variant>
        <vt:i4>1638449</vt:i4>
      </vt:variant>
      <vt:variant>
        <vt:i4>56</vt:i4>
      </vt:variant>
      <vt:variant>
        <vt:i4>0</vt:i4>
      </vt:variant>
      <vt:variant>
        <vt:i4>5</vt:i4>
      </vt:variant>
      <vt:variant>
        <vt:lpwstr/>
      </vt:variant>
      <vt:variant>
        <vt:lpwstr>_Toc484622326</vt:lpwstr>
      </vt:variant>
      <vt:variant>
        <vt:i4>1638449</vt:i4>
      </vt:variant>
      <vt:variant>
        <vt:i4>50</vt:i4>
      </vt:variant>
      <vt:variant>
        <vt:i4>0</vt:i4>
      </vt:variant>
      <vt:variant>
        <vt:i4>5</vt:i4>
      </vt:variant>
      <vt:variant>
        <vt:lpwstr/>
      </vt:variant>
      <vt:variant>
        <vt:lpwstr>_Toc484622325</vt:lpwstr>
      </vt:variant>
      <vt:variant>
        <vt:i4>1638449</vt:i4>
      </vt:variant>
      <vt:variant>
        <vt:i4>44</vt:i4>
      </vt:variant>
      <vt:variant>
        <vt:i4>0</vt:i4>
      </vt:variant>
      <vt:variant>
        <vt:i4>5</vt:i4>
      </vt:variant>
      <vt:variant>
        <vt:lpwstr/>
      </vt:variant>
      <vt:variant>
        <vt:lpwstr>_Toc484622324</vt:lpwstr>
      </vt:variant>
      <vt:variant>
        <vt:i4>1638449</vt:i4>
      </vt:variant>
      <vt:variant>
        <vt:i4>38</vt:i4>
      </vt:variant>
      <vt:variant>
        <vt:i4>0</vt:i4>
      </vt:variant>
      <vt:variant>
        <vt:i4>5</vt:i4>
      </vt:variant>
      <vt:variant>
        <vt:lpwstr/>
      </vt:variant>
      <vt:variant>
        <vt:lpwstr>_Toc484622323</vt:lpwstr>
      </vt:variant>
      <vt:variant>
        <vt:i4>1638449</vt:i4>
      </vt:variant>
      <vt:variant>
        <vt:i4>32</vt:i4>
      </vt:variant>
      <vt:variant>
        <vt:i4>0</vt:i4>
      </vt:variant>
      <vt:variant>
        <vt:i4>5</vt:i4>
      </vt:variant>
      <vt:variant>
        <vt:lpwstr/>
      </vt:variant>
      <vt:variant>
        <vt:lpwstr>_Toc484622322</vt:lpwstr>
      </vt:variant>
      <vt:variant>
        <vt:i4>1638449</vt:i4>
      </vt:variant>
      <vt:variant>
        <vt:i4>26</vt:i4>
      </vt:variant>
      <vt:variant>
        <vt:i4>0</vt:i4>
      </vt:variant>
      <vt:variant>
        <vt:i4>5</vt:i4>
      </vt:variant>
      <vt:variant>
        <vt:lpwstr/>
      </vt:variant>
      <vt:variant>
        <vt:lpwstr>_Toc484622321</vt:lpwstr>
      </vt:variant>
      <vt:variant>
        <vt:i4>1638449</vt:i4>
      </vt:variant>
      <vt:variant>
        <vt:i4>20</vt:i4>
      </vt:variant>
      <vt:variant>
        <vt:i4>0</vt:i4>
      </vt:variant>
      <vt:variant>
        <vt:i4>5</vt:i4>
      </vt:variant>
      <vt:variant>
        <vt:lpwstr/>
      </vt:variant>
      <vt:variant>
        <vt:lpwstr>_Toc484622320</vt:lpwstr>
      </vt:variant>
      <vt:variant>
        <vt:i4>1703985</vt:i4>
      </vt:variant>
      <vt:variant>
        <vt:i4>14</vt:i4>
      </vt:variant>
      <vt:variant>
        <vt:i4>0</vt:i4>
      </vt:variant>
      <vt:variant>
        <vt:i4>5</vt:i4>
      </vt:variant>
      <vt:variant>
        <vt:lpwstr/>
      </vt:variant>
      <vt:variant>
        <vt:lpwstr>_Toc484622319</vt:lpwstr>
      </vt:variant>
      <vt:variant>
        <vt:i4>1703985</vt:i4>
      </vt:variant>
      <vt:variant>
        <vt:i4>8</vt:i4>
      </vt:variant>
      <vt:variant>
        <vt:i4>0</vt:i4>
      </vt:variant>
      <vt:variant>
        <vt:i4>5</vt:i4>
      </vt:variant>
      <vt:variant>
        <vt:lpwstr/>
      </vt:variant>
      <vt:variant>
        <vt:lpwstr>_Toc484622318</vt:lpwstr>
      </vt:variant>
      <vt:variant>
        <vt:i4>1703985</vt:i4>
      </vt:variant>
      <vt:variant>
        <vt:i4>2</vt:i4>
      </vt:variant>
      <vt:variant>
        <vt:i4>0</vt:i4>
      </vt:variant>
      <vt:variant>
        <vt:i4>5</vt:i4>
      </vt:variant>
      <vt:variant>
        <vt:lpwstr/>
      </vt:variant>
      <vt:variant>
        <vt:lpwstr>_Toc484622317</vt:lpwstr>
      </vt:variant>
      <vt:variant>
        <vt:i4>2162742</vt:i4>
      </vt:variant>
      <vt:variant>
        <vt:i4>6</vt:i4>
      </vt:variant>
      <vt:variant>
        <vt:i4>0</vt:i4>
      </vt:variant>
      <vt:variant>
        <vt:i4>5</vt:i4>
      </vt:variant>
      <vt:variant>
        <vt:lpwstr>http://europa.eu/rapid/press-release_MEMO-17-4767_EN.htm</vt:lpwstr>
      </vt:variant>
      <vt:variant>
        <vt:lpwstr/>
      </vt:variant>
      <vt:variant>
        <vt:i4>917584</vt:i4>
      </vt:variant>
      <vt:variant>
        <vt:i4>3</vt:i4>
      </vt:variant>
      <vt:variant>
        <vt:i4>0</vt:i4>
      </vt:variant>
      <vt:variant>
        <vt:i4>5</vt:i4>
      </vt:variant>
      <vt:variant>
        <vt:lpwstr>http://eur-lex.europa.eu/legal-content/AUTO/?uri=CELEX:32014L0035&amp;qid=1461336551167&amp;rid=1</vt:lpwstr>
      </vt:variant>
      <vt:variant>
        <vt:lpwstr/>
      </vt:variant>
      <vt:variant>
        <vt:i4>3014755</vt:i4>
      </vt:variant>
      <vt:variant>
        <vt:i4>0</vt:i4>
      </vt:variant>
      <vt:variant>
        <vt:i4>0</vt:i4>
      </vt:variant>
      <vt:variant>
        <vt:i4>5</vt:i4>
      </vt:variant>
      <vt:variant>
        <vt:lpwstr>http://europa.eu/rapid/press-release_MEMO-17-234_EN.htm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20</cp:revision>
  <cp:lastPrinted>2019-03-29T15:27:00Z</cp:lastPrinted>
  <dcterms:created xsi:type="dcterms:W3CDTF">2019-05-21T16:36:00Z</dcterms:created>
  <dcterms:modified xsi:type="dcterms:W3CDTF">2019-06-26T07:41:00Z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Level of sensitivity">
    <vt:lpwstr>Standard treatment</vt:lpwstr>
  </property>
  <property fmtid="{D5CDD505-2E9C-101B-9397-08002B2CF9AE}" pid="7" name="Last edited using">
    <vt:lpwstr>LW 6.0.1, Build 20180503</vt:lpwstr>
  </property>
  <property fmtid="{D5CDD505-2E9C-101B-9397-08002B2CF9AE}" pid="8" name="Created using">
    <vt:lpwstr>LW 6.0.1, Build 20180503</vt:lpwstr>
  </property>
</Properties>
</file>