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3BEDB28-4328-49CC-8584-3193362D5307" style="width:450.75pt;height:321pt">
            <v:imagedata r:id="rId13" o:title=""/>
          </v:shape>
        </w:pict>
      </w:r>
    </w:p>
    <w:bookmarkEnd w:id="0"/>
    <w:p>
      <w:pPr>
        <w:spacing w:after="0" w:line="240" w:lineRule="auto"/>
        <w:rPr>
          <w:noProof/>
          <w:u w:val="none"/>
        </w:rPr>
        <w:sectPr>
          <w:headerReference w:type="even" r:id="rId14"/>
          <w:headerReference w:type="default" r:id="rId15"/>
          <w:footerReference w:type="even" r:id="rId16"/>
          <w:footerReference w:type="default" r:id="rId17"/>
          <w:headerReference w:type="first" r:id="rId18"/>
          <w:footerReference w:type="first" r:id="rId19"/>
          <w:pgSz w:w="11907" w:h="16839" w:code="9"/>
          <w:pgMar w:top="1134" w:right="1417" w:bottom="1134" w:left="1417" w:header="709" w:footer="709" w:gutter="0"/>
          <w:pgNumType w:start="2"/>
          <w:cols w:space="720"/>
          <w:docGrid w:linePitch="326"/>
        </w:sectPr>
      </w:pPr>
    </w:p>
    <w:bookmarkStart w:id="1" w:name="_GoBack"/>
    <w:bookmarkEnd w:id="1"/>
    <w:p>
      <w:pPr>
        <w:pStyle w:val="TOC2"/>
        <w:rPr>
          <w:rFonts w:asciiTheme="minorHAnsi" w:eastAsiaTheme="minorEastAsia" w:hAnsiTheme="minorHAnsi" w:cstheme="minorBidi"/>
          <w:color w:val="548DD4" w:themeColor="text2" w:themeTint="99"/>
          <w:sz w:val="22"/>
          <w:szCs w:val="22"/>
          <w:u w:val="none"/>
          <w:lang w:val="en-GB" w:eastAsia="en-GB"/>
        </w:rPr>
      </w:pPr>
      <w:r>
        <w:rPr>
          <w:b/>
          <w:color w:val="4F81BD"/>
          <w:u w:val="none"/>
        </w:rPr>
        <w:lastRenderedPageBreak/>
        <w:fldChar w:fldCharType="begin"/>
      </w:r>
      <w:r>
        <w:rPr>
          <w:b/>
          <w:color w:val="4F81BD"/>
          <w:u w:val="none"/>
        </w:rPr>
        <w:instrText xml:space="preserve"> TOC \o "1-2" \h \z \u </w:instrText>
      </w:r>
      <w:r>
        <w:rPr>
          <w:b/>
          <w:color w:val="4F81BD"/>
          <w:u w:val="none"/>
        </w:rPr>
        <w:fldChar w:fldCharType="separate"/>
      </w:r>
      <w:hyperlink w:anchor="_Toc13054232" w:history="1">
        <w:r>
          <w:rPr>
            <w:rStyle w:val="Hyperlink"/>
            <w:color w:val="548DD4" w:themeColor="text2" w:themeTint="99"/>
            <w:u w:val="none"/>
          </w:rPr>
          <w:t>Въведение</w:t>
        </w:r>
        <w:r>
          <w:rPr>
            <w:webHidden/>
            <w:color w:val="548DD4" w:themeColor="text2" w:themeTint="99"/>
            <w:u w:val="none"/>
          </w:rPr>
          <w:tab/>
        </w:r>
        <w:r>
          <w:rPr>
            <w:webHidden/>
            <w:color w:val="548DD4" w:themeColor="text2" w:themeTint="99"/>
            <w:u w:val="none"/>
          </w:rPr>
          <w:fldChar w:fldCharType="begin"/>
        </w:r>
        <w:r>
          <w:rPr>
            <w:webHidden/>
            <w:color w:val="548DD4" w:themeColor="text2" w:themeTint="99"/>
            <w:u w:val="none"/>
          </w:rPr>
          <w:instrText xml:space="preserve"> PAGEREF _Toc13054232 \h </w:instrText>
        </w:r>
        <w:r>
          <w:rPr>
            <w:webHidden/>
            <w:color w:val="548DD4" w:themeColor="text2" w:themeTint="99"/>
            <w:u w:val="none"/>
          </w:rPr>
        </w:r>
        <w:r>
          <w:rPr>
            <w:webHidden/>
            <w:color w:val="548DD4" w:themeColor="text2" w:themeTint="99"/>
            <w:u w:val="none"/>
          </w:rPr>
          <w:fldChar w:fldCharType="separate"/>
        </w:r>
        <w:r>
          <w:rPr>
            <w:webHidden/>
            <w:color w:val="548DD4" w:themeColor="text2" w:themeTint="99"/>
            <w:u w:val="none"/>
          </w:rPr>
          <w:t>2</w:t>
        </w:r>
        <w:r>
          <w:rPr>
            <w:webHidden/>
            <w:color w:val="548DD4" w:themeColor="text2" w:themeTint="99"/>
            <w:u w:val="none"/>
          </w:rPr>
          <w:fldChar w:fldCharType="end"/>
        </w:r>
      </w:hyperlink>
    </w:p>
    <w:p>
      <w:pPr>
        <w:pStyle w:val="TOC2"/>
        <w:rPr>
          <w:rFonts w:asciiTheme="minorHAnsi" w:eastAsiaTheme="minorEastAsia" w:hAnsiTheme="minorHAnsi" w:cstheme="minorBidi"/>
          <w:color w:val="548DD4" w:themeColor="text2" w:themeTint="99"/>
          <w:sz w:val="22"/>
          <w:szCs w:val="22"/>
          <w:u w:val="none"/>
          <w:lang w:val="en-GB" w:eastAsia="en-GB"/>
        </w:rPr>
      </w:pPr>
      <w:hyperlink w:anchor="_Toc13054233" w:history="1">
        <w:r>
          <w:rPr>
            <w:rStyle w:val="Hyperlink"/>
            <w:color w:val="548DD4" w:themeColor="text2" w:themeTint="99"/>
            <w:u w:val="none"/>
          </w:rPr>
          <w:t>1.</w:t>
        </w:r>
        <w:r>
          <w:rPr>
            <w:rFonts w:asciiTheme="minorHAnsi" w:eastAsiaTheme="minorEastAsia" w:hAnsiTheme="minorHAnsi" w:cstheme="minorBidi"/>
            <w:color w:val="548DD4" w:themeColor="text2" w:themeTint="99"/>
            <w:sz w:val="22"/>
            <w:szCs w:val="22"/>
            <w:u w:val="none"/>
            <w:lang w:val="en-GB" w:eastAsia="en-GB"/>
          </w:rPr>
          <w:tab/>
        </w:r>
        <w:r>
          <w:rPr>
            <w:rStyle w:val="Hyperlink"/>
            <w:color w:val="548DD4" w:themeColor="text2" w:themeTint="99"/>
            <w:u w:val="none"/>
          </w:rPr>
          <w:t>Нови стимули за работни места, растеж и инвестиции</w:t>
        </w:r>
        <w:r>
          <w:rPr>
            <w:webHidden/>
            <w:color w:val="548DD4" w:themeColor="text2" w:themeTint="99"/>
            <w:u w:val="none"/>
          </w:rPr>
          <w:tab/>
        </w:r>
        <w:r>
          <w:rPr>
            <w:webHidden/>
            <w:color w:val="548DD4" w:themeColor="text2" w:themeTint="99"/>
            <w:u w:val="none"/>
          </w:rPr>
          <w:fldChar w:fldCharType="begin"/>
        </w:r>
        <w:r>
          <w:rPr>
            <w:webHidden/>
            <w:color w:val="548DD4" w:themeColor="text2" w:themeTint="99"/>
            <w:u w:val="none"/>
          </w:rPr>
          <w:instrText xml:space="preserve"> PAGEREF _Toc13054233 \h </w:instrText>
        </w:r>
        <w:r>
          <w:rPr>
            <w:webHidden/>
            <w:color w:val="548DD4" w:themeColor="text2" w:themeTint="99"/>
            <w:u w:val="none"/>
          </w:rPr>
        </w:r>
        <w:r>
          <w:rPr>
            <w:webHidden/>
            <w:color w:val="548DD4" w:themeColor="text2" w:themeTint="99"/>
            <w:u w:val="none"/>
          </w:rPr>
          <w:fldChar w:fldCharType="separate"/>
        </w:r>
        <w:r>
          <w:rPr>
            <w:webHidden/>
            <w:color w:val="548DD4" w:themeColor="text2" w:themeTint="99"/>
            <w:u w:val="none"/>
          </w:rPr>
          <w:t>4</w:t>
        </w:r>
        <w:r>
          <w:rPr>
            <w:webHidden/>
            <w:color w:val="548DD4" w:themeColor="text2" w:themeTint="99"/>
            <w:u w:val="none"/>
          </w:rPr>
          <w:fldChar w:fldCharType="end"/>
        </w:r>
      </w:hyperlink>
    </w:p>
    <w:p>
      <w:pPr>
        <w:pStyle w:val="TOC2"/>
        <w:rPr>
          <w:rFonts w:asciiTheme="minorHAnsi" w:eastAsiaTheme="minorEastAsia" w:hAnsiTheme="minorHAnsi" w:cstheme="minorBidi"/>
          <w:color w:val="548DD4" w:themeColor="text2" w:themeTint="99"/>
          <w:sz w:val="22"/>
          <w:szCs w:val="22"/>
          <w:u w:val="none"/>
          <w:lang w:val="en-GB" w:eastAsia="en-GB"/>
        </w:rPr>
      </w:pPr>
      <w:hyperlink w:anchor="_Toc13054234" w:history="1">
        <w:r>
          <w:rPr>
            <w:rStyle w:val="Hyperlink"/>
            <w:color w:val="548DD4" w:themeColor="text2" w:themeTint="99"/>
            <w:u w:val="none"/>
          </w:rPr>
          <w:t>2.</w:t>
        </w:r>
        <w:r>
          <w:rPr>
            <w:rFonts w:asciiTheme="minorHAnsi" w:eastAsiaTheme="minorEastAsia" w:hAnsiTheme="minorHAnsi" w:cstheme="minorBidi"/>
            <w:color w:val="548DD4" w:themeColor="text2" w:themeTint="99"/>
            <w:sz w:val="22"/>
            <w:szCs w:val="22"/>
            <w:u w:val="none"/>
            <w:lang w:val="en-GB" w:eastAsia="en-GB"/>
          </w:rPr>
          <w:tab/>
        </w:r>
        <w:r>
          <w:rPr>
            <w:rStyle w:val="Hyperlink"/>
            <w:color w:val="548DD4" w:themeColor="text2" w:themeTint="99"/>
            <w:u w:val="none"/>
          </w:rPr>
          <w:t>Свързан цифров единен пазар</w:t>
        </w:r>
        <w:r>
          <w:rPr>
            <w:webHidden/>
            <w:color w:val="548DD4" w:themeColor="text2" w:themeTint="99"/>
            <w:u w:val="none"/>
          </w:rPr>
          <w:tab/>
        </w:r>
        <w:r>
          <w:rPr>
            <w:webHidden/>
            <w:color w:val="548DD4" w:themeColor="text2" w:themeTint="99"/>
            <w:u w:val="none"/>
          </w:rPr>
          <w:fldChar w:fldCharType="begin"/>
        </w:r>
        <w:r>
          <w:rPr>
            <w:webHidden/>
            <w:color w:val="548DD4" w:themeColor="text2" w:themeTint="99"/>
            <w:u w:val="none"/>
          </w:rPr>
          <w:instrText xml:space="preserve"> PAGEREF _Toc13054234 \h </w:instrText>
        </w:r>
        <w:r>
          <w:rPr>
            <w:webHidden/>
            <w:color w:val="548DD4" w:themeColor="text2" w:themeTint="99"/>
            <w:u w:val="none"/>
          </w:rPr>
        </w:r>
        <w:r>
          <w:rPr>
            <w:webHidden/>
            <w:color w:val="548DD4" w:themeColor="text2" w:themeTint="99"/>
            <w:u w:val="none"/>
          </w:rPr>
          <w:fldChar w:fldCharType="separate"/>
        </w:r>
        <w:r>
          <w:rPr>
            <w:webHidden/>
            <w:color w:val="548DD4" w:themeColor="text2" w:themeTint="99"/>
            <w:u w:val="none"/>
          </w:rPr>
          <w:t>9</w:t>
        </w:r>
        <w:r>
          <w:rPr>
            <w:webHidden/>
            <w:color w:val="548DD4" w:themeColor="text2" w:themeTint="99"/>
            <w:u w:val="none"/>
          </w:rPr>
          <w:fldChar w:fldCharType="end"/>
        </w:r>
      </w:hyperlink>
    </w:p>
    <w:p>
      <w:pPr>
        <w:pStyle w:val="TOC2"/>
        <w:rPr>
          <w:rFonts w:asciiTheme="minorHAnsi" w:eastAsiaTheme="minorEastAsia" w:hAnsiTheme="minorHAnsi" w:cstheme="minorBidi"/>
          <w:color w:val="548DD4" w:themeColor="text2" w:themeTint="99"/>
          <w:sz w:val="22"/>
          <w:szCs w:val="22"/>
          <w:u w:val="none"/>
          <w:lang w:val="en-GB" w:eastAsia="en-GB"/>
        </w:rPr>
      </w:pPr>
      <w:hyperlink w:anchor="_Toc13054235" w:history="1">
        <w:r>
          <w:rPr>
            <w:rStyle w:val="Hyperlink"/>
            <w:color w:val="548DD4" w:themeColor="text2" w:themeTint="99"/>
            <w:u w:val="none"/>
          </w:rPr>
          <w:t>3.</w:t>
        </w:r>
        <w:r>
          <w:rPr>
            <w:rFonts w:asciiTheme="minorHAnsi" w:eastAsiaTheme="minorEastAsia" w:hAnsiTheme="minorHAnsi" w:cstheme="minorBidi"/>
            <w:color w:val="548DD4" w:themeColor="text2" w:themeTint="99"/>
            <w:sz w:val="22"/>
            <w:szCs w:val="22"/>
            <w:u w:val="none"/>
            <w:lang w:val="en-GB" w:eastAsia="en-GB"/>
          </w:rPr>
          <w:tab/>
        </w:r>
        <w:r>
          <w:rPr>
            <w:rStyle w:val="Hyperlink"/>
            <w:color w:val="548DD4" w:themeColor="text2" w:themeTint="99"/>
            <w:u w:val="none"/>
          </w:rPr>
          <w:t>Устойчив енергиен съюз с ориентирана към бъдещето политика по въпросите на изменението на климата</w:t>
        </w:r>
        <w:r>
          <w:rPr>
            <w:webHidden/>
            <w:color w:val="548DD4" w:themeColor="text2" w:themeTint="99"/>
            <w:u w:val="none"/>
          </w:rPr>
          <w:tab/>
        </w:r>
        <w:r>
          <w:rPr>
            <w:webHidden/>
            <w:color w:val="548DD4" w:themeColor="text2" w:themeTint="99"/>
            <w:u w:val="none"/>
          </w:rPr>
          <w:fldChar w:fldCharType="begin"/>
        </w:r>
        <w:r>
          <w:rPr>
            <w:webHidden/>
            <w:color w:val="548DD4" w:themeColor="text2" w:themeTint="99"/>
            <w:u w:val="none"/>
          </w:rPr>
          <w:instrText xml:space="preserve"> PAGEREF _Toc13054235 \h </w:instrText>
        </w:r>
        <w:r>
          <w:rPr>
            <w:webHidden/>
            <w:color w:val="548DD4" w:themeColor="text2" w:themeTint="99"/>
            <w:u w:val="none"/>
          </w:rPr>
        </w:r>
        <w:r>
          <w:rPr>
            <w:webHidden/>
            <w:color w:val="548DD4" w:themeColor="text2" w:themeTint="99"/>
            <w:u w:val="none"/>
          </w:rPr>
          <w:fldChar w:fldCharType="separate"/>
        </w:r>
        <w:r>
          <w:rPr>
            <w:webHidden/>
            <w:color w:val="548DD4" w:themeColor="text2" w:themeTint="99"/>
            <w:u w:val="none"/>
          </w:rPr>
          <w:t>12</w:t>
        </w:r>
        <w:r>
          <w:rPr>
            <w:webHidden/>
            <w:color w:val="548DD4" w:themeColor="text2" w:themeTint="99"/>
            <w:u w:val="none"/>
          </w:rPr>
          <w:fldChar w:fldCharType="end"/>
        </w:r>
      </w:hyperlink>
    </w:p>
    <w:p>
      <w:pPr>
        <w:pStyle w:val="TOC2"/>
        <w:rPr>
          <w:rFonts w:asciiTheme="minorHAnsi" w:eastAsiaTheme="minorEastAsia" w:hAnsiTheme="minorHAnsi" w:cstheme="minorBidi"/>
          <w:color w:val="548DD4" w:themeColor="text2" w:themeTint="99"/>
          <w:sz w:val="22"/>
          <w:szCs w:val="22"/>
          <w:u w:val="none"/>
          <w:lang w:val="en-GB" w:eastAsia="en-GB"/>
        </w:rPr>
      </w:pPr>
      <w:hyperlink w:anchor="_Toc13054236" w:history="1">
        <w:r>
          <w:rPr>
            <w:rStyle w:val="Hyperlink"/>
            <w:color w:val="548DD4" w:themeColor="text2" w:themeTint="99"/>
            <w:u w:val="none"/>
          </w:rPr>
          <w:t>4.</w:t>
        </w:r>
        <w:r>
          <w:rPr>
            <w:rFonts w:asciiTheme="minorHAnsi" w:eastAsiaTheme="minorEastAsia" w:hAnsiTheme="minorHAnsi" w:cstheme="minorBidi"/>
            <w:color w:val="548DD4" w:themeColor="text2" w:themeTint="99"/>
            <w:sz w:val="22"/>
            <w:szCs w:val="22"/>
            <w:u w:val="none"/>
            <w:lang w:val="en-GB" w:eastAsia="en-GB"/>
          </w:rPr>
          <w:tab/>
        </w:r>
        <w:r>
          <w:rPr>
            <w:rStyle w:val="Hyperlink"/>
            <w:color w:val="548DD4" w:themeColor="text2" w:themeTint="99"/>
            <w:u w:val="none"/>
          </w:rPr>
          <w:t>По-задълбочен и по-справедлив вътрешен пазар със засилена промишлена база</w:t>
        </w:r>
        <w:r>
          <w:rPr>
            <w:webHidden/>
            <w:color w:val="548DD4" w:themeColor="text2" w:themeTint="99"/>
            <w:u w:val="none"/>
          </w:rPr>
          <w:tab/>
        </w:r>
        <w:r>
          <w:rPr>
            <w:webHidden/>
            <w:color w:val="548DD4" w:themeColor="text2" w:themeTint="99"/>
            <w:u w:val="none"/>
          </w:rPr>
          <w:fldChar w:fldCharType="begin"/>
        </w:r>
        <w:r>
          <w:rPr>
            <w:webHidden/>
            <w:color w:val="548DD4" w:themeColor="text2" w:themeTint="99"/>
            <w:u w:val="none"/>
          </w:rPr>
          <w:instrText xml:space="preserve"> PAGEREF _Toc13054236 \h </w:instrText>
        </w:r>
        <w:r>
          <w:rPr>
            <w:webHidden/>
            <w:color w:val="548DD4" w:themeColor="text2" w:themeTint="99"/>
            <w:u w:val="none"/>
          </w:rPr>
        </w:r>
        <w:r>
          <w:rPr>
            <w:webHidden/>
            <w:color w:val="548DD4" w:themeColor="text2" w:themeTint="99"/>
            <w:u w:val="none"/>
          </w:rPr>
          <w:fldChar w:fldCharType="separate"/>
        </w:r>
        <w:r>
          <w:rPr>
            <w:webHidden/>
            <w:color w:val="548DD4" w:themeColor="text2" w:themeTint="99"/>
            <w:u w:val="none"/>
          </w:rPr>
          <w:t>15</w:t>
        </w:r>
        <w:r>
          <w:rPr>
            <w:webHidden/>
            <w:color w:val="548DD4" w:themeColor="text2" w:themeTint="99"/>
            <w:u w:val="none"/>
          </w:rPr>
          <w:fldChar w:fldCharType="end"/>
        </w:r>
      </w:hyperlink>
    </w:p>
    <w:p>
      <w:pPr>
        <w:pStyle w:val="TOC2"/>
        <w:rPr>
          <w:rFonts w:asciiTheme="minorHAnsi" w:eastAsiaTheme="minorEastAsia" w:hAnsiTheme="minorHAnsi" w:cstheme="minorBidi"/>
          <w:color w:val="548DD4" w:themeColor="text2" w:themeTint="99"/>
          <w:sz w:val="22"/>
          <w:szCs w:val="22"/>
          <w:u w:val="none"/>
          <w:lang w:val="en-GB" w:eastAsia="en-GB"/>
        </w:rPr>
      </w:pPr>
      <w:hyperlink w:anchor="_Toc13054237" w:history="1">
        <w:r>
          <w:rPr>
            <w:rStyle w:val="Hyperlink"/>
            <w:color w:val="548DD4" w:themeColor="text2" w:themeTint="99"/>
            <w:u w:val="none"/>
          </w:rPr>
          <w:t>5.</w:t>
        </w:r>
        <w:r>
          <w:rPr>
            <w:rFonts w:asciiTheme="minorHAnsi" w:eastAsiaTheme="minorEastAsia" w:hAnsiTheme="minorHAnsi" w:cstheme="minorBidi"/>
            <w:color w:val="548DD4" w:themeColor="text2" w:themeTint="99"/>
            <w:sz w:val="22"/>
            <w:szCs w:val="22"/>
            <w:u w:val="none"/>
            <w:lang w:val="en-GB" w:eastAsia="en-GB"/>
          </w:rPr>
          <w:tab/>
        </w:r>
        <w:r>
          <w:rPr>
            <w:rStyle w:val="Hyperlink"/>
            <w:color w:val="548DD4" w:themeColor="text2" w:themeTint="99"/>
            <w:u w:val="none"/>
          </w:rPr>
          <w:t>По-задълбочен и по-справедлив икономически и паричен съюз</w:t>
        </w:r>
        <w:r>
          <w:rPr>
            <w:webHidden/>
            <w:color w:val="548DD4" w:themeColor="text2" w:themeTint="99"/>
            <w:u w:val="none"/>
          </w:rPr>
          <w:tab/>
        </w:r>
        <w:r>
          <w:rPr>
            <w:webHidden/>
            <w:color w:val="548DD4" w:themeColor="text2" w:themeTint="99"/>
            <w:u w:val="none"/>
          </w:rPr>
          <w:fldChar w:fldCharType="begin"/>
        </w:r>
        <w:r>
          <w:rPr>
            <w:webHidden/>
            <w:color w:val="548DD4" w:themeColor="text2" w:themeTint="99"/>
            <w:u w:val="none"/>
          </w:rPr>
          <w:instrText xml:space="preserve"> PAGEREF _Toc13054237 \h </w:instrText>
        </w:r>
        <w:r>
          <w:rPr>
            <w:webHidden/>
            <w:color w:val="548DD4" w:themeColor="text2" w:themeTint="99"/>
            <w:u w:val="none"/>
          </w:rPr>
        </w:r>
        <w:r>
          <w:rPr>
            <w:webHidden/>
            <w:color w:val="548DD4" w:themeColor="text2" w:themeTint="99"/>
            <w:u w:val="none"/>
          </w:rPr>
          <w:fldChar w:fldCharType="separate"/>
        </w:r>
        <w:r>
          <w:rPr>
            <w:webHidden/>
            <w:color w:val="548DD4" w:themeColor="text2" w:themeTint="99"/>
            <w:u w:val="none"/>
          </w:rPr>
          <w:t>25</w:t>
        </w:r>
        <w:r>
          <w:rPr>
            <w:webHidden/>
            <w:color w:val="548DD4" w:themeColor="text2" w:themeTint="99"/>
            <w:u w:val="none"/>
          </w:rPr>
          <w:fldChar w:fldCharType="end"/>
        </w:r>
      </w:hyperlink>
    </w:p>
    <w:p>
      <w:pPr>
        <w:pStyle w:val="TOC2"/>
        <w:rPr>
          <w:rFonts w:asciiTheme="minorHAnsi" w:eastAsiaTheme="minorEastAsia" w:hAnsiTheme="minorHAnsi" w:cstheme="minorBidi"/>
          <w:color w:val="548DD4" w:themeColor="text2" w:themeTint="99"/>
          <w:sz w:val="22"/>
          <w:szCs w:val="22"/>
          <w:u w:val="none"/>
          <w:lang w:val="en-GB" w:eastAsia="en-GB"/>
        </w:rPr>
      </w:pPr>
      <w:hyperlink w:anchor="_Toc13054238" w:history="1">
        <w:r>
          <w:rPr>
            <w:rStyle w:val="Hyperlink"/>
            <w:color w:val="548DD4" w:themeColor="text2" w:themeTint="99"/>
            <w:u w:val="none"/>
          </w:rPr>
          <w:t>6.</w:t>
        </w:r>
        <w:r>
          <w:rPr>
            <w:rFonts w:asciiTheme="minorHAnsi" w:eastAsiaTheme="minorEastAsia" w:hAnsiTheme="minorHAnsi" w:cstheme="minorBidi"/>
            <w:color w:val="548DD4" w:themeColor="text2" w:themeTint="99"/>
            <w:sz w:val="22"/>
            <w:szCs w:val="22"/>
            <w:u w:val="none"/>
            <w:lang w:val="en-GB" w:eastAsia="en-GB"/>
          </w:rPr>
          <w:tab/>
        </w:r>
        <w:r>
          <w:rPr>
            <w:rStyle w:val="Hyperlink"/>
            <w:color w:val="548DD4" w:themeColor="text2" w:themeTint="99"/>
            <w:u w:val="none"/>
          </w:rPr>
          <w:t>Пространство на правосъдие и основни права, изградено върху взаимно доверие</w:t>
        </w:r>
        <w:r>
          <w:rPr>
            <w:webHidden/>
            <w:color w:val="548DD4" w:themeColor="text2" w:themeTint="99"/>
            <w:u w:val="none"/>
          </w:rPr>
          <w:tab/>
        </w:r>
        <w:r>
          <w:rPr>
            <w:webHidden/>
            <w:color w:val="548DD4" w:themeColor="text2" w:themeTint="99"/>
            <w:u w:val="none"/>
          </w:rPr>
          <w:fldChar w:fldCharType="begin"/>
        </w:r>
        <w:r>
          <w:rPr>
            <w:webHidden/>
            <w:color w:val="548DD4" w:themeColor="text2" w:themeTint="99"/>
            <w:u w:val="none"/>
          </w:rPr>
          <w:instrText xml:space="preserve"> PAGEREF _Toc13054238 \h </w:instrText>
        </w:r>
        <w:r>
          <w:rPr>
            <w:webHidden/>
            <w:color w:val="548DD4" w:themeColor="text2" w:themeTint="99"/>
            <w:u w:val="none"/>
          </w:rPr>
        </w:r>
        <w:r>
          <w:rPr>
            <w:webHidden/>
            <w:color w:val="548DD4" w:themeColor="text2" w:themeTint="99"/>
            <w:u w:val="none"/>
          </w:rPr>
          <w:fldChar w:fldCharType="separate"/>
        </w:r>
        <w:r>
          <w:rPr>
            <w:webHidden/>
            <w:color w:val="548DD4" w:themeColor="text2" w:themeTint="99"/>
            <w:u w:val="none"/>
          </w:rPr>
          <w:t>27</w:t>
        </w:r>
        <w:r>
          <w:rPr>
            <w:webHidden/>
            <w:color w:val="548DD4" w:themeColor="text2" w:themeTint="99"/>
            <w:u w:val="none"/>
          </w:rPr>
          <w:fldChar w:fldCharType="end"/>
        </w:r>
      </w:hyperlink>
    </w:p>
    <w:p>
      <w:pPr>
        <w:pStyle w:val="TOC2"/>
        <w:rPr>
          <w:rFonts w:asciiTheme="minorHAnsi" w:eastAsiaTheme="minorEastAsia" w:hAnsiTheme="minorHAnsi" w:cstheme="minorBidi"/>
          <w:color w:val="548DD4" w:themeColor="text2" w:themeTint="99"/>
          <w:sz w:val="22"/>
          <w:szCs w:val="22"/>
          <w:u w:val="none"/>
          <w:lang w:val="en-GB" w:eastAsia="en-GB"/>
        </w:rPr>
      </w:pPr>
      <w:hyperlink w:anchor="_Toc13054239" w:history="1">
        <w:r>
          <w:rPr>
            <w:rStyle w:val="Hyperlink"/>
            <w:color w:val="548DD4" w:themeColor="text2" w:themeTint="99"/>
            <w:u w:val="none"/>
          </w:rPr>
          <w:t>7.</w:t>
        </w:r>
        <w:r>
          <w:rPr>
            <w:rFonts w:asciiTheme="minorHAnsi" w:eastAsiaTheme="minorEastAsia" w:hAnsiTheme="minorHAnsi" w:cstheme="minorBidi"/>
            <w:color w:val="548DD4" w:themeColor="text2" w:themeTint="99"/>
            <w:sz w:val="22"/>
            <w:szCs w:val="22"/>
            <w:u w:val="none"/>
            <w:lang w:val="en-GB" w:eastAsia="en-GB"/>
          </w:rPr>
          <w:tab/>
        </w:r>
        <w:r>
          <w:rPr>
            <w:rStyle w:val="Hyperlink"/>
            <w:color w:val="548DD4" w:themeColor="text2" w:themeTint="99"/>
            <w:u w:val="none"/>
          </w:rPr>
          <w:t>Към нова политика за миграцията</w:t>
        </w:r>
        <w:r>
          <w:rPr>
            <w:webHidden/>
            <w:color w:val="548DD4" w:themeColor="text2" w:themeTint="99"/>
            <w:u w:val="none"/>
          </w:rPr>
          <w:tab/>
        </w:r>
        <w:r>
          <w:rPr>
            <w:webHidden/>
            <w:color w:val="548DD4" w:themeColor="text2" w:themeTint="99"/>
            <w:u w:val="none"/>
          </w:rPr>
          <w:fldChar w:fldCharType="begin"/>
        </w:r>
        <w:r>
          <w:rPr>
            <w:webHidden/>
            <w:color w:val="548DD4" w:themeColor="text2" w:themeTint="99"/>
            <w:u w:val="none"/>
          </w:rPr>
          <w:instrText xml:space="preserve"> PAGEREF _Toc13054239 \h </w:instrText>
        </w:r>
        <w:r>
          <w:rPr>
            <w:webHidden/>
            <w:color w:val="548DD4" w:themeColor="text2" w:themeTint="99"/>
            <w:u w:val="none"/>
          </w:rPr>
        </w:r>
        <w:r>
          <w:rPr>
            <w:webHidden/>
            <w:color w:val="548DD4" w:themeColor="text2" w:themeTint="99"/>
            <w:u w:val="none"/>
          </w:rPr>
          <w:fldChar w:fldCharType="separate"/>
        </w:r>
        <w:r>
          <w:rPr>
            <w:webHidden/>
            <w:color w:val="548DD4" w:themeColor="text2" w:themeTint="99"/>
            <w:u w:val="none"/>
          </w:rPr>
          <w:t>32</w:t>
        </w:r>
        <w:r>
          <w:rPr>
            <w:webHidden/>
            <w:color w:val="548DD4" w:themeColor="text2" w:themeTint="99"/>
            <w:u w:val="none"/>
          </w:rPr>
          <w:fldChar w:fldCharType="end"/>
        </w:r>
      </w:hyperlink>
    </w:p>
    <w:p>
      <w:pPr>
        <w:pStyle w:val="TOC1"/>
        <w:rPr>
          <w:noProof/>
          <w:u w:val="none"/>
        </w:rPr>
      </w:pPr>
      <w:r>
        <w:rPr>
          <w:rFonts w:cs="Arial"/>
          <w:b w:val="0"/>
          <w:iCs/>
          <w:noProof/>
          <w:color w:val="4F81BD"/>
          <w:u w:val="none"/>
        </w:rPr>
        <w:fldChar w:fldCharType="end"/>
      </w:r>
    </w:p>
    <w:p>
      <w:pPr>
        <w:rPr>
          <w:b/>
          <w:noProof/>
          <w:u w:val="none"/>
        </w:rPr>
        <w:sectPr>
          <w:headerReference w:type="even" r:id="rId20"/>
          <w:headerReference w:type="default" r:id="rId21"/>
          <w:footerReference w:type="even" r:id="rId22"/>
          <w:footerReference w:type="default" r:id="rId23"/>
          <w:headerReference w:type="first" r:id="rId24"/>
          <w:footerReference w:type="first" r:id="rId25"/>
          <w:pgSz w:w="11907" w:h="16839" w:code="9"/>
          <w:pgMar w:top="1418" w:right="1418" w:bottom="1418" w:left="1418" w:header="454" w:footer="709" w:gutter="0"/>
          <w:pgNumType w:start="1"/>
          <w:cols w:space="720"/>
          <w:titlePg/>
          <w:docGrid w:linePitch="360"/>
        </w:sectPr>
      </w:pPr>
    </w:p>
    <w:p>
      <w:pPr>
        <w:pStyle w:val="kop2"/>
        <w:numPr>
          <w:ilvl w:val="0"/>
          <w:numId w:val="0"/>
        </w:numPr>
        <w:ind w:left="360" w:hanging="360"/>
        <w:rPr>
          <w:noProof/>
          <w:u w:val="none"/>
        </w:rPr>
      </w:pPr>
      <w:bookmarkStart w:id="2" w:name="_Toc444796643"/>
    </w:p>
    <w:p>
      <w:pPr>
        <w:pStyle w:val="kop2"/>
        <w:numPr>
          <w:ilvl w:val="0"/>
          <w:numId w:val="0"/>
        </w:numPr>
        <w:ind w:left="360"/>
        <w:rPr>
          <w:caps w:val="0"/>
          <w:noProof/>
          <w:sz w:val="28"/>
          <w:szCs w:val="28"/>
          <w:u w:val="none"/>
        </w:rPr>
      </w:pPr>
      <w:bookmarkStart w:id="3" w:name="_Toc506309246"/>
      <w:bookmarkStart w:id="4" w:name="_Toc13054232"/>
      <w:bookmarkEnd w:id="2"/>
      <w:r>
        <w:rPr>
          <w:caps w:val="0"/>
          <w:noProof/>
          <w:sz w:val="28"/>
          <w:szCs w:val="28"/>
          <w:u w:val="none"/>
        </w:rPr>
        <w:t>Въведение</w:t>
      </w:r>
      <w:bookmarkEnd w:id="3"/>
      <w:bookmarkEnd w:id="4"/>
    </w:p>
    <w:p>
      <w:pPr>
        <w:jc w:val="both"/>
        <w:rPr>
          <w:noProof/>
          <w:u w:val="none"/>
        </w:rPr>
      </w:pPr>
      <w:r>
        <w:rPr>
          <w:i/>
          <w:noProof/>
          <w:u w:val="none"/>
        </w:rPr>
        <w:t>Ще насочваме усилията си натам, където те са най-необходими</w:t>
      </w:r>
      <w:r>
        <w:rPr>
          <w:noProof/>
          <w:u w:val="none"/>
        </w:rPr>
        <w:t>. Това са думите на 27-те лидери на Европа от Декларацията от Сибиу, подписана през май 2019 г., точно преди изборите за Европейски парламент. Тези думи отразяват същността на ежедневните усилия на Комисията от встъпването ѝ в длъжност през ноември 2014 г.</w:t>
      </w:r>
    </w:p>
    <w:p>
      <w:pPr>
        <w:jc w:val="both"/>
        <w:rPr>
          <w:noProof/>
          <w:u w:val="none"/>
        </w:rPr>
      </w:pPr>
      <w:r>
        <w:rPr>
          <w:noProof/>
          <w:u w:val="none"/>
        </w:rPr>
        <w:t xml:space="preserve">И действително насочихме усилията си там, където са необходими. Някои хора твърдят, че Европа е твърде бавна или твърде усложнена, за да продължи напред. През последните пет години обаче съзаконодателите постигнаха съгласие по над 354 предложения на Комисията. Резултатите са красноречиви. Безработицата намаля — над 240 милиона европейци работят, а заплатите се увеличиха с 5,7 %. Вече имаме специална европейска гранична и брегова охрана, която подпомага защитата на нашите граници. Където и да се намираме в Съюза, се ползваме от услуги за роуминг на домашни цени и можем да използваме абонаментите си за стрийминг дори когато сме в друга държава от ЕС. Нашите дружества могат да търгуват безмитно на пазари, които се простират до Канада или Япония. </w:t>
      </w:r>
    </w:p>
    <w:p>
      <w:pPr>
        <w:jc w:val="both"/>
        <w:rPr>
          <w:noProof/>
          <w:u w:val="none"/>
        </w:rPr>
      </w:pPr>
      <w:r>
        <w:rPr>
          <w:noProof/>
          <w:u w:val="none"/>
        </w:rPr>
        <w:t xml:space="preserve">Този напредък се дължи на многобройните случаи, в които постигнахме съгласие по нови правила, с които да придвижим Европа напред. Стойността на всяко законодателство обаче зависи от неговото изпълнение и правоприлагане. Именно това вдъхва живот на законодателните текстове. Така законите се превръщат в ползи за гражданите. Именно това гарантира, че политическите споразумения носят реална изгода за гражданите, малките и средните предприятия и стопанските среди. Затова, когато встъпих в длъжност, обещах да направя по-малко — представихме 75 % по-малко предложения в сравнение с предишната Комисия — но да го направя по-добре. </w:t>
      </w:r>
    </w:p>
    <w:p>
      <w:pPr>
        <w:jc w:val="both"/>
        <w:rPr>
          <w:noProof/>
          <w:u w:val="none"/>
        </w:rPr>
      </w:pPr>
      <w:r>
        <w:rPr>
          <w:noProof/>
          <w:u w:val="none"/>
        </w:rPr>
        <w:t xml:space="preserve">Днес работим в много по-тясно сътрудничество с националните органи, за да им оказваме съдействие при изпълнението на европейското законодателство. Този диалог спомогна за разрешаването на 90 % от случаите на нарушения от 2014 г. насам, без да се налага намесата на Съда на Европейския съюз, което спести време и средства на данъкоплатците. Когато диалогът не даде резултат, предприехме сериозни и ефективни действия в случай на нарушаване на правото на ЕС. </w:t>
      </w:r>
    </w:p>
    <w:p>
      <w:pPr>
        <w:jc w:val="both"/>
        <w:rPr>
          <w:noProof/>
          <w:u w:val="none"/>
        </w:rPr>
      </w:pPr>
      <w:r>
        <w:rPr>
          <w:noProof/>
          <w:u w:val="none"/>
        </w:rPr>
        <w:t>В настоящият доклад са представени резултатите от прилагането на този по-стратегически, по-отворен, но и по-твърд подход през 2018 г. Оказахме подкрепа на националните и регионалните органи при прилагането на правилата за чист въздух и чиста вода. Предприехме действия срещу държавите членки, които не изпълниха задълженията си и не приложиха правилата на ЕС относно резервационните данни на пътниците, борбата с тероризма и борбата с изпирането на пари. Използвахме правомощията си за правоприлагане, когато някои държави не действаха достатъчно бързо за подобряване на достъпа на хората с увреждания до уебсайтове и други мобилни приложения. Засилихме диалога с държавите членки във всички области, за да гарантираме, че работим съвместно по изпълнението и правоприлагането. За мен е удоволствие да съобщя за сериозната ангажираност и обвързаност на държавите членки.</w:t>
      </w:r>
    </w:p>
    <w:p>
      <w:pPr>
        <w:jc w:val="both"/>
        <w:rPr>
          <w:noProof/>
          <w:u w:val="none"/>
        </w:rPr>
      </w:pPr>
      <w:r>
        <w:rPr>
          <w:noProof/>
          <w:u w:val="none"/>
        </w:rPr>
        <w:t xml:space="preserve">Всичко това показва реалната стойност на извършената работа в областта на изпълнението и правоприлагането. Става дума за отстояване на решенията, които сме взели заедно. В крайна сметка става дума за това да се гарантира, че гражданите наистина извличат ползи от новите правила. Само Европа, която поставя правата на гражданите в центъра на всяко свое действие, е Европа, която наистина постига резултати. По-важна задача няма. </w:t>
      </w:r>
    </w:p>
    <w:p>
      <w:pPr>
        <w:jc w:val="both"/>
        <w:rPr>
          <w:noProof/>
          <w:u w:val="none"/>
        </w:rPr>
      </w:pPr>
      <w:r>
        <w:rPr>
          <w:noProof/>
          <w:u w:val="none"/>
        </w:rPr>
        <w:t xml:space="preserve">Както е казал един от моите знаменити предшественици, Валтер Халщайн, Европа е общност на правото. Правото е нашият начин да гарантираме, че можем да браним и отстояваме нашите ценности и нашите права. То е нашето най-силно оръжие в борбата за социална правда, равенство и справедливост за всеки. Именно затова върховенството на закона никога не може да бъде въпрос на избор и именно затова Комисията постави такъв акцент върху правоприлагането през 2018 г., както е видно от настоящия доклад. Ако искаме да насочим усилията си натам, където те са най-необходими, както обещаха лидерите в Сибиу, тогава трябва да запазим този подход през 2019 г. и след това. </w:t>
      </w:r>
    </w:p>
    <w:p>
      <w:pPr>
        <w:jc w:val="both"/>
        <w:rPr>
          <w:noProof/>
          <w:u w:val="none"/>
        </w:rPr>
      </w:pPr>
    </w:p>
    <w:p>
      <w:pPr>
        <w:ind w:left="5040" w:firstLine="720"/>
        <w:jc w:val="center"/>
        <w:rPr>
          <w:noProof/>
          <w:u w:val="none"/>
        </w:rPr>
      </w:pPr>
      <w:r>
        <w:rPr>
          <w:noProof/>
          <w:u w:val="none"/>
        </w:rPr>
        <w:t xml:space="preserve">Председател на Европейската комисия </w:t>
      </w:r>
    </w:p>
    <w:p>
      <w:pPr>
        <w:ind w:left="5040" w:firstLine="720"/>
        <w:jc w:val="center"/>
        <w:rPr>
          <w:noProof/>
          <w:u w:val="none"/>
        </w:rPr>
      </w:pPr>
      <w:r>
        <w:rPr>
          <w:noProof/>
          <w:u w:val="none"/>
        </w:rPr>
        <w:t>Жан-Клон Юнкер</w:t>
      </w:r>
      <w:r>
        <w:rPr>
          <w:noProof/>
          <w:u w:val="none"/>
        </w:rPr>
        <w:br w:type="page"/>
      </w:r>
    </w:p>
    <w:p>
      <w:pPr>
        <w:pStyle w:val="kop3"/>
        <w:rPr>
          <w:noProof/>
          <w:u w:val="none"/>
        </w:rPr>
      </w:pPr>
      <w:bookmarkStart w:id="5" w:name="_Toc444796646"/>
      <w:bookmarkStart w:id="6" w:name="_Toc506199718"/>
      <w:bookmarkStart w:id="7" w:name="_Toc506199739"/>
      <w:bookmarkStart w:id="8" w:name="_Toc506209835"/>
      <w:bookmarkStart w:id="9" w:name="_Toc506218376"/>
      <w:bookmarkStart w:id="10" w:name="_Toc506309248"/>
      <w:bookmarkStart w:id="11" w:name="_Toc13054233"/>
      <w:bookmarkStart w:id="12" w:name="_Toc437944176"/>
      <w:r>
        <w:rPr>
          <w:noProof/>
          <w:u w:val="none"/>
        </w:rPr>
        <w:t>Нови стимули за работни места, растеж и инвестиции</w:t>
      </w:r>
      <w:bookmarkEnd w:id="5"/>
      <w:bookmarkEnd w:id="6"/>
      <w:bookmarkEnd w:id="7"/>
      <w:bookmarkEnd w:id="8"/>
      <w:bookmarkEnd w:id="9"/>
      <w:bookmarkEnd w:id="10"/>
      <w:bookmarkEnd w:id="11"/>
    </w:p>
    <w:p>
      <w:pPr>
        <w:jc w:val="both"/>
        <w:rPr>
          <w:rFonts w:ascii="Arial Unicode MS" w:eastAsia="Arial Unicode MS" w:hAnsi="Arial Unicode MS" w:cs="Arial Unicode MS"/>
          <w:i/>
          <w:noProof/>
          <w:color w:val="4F81BD"/>
          <w:sz w:val="22"/>
          <w:szCs w:val="22"/>
          <w:u w:val="none"/>
        </w:rPr>
      </w:pPr>
      <w:r>
        <w:rPr>
          <w:noProof/>
          <w:u w:val="none"/>
        </w:rPr>
        <w:t>Първостепенен приоритет за Комисията „Юнкер“ е стимулирането на инвестиции, които създават работни места и укрепват европейската конкурентоспособност. Създаването обаче на правилната нормативна среда за подпомагане на предприятията и създаване на работни места се възпрепятства, ако държавите членки не прилагат правилно и своевременно правилата на ЕС.</w:t>
      </w:r>
      <w:r>
        <w:rPr>
          <w:rFonts w:ascii="Arial Unicode MS" w:hAnsi="Arial Unicode MS"/>
          <w:i/>
          <w:noProof/>
          <w:color w:val="4F81BD"/>
          <w:sz w:val="22"/>
          <w:szCs w:val="22"/>
          <w:u w:val="none"/>
        </w:rPr>
        <w:t xml:space="preserve"> </w:t>
      </w:r>
    </w:p>
    <w:p>
      <w:pPr>
        <w:jc w:val="both"/>
        <w:rPr>
          <w:rFonts w:ascii="Arial Unicode MS" w:eastAsia="Arial Unicode MS" w:hAnsi="Arial Unicode MS" w:cs="Arial Unicode MS"/>
          <w:i/>
          <w:noProof/>
          <w:color w:val="4F81BD"/>
          <w:sz w:val="22"/>
          <w:szCs w:val="22"/>
          <w:u w:val="none"/>
        </w:rPr>
      </w:pPr>
      <w:r>
        <w:rPr>
          <w:rFonts w:ascii="Arial Unicode MS" w:hAnsi="Arial Unicode MS"/>
          <w:i/>
          <w:noProof/>
          <w:color w:val="4F81BD"/>
          <w:sz w:val="22"/>
          <w:szCs w:val="22"/>
          <w:u w:val="none"/>
        </w:rPr>
        <w:t>Гарантиране на справедливи условия на труд в целия ЕС</w:t>
      </w:r>
    </w:p>
    <w:p>
      <w:pPr>
        <w:spacing w:after="0"/>
        <w:jc w:val="both"/>
        <w:rPr>
          <w:noProof/>
          <w:u w:val="none"/>
        </w:rPr>
      </w:pPr>
      <w:r>
        <w:rPr>
          <w:noProof/>
          <w:u w:val="none"/>
          <w:lang w:val="en-GB" w:eastAsia="en-GB"/>
        </w:rPr>
        <w:drawing>
          <wp:anchor distT="0" distB="0" distL="114300" distR="114300" simplePos="0" relativeHeight="251637248" behindDoc="0" locked="0" layoutInCell="1" allowOverlap="1">
            <wp:simplePos x="0" y="0"/>
            <wp:positionH relativeFrom="column">
              <wp:posOffset>24130</wp:posOffset>
            </wp:positionH>
            <wp:positionV relativeFrom="paragraph">
              <wp:posOffset>3175</wp:posOffset>
            </wp:positionV>
            <wp:extent cx="4138295" cy="2441575"/>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Working conditions_small size.jpg"/>
                    <pic:cNvPicPr/>
                  </pic:nvPicPr>
                  <pic:blipFill>
                    <a:blip r:embed="rId26" cstate="email">
                      <a:extLst>
                        <a:ext uri="{28A0092B-C50C-407E-A947-70E740481C1C}">
                          <a14:useLocalDpi xmlns:a14="http://schemas.microsoft.com/office/drawing/2010/main"/>
                        </a:ext>
                      </a:extLst>
                    </a:blip>
                    <a:stretch>
                      <a:fillRect/>
                    </a:stretch>
                  </pic:blipFill>
                  <pic:spPr>
                    <a:xfrm>
                      <a:off x="0" y="0"/>
                      <a:ext cx="4138295" cy="2441575"/>
                    </a:xfrm>
                    <a:prstGeom prst="rect">
                      <a:avLst/>
                    </a:prstGeom>
                  </pic:spPr>
                </pic:pic>
              </a:graphicData>
            </a:graphic>
            <wp14:sizeRelH relativeFrom="margin">
              <wp14:pctWidth>0</wp14:pctWidth>
            </wp14:sizeRelH>
            <wp14:sizeRelV relativeFrom="margin">
              <wp14:pctHeight>0</wp14:pctHeight>
            </wp14:sizeRelV>
          </wp:anchor>
        </w:drawing>
      </w:r>
      <w:r>
        <w:rPr>
          <w:noProof/>
          <w:u w:val="none"/>
        </w:rPr>
        <w:t xml:space="preserve">Всички работници в Европейския съюз имат право на справедливи условия на труд. Това право е отразено в </w:t>
      </w:r>
      <w:hyperlink r:id="rId27" w:history="1">
        <w:r>
          <w:rPr>
            <w:rStyle w:val="Hyperlink"/>
            <w:noProof/>
            <w:u w:val="none"/>
          </w:rPr>
          <w:t>Европейския стълб на социалните права</w:t>
        </w:r>
      </w:hyperlink>
      <w:r>
        <w:rPr>
          <w:noProof/>
          <w:u w:val="none"/>
        </w:rPr>
        <w:t>, който беше обявен съвместно от Европейския парламент, Съвета на ЕС и Европейската комисия през ноември 2017 г. Една от главите на стълба е посветена специално на справедливите условия на труд.</w:t>
      </w:r>
    </w:p>
    <w:p>
      <w:pPr>
        <w:jc w:val="both"/>
        <w:rPr>
          <w:noProof/>
          <w:u w:val="none"/>
        </w:rPr>
      </w:pPr>
    </w:p>
    <w:p>
      <w:pPr>
        <w:jc w:val="both"/>
        <w:rPr>
          <w:noProof/>
          <w:u w:val="none"/>
        </w:rPr>
      </w:pPr>
      <w:r>
        <w:rPr>
          <w:noProof/>
          <w:u w:val="none"/>
        </w:rPr>
        <w:t xml:space="preserve">През последните няколко години Комисията обръща специално внимание на работното време. Наред с други инициативи, бяха публикувани редица </w:t>
      </w:r>
      <w:hyperlink r:id="rId28" w:history="1">
        <w:r>
          <w:rPr>
            <w:rStyle w:val="Hyperlink"/>
            <w:noProof/>
            <w:u w:val="none"/>
          </w:rPr>
          <w:t>ръководства</w:t>
        </w:r>
      </w:hyperlink>
      <w:r>
        <w:rPr>
          <w:noProof/>
          <w:u w:val="none"/>
        </w:rPr>
        <w:t xml:space="preserve"> в подкрепа на държавите членки при прилагането на Директивата за работното време.</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60" w:line="240" w:lineRule="auto"/>
              <w:jc w:val="both"/>
              <w:rPr>
                <w:rFonts w:eastAsia="Times New Roman"/>
                <w:noProof/>
                <w:color w:val="FFFFFF"/>
                <w:u w:val="none"/>
              </w:rPr>
            </w:pPr>
            <w:r>
              <w:rPr>
                <w:noProof/>
                <w:color w:val="FFFFFF" w:themeColor="background1"/>
                <w:u w:val="none"/>
              </w:rPr>
              <w:t xml:space="preserve">След положените от Дания, Ирландия и Гърция усилия Комисията прекрати делата за установяване на неизпълнение на задължения срещу тези три държави във връзка с прилагането на Директивата за работното време. Комисията гарантира, че Дания спазва правото на работниците да вземат годишния си отпуск през същата година, в която е бил начислен отпускът. В Ирландия и Гърция бяха предприети необходимите мерки за спазване на правилата на ЕС относно ограниченията за работното време на лекарите в общественото здравеопазване. </w:t>
            </w:r>
          </w:p>
        </w:tc>
      </w:tr>
    </w:tbl>
    <w:p>
      <w:pPr>
        <w:spacing w:before="200"/>
        <w:jc w:val="both"/>
        <w:rPr>
          <w:noProof/>
          <w:u w:val="none"/>
        </w:rPr>
      </w:pPr>
      <w:r>
        <w:rPr>
          <w:noProof/>
          <w:u w:val="none"/>
        </w:rPr>
        <w:t xml:space="preserve">Европейските работнически съвети, които представляват европейските служители в транснационални дружества, също допринасят за гарантирането на справедливи условия на труд. Чрез тях ръководствата информират работниците и се консултират с тях във връзка с развитието на стопанската дейност и с всяко важно решение на европейско равнище, което би могло да засегне условията на заетост или на труд. През 2018 г. Комисията публикува </w:t>
      </w:r>
      <w:hyperlink r:id="rId29" w:history="1">
        <w:r>
          <w:rPr>
            <w:rStyle w:val="Hyperlink"/>
            <w:noProof/>
            <w:u w:val="none"/>
          </w:rPr>
          <w:t>доклад</w:t>
        </w:r>
      </w:hyperlink>
      <w:r>
        <w:rPr>
          <w:noProof/>
          <w:u w:val="none"/>
        </w:rPr>
        <w:t xml:space="preserve"> относно изпълнението на </w:t>
      </w:r>
      <w:hyperlink r:id="rId30" w:history="1">
        <w:r>
          <w:rPr>
            <w:rStyle w:val="Hyperlink"/>
            <w:noProof/>
            <w:u w:val="none"/>
          </w:rPr>
          <w:t>Директивата на ЕС за създаване на европейски работнически съвети</w:t>
        </w:r>
      </w:hyperlink>
      <w:r>
        <w:rPr>
          <w:noProof/>
          <w:u w:val="none"/>
        </w:rPr>
        <w:t>. В доклада се подчертават ползите както за работниците, така и за дружествата, произтичащи от транснационалния социален диалог на равнище дружество чрез европейските работнически съвети.</w:t>
      </w:r>
    </w:p>
    <w:p>
      <w:pPr>
        <w:spacing w:after="0" w:line="240" w:lineRule="auto"/>
        <w:rPr>
          <w:noProof/>
          <w:u w:val="none"/>
        </w:rPr>
      </w:pPr>
      <w:r>
        <w:rPr>
          <w:noProof/>
        </w:rPr>
        <w:br w:type="page"/>
      </w:r>
    </w:p>
    <w:p>
      <w:pPr>
        <w:spacing w:after="120"/>
        <w:jc w:val="both"/>
        <w:rPr>
          <w:rFonts w:ascii="Arial Unicode MS" w:eastAsia="Arial Unicode MS" w:hAnsi="Arial Unicode MS" w:cs="Arial Unicode MS"/>
          <w:i/>
          <w:noProof/>
          <w:color w:val="4F81BD"/>
          <w:sz w:val="22"/>
          <w:szCs w:val="22"/>
          <w:u w:val="none"/>
        </w:rPr>
      </w:pPr>
      <w:r>
        <w:rPr>
          <w:rFonts w:ascii="Arial Unicode MS" w:hAnsi="Arial Unicode MS"/>
          <w:i/>
          <w:noProof/>
          <w:color w:val="4F81BD"/>
          <w:sz w:val="22"/>
          <w:szCs w:val="22"/>
          <w:u w:val="none"/>
        </w:rPr>
        <w:t>Прилагане на правилата в областта на околната среда</w:t>
      </w:r>
    </w:p>
    <w:p>
      <w:pPr>
        <w:jc w:val="both"/>
        <w:rPr>
          <w:noProof/>
          <w:spacing w:val="-4"/>
          <w:u w:val="none"/>
        </w:rPr>
      </w:pPr>
      <w:r>
        <w:rPr>
          <w:noProof/>
          <w:u w:val="none"/>
          <w:lang w:val="en-GB" w:eastAsia="en-GB"/>
        </w:rPr>
        <w:drawing>
          <wp:anchor distT="0" distB="0" distL="114300" distR="114300" simplePos="0" relativeHeight="251670016" behindDoc="0" locked="0" layoutInCell="1" allowOverlap="1">
            <wp:simplePos x="0" y="0"/>
            <wp:positionH relativeFrom="column">
              <wp:posOffset>3175</wp:posOffset>
            </wp:positionH>
            <wp:positionV relativeFrom="paragraph">
              <wp:posOffset>3175</wp:posOffset>
            </wp:positionV>
            <wp:extent cx="3329305" cy="2393950"/>
            <wp:effectExtent l="0" t="0" r="4445"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NVI_page 5_small size.jpg"/>
                    <pic:cNvPicPr/>
                  </pic:nvPicPr>
                  <pic:blipFill>
                    <a:blip r:embed="rId31" cstate="email">
                      <a:extLst>
                        <a:ext uri="{28A0092B-C50C-407E-A947-70E740481C1C}">
                          <a14:useLocalDpi xmlns:a14="http://schemas.microsoft.com/office/drawing/2010/main"/>
                        </a:ext>
                      </a:extLst>
                    </a:blip>
                    <a:stretch>
                      <a:fillRect/>
                    </a:stretch>
                  </pic:blipFill>
                  <pic:spPr>
                    <a:xfrm>
                      <a:off x="0" y="0"/>
                      <a:ext cx="3329305" cy="2393950"/>
                    </a:xfrm>
                    <a:prstGeom prst="rect">
                      <a:avLst/>
                    </a:prstGeom>
                  </pic:spPr>
                </pic:pic>
              </a:graphicData>
            </a:graphic>
            <wp14:sizeRelH relativeFrom="margin">
              <wp14:pctWidth>0</wp14:pctWidth>
            </wp14:sizeRelH>
            <wp14:sizeRelV relativeFrom="margin">
              <wp14:pctHeight>0</wp14:pctHeight>
            </wp14:sizeRelV>
          </wp:anchor>
        </w:drawing>
      </w:r>
      <w:r>
        <w:rPr>
          <w:noProof/>
          <w:u w:val="none"/>
        </w:rPr>
        <w:t>П</w:t>
      </w:r>
      <w:r>
        <w:rPr>
          <w:noProof/>
          <w:spacing w:val="-4"/>
          <w:u w:val="none"/>
        </w:rPr>
        <w:t>рез 2018 г. Комисията предприе правни действия срещу неправилното прилагане на законодателството на ЕС в областта на околната среда.</w:t>
      </w:r>
    </w:p>
    <w:p>
      <w:pPr>
        <w:spacing w:before="200"/>
        <w:jc w:val="both"/>
        <w:rPr>
          <w:noProof/>
          <w:spacing w:val="-4"/>
          <w:u w:val="none"/>
        </w:rPr>
      </w:pPr>
      <w:r>
        <w:rPr>
          <w:noProof/>
          <w:spacing w:val="-4"/>
          <w:u w:val="none"/>
        </w:rPr>
        <w:t xml:space="preserve">След </w:t>
      </w:r>
      <w:hyperlink r:id="rId32" w:history="1">
        <w:r>
          <w:rPr>
            <w:rStyle w:val="Hyperlink"/>
            <w:noProof/>
            <w:spacing w:val="-4"/>
            <w:u w:val="none"/>
          </w:rPr>
          <w:t>проверката за пригодност на директивите</w:t>
        </w:r>
      </w:hyperlink>
      <w:r>
        <w:rPr>
          <w:noProof/>
          <w:spacing w:val="-4"/>
          <w:u w:val="none"/>
        </w:rPr>
        <w:t xml:space="preserve"> за опазване на природата,</w:t>
      </w:r>
      <w:r>
        <w:rPr>
          <w:rStyle w:val="Hyperlink"/>
          <w:noProof/>
          <w:spacing w:val="-4"/>
          <w:u w:val="none"/>
        </w:rPr>
        <w:t xml:space="preserve"> </w:t>
      </w:r>
      <w:r>
        <w:rPr>
          <w:noProof/>
          <w:spacing w:val="-4"/>
          <w:u w:val="none"/>
        </w:rPr>
        <w:t xml:space="preserve">през 2018 г. Комисията прие </w:t>
      </w:r>
      <w:hyperlink r:id="rId33" w:history="1">
        <w:r>
          <w:rPr>
            <w:rStyle w:val="Hyperlink"/>
            <w:noProof/>
            <w:spacing w:val="-4"/>
            <w:u w:val="none"/>
          </w:rPr>
          <w:t>Плана за действие за природата, хората и икономиката</w:t>
        </w:r>
      </w:hyperlink>
      <w:r>
        <w:rPr>
          <w:rStyle w:val="Hyperlink"/>
          <w:noProof/>
          <w:color w:val="auto"/>
          <w:spacing w:val="-4"/>
          <w:u w:val="none"/>
        </w:rPr>
        <w:t>,</w:t>
      </w:r>
      <w:r>
        <w:rPr>
          <w:noProof/>
          <w:spacing w:val="-4"/>
          <w:u w:val="none"/>
        </w:rPr>
        <w:t xml:space="preserve"> чиято цел е да се гарантира напълно функционираща, съгласувана и представителна от екологична гледна точка мрежа от защитени зони. Например държавите членки трябва да завършат мрежата от защитени зони „Натура 2000“, като попълнят съществуващите празноти за морската среда и въведат необходимите мерки за опазване на всички защитени зони. В своето </w:t>
      </w:r>
      <w:hyperlink r:id="rId34" w:history="1">
        <w:r>
          <w:rPr>
            <w:rStyle w:val="Hyperlink"/>
            <w:noProof/>
            <w:spacing w:val="-4"/>
            <w:u w:val="none"/>
          </w:rPr>
          <w:t>решение по делото Białowieża</w:t>
        </w:r>
      </w:hyperlink>
      <w:r>
        <w:rPr>
          <w:noProof/>
          <w:spacing w:val="-4"/>
          <w:u w:val="none"/>
        </w:rPr>
        <w:t xml:space="preserve"> Съдът разясни задълженията за управление на горите в защитените зони по „Натура 2000“. Това е от ключово значение за опазването на защитените местообитания и видове.</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60" w:line="240" w:lineRule="auto"/>
              <w:jc w:val="both"/>
              <w:rPr>
                <w:rFonts w:eastAsia="Times New Roman"/>
                <w:noProof/>
                <w:color w:val="FFFFFF"/>
                <w:u w:val="none"/>
              </w:rPr>
            </w:pPr>
            <w:r>
              <w:rPr>
                <w:noProof/>
                <w:color w:val="FFFFFF" w:themeColor="background1"/>
                <w:u w:val="none"/>
              </w:rPr>
              <w:t xml:space="preserve">През 2018 г. Комисията предприе допълнителни правни стъпки в производствата за установяване на неизпълнение на задължения срещу </w:t>
            </w:r>
            <w:hyperlink r:id="rId35" w:history="1">
              <w:r>
                <w:rPr>
                  <w:rStyle w:val="Hyperlink"/>
                  <w:noProof/>
                  <w:u w:val="none"/>
                </w:rPr>
                <w:t>Ирландия</w:t>
              </w:r>
            </w:hyperlink>
            <w:r>
              <w:rPr>
                <w:noProof/>
                <w:color w:val="FFFFFF" w:themeColor="background1"/>
              </w:rPr>
              <w:t>,</w:t>
            </w:r>
            <w:r>
              <w:rPr>
                <w:rStyle w:val="Hyperlink"/>
                <w:noProof/>
                <w:u w:val="none"/>
              </w:rPr>
              <w:t xml:space="preserve"> </w:t>
            </w:r>
            <w:hyperlink r:id="rId36" w:history="1">
              <w:r>
                <w:rPr>
                  <w:rStyle w:val="Hyperlink"/>
                  <w:noProof/>
                  <w:u w:val="none"/>
                </w:rPr>
                <w:t>Гърция</w:t>
              </w:r>
            </w:hyperlink>
            <w:r>
              <w:rPr>
                <w:noProof/>
                <w:color w:val="FFFFFF" w:themeColor="background1"/>
                <w:u w:val="none"/>
              </w:rPr>
              <w:t xml:space="preserve"> и </w:t>
            </w:r>
            <w:hyperlink r:id="rId37" w:history="1">
              <w:r>
                <w:rPr>
                  <w:rStyle w:val="Hyperlink"/>
                  <w:noProof/>
                  <w:u w:val="none"/>
                </w:rPr>
                <w:t>Португалия</w:t>
              </w:r>
            </w:hyperlink>
            <w:r>
              <w:rPr>
                <w:noProof/>
                <w:color w:val="FFFFFF" w:themeColor="background1"/>
                <w:u w:val="none"/>
              </w:rPr>
              <w:t>, за да се гарантира завършването на мрежата „Натура 2000“. Продължават обаче производствата за установяване на неизпълнение на задължения срещу седем други държави членки.</w:t>
            </w:r>
          </w:p>
        </w:tc>
      </w:tr>
    </w:tbl>
    <w:p>
      <w:pPr>
        <w:spacing w:before="200"/>
        <w:jc w:val="both"/>
        <w:rPr>
          <w:noProof/>
          <w:u w:val="none"/>
        </w:rPr>
      </w:pPr>
      <w:r>
        <w:rPr>
          <w:noProof/>
          <w:u w:val="none"/>
        </w:rPr>
        <w:t xml:space="preserve">Замърсяването на въздуха продължава да бъде сериозен проблем за общественото здраве и приоритет за Комисията. В приетото през 2018 г. съобщение </w:t>
      </w:r>
      <w:hyperlink r:id="rId38" w:history="1">
        <w:r>
          <w:rPr>
            <w:rStyle w:val="Hyperlink"/>
            <w:noProof/>
            <w:u w:val="none"/>
          </w:rPr>
          <w:t xml:space="preserve">„Европа, която закриля: </w:t>
        </w:r>
      </w:hyperlink>
      <w:hyperlink r:id="rId39" w:history="1">
        <w:r>
          <w:rPr>
            <w:rStyle w:val="Hyperlink"/>
            <w:noProof/>
            <w:u w:val="none"/>
          </w:rPr>
          <w:t>чист въздух за всички“</w:t>
        </w:r>
      </w:hyperlink>
      <w:r>
        <w:rPr>
          <w:noProof/>
          <w:u w:val="none"/>
        </w:rPr>
        <w:t xml:space="preserve"> Комисията очерта наличните мерки за подпомагане на държавите членки в борбата им срещу замърсяването.</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60" w:line="240" w:lineRule="auto"/>
              <w:jc w:val="both"/>
              <w:rPr>
                <w:rFonts w:eastAsia="Times New Roman"/>
                <w:noProof/>
                <w:color w:val="FFFFFF" w:themeColor="background1"/>
                <w:u w:val="none"/>
              </w:rPr>
            </w:pPr>
            <w:r>
              <w:rPr>
                <w:noProof/>
                <w:color w:val="FFFFFF" w:themeColor="background1"/>
                <w:u w:val="none"/>
              </w:rPr>
              <w:t>През 2018 г. Комисията заведе дело пред Съда на ЕС срещу</w:t>
            </w:r>
            <w:r>
              <w:rPr>
                <w:noProof/>
                <w:u w:val="none"/>
              </w:rPr>
              <w:t xml:space="preserve"> </w:t>
            </w:r>
            <w:hyperlink r:id="rId40" w:history="1">
              <w:r>
                <w:rPr>
                  <w:rStyle w:val="Hyperlink"/>
                  <w:noProof/>
                  <w:u w:val="none"/>
                </w:rPr>
                <w:t>шест държави членки</w:t>
              </w:r>
            </w:hyperlink>
            <w:r>
              <w:rPr>
                <w:noProof/>
                <w:u w:val="none"/>
              </w:rPr>
              <w:t xml:space="preserve"> </w:t>
            </w:r>
            <w:r>
              <w:rPr>
                <w:noProof/>
                <w:color w:val="FFFFFF" w:themeColor="background1"/>
                <w:u w:val="none"/>
              </w:rPr>
              <w:t>(Германия, Франция, Италия, Унгария, Румъния и Обединеното кралство) във връзка с прекомерно високи равнища на прахови частици (ПЧ10) или азотен диоксид (NO2) във въздуха. Комисията ще продължи производствата за установяване на неизпълнение на задължения срещу други държави членки, ако те не отбележат значителен напредък за постигането на съответствие.</w:t>
            </w:r>
          </w:p>
        </w:tc>
      </w:tr>
    </w:tbl>
    <w:p>
      <w:pPr>
        <w:spacing w:after="120"/>
        <w:jc w:val="both"/>
        <w:rPr>
          <w:noProof/>
          <w:u w:val="non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60" w:line="240" w:lineRule="auto"/>
              <w:jc w:val="both"/>
              <w:rPr>
                <w:rFonts w:eastAsia="Times New Roman"/>
                <w:noProof/>
                <w:color w:val="FFFFFF"/>
                <w:spacing w:val="-4"/>
                <w:u w:val="none"/>
              </w:rPr>
            </w:pPr>
            <w:r>
              <w:rPr>
                <w:noProof/>
                <w:color w:val="FFFFFF" w:themeColor="background1"/>
                <w:spacing w:val="-4"/>
                <w:u w:val="none"/>
              </w:rPr>
              <w:t>През февруари 2018 г. Съдът на ЕС постанови, че</w:t>
            </w:r>
            <w:r>
              <w:rPr>
                <w:noProof/>
                <w:spacing w:val="-4"/>
                <w:u w:val="none"/>
              </w:rPr>
              <w:t xml:space="preserve"> </w:t>
            </w:r>
            <w:hyperlink r:id="rId41" w:history="1">
              <w:r>
                <w:rPr>
                  <w:rStyle w:val="Hyperlink"/>
                  <w:noProof/>
                  <w:spacing w:val="-4"/>
                  <w:u w:val="none"/>
                </w:rPr>
                <w:t>Полша</w:t>
              </w:r>
            </w:hyperlink>
            <w:r>
              <w:rPr>
                <w:noProof/>
                <w:spacing w:val="-4"/>
                <w:u w:val="none"/>
              </w:rPr>
              <w:t xml:space="preserve"> </w:t>
            </w:r>
            <w:r>
              <w:rPr>
                <w:noProof/>
                <w:color w:val="FFFFFF" w:themeColor="background1"/>
                <w:spacing w:val="-4"/>
                <w:u w:val="none"/>
              </w:rPr>
              <w:t>не е спазила законодателството на ЕС за качеството на въздуха, тъй като не е гарантирала, че замърсяването на въздуха не надвишава законовите ограничения</w:t>
            </w:r>
            <w:r>
              <w:rPr>
                <w:noProof/>
                <w:spacing w:val="-4"/>
                <w:u w:val="none"/>
              </w:rPr>
              <w:t>.</w:t>
            </w:r>
            <w:r>
              <w:rPr>
                <w:noProof/>
                <w:color w:val="FFFFFF" w:themeColor="background1"/>
                <w:spacing w:val="-4"/>
                <w:u w:val="none"/>
              </w:rPr>
              <w:t xml:space="preserve"> Освен това Полша не беше приела подходящи планове за действие, за да гарантира, че неспазването на тези ограничения е за възможно най-кратък период от време.</w:t>
            </w:r>
          </w:p>
        </w:tc>
      </w:tr>
    </w:tbl>
    <w:p>
      <w:pPr>
        <w:spacing w:before="200"/>
        <w:jc w:val="both"/>
        <w:rPr>
          <w:noProof/>
          <w:u w:val="none"/>
        </w:rPr>
      </w:pPr>
      <w:r>
        <w:rPr>
          <w:noProof/>
          <w:u w:val="none"/>
        </w:rPr>
        <w:t xml:space="preserve">През септември 2018 г. Комисията публикува </w:t>
      </w:r>
      <w:hyperlink r:id="rId42" w:history="1">
        <w:r>
          <w:rPr>
            <w:rStyle w:val="Hyperlink"/>
            <w:noProof/>
            <w:u w:val="none"/>
          </w:rPr>
          <w:t>Доклад за ранно предупреждение във връзка с прилагането на законодателството на ЕС относно отпадъците</w:t>
        </w:r>
      </w:hyperlink>
      <w:r>
        <w:rPr>
          <w:noProof/>
          <w:u w:val="none"/>
        </w:rPr>
        <w:t>, където бяха откроени случаите, в които има риск държавите членки да не изпълнят целите на ЕС в областта на отпадъците. Успоредно с това, през 2018 г. Комисията предприе действия за отстраняване на структурните недостатъци в законодателството на държавите членки относно отпадъците, като например във връзка с продължаващото наличие на незаконни или неотговарящи на стандартите депа или липсата на планове за управление на отпадъците.</w:t>
      </w:r>
    </w:p>
    <w:p>
      <w:pPr>
        <w:jc w:val="both"/>
        <w:rPr>
          <w:noProof/>
          <w:u w:val="none"/>
        </w:rPr>
      </w:pPr>
      <w:r>
        <w:rPr>
          <w:noProof/>
          <w:u w:val="none"/>
        </w:rPr>
        <w:t xml:space="preserve">Комисията прие и </w:t>
      </w:r>
      <w:hyperlink r:id="rId43" w:history="1">
        <w:r>
          <w:rPr>
            <w:rStyle w:val="Hyperlink"/>
            <w:noProof/>
            <w:u w:val="none"/>
          </w:rPr>
          <w:t>план за действие за осигуряване на спазването</w:t>
        </w:r>
      </w:hyperlink>
      <w:r>
        <w:rPr>
          <w:noProof/>
          <w:u w:val="none"/>
        </w:rPr>
        <w:t>, който съдържа девет точки и разглежда такива въпроси, като проверките и управлението.</w:t>
      </w:r>
      <w:r>
        <w:rPr>
          <w:noProof/>
        </w:rPr>
        <w:br w:type="page"/>
      </w:r>
    </w:p>
    <w:p>
      <w:pPr>
        <w:jc w:val="both"/>
        <w:rPr>
          <w:rFonts w:ascii="Arial Unicode MS" w:eastAsia="Arial Unicode MS" w:hAnsi="Arial Unicode MS" w:cs="Arial Unicode MS"/>
          <w:i/>
          <w:noProof/>
          <w:color w:val="4F81BD"/>
          <w:sz w:val="22"/>
          <w:szCs w:val="22"/>
          <w:u w:val="none"/>
        </w:rPr>
      </w:pPr>
      <w:r>
        <w:rPr>
          <w:rFonts w:ascii="Arial Unicode MS" w:hAnsi="Arial Unicode MS"/>
          <w:i/>
          <w:noProof/>
          <w:color w:val="4F81BD"/>
          <w:sz w:val="22"/>
          <w:szCs w:val="22"/>
          <w:u w:val="none"/>
        </w:rPr>
        <w:t>Прилагане на правилата в областта на селското стопанство</w:t>
      </w:r>
    </w:p>
    <w:p>
      <w:pPr>
        <w:jc w:val="both"/>
        <w:rPr>
          <w:noProof/>
          <w:u w:val="none"/>
        </w:rPr>
      </w:pPr>
      <w:r>
        <w:rPr>
          <w:noProof/>
          <w:u w:val="none"/>
          <w:lang w:val="en-GB" w:eastAsia="en-GB"/>
        </w:rPr>
        <w:drawing>
          <wp:anchor distT="0" distB="0" distL="114300" distR="114300" simplePos="0" relativeHeight="251624960" behindDoc="0" locked="0" layoutInCell="1" allowOverlap="1">
            <wp:simplePos x="0" y="0"/>
            <wp:positionH relativeFrom="column">
              <wp:posOffset>1270</wp:posOffset>
            </wp:positionH>
            <wp:positionV relativeFrom="paragraph">
              <wp:posOffset>1905</wp:posOffset>
            </wp:positionV>
            <wp:extent cx="3194050" cy="2125962"/>
            <wp:effectExtent l="0" t="0" r="6350"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gri 2.jpg"/>
                    <pic:cNvPicPr/>
                  </pic:nvPicPr>
                  <pic:blipFill>
                    <a:blip r:embed="rId44" cstate="email">
                      <a:extLst>
                        <a:ext uri="{28A0092B-C50C-407E-A947-70E740481C1C}">
                          <a14:useLocalDpi xmlns:a14="http://schemas.microsoft.com/office/drawing/2010/main"/>
                        </a:ext>
                      </a:extLst>
                    </a:blip>
                    <a:stretch>
                      <a:fillRect/>
                    </a:stretch>
                  </pic:blipFill>
                  <pic:spPr>
                    <a:xfrm>
                      <a:off x="0" y="0"/>
                      <a:ext cx="3194050" cy="2125962"/>
                    </a:xfrm>
                    <a:prstGeom prst="rect">
                      <a:avLst/>
                    </a:prstGeom>
                  </pic:spPr>
                </pic:pic>
              </a:graphicData>
            </a:graphic>
          </wp:anchor>
        </w:drawing>
      </w:r>
      <w:r>
        <w:rPr>
          <w:noProof/>
          <w:u w:val="none"/>
        </w:rPr>
        <w:t>Две от основните цели на общата селскостопанска политика са подпомагането на земеделските стопани и гарантирането на сигурни доставки за потребителите на храни на достъпни цени. Сред другите цели са борба с изменението на климата и устойчиво управление на природните ресурси, запазване на селските райони и ландшафти в целия ЕС и поддържане на жизнеспособността на селската икономика чрез насърчаване на създаването на работни места в селското стопанство и свързаните сектори.</w:t>
      </w:r>
    </w:p>
    <w:p>
      <w:pPr>
        <w:jc w:val="both"/>
        <w:rPr>
          <w:noProof/>
          <w:u w:val="none"/>
        </w:rPr>
      </w:pPr>
      <w:r>
        <w:rPr>
          <w:noProof/>
          <w:u w:val="none"/>
        </w:rPr>
        <w:t xml:space="preserve">Подобно на предходните години, през 2018 г. действията на Комисията по правоприлагане в областта на селското стопанство бяха съсредоточени главно върху мониторинга на изпълнението от страна на държавите членки на </w:t>
      </w:r>
      <w:hyperlink r:id="rId45" w:history="1">
        <w:r>
          <w:rPr>
            <w:rStyle w:val="Hyperlink"/>
            <w:noProof/>
            <w:u w:val="none"/>
          </w:rPr>
          <w:t>реформата на директните плащания</w:t>
        </w:r>
      </w:hyperlink>
      <w:r>
        <w:rPr>
          <w:noProof/>
          <w:u w:val="none"/>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8" w:type="dxa"/>
            <w:shd w:val="clear" w:color="auto" w:fill="8DB3E2" w:themeFill="text2" w:themeFillTint="66"/>
          </w:tcPr>
          <w:p>
            <w:pPr>
              <w:spacing w:before="60" w:after="60" w:line="240" w:lineRule="auto"/>
              <w:jc w:val="both"/>
              <w:rPr>
                <w:rFonts w:eastAsia="Times New Roman"/>
                <w:noProof/>
                <w:color w:val="FFFFFF" w:themeColor="background1"/>
                <w:u w:val="none"/>
              </w:rPr>
            </w:pPr>
            <w:r>
              <w:rPr>
                <w:noProof/>
                <w:color w:val="FFFFFF" w:themeColor="background1"/>
                <w:u w:val="none"/>
              </w:rPr>
              <w:t>Продължиха двустранните диалози с държавите членки, които използват неправилно финансовата помощ по схемите за доброволно обвързано с производството подпомагане, за да бъдат подкрепени селскостопански практики или сектори, изпитващи затруднения, които не са свързани с риск от изоставяне или спад на производството.</w:t>
            </w:r>
            <w:r>
              <w:rPr>
                <w:noProof/>
                <w:u w:val="none"/>
              </w:rPr>
              <w:t xml:space="preserve"> </w:t>
            </w:r>
            <w:r>
              <w:rPr>
                <w:noProof/>
                <w:color w:val="FFFFFF" w:themeColor="background1"/>
                <w:u w:val="none"/>
              </w:rPr>
              <w:t>В диалог с националните органи на една държава членка Комисията ги убеди да изменят националните правила и да ги приведат в съответствие с правото на ЕС.</w:t>
            </w:r>
          </w:p>
        </w:tc>
      </w:tr>
    </w:tbl>
    <w:p>
      <w:pPr>
        <w:spacing w:before="200"/>
        <w:jc w:val="both"/>
        <w:rPr>
          <w:noProof/>
          <w:u w:val="none"/>
        </w:rPr>
      </w:pPr>
      <w:r>
        <w:rPr>
          <w:noProof/>
          <w:u w:val="none"/>
        </w:rPr>
        <w:t>Географските указания осигуряват защита на наименованието на специфични продукти и популяризират техните уникални характеристики, свързани с географския им произход и традиционните умения. През 2018 г. Комисията продължи да следи конкретни случаи на неправилно прилагане на правилата на ЕС за защита на защитените наименования за произход и защитените географски указания.</w:t>
      </w:r>
    </w:p>
    <w:tbl>
      <w:tblPr>
        <w:tblpPr w:leftFromText="180" w:rightFromText="180" w:vertAnchor="text" w:horzAnchor="margin" w:tblpY="56"/>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Lines="60" w:before="144" w:after="60"/>
              <w:jc w:val="both"/>
              <w:rPr>
                <w:noProof/>
                <w:color w:val="FFFFFF" w:themeColor="background1"/>
                <w:u w:val="none"/>
              </w:rPr>
            </w:pPr>
            <w:hyperlink r:id="rId46" w:history="1">
              <w:r>
                <w:rPr>
                  <w:rStyle w:val="Hyperlink"/>
                  <w:noProof/>
                  <w:u w:val="none"/>
                </w:rPr>
                <w:t>Дания</w:t>
              </w:r>
            </w:hyperlink>
            <w:r>
              <w:rPr>
                <w:noProof/>
                <w:u w:val="none"/>
              </w:rPr>
              <w:t xml:space="preserve"> </w:t>
            </w:r>
            <w:r>
              <w:rPr>
                <w:noProof/>
                <w:color w:val="FFFFFF" w:themeColor="background1"/>
                <w:u w:val="none"/>
              </w:rPr>
              <w:t>разрешаваше на датски дружества да произвеждат и изнасят за държави извън ЕС бяло сирене като „фета“, въпреки че това сирене не отговаря на продуктовата спецификация за това защитено наименование за произход.</w:t>
            </w:r>
          </w:p>
          <w:p>
            <w:pPr>
              <w:spacing w:beforeLines="60" w:before="144" w:after="60"/>
              <w:jc w:val="both"/>
              <w:rPr>
                <w:noProof/>
                <w:color w:val="FFFFFF" w:themeColor="background1"/>
                <w:u w:val="none"/>
              </w:rPr>
            </w:pPr>
            <w:hyperlink r:id="rId47" w:history="1">
              <w:r>
                <w:rPr>
                  <w:rStyle w:val="Hyperlink"/>
                  <w:noProof/>
                  <w:u w:val="none"/>
                </w:rPr>
                <w:t>България</w:t>
              </w:r>
            </w:hyperlink>
            <w:r>
              <w:rPr>
                <w:noProof/>
                <w:color w:val="FFFFFF" w:themeColor="background1"/>
                <w:u w:val="none"/>
              </w:rPr>
              <w:t xml:space="preserve"> поддържа свой собствен национален регистър на географските указания за селскостопански продукти и храни от 2008 г. насам, като не се е съобразила с изключителния характер на общоевропейските регистри за схемите за качество.</w:t>
            </w:r>
          </w:p>
        </w:tc>
      </w:tr>
    </w:tbl>
    <w:p>
      <w:pPr>
        <w:spacing w:before="100" w:beforeAutospacing="1" w:after="120"/>
        <w:rPr>
          <w:noProof/>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8" w:type="dxa"/>
            <w:shd w:val="clear" w:color="auto" w:fill="8DB3E2" w:themeFill="text2" w:themeFillTint="66"/>
          </w:tcPr>
          <w:p>
            <w:pPr>
              <w:spacing w:before="60" w:after="60" w:line="240" w:lineRule="auto"/>
              <w:jc w:val="both"/>
              <w:rPr>
                <w:rFonts w:eastAsia="Times New Roman"/>
                <w:noProof/>
                <w:color w:val="FFFFFF"/>
                <w:u w:val="none"/>
              </w:rPr>
            </w:pPr>
            <w:r>
              <w:rPr>
                <w:noProof/>
                <w:color w:val="FFFFFF" w:themeColor="background1"/>
                <w:u w:val="none"/>
              </w:rPr>
              <w:t>През 2018 г. Комисията приключи производствата за установяване на неизпълнение на задължения срещу Италия, Кипър и Обединеното кралство, след като те приложиха пазарните стандарти за</w:t>
            </w:r>
            <w:r>
              <w:rPr>
                <w:noProof/>
                <w:u w:val="none"/>
              </w:rPr>
              <w:t xml:space="preserve"> </w:t>
            </w:r>
            <w:hyperlink r:id="rId48" w:history="1">
              <w:r>
                <w:rPr>
                  <w:rStyle w:val="Hyperlink"/>
                  <w:noProof/>
                  <w:u w:val="none"/>
                </w:rPr>
                <w:t>казеините и казеинатите</w:t>
              </w:r>
            </w:hyperlink>
            <w:r>
              <w:rPr>
                <w:noProof/>
                <w:u w:val="none"/>
              </w:rPr>
              <w:t xml:space="preserve"> </w:t>
            </w:r>
            <w:r>
              <w:rPr>
                <w:noProof/>
                <w:color w:val="FFFFFF" w:themeColor="background1"/>
                <w:u w:val="none"/>
              </w:rPr>
              <w:t>в националното си законодателство.</w:t>
            </w:r>
          </w:p>
        </w:tc>
      </w:tr>
    </w:tbl>
    <w:p>
      <w:pPr>
        <w:spacing w:after="0" w:line="240" w:lineRule="auto"/>
        <w:rPr>
          <w:noProof/>
        </w:rPr>
      </w:pPr>
      <w:r>
        <w:rPr>
          <w:noProof/>
        </w:rPr>
        <w:br w:type="page"/>
      </w:r>
    </w:p>
    <w:p>
      <w:pPr>
        <w:jc w:val="both"/>
        <w:rPr>
          <w:rFonts w:ascii="Arial Unicode MS" w:eastAsia="Arial Unicode MS" w:hAnsi="Arial Unicode MS" w:cs="Arial Unicode MS"/>
          <w:i/>
          <w:noProof/>
          <w:color w:val="4F81BD"/>
          <w:sz w:val="22"/>
          <w:szCs w:val="22"/>
          <w:u w:val="none"/>
        </w:rPr>
      </w:pPr>
      <w:r>
        <w:rPr>
          <w:rFonts w:ascii="Arial Unicode MS" w:hAnsi="Arial Unicode MS"/>
          <w:i/>
          <w:noProof/>
          <w:color w:val="4F81BD"/>
          <w:sz w:val="22"/>
          <w:szCs w:val="22"/>
          <w:u w:val="none"/>
        </w:rPr>
        <w:t>Прилагане на правилата в областта на морското дело и рибарството</w:t>
      </w:r>
    </w:p>
    <w:p>
      <w:pPr>
        <w:jc w:val="both"/>
        <w:rPr>
          <w:noProof/>
          <w:u w:val="none"/>
        </w:rPr>
      </w:pPr>
      <w:r>
        <w:rPr>
          <w:noProof/>
          <w:u w:val="none"/>
          <w:lang w:val="en-GB" w:eastAsia="en-GB"/>
        </w:rPr>
        <w:drawing>
          <wp:anchor distT="0" distB="0" distL="114300" distR="114300" simplePos="0" relativeHeight="251627008" behindDoc="0" locked="0" layoutInCell="1" allowOverlap="1">
            <wp:simplePos x="0" y="0"/>
            <wp:positionH relativeFrom="column">
              <wp:posOffset>1270</wp:posOffset>
            </wp:positionH>
            <wp:positionV relativeFrom="paragraph">
              <wp:posOffset>2540</wp:posOffset>
            </wp:positionV>
            <wp:extent cx="3270250" cy="2173797"/>
            <wp:effectExtent l="0" t="0" r="635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sheries 2.jpg"/>
                    <pic:cNvPicPr/>
                  </pic:nvPicPr>
                  <pic:blipFill>
                    <a:blip r:embed="rId49" cstate="email">
                      <a:extLst>
                        <a:ext uri="{28A0092B-C50C-407E-A947-70E740481C1C}">
                          <a14:useLocalDpi xmlns:a14="http://schemas.microsoft.com/office/drawing/2010/main"/>
                        </a:ext>
                      </a:extLst>
                    </a:blip>
                    <a:stretch>
                      <a:fillRect/>
                    </a:stretch>
                  </pic:blipFill>
                  <pic:spPr>
                    <a:xfrm>
                      <a:off x="0" y="0"/>
                      <a:ext cx="3270250" cy="2173797"/>
                    </a:xfrm>
                    <a:prstGeom prst="rect">
                      <a:avLst/>
                    </a:prstGeom>
                  </pic:spPr>
                </pic:pic>
              </a:graphicData>
            </a:graphic>
          </wp:anchor>
        </w:drawing>
      </w:r>
      <w:r>
        <w:rPr>
          <w:noProof/>
          <w:u w:val="none"/>
        </w:rPr>
        <w:t>Сред основните цели на морската политика на ЕС е да се подпомогне процъфтяването на европейската риболовна промишленост и крайбрежните зони и същевременно да се опазва морската среда.</w:t>
      </w:r>
    </w:p>
    <w:p>
      <w:pPr>
        <w:spacing w:before="200"/>
        <w:jc w:val="both"/>
        <w:rPr>
          <w:noProof/>
          <w:u w:val="none"/>
        </w:rPr>
      </w:pPr>
      <w:r>
        <w:rPr>
          <w:noProof/>
          <w:u w:val="none"/>
        </w:rPr>
        <w:t>Целите за устойчивост на общата политика на ЕС в областта на рибарството допринасят както за опазването на запасите, така и увеличаването на доставките на риба от риболов. Тъй като тези цели трябва да бъдат изпълнени най-късно до 2020 г., стратегията на Комисията за правоприлагане през 2018 г. отново беше съсредоточена върху опазването и контрола на рибните ресурси, както и върху спазването на изключителната компетентност на ЕС в тази област.</w:t>
      </w:r>
    </w:p>
    <w:p>
      <w:pPr>
        <w:jc w:val="both"/>
        <w:rPr>
          <w:noProof/>
          <w:u w:val="none"/>
        </w:rPr>
      </w:pPr>
      <w:r>
        <w:rPr>
          <w:noProof/>
          <w:u w:val="none"/>
        </w:rPr>
        <w:t>Националните системи за опазване и контрол на рибните ресурси трябва да бъдат ефективни и да предвиждат възпиращи санкции, ако правилата бъдат нарушени.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60" w:line="240" w:lineRule="auto"/>
              <w:jc w:val="both"/>
              <w:rPr>
                <w:rFonts w:eastAsia="Times New Roman"/>
                <w:noProof/>
                <w:color w:val="FFFFFF"/>
                <w:u w:val="none"/>
              </w:rPr>
            </w:pPr>
            <w:r>
              <w:rPr>
                <w:noProof/>
                <w:color w:val="FFFFFF" w:themeColor="background1"/>
                <w:u w:val="none"/>
              </w:rPr>
              <w:t xml:space="preserve">Комисията образува производство за установяване на неизпълнение на задължения срещу </w:t>
            </w:r>
            <w:hyperlink r:id="rId50" w:history="1">
              <w:r>
                <w:rPr>
                  <w:rStyle w:val="Hyperlink"/>
                  <w:noProof/>
                  <w:u w:val="none"/>
                </w:rPr>
                <w:t>Ирландия</w:t>
              </w:r>
            </w:hyperlink>
            <w:r>
              <w:rPr>
                <w:noProof/>
                <w:color w:val="FFFFFF" w:themeColor="background1"/>
                <w:u w:val="none"/>
              </w:rPr>
              <w:t>, за да се гарантира налагането на ефективни санкции при сериозни нарушения на правилата на ЕС в областта на рибарството.</w:t>
            </w:r>
          </w:p>
        </w:tc>
      </w:tr>
    </w:tbl>
    <w:p>
      <w:pPr>
        <w:spacing w:before="200"/>
        <w:jc w:val="both"/>
        <w:rPr>
          <w:noProof/>
          <w:u w:val="none"/>
        </w:rPr>
      </w:pPr>
      <w:r>
        <w:rPr>
          <w:noProof/>
          <w:u w:val="none"/>
        </w:rPr>
        <w:t xml:space="preserve">„Плановете за действие относно контрола“ са специфичен инструмент за съответствие, който се приема от Комисията в тясно сътрудничество със съответната държава членка, за да се насърчи правилното прилагане на правилата, залегнали в </w:t>
      </w:r>
      <w:hyperlink r:id="rId51" w:history="1">
        <w:r>
          <w:rPr>
            <w:rStyle w:val="Hyperlink"/>
            <w:noProof/>
            <w:u w:val="none"/>
          </w:rPr>
          <w:t>Регламента за контрол</w:t>
        </w:r>
      </w:hyperlink>
      <w:r>
        <w:rPr>
          <w:noProof/>
          <w:u w:val="none"/>
        </w:rPr>
        <w:t xml:space="preserve"> в областта на рибарството. През 2018 г. Комисията прие нови планове за действие за редица държави членки и проследи тяхното изпълнение.</w:t>
      </w:r>
    </w:p>
    <w:p>
      <w:pPr>
        <w:jc w:val="both"/>
        <w:rPr>
          <w:noProof/>
          <w:u w:val="none"/>
        </w:rPr>
      </w:pPr>
      <w:r>
        <w:rPr>
          <w:noProof/>
          <w:u w:val="none"/>
        </w:rPr>
        <w:t>Наличието на добре функционираща система от организации на производителите в областта на рибарството е от съществено значение за обединяването на тези производители с оглед на изпълнението на целите на общата политика в областта на рибарството и общата организация на пазарите.</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60" w:line="240" w:lineRule="auto"/>
              <w:jc w:val="both"/>
              <w:rPr>
                <w:rFonts w:eastAsia="Times New Roman"/>
                <w:noProof/>
                <w:color w:val="FFFFFF"/>
                <w:u w:val="none"/>
              </w:rPr>
            </w:pPr>
            <w:r>
              <w:rPr>
                <w:noProof/>
                <w:color w:val="FFFFFF" w:themeColor="background1"/>
                <w:u w:val="none"/>
              </w:rPr>
              <w:t>Комисията образува производство за установяване на неизпълнение на задължения срещу</w:t>
            </w:r>
            <w:r>
              <w:rPr>
                <w:noProof/>
                <w:u w:val="none"/>
              </w:rPr>
              <w:t xml:space="preserve"> </w:t>
            </w:r>
            <w:hyperlink r:id="rId52" w:history="1">
              <w:r>
                <w:rPr>
                  <w:rStyle w:val="Hyperlink"/>
                  <w:noProof/>
                  <w:u w:val="none"/>
                </w:rPr>
                <w:t>Обединеното кралство</w:t>
              </w:r>
            </w:hyperlink>
            <w:r>
              <w:rPr>
                <w:noProof/>
                <w:color w:val="FFFFFF" w:themeColor="background1"/>
                <w:u w:val="none"/>
              </w:rPr>
              <w:t>, тъй като страната не спазва условията за</w:t>
            </w:r>
            <w:r>
              <w:rPr>
                <w:noProof/>
                <w:u w:val="none"/>
              </w:rPr>
              <w:t xml:space="preserve"> </w:t>
            </w:r>
            <w:hyperlink r:id="rId53" w:history="1">
              <w:r>
                <w:rPr>
                  <w:rStyle w:val="Hyperlink"/>
                  <w:noProof/>
                  <w:u w:val="none"/>
                </w:rPr>
                <w:t>признаване на организациите на производители на продукти от риболов</w:t>
              </w:r>
            </w:hyperlink>
            <w:r>
              <w:rPr>
                <w:noProof/>
                <w:u w:val="none"/>
              </w:rPr>
              <w:t>.</w:t>
            </w:r>
          </w:p>
        </w:tc>
      </w:tr>
    </w:tbl>
    <w:p>
      <w:pPr>
        <w:spacing w:before="200"/>
        <w:jc w:val="both"/>
        <w:rPr>
          <w:noProof/>
          <w:u w:val="none"/>
        </w:rPr>
      </w:pPr>
      <w:r>
        <w:rPr>
          <w:noProof/>
          <w:u w:val="none"/>
        </w:rPr>
        <w:t xml:space="preserve">Морското пространствено планиране помага да се гарантира, че цялата човешка дейност в морето се осъществява по ефикасен, безопасен и устойчив начин. През цялата 2018 г. Комисията наблюдаваше правилното прилагане на </w:t>
      </w:r>
      <w:hyperlink r:id="rId54" w:history="1">
        <w:r>
          <w:rPr>
            <w:rStyle w:val="Hyperlink"/>
            <w:noProof/>
            <w:u w:val="none"/>
          </w:rPr>
          <w:t>общата рамка на ЕС за морско пространствено планиране</w:t>
        </w:r>
      </w:hyperlink>
      <w:r>
        <w:rPr>
          <w:noProof/>
          <w:u w:val="none"/>
        </w:rPr>
        <w:t xml:space="preserve"> на трансгранично и междусекторно равнище.</w:t>
      </w:r>
    </w:p>
    <w:p>
      <w:pPr>
        <w:rPr>
          <w:noProof/>
        </w:rPr>
      </w:pPr>
    </w:p>
    <w:p>
      <w:pPr>
        <w:spacing w:after="0" w:line="240" w:lineRule="auto"/>
        <w:rPr>
          <w:rFonts w:ascii="Arial Unicode MS" w:eastAsia="Arial Unicode MS" w:hAnsi="Arial Unicode MS" w:cs="Arial Unicode MS"/>
          <w:i/>
          <w:noProof/>
          <w:color w:val="8DB3E2" w:themeColor="text2" w:themeTint="66"/>
          <w:u w:val="none"/>
        </w:rPr>
      </w:pPr>
      <w:r>
        <w:rPr>
          <w:noProof/>
        </w:rPr>
        <w:br w:type="page"/>
      </w:r>
    </w:p>
    <w:p>
      <w:pPr>
        <w:jc w:val="both"/>
        <w:rPr>
          <w:rFonts w:ascii="Arial Unicode MS" w:eastAsia="Arial Unicode MS" w:hAnsi="Arial Unicode MS" w:cs="Arial Unicode MS"/>
          <w:i/>
          <w:noProof/>
          <w:color w:val="4F81BD"/>
          <w:sz w:val="22"/>
          <w:szCs w:val="22"/>
          <w:u w:val="none"/>
        </w:rPr>
      </w:pPr>
      <w:r>
        <w:rPr>
          <w:rFonts w:ascii="Arial Unicode MS" w:hAnsi="Arial Unicode MS"/>
          <w:i/>
          <w:noProof/>
          <w:color w:val="4F81BD"/>
          <w:sz w:val="22"/>
          <w:szCs w:val="22"/>
          <w:u w:val="none"/>
        </w:rPr>
        <w:t>Прилагане на правилата в областта на регионалната политика</w:t>
      </w:r>
    </w:p>
    <w:p>
      <w:pPr>
        <w:jc w:val="both"/>
        <w:rPr>
          <w:noProof/>
          <w:u w:val="none"/>
        </w:rPr>
      </w:pPr>
      <w:r>
        <w:rPr>
          <w:noProof/>
          <w:u w:val="none"/>
          <w:lang w:val="en-GB" w:eastAsia="en-GB"/>
        </w:rPr>
        <w:drawing>
          <wp:anchor distT="0" distB="0" distL="114300" distR="114300" simplePos="0" relativeHeight="251674624" behindDoc="1" locked="0" layoutInCell="1" allowOverlap="1">
            <wp:simplePos x="0" y="0"/>
            <wp:positionH relativeFrom="column">
              <wp:posOffset>7620</wp:posOffset>
            </wp:positionH>
            <wp:positionV relativeFrom="paragraph">
              <wp:posOffset>48260</wp:posOffset>
            </wp:positionV>
            <wp:extent cx="2606675" cy="2566670"/>
            <wp:effectExtent l="0" t="0" r="3175" b="5080"/>
            <wp:wrapTight wrapText="bothSides">
              <wp:wrapPolygon edited="0">
                <wp:start x="0" y="0"/>
                <wp:lineTo x="0" y="21482"/>
                <wp:lineTo x="21468" y="21482"/>
                <wp:lineTo x="21468"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egional policy.jpg"/>
                    <pic:cNvPicPr/>
                  </pic:nvPicPr>
                  <pic:blipFill>
                    <a:blip r:embed="rId55" cstate="email">
                      <a:extLst>
                        <a:ext uri="{28A0092B-C50C-407E-A947-70E740481C1C}">
                          <a14:useLocalDpi xmlns:a14="http://schemas.microsoft.com/office/drawing/2010/main"/>
                        </a:ext>
                      </a:extLst>
                    </a:blip>
                    <a:stretch>
                      <a:fillRect/>
                    </a:stretch>
                  </pic:blipFill>
                  <pic:spPr>
                    <a:xfrm>
                      <a:off x="0" y="0"/>
                      <a:ext cx="2606675" cy="2566670"/>
                    </a:xfrm>
                    <a:prstGeom prst="rect">
                      <a:avLst/>
                    </a:prstGeom>
                  </pic:spPr>
                </pic:pic>
              </a:graphicData>
            </a:graphic>
            <wp14:sizeRelH relativeFrom="margin">
              <wp14:pctWidth>0</wp14:pctWidth>
            </wp14:sizeRelH>
            <wp14:sizeRelV relativeFrom="margin">
              <wp14:pctHeight>0</wp14:pctHeight>
            </wp14:sizeRelV>
          </wp:anchor>
        </w:drawing>
      </w:r>
      <w:r>
        <w:rPr>
          <w:noProof/>
          <w:u w:val="none"/>
        </w:rPr>
        <w:t xml:space="preserve">С </w:t>
      </w:r>
      <w:hyperlink r:id="rId56" w:history="1">
        <w:r>
          <w:rPr>
            <w:rStyle w:val="Hyperlink"/>
            <w:noProof/>
            <w:u w:val="none"/>
          </w:rPr>
          <w:t>европейските структурни и инвестиционни фондове</w:t>
        </w:r>
      </w:hyperlink>
      <w:r>
        <w:rPr>
          <w:noProof/>
          <w:u w:val="none"/>
        </w:rPr>
        <w:t xml:space="preserve"> се подкрепят инвестиции в целия ЕС в ключови области на политиката, генериращи растеж. </w:t>
      </w:r>
    </w:p>
    <w:p>
      <w:pPr>
        <w:jc w:val="both"/>
        <w:rPr>
          <w:noProof/>
          <w:spacing w:val="-4"/>
          <w:u w:val="none"/>
        </w:rPr>
      </w:pPr>
      <w:r>
        <w:rPr>
          <w:noProof/>
          <w:spacing w:val="-4"/>
          <w:u w:val="none"/>
        </w:rPr>
        <w:t xml:space="preserve">Необходима е подходяща рамка за инвестиции, за да се гарантира тяхната ефективност във възможно най-голяма степен. Усилията на Комисията през 2018 г. бяха насочени по-конкретно към проверка на спазването на определени </w:t>
      </w:r>
      <w:hyperlink r:id="rId57" w:history="1">
        <w:r>
          <w:rPr>
            <w:rStyle w:val="Hyperlink"/>
            <w:noProof/>
            <w:spacing w:val="-4"/>
            <w:u w:val="none"/>
          </w:rPr>
          <w:t>предварителни условия</w:t>
        </w:r>
      </w:hyperlink>
      <w:r>
        <w:rPr>
          <w:rStyle w:val="Hyperlink"/>
          <w:noProof/>
          <w:spacing w:val="-4"/>
        </w:rPr>
        <w:t>,</w:t>
      </w:r>
      <w:r>
        <w:rPr>
          <w:noProof/>
          <w:spacing w:val="-4"/>
          <w:u w:val="none"/>
        </w:rPr>
        <w:t xml:space="preserve"> по-специално в области като обществените поръчки, държавната помощ, всеобхватните планове за инвестиции в транспорта и в секторите на водите и отпадъците.</w:t>
      </w:r>
    </w:p>
    <w:p>
      <w:pPr>
        <w:jc w:val="both"/>
        <w:rPr>
          <w:noProof/>
          <w:u w:val="none"/>
        </w:rPr>
      </w:pPr>
      <w:r>
        <w:rPr>
          <w:noProof/>
          <w:u w:val="none"/>
        </w:rPr>
        <w:t>Когато дадена инвестиция не отговаря на стандартите, определени в законодателството на ЕС, Комисията отстранява тези нередности, като спира плащанията или прилага финансови корекции, ако е необходимо. През 2018 г. Комисията продължи със същата енергия да работи за откриване и предприемане на корективни действия срещу подобни нередности.</w:t>
      </w:r>
    </w:p>
    <w:tbl>
      <w:tblPr>
        <w:tblW w:w="928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60" w:line="240" w:lineRule="auto"/>
              <w:jc w:val="both"/>
              <w:rPr>
                <w:noProof/>
                <w:color w:val="FFFFFF" w:themeColor="background1"/>
                <w:u w:val="none"/>
              </w:rPr>
            </w:pPr>
            <w:r>
              <w:rPr>
                <w:noProof/>
                <w:color w:val="FFFFFF" w:themeColor="background1"/>
                <w:u w:val="none"/>
              </w:rPr>
              <w:t>През 2018 г. в</w:t>
            </w:r>
            <w:r>
              <w:rPr>
                <w:noProof/>
                <w:u w:val="none"/>
              </w:rPr>
              <w:t xml:space="preserve"> </w:t>
            </w:r>
            <w:hyperlink r:id="rId58" w:history="1">
              <w:r>
                <w:rPr>
                  <w:rStyle w:val="Hyperlink"/>
                  <w:noProof/>
                  <w:u w:val="none"/>
                </w:rPr>
                <w:t>проучване на Комисията</w:t>
              </w:r>
            </w:hyperlink>
            <w:r>
              <w:rPr>
                <w:noProof/>
                <w:u w:val="none"/>
              </w:rPr>
              <w:t xml:space="preserve"> </w:t>
            </w:r>
            <w:r>
              <w:rPr>
                <w:noProof/>
                <w:color w:val="FFFFFF" w:themeColor="background1"/>
                <w:u w:val="none"/>
              </w:rPr>
              <w:t>беше направена оценка дали са въведени ефективни специални системи, които държавите членки използват за обработване на жалби във връзка с европейските структурни и инвестиционни фондове.</w:t>
            </w:r>
            <w:r>
              <w:rPr>
                <w:noProof/>
                <w:u w:val="none"/>
              </w:rPr>
              <w:t xml:space="preserve"> </w:t>
            </w:r>
            <w:r>
              <w:rPr>
                <w:noProof/>
                <w:color w:val="FFFFFF" w:themeColor="background1"/>
                <w:u w:val="none"/>
              </w:rPr>
              <w:t xml:space="preserve">Проучването установи, че в повечето случаи държавите членки следват стандартизирани процедури за разглеждане на жалби въз основа на националните закони или програмни документи. Процедурите между държавите — членки на ЕС, като цяло са ефективни. Освен това процедурите за разглеждане на жалби през програмния период 2014—2020 г. са по-развити в сравнение с тези за периода 2007—2013 г. </w:t>
            </w:r>
          </w:p>
        </w:tc>
      </w:tr>
    </w:tbl>
    <w:p>
      <w:pPr>
        <w:jc w:val="both"/>
        <w:rPr>
          <w:rFonts w:ascii="Arial Unicode MS" w:eastAsia="Arial Unicode MS" w:hAnsi="Arial Unicode MS" w:cs="Arial Unicode MS"/>
          <w:i/>
          <w:noProof/>
          <w:color w:val="4F81BD"/>
          <w:sz w:val="22"/>
          <w:szCs w:val="22"/>
          <w:u w:val="none"/>
        </w:rPr>
      </w:pPr>
      <w:r>
        <w:rPr>
          <w:noProof/>
          <w:u w:val="none"/>
          <w:lang w:val="en-GB" w:eastAsia="en-GB"/>
        </w:rPr>
        <w:drawing>
          <wp:anchor distT="0" distB="0" distL="114300" distR="114300" simplePos="0" relativeHeight="251631104" behindDoc="0" locked="0" layoutInCell="1" allowOverlap="1">
            <wp:simplePos x="0" y="0"/>
            <wp:positionH relativeFrom="column">
              <wp:posOffset>1270</wp:posOffset>
            </wp:positionH>
            <wp:positionV relativeFrom="paragraph">
              <wp:posOffset>406400</wp:posOffset>
            </wp:positionV>
            <wp:extent cx="3308350" cy="2392680"/>
            <wp:effectExtent l="0" t="0" r="6350" b="762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raud.jpg"/>
                    <pic:cNvPicPr/>
                  </pic:nvPicPr>
                  <pic:blipFill>
                    <a:blip r:embed="rId59" cstate="email">
                      <a:extLst>
                        <a:ext uri="{28A0092B-C50C-407E-A947-70E740481C1C}">
                          <a14:useLocalDpi xmlns:a14="http://schemas.microsoft.com/office/drawing/2010/main"/>
                        </a:ext>
                      </a:extLst>
                    </a:blip>
                    <a:stretch>
                      <a:fillRect/>
                    </a:stretch>
                  </pic:blipFill>
                  <pic:spPr>
                    <a:xfrm>
                      <a:off x="0" y="0"/>
                      <a:ext cx="3308350" cy="2392680"/>
                    </a:xfrm>
                    <a:prstGeom prst="rect">
                      <a:avLst/>
                    </a:prstGeom>
                  </pic:spPr>
                </pic:pic>
              </a:graphicData>
            </a:graphic>
            <wp14:sizeRelH relativeFrom="margin">
              <wp14:pctWidth>0</wp14:pctWidth>
            </wp14:sizeRelH>
            <wp14:sizeRelV relativeFrom="margin">
              <wp14:pctHeight>0</wp14:pctHeight>
            </wp14:sizeRelV>
          </wp:anchor>
        </w:drawing>
      </w:r>
      <w:r>
        <w:rPr>
          <w:rFonts w:ascii="Arial Unicode MS" w:hAnsi="Arial Unicode MS"/>
          <w:i/>
          <w:noProof/>
          <w:color w:val="4F81BD"/>
          <w:sz w:val="22"/>
          <w:szCs w:val="22"/>
          <w:u w:val="none"/>
        </w:rPr>
        <w:t>Борба с измамите със средства от бюджета на ЕС</w:t>
      </w:r>
    </w:p>
    <w:p>
      <w:pPr>
        <w:jc w:val="both"/>
        <w:rPr>
          <w:noProof/>
          <w:u w:val="none"/>
        </w:rPr>
      </w:pPr>
      <w:r>
        <w:rPr>
          <w:noProof/>
          <w:u w:val="none"/>
        </w:rPr>
        <w:t xml:space="preserve">С приемането на </w:t>
      </w:r>
      <w:hyperlink r:id="rId60" w:history="1">
        <w:r>
          <w:rPr>
            <w:rStyle w:val="Hyperlink"/>
            <w:noProof/>
            <w:u w:val="none"/>
          </w:rPr>
          <w:t>Директивата за защита на финансовите интереси на ЕС</w:t>
        </w:r>
      </w:hyperlink>
      <w:r>
        <w:rPr>
          <w:noProof/>
          <w:u w:val="none"/>
        </w:rPr>
        <w:t xml:space="preserve"> средствата за борба срещу престъпления, засягащи бюджета на ЕС, се подобриха значително. Комисията работи в тясно сътрудничество с държавите членки, за да гарантира правилното транспониране на Директивата.</w:t>
      </w:r>
    </w:p>
    <w:p>
      <w:pPr>
        <w:jc w:val="both"/>
        <w:rPr>
          <w:noProof/>
          <w:u w:val="none"/>
        </w:rPr>
      </w:pPr>
    </w:p>
    <w:p>
      <w:pPr>
        <w:jc w:val="both"/>
        <w:rPr>
          <w:noProof/>
          <w:u w:val="none"/>
        </w:rPr>
      </w:pPr>
    </w:p>
    <w:tbl>
      <w:tblPr>
        <w:tblW w:w="928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60" w:line="240" w:lineRule="auto"/>
              <w:jc w:val="both"/>
              <w:rPr>
                <w:noProof/>
                <w:color w:val="FFFFFF" w:themeColor="background1"/>
                <w:spacing w:val="-4"/>
              </w:rPr>
            </w:pPr>
            <w:r>
              <w:rPr>
                <w:noProof/>
                <w:color w:val="FFFFFF" w:themeColor="background1"/>
                <w:spacing w:val="-4"/>
                <w:u w:val="none"/>
              </w:rPr>
              <w:t>Комисията образува производство за установяване на неизпълнение на задължения срещу</w:t>
            </w:r>
            <w:r>
              <w:rPr>
                <w:noProof/>
                <w:spacing w:val="-4"/>
                <w:u w:val="none"/>
              </w:rPr>
              <w:t xml:space="preserve"> </w:t>
            </w:r>
            <w:hyperlink r:id="rId61" w:history="1">
              <w:r>
                <w:rPr>
                  <w:rStyle w:val="Hyperlink"/>
                  <w:noProof/>
                  <w:spacing w:val="-4"/>
                  <w:u w:val="none"/>
                </w:rPr>
                <w:t>Обединеното кралство</w:t>
              </w:r>
            </w:hyperlink>
            <w:r>
              <w:rPr>
                <w:noProof/>
                <w:spacing w:val="-4"/>
                <w:u w:val="none"/>
              </w:rPr>
              <w:t xml:space="preserve">, </w:t>
            </w:r>
            <w:r>
              <w:rPr>
                <w:noProof/>
                <w:color w:val="FFFFFF" w:themeColor="background1"/>
                <w:spacing w:val="-4"/>
                <w:u w:val="none"/>
              </w:rPr>
              <w:t>тъй като страната отказа да предостави суми по дължими мита на разположение на бюджета на ЕС, както се изисква от правото на ЕС. В доклад на Европейската служба за борба с измамите от 2017 г. беше констатирано, че вносителите в Обединеното кралство са избегнали заплащането на значителна сума мита, като при вноса са използвали фиктивни или фалшиви фактури и декларации, съдържащи неправилно определена митническа стойност. Вследствие на допълнителни проверки на Комисията беше разкрито значително увеличение на мащаба на схемата, включваща занижена оценка на стоки и действаща чрез централа в Обединеното кралство в периода между 2011 г. и 2017 г. Обединеното кралство не предприе действия за предотвратяване на измамата, въпреки че от 2007 г. държавата получи предупреждения за такъв риск във връзка с вноса на текстилни изделия и обувки от Китай и независимо, че от нея беше поискано да предприеме подходящи мерки за контрол на риска. По изчисления на Комисията нарушението на законодателството на ЕС от страна на Обединеното кралство е довело до загуби за бюджета на ЕС в размер на 2,7 млрд. евро (без разходите за събиране) през периода между ноември 2011 г. и октомври 2017 г.</w:t>
            </w:r>
          </w:p>
        </w:tc>
      </w:tr>
    </w:tbl>
    <w:p>
      <w:pPr>
        <w:pStyle w:val="kop3"/>
        <w:rPr>
          <w:noProof/>
          <w:u w:val="none"/>
        </w:rPr>
      </w:pPr>
      <w:bookmarkStart w:id="13" w:name="_Toc444796647"/>
      <w:bookmarkStart w:id="14" w:name="_Toc506199719"/>
      <w:bookmarkStart w:id="15" w:name="_Toc506199740"/>
      <w:bookmarkStart w:id="16" w:name="_Toc506209836"/>
      <w:bookmarkStart w:id="17" w:name="_Toc506218377"/>
      <w:bookmarkStart w:id="18" w:name="_Toc506309249"/>
      <w:bookmarkStart w:id="19" w:name="_Toc13054234"/>
      <w:r>
        <w:rPr>
          <w:noProof/>
          <w:u w:val="none"/>
        </w:rPr>
        <w:t>Свързан цифров единен пазар</w:t>
      </w:r>
      <w:bookmarkEnd w:id="13"/>
      <w:bookmarkEnd w:id="14"/>
      <w:bookmarkEnd w:id="15"/>
      <w:bookmarkEnd w:id="16"/>
      <w:bookmarkEnd w:id="17"/>
      <w:bookmarkEnd w:id="18"/>
      <w:bookmarkEnd w:id="19"/>
    </w:p>
    <w:p>
      <w:pPr>
        <w:rPr>
          <w:noProof/>
        </w:rPr>
      </w:pPr>
    </w:p>
    <w:p>
      <w:pPr>
        <w:jc w:val="both"/>
        <w:rPr>
          <w:noProof/>
          <w:u w:val="none"/>
        </w:rPr>
      </w:pPr>
      <w:r>
        <w:rPr>
          <w:noProof/>
          <w:u w:val="none"/>
        </w:rPr>
        <w:t>Със стратегията за цифров единен пазар се цели да се премахнат пречките онлайн, поради които гражданите на ЕС нямат достъп до стоки и услуги.</w:t>
      </w:r>
    </w:p>
    <w:p>
      <w:pPr>
        <w:jc w:val="both"/>
        <w:rPr>
          <w:rFonts w:ascii="Arial Unicode MS" w:eastAsia="Arial Unicode MS" w:hAnsi="Arial Unicode MS" w:cs="Arial Unicode MS"/>
          <w:i/>
          <w:noProof/>
          <w:color w:val="4F81BD"/>
          <w:sz w:val="22"/>
          <w:szCs w:val="22"/>
          <w:u w:val="none"/>
        </w:rPr>
      </w:pPr>
      <w:r>
        <w:rPr>
          <w:rFonts w:ascii="Arial Unicode MS" w:hAnsi="Arial Unicode MS"/>
          <w:i/>
          <w:noProof/>
          <w:color w:val="4F81BD"/>
          <w:sz w:val="22"/>
          <w:szCs w:val="22"/>
          <w:u w:val="none"/>
        </w:rPr>
        <w:t>Подобряване на свързаността</w:t>
      </w:r>
    </w:p>
    <w:p>
      <w:pPr>
        <w:jc w:val="both"/>
        <w:rPr>
          <w:noProof/>
          <w:u w:val="none"/>
        </w:rPr>
      </w:pPr>
      <w:r>
        <w:rPr>
          <w:noProof/>
          <w:u w:val="none"/>
          <w:lang w:val="en-GB" w:eastAsia="en-GB"/>
        </w:rPr>
        <w:drawing>
          <wp:anchor distT="0" distB="0" distL="114300" distR="114300" simplePos="0" relativeHeight="251662336" behindDoc="0" locked="0" layoutInCell="1" allowOverlap="1">
            <wp:simplePos x="0" y="0"/>
            <wp:positionH relativeFrom="column">
              <wp:posOffset>4445</wp:posOffset>
            </wp:positionH>
            <wp:positionV relativeFrom="paragraph">
              <wp:posOffset>9525</wp:posOffset>
            </wp:positionV>
            <wp:extent cx="2893060" cy="2889234"/>
            <wp:effectExtent l="0" t="0" r="2540" b="698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NECT bis (.jpg"/>
                    <pic:cNvPicPr/>
                  </pic:nvPicPr>
                  <pic:blipFill>
                    <a:blip r:embed="rId62" cstate="email">
                      <a:extLst>
                        <a:ext uri="{28A0092B-C50C-407E-A947-70E740481C1C}">
                          <a14:useLocalDpi xmlns:a14="http://schemas.microsoft.com/office/drawing/2010/main"/>
                        </a:ext>
                      </a:extLst>
                    </a:blip>
                    <a:stretch>
                      <a:fillRect/>
                    </a:stretch>
                  </pic:blipFill>
                  <pic:spPr>
                    <a:xfrm>
                      <a:off x="0" y="0"/>
                      <a:ext cx="2893060" cy="2889234"/>
                    </a:xfrm>
                    <a:prstGeom prst="rect">
                      <a:avLst/>
                    </a:prstGeom>
                  </pic:spPr>
                </pic:pic>
              </a:graphicData>
            </a:graphic>
          </wp:anchor>
        </w:drawing>
      </w:r>
      <w:r>
        <w:rPr>
          <w:noProof/>
          <w:u w:val="none"/>
        </w:rPr>
        <w:t>Високоскоростните цифрови комуникации насърчават иновациите и по-добрите услуги за икономиката и обществото. Разработването на свързаност от пето поколение е приоритет на Комисията. Целта е да се гарантира осигуряването до 2020 г. на радиочестотен спектър за мобилни мрежи от пето поколение в целия ЕС.</w:t>
      </w:r>
    </w:p>
    <w:p>
      <w:pPr>
        <w:jc w:val="both"/>
        <w:rPr>
          <w:noProof/>
        </w:rPr>
      </w:pPr>
    </w:p>
    <w:p>
      <w:pPr>
        <w:jc w:val="both"/>
        <w:rPr>
          <w:noProof/>
        </w:rPr>
      </w:pPr>
    </w:p>
    <w:p>
      <w:pPr>
        <w:jc w:val="both"/>
        <w:rPr>
          <w:noProof/>
        </w:rPr>
      </w:pPr>
    </w:p>
    <w:p>
      <w:pPr>
        <w:jc w:val="both"/>
        <w:rPr>
          <w:noProof/>
        </w:rPr>
      </w:pPr>
    </w:p>
    <w:p>
      <w:pPr>
        <w:spacing w:before="120"/>
        <w:jc w:val="both"/>
        <w:rPr>
          <w:noProof/>
        </w:rPr>
      </w:pPr>
    </w:p>
    <w:p>
      <w:pPr>
        <w:spacing w:before="120" w:after="0"/>
        <w:jc w:val="both"/>
        <w:rPr>
          <w:noProof/>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60" w:line="240" w:lineRule="auto"/>
              <w:jc w:val="both"/>
              <w:rPr>
                <w:rFonts w:eastAsia="Times New Roman"/>
                <w:noProof/>
                <w:color w:val="FFFFFF"/>
                <w:spacing w:val="-6"/>
                <w:u w:val="none"/>
              </w:rPr>
            </w:pPr>
            <w:r>
              <w:rPr>
                <w:noProof/>
                <w:color w:val="FFFFFF" w:themeColor="background1"/>
                <w:spacing w:val="-6"/>
                <w:u w:val="none"/>
              </w:rPr>
              <w:t xml:space="preserve">Комисията образува производства за установяване на неизпълнение на задължения срещу </w:t>
            </w:r>
            <w:hyperlink r:id="rId63" w:history="1">
              <w:r>
                <w:rPr>
                  <w:rStyle w:val="Hyperlink"/>
                  <w:noProof/>
                  <w:spacing w:val="-6"/>
                  <w:u w:val="none"/>
                </w:rPr>
                <w:t>Белгия</w:t>
              </w:r>
            </w:hyperlink>
            <w:r>
              <w:rPr>
                <w:noProof/>
                <w:color w:val="FFFFFF" w:themeColor="background1"/>
                <w:spacing w:val="-6"/>
                <w:u w:val="none"/>
              </w:rPr>
              <w:t xml:space="preserve"> , </w:t>
            </w:r>
            <w:hyperlink r:id="rId64" w:history="1">
              <w:r>
                <w:rPr>
                  <w:rStyle w:val="Hyperlink"/>
                  <w:noProof/>
                  <w:spacing w:val="-6"/>
                  <w:u w:val="none"/>
                </w:rPr>
                <w:t>Хърватия и Нидерландия</w:t>
              </w:r>
            </w:hyperlink>
            <w:r>
              <w:rPr>
                <w:noProof/>
                <w:color w:val="FFFFFF" w:themeColor="background1"/>
                <w:spacing w:val="-6"/>
                <w:u w:val="none"/>
              </w:rPr>
              <w:t xml:space="preserve"> поради неспазването на междинните срокове за освобождаване на спектър за мобилни комуникации. Това би могло да забави разработването на мрежи от пето поколение.</w:t>
            </w:r>
          </w:p>
        </w:tc>
      </w:tr>
    </w:tbl>
    <w:p>
      <w:pPr>
        <w:spacing w:before="200"/>
        <w:jc w:val="both"/>
        <w:rPr>
          <w:noProof/>
        </w:rPr>
      </w:pPr>
      <w:r>
        <w:rPr>
          <w:noProof/>
          <w:u w:val="none"/>
        </w:rPr>
        <w:t xml:space="preserve">Строителните работи, като например разкопаването на пътища за полагане на високоскоростни кабели, съставляват до 80 % от разходите за изграждане на широколентови мрежи. Целта на </w:t>
      </w:r>
      <w:hyperlink r:id="rId65" w:history="1">
        <w:r>
          <w:rPr>
            <w:rStyle w:val="Hyperlink"/>
            <w:noProof/>
            <w:u w:val="none"/>
          </w:rPr>
          <w:t>Директивата относно мерките за намаляване на разходите за разгръщане на високоскоростни електронни съобщителни мрежи</w:t>
        </w:r>
      </w:hyperlink>
      <w:r>
        <w:rPr>
          <w:noProof/>
          <w:u w:val="none"/>
        </w:rPr>
        <w:t xml:space="preserve"> е да се насърчи междусекторното сътрудничество, например между доставчици на енергийни, водоснабдителни и транспортни услуги. Това може да създаде условия за по-ефективно изграждане на нова инфраструктура с оглед на разгръщането на мрежите при по-ниски разходи, а оттам и реализирането на ползи за обществеността.</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8" w:type="dxa"/>
            <w:shd w:val="clear" w:color="auto" w:fill="8DB3E2" w:themeFill="text2" w:themeFillTint="66"/>
          </w:tcPr>
          <w:p>
            <w:pPr>
              <w:spacing w:before="60" w:after="60" w:line="240" w:lineRule="auto"/>
              <w:jc w:val="both"/>
              <w:rPr>
                <w:rFonts w:eastAsia="Times New Roman"/>
                <w:noProof/>
                <w:color w:val="FFFFFF"/>
                <w:u w:val="none"/>
              </w:rPr>
            </w:pPr>
            <w:r>
              <w:rPr>
                <w:noProof/>
                <w:color w:val="FFFFFF" w:themeColor="background1"/>
                <w:u w:val="none"/>
              </w:rPr>
              <w:t>През 2018 г. Комисията предприе действия за осигуряване на възможност за по-лесното разгръщане на високоскоростни мрежи. В резултат на това почти всички държави членки вече са транспонирали</w:t>
            </w:r>
            <w:hyperlink r:id="rId66" w:history="1">
              <w:r>
                <w:rPr>
                  <w:rStyle w:val="Hyperlink"/>
                  <w:noProof/>
                  <w:color w:val="FFFFFF" w:themeColor="background1"/>
                  <w:u w:val="none"/>
                </w:rPr>
                <w:t xml:space="preserve"> </w:t>
              </w:r>
              <w:r>
                <w:rPr>
                  <w:rStyle w:val="Hyperlink"/>
                  <w:noProof/>
                  <w:u w:val="none"/>
                </w:rPr>
                <w:t>Директивата относно мерките за намаляване на разходите за разгръщане на високоскоростни електронни съобщителни мрежи</w:t>
              </w:r>
            </w:hyperlink>
            <w:r>
              <w:rPr>
                <w:rStyle w:val="Hyperlink"/>
                <w:noProof/>
                <w:color w:val="FFFFFF" w:themeColor="background1"/>
                <w:u w:val="none"/>
              </w:rPr>
              <w:t xml:space="preserve"> в националното си законодателство</w:t>
            </w:r>
            <w:r>
              <w:rPr>
                <w:noProof/>
              </w:rPr>
              <w:t>.</w:t>
            </w:r>
          </w:p>
        </w:tc>
      </w:tr>
    </w:tbl>
    <w:p>
      <w:pPr>
        <w:spacing w:after="0"/>
        <w:jc w:val="both"/>
        <w:rPr>
          <w:noProof/>
          <w:u w:val="none"/>
        </w:rPr>
      </w:pPr>
    </w:p>
    <w:p>
      <w:pPr>
        <w:spacing w:after="0" w:line="240" w:lineRule="auto"/>
        <w:rPr>
          <w:noProof/>
          <w:u w:val="none"/>
        </w:rPr>
      </w:pPr>
      <w:r>
        <w:rPr>
          <w:noProof/>
        </w:rPr>
        <w:br w:type="page"/>
      </w:r>
    </w:p>
    <w:p>
      <w:pPr>
        <w:jc w:val="both"/>
        <w:rPr>
          <w:rFonts w:ascii="Arial Unicode MS" w:eastAsia="Arial Unicode MS" w:hAnsi="Arial Unicode MS" w:cs="Arial Unicode MS"/>
          <w:i/>
          <w:noProof/>
          <w:color w:val="4F81BD"/>
          <w:sz w:val="22"/>
          <w:szCs w:val="22"/>
          <w:u w:val="none"/>
        </w:rPr>
      </w:pPr>
      <w:r>
        <w:rPr>
          <w:rFonts w:ascii="Arial Unicode MS" w:hAnsi="Arial Unicode MS"/>
          <w:i/>
          <w:noProof/>
          <w:color w:val="4F81BD"/>
          <w:sz w:val="22"/>
          <w:szCs w:val="22"/>
          <w:u w:val="none"/>
        </w:rPr>
        <w:t>Гарантиране на киберсигурността и доверието в онлайн трансакциите</w:t>
      </w:r>
    </w:p>
    <w:p>
      <w:pPr>
        <w:jc w:val="both"/>
        <w:rPr>
          <w:noProof/>
          <w:u w:val="none"/>
        </w:rPr>
      </w:pPr>
      <w:r>
        <w:rPr>
          <w:noProof/>
          <w:u w:val="none"/>
          <w:lang w:val="en-GB" w:eastAsia="en-GB"/>
        </w:rPr>
        <w:drawing>
          <wp:anchor distT="0" distB="0" distL="114300" distR="114300" simplePos="0" relativeHeight="251669504" behindDoc="0" locked="0" layoutInCell="1" allowOverlap="1">
            <wp:simplePos x="0" y="0"/>
            <wp:positionH relativeFrom="column">
              <wp:posOffset>1905</wp:posOffset>
            </wp:positionH>
            <wp:positionV relativeFrom="paragraph">
              <wp:posOffset>7620</wp:posOffset>
            </wp:positionV>
            <wp:extent cx="2951480" cy="1793875"/>
            <wp:effectExtent l="0" t="0" r="127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NECT bis 10_smaller size.jpg"/>
                    <pic:cNvPicPr/>
                  </pic:nvPicPr>
                  <pic:blipFill>
                    <a:blip r:embed="rId67" cstate="email">
                      <a:extLst>
                        <a:ext uri="{28A0092B-C50C-407E-A947-70E740481C1C}">
                          <a14:useLocalDpi xmlns:a14="http://schemas.microsoft.com/office/drawing/2010/main"/>
                        </a:ext>
                      </a:extLst>
                    </a:blip>
                    <a:stretch>
                      <a:fillRect/>
                    </a:stretch>
                  </pic:blipFill>
                  <pic:spPr>
                    <a:xfrm>
                      <a:off x="0" y="0"/>
                      <a:ext cx="2951480" cy="1793875"/>
                    </a:xfrm>
                    <a:prstGeom prst="rect">
                      <a:avLst/>
                    </a:prstGeom>
                  </pic:spPr>
                </pic:pic>
              </a:graphicData>
            </a:graphic>
            <wp14:sizeRelH relativeFrom="margin">
              <wp14:pctWidth>0</wp14:pctWidth>
            </wp14:sizeRelH>
            <wp14:sizeRelV relativeFrom="margin">
              <wp14:pctHeight>0</wp14:pctHeight>
            </wp14:sizeRelV>
          </wp:anchor>
        </w:drawing>
      </w:r>
      <w:r>
        <w:rPr>
          <w:noProof/>
          <w:u w:val="none"/>
        </w:rPr>
        <w:t>Изграждането на доверие в онлайн средата е ключов фактор за икономическото и социалното развитие. С влизането в сила на Регламента относно електронната идентификация и удостоверителните услуги при електронни трансакции на вътрешния пазар (</w:t>
      </w:r>
      <w:hyperlink r:id="rId68" w:history="1">
        <w:r>
          <w:rPr>
            <w:rStyle w:val="Hyperlink"/>
            <w:noProof/>
            <w:u w:val="none"/>
          </w:rPr>
          <w:t>Регламент относно електронната идентификация и удостоверителните услуги</w:t>
        </w:r>
      </w:hyperlink>
      <w:r>
        <w:rPr>
          <w:rStyle w:val="Hyperlink"/>
          <w:noProof/>
        </w:rPr>
        <w:t>)</w:t>
      </w:r>
      <w:r>
        <w:rPr>
          <w:noProof/>
          <w:u w:val="none"/>
        </w:rPr>
        <w:t xml:space="preserve"> беше създадена обща платформа за сигурно взаимодействие по електронен път между гражданите, предприятията и публичните органи. С този регламент се установява обща правна рамка за използването на удостоверителни услуги в ЕС. Те включват електронни подписи, електронни печати, електронни времеви печати, услуги за електронна препоръчана поща и удостоверяване на автентичността на уебсайтове.</w:t>
      </w:r>
    </w:p>
    <w:p>
      <w:pPr>
        <w:spacing w:before="200"/>
        <w:jc w:val="both"/>
        <w:rPr>
          <w:noProof/>
          <w:u w:val="none"/>
        </w:rPr>
      </w:pPr>
      <w:r>
        <w:rPr>
          <w:noProof/>
          <w:u w:val="none"/>
        </w:rPr>
        <w:t xml:space="preserve">Киберсигурността е важен приоритет за Комисията. Целта на </w:t>
      </w:r>
      <w:hyperlink r:id="rId69" w:history="1">
        <w:r>
          <w:rPr>
            <w:rStyle w:val="Hyperlink"/>
            <w:noProof/>
            <w:u w:val="none"/>
          </w:rPr>
          <w:t>Директивата относно сигурността на мрежите и информационните системи</w:t>
        </w:r>
      </w:hyperlink>
      <w:r>
        <w:rPr>
          <w:noProof/>
          <w:u w:val="none"/>
        </w:rPr>
        <w:t xml:space="preserve"> е да се постигне високо общо ниво на сигурност на мрежите и информационните системи в ЕС.</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60" w:line="240" w:lineRule="auto"/>
              <w:jc w:val="both"/>
              <w:rPr>
                <w:rFonts w:eastAsia="Times New Roman"/>
                <w:noProof/>
                <w:color w:val="FFFFFF"/>
                <w:u w:val="none"/>
              </w:rPr>
            </w:pPr>
            <w:r>
              <w:rPr>
                <w:noProof/>
                <w:color w:val="FFFFFF" w:themeColor="background1"/>
                <w:u w:val="none"/>
              </w:rPr>
              <w:t xml:space="preserve">През 2018 г. Комисията образува производства за установяване на неизпълнение на задължения срещу </w:t>
            </w:r>
            <w:hyperlink r:id="rId70" w:history="1">
              <w:r>
                <w:rPr>
                  <w:rStyle w:val="Hyperlink"/>
                  <w:noProof/>
                </w:rPr>
                <w:t>17 държави членки</w:t>
              </w:r>
            </w:hyperlink>
            <w:r>
              <w:rPr>
                <w:rStyle w:val="Hyperlink"/>
                <w:noProof/>
                <w:color w:val="FFFFFF" w:themeColor="background1"/>
              </w:rPr>
              <w:t>,</w:t>
            </w:r>
            <w:r>
              <w:rPr>
                <w:noProof/>
                <w:u w:val="none"/>
              </w:rPr>
              <w:t xml:space="preserve"> </w:t>
            </w:r>
            <w:r>
              <w:rPr>
                <w:noProof/>
                <w:color w:val="FFFFFF" w:themeColor="background1"/>
                <w:u w:val="none"/>
              </w:rPr>
              <w:t>като поиска от тях пълното прилагане в националното право на този първи законодателен акт на равнище ЕС в областта на киберсигурността.</w:t>
            </w:r>
          </w:p>
        </w:tc>
      </w:tr>
    </w:tbl>
    <w:p>
      <w:pPr>
        <w:spacing w:before="120" w:after="120"/>
        <w:jc w:val="both"/>
        <w:rPr>
          <w:rFonts w:ascii="Arial Unicode MS" w:eastAsia="Arial Unicode MS" w:hAnsi="Arial Unicode MS" w:cs="Arial Unicode MS"/>
          <w:i/>
          <w:noProof/>
          <w:color w:val="4F81BD"/>
          <w:sz w:val="22"/>
          <w:szCs w:val="22"/>
          <w:u w:val="none"/>
        </w:rPr>
      </w:pPr>
      <w:r>
        <w:rPr>
          <w:rFonts w:ascii="Arial Unicode MS" w:hAnsi="Arial Unicode MS"/>
          <w:i/>
          <w:noProof/>
          <w:color w:val="4F81BD"/>
          <w:sz w:val="22"/>
          <w:szCs w:val="22"/>
          <w:u w:val="none"/>
        </w:rPr>
        <w:t>По-добра достъпност за гражданите с увреждания</w:t>
      </w:r>
    </w:p>
    <w:p>
      <w:pPr>
        <w:jc w:val="both"/>
        <w:rPr>
          <w:noProof/>
        </w:rPr>
      </w:pPr>
      <w:r>
        <w:rPr>
          <w:noProof/>
          <w:u w:val="none"/>
        </w:rPr>
        <w:t>Хората с увреждания, и по-специално онези с увредено зрение или слух, може да срещат затруднения при достъпа до уебсайтове и мобилни приложения на организациите от обществения сектор.</w:t>
      </w:r>
    </w:p>
    <w:p>
      <w:pPr>
        <w:jc w:val="both"/>
        <w:rPr>
          <w:noProof/>
          <w:u w:val="none"/>
        </w:rPr>
      </w:pPr>
      <w:r>
        <w:rPr>
          <w:noProof/>
          <w:u w:val="none"/>
          <w:lang w:val="en-GB" w:eastAsia="en-GB"/>
        </w:rPr>
        <w:drawing>
          <wp:anchor distT="0" distB="0" distL="114300" distR="114300" simplePos="0" relativeHeight="251654144" behindDoc="0" locked="0" layoutInCell="1" allowOverlap="1">
            <wp:simplePos x="0" y="0"/>
            <wp:positionH relativeFrom="column">
              <wp:posOffset>-7620</wp:posOffset>
            </wp:positionH>
            <wp:positionV relativeFrom="paragraph">
              <wp:posOffset>1905</wp:posOffset>
            </wp:positionV>
            <wp:extent cx="3035300" cy="1854835"/>
            <wp:effectExtent l="0" t="0" r="0" b="0"/>
            <wp:wrapThrough wrapText="bothSides">
              <wp:wrapPolygon edited="0">
                <wp:start x="0" y="0"/>
                <wp:lineTo x="0" y="21297"/>
                <wp:lineTo x="21419" y="21297"/>
                <wp:lineTo x="2141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accessibility.jpg"/>
                    <pic:cNvPicPr/>
                  </pic:nvPicPr>
                  <pic:blipFill>
                    <a:blip r:embed="rId71" cstate="email">
                      <a:extLst>
                        <a:ext uri="{28A0092B-C50C-407E-A947-70E740481C1C}">
                          <a14:useLocalDpi xmlns:a14="http://schemas.microsoft.com/office/drawing/2010/main"/>
                        </a:ext>
                      </a:extLst>
                    </a:blip>
                    <a:stretch>
                      <a:fillRect/>
                    </a:stretch>
                  </pic:blipFill>
                  <pic:spPr>
                    <a:xfrm>
                      <a:off x="0" y="0"/>
                      <a:ext cx="3035300" cy="1854835"/>
                    </a:xfrm>
                    <a:prstGeom prst="rect">
                      <a:avLst/>
                    </a:prstGeom>
                  </pic:spPr>
                </pic:pic>
              </a:graphicData>
            </a:graphic>
            <wp14:sizeRelH relativeFrom="margin">
              <wp14:pctWidth>0</wp14:pctWidth>
            </wp14:sizeRelH>
            <wp14:sizeRelV relativeFrom="margin">
              <wp14:pctHeight>0</wp14:pctHeight>
            </wp14:sizeRelV>
          </wp:anchor>
        </w:drawing>
      </w:r>
      <w:r>
        <w:rPr>
          <w:noProof/>
          <w:u w:val="none"/>
        </w:rPr>
        <w:t xml:space="preserve">Целта на </w:t>
      </w:r>
      <w:hyperlink r:id="rId72" w:history="1">
        <w:r>
          <w:rPr>
            <w:rStyle w:val="Hyperlink"/>
            <w:noProof/>
            <w:u w:val="none"/>
          </w:rPr>
          <w:t>Директивата относно достъпността на уебсайтовете</w:t>
        </w:r>
      </w:hyperlink>
      <w:r>
        <w:rPr>
          <w:noProof/>
          <w:u w:val="none"/>
        </w:rPr>
        <w:t xml:space="preserve"> е да се подобри достъпът на хора с увреждания до тези информационни инструменти.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60" w:line="240" w:lineRule="auto"/>
              <w:jc w:val="both"/>
              <w:rPr>
                <w:rFonts w:eastAsia="Times New Roman"/>
                <w:noProof/>
                <w:color w:val="FFFFFF"/>
                <w:u w:val="none"/>
              </w:rPr>
            </w:pPr>
            <w:r>
              <w:rPr>
                <w:noProof/>
                <w:color w:val="FFFFFF" w:themeColor="background1"/>
                <w:u w:val="none"/>
              </w:rPr>
              <w:t>Комисията образува производства за установяване на неизпълнение на задължения срещу 19 държави членки, като поиска от тях пълното транспониране в националното право на</w:t>
            </w:r>
            <w:r>
              <w:rPr>
                <w:noProof/>
                <w:u w:val="none"/>
              </w:rPr>
              <w:t xml:space="preserve"> </w:t>
            </w:r>
            <w:hyperlink r:id="rId73" w:history="1">
              <w:r>
                <w:rPr>
                  <w:rStyle w:val="Hyperlink"/>
                  <w:noProof/>
                  <w:u w:val="none"/>
                </w:rPr>
                <w:t>Директивата относно достъпността на уебсайтовете</w:t>
              </w:r>
            </w:hyperlink>
            <w:r>
              <w:rPr>
                <w:noProof/>
                <w:u w:val="none"/>
              </w:rPr>
              <w:t>.</w:t>
            </w:r>
          </w:p>
        </w:tc>
      </w:tr>
    </w:tbl>
    <w:p>
      <w:pPr>
        <w:spacing w:after="0"/>
        <w:rPr>
          <w:noProof/>
          <w:u w:val="none"/>
        </w:rPr>
      </w:pPr>
    </w:p>
    <w:p>
      <w:pPr>
        <w:jc w:val="both"/>
        <w:rPr>
          <w:noProof/>
          <w:u w:val="none"/>
        </w:rPr>
      </w:pPr>
      <w:r>
        <w:rPr>
          <w:noProof/>
          <w:u w:val="none"/>
        </w:rPr>
        <w:t xml:space="preserve">За да се насърчи допълнително достъпността, Комисията предложи </w:t>
      </w:r>
      <w:hyperlink r:id="rId74" w:history="1">
        <w:r>
          <w:rPr>
            <w:rStyle w:val="Hyperlink"/>
            <w:noProof/>
            <w:u w:val="none"/>
          </w:rPr>
          <w:t>Директивата относно определени позволени видове използване на определени произведения и други обекти, закриляни от авторското право и сродните му права, в полза на слепи хора, лица с нарушено зрение или с други увреждания, които не позволяват четенето на печатни материали</w:t>
        </w:r>
      </w:hyperlink>
      <w:r>
        <w:rPr>
          <w:rStyle w:val="Hyperlink"/>
          <w:noProof/>
        </w:rPr>
        <w:t>,</w:t>
      </w:r>
      <w:r>
        <w:rPr>
          <w:noProof/>
          <w:u w:val="none"/>
        </w:rPr>
        <w:t xml:space="preserve"> която установява задължително изключение от авторското право и сродните му права. С нея се цели да се даде възможност на хора, които имат затруднения да четат печатни материали, да получат достъп до книги и други печатни материали в достъпни за тях формати.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60" w:line="240" w:lineRule="auto"/>
              <w:jc w:val="both"/>
              <w:rPr>
                <w:rFonts w:eastAsia="Times New Roman"/>
                <w:noProof/>
                <w:color w:val="FFFFFF"/>
                <w:u w:val="none"/>
              </w:rPr>
            </w:pPr>
            <w:r>
              <w:rPr>
                <w:noProof/>
                <w:color w:val="FFFFFF" w:themeColor="background1"/>
                <w:u w:val="none"/>
              </w:rPr>
              <w:t xml:space="preserve">През 2018 г. Комисията изпрати официални уведомителни писма до 17 държави членки, които не бяха приложили </w:t>
            </w:r>
            <w:hyperlink r:id="rId75" w:history="1">
              <w:r>
                <w:rPr>
                  <w:rStyle w:val="Hyperlink"/>
                  <w:noProof/>
                  <w:u w:val="none"/>
                </w:rPr>
                <w:t>директивата</w:t>
              </w:r>
            </w:hyperlink>
            <w:r>
              <w:rPr>
                <w:noProof/>
                <w:color w:val="FFFFFF" w:themeColor="background1"/>
                <w:u w:val="none"/>
              </w:rPr>
              <w:t xml:space="preserve"> своевременно в националното си право.</w:t>
            </w:r>
          </w:p>
        </w:tc>
      </w:tr>
    </w:tbl>
    <w:p>
      <w:pPr>
        <w:spacing w:before="120"/>
        <w:jc w:val="both"/>
        <w:rPr>
          <w:noProof/>
          <w:u w:val="none"/>
        </w:rPr>
      </w:pPr>
      <w:r>
        <w:rPr>
          <w:noProof/>
          <w:u w:val="none"/>
        </w:rPr>
        <w:t>Правилата, установени в двете посочени директиви, отразяват текущата работа на Комисията по изграждането на социален и приобщаващ Европейски съюз, в който всички европейци могат да играят пълноценна роля в цифровата икономика и общество.</w:t>
      </w:r>
    </w:p>
    <w:p>
      <w:pPr>
        <w:spacing w:after="0" w:line="240" w:lineRule="auto"/>
        <w:rPr>
          <w:rFonts w:eastAsia="Times New Roman"/>
          <w:bCs/>
          <w:noProof/>
          <w:color w:val="4F81BD"/>
          <w:sz w:val="24"/>
          <w:u w:val="none"/>
        </w:rPr>
      </w:pPr>
      <w:bookmarkStart w:id="20" w:name="_Toc444796648"/>
      <w:bookmarkStart w:id="21" w:name="_Toc506199720"/>
      <w:bookmarkStart w:id="22" w:name="_Toc506199741"/>
      <w:bookmarkStart w:id="23" w:name="_Toc506209837"/>
      <w:bookmarkStart w:id="24" w:name="_Toc506218378"/>
      <w:bookmarkStart w:id="25" w:name="_Toc506309250"/>
      <w:r>
        <w:rPr>
          <w:noProof/>
        </w:rPr>
        <w:br w:type="page"/>
      </w:r>
    </w:p>
    <w:p>
      <w:pPr>
        <w:pStyle w:val="kop3"/>
        <w:spacing w:after="240"/>
        <w:ind w:left="357" w:hanging="357"/>
        <w:jc w:val="both"/>
        <w:rPr>
          <w:noProof/>
          <w:u w:val="none"/>
        </w:rPr>
      </w:pPr>
      <w:bookmarkStart w:id="26" w:name="_Toc13054235"/>
      <w:r>
        <w:rPr>
          <w:noProof/>
          <w:u w:val="none"/>
        </w:rPr>
        <w:t>Устойчив енергиен съюз с ориентирана към бъдещето политика по въпросите на изменението на климата</w:t>
      </w:r>
      <w:bookmarkEnd w:id="20"/>
      <w:bookmarkEnd w:id="21"/>
      <w:bookmarkEnd w:id="22"/>
      <w:bookmarkEnd w:id="23"/>
      <w:bookmarkEnd w:id="24"/>
      <w:bookmarkEnd w:id="25"/>
      <w:bookmarkEnd w:id="26"/>
    </w:p>
    <w:p>
      <w:pPr>
        <w:spacing w:after="120"/>
        <w:jc w:val="both"/>
        <w:rPr>
          <w:rFonts w:ascii="Times New Roman" w:eastAsia="Times New Roman" w:hAnsi="Times New Roman"/>
          <w:noProof/>
          <w:u w:val="none"/>
        </w:rPr>
      </w:pPr>
      <w:r>
        <w:rPr>
          <w:noProof/>
          <w:u w:val="none"/>
        </w:rPr>
        <w:t xml:space="preserve">Европейският </w:t>
      </w:r>
      <w:hyperlink r:id="rId76" w:tgtFrame="_self" w:history="1">
        <w:r>
          <w:rPr>
            <w:rStyle w:val="Hyperlink"/>
            <w:noProof/>
            <w:u w:val="none"/>
          </w:rPr>
          <w:t>енергиен съюз</w:t>
        </w:r>
      </w:hyperlink>
      <w:r>
        <w:rPr>
          <w:noProof/>
          <w:u w:val="none"/>
        </w:rPr>
        <w:t xml:space="preserve"> осигурява сигурна, финансово достъпна и чиста енергия за домакинствата и предприятията, като осигурява възможност за свободно движение на енергия отвъд националните граници в ЕС. Той стимулира също така развитието на нови технологии и обновяването на инфраструктурата с цел да се намалят сметките на домакинствата, да се създадат работни места и да се насърчи растежът. Енергийният съюз ще доведе до устойчиво потребление на енергия чрез понижаване на емисиите на парникови газове, замърсяването и зависимостта ни от изкопаеми горива.</w:t>
      </w:r>
    </w:p>
    <w:p>
      <w:pPr>
        <w:spacing w:before="240" w:line="260" w:lineRule="exact"/>
        <w:jc w:val="both"/>
        <w:rPr>
          <w:rFonts w:ascii="Arial Unicode MS" w:eastAsia="Arial Unicode MS" w:hAnsi="Arial Unicode MS" w:cs="Arial Unicode MS"/>
          <w:i/>
          <w:noProof/>
          <w:color w:val="4F81BD"/>
          <w:sz w:val="22"/>
          <w:szCs w:val="22"/>
          <w:u w:val="none"/>
        </w:rPr>
      </w:pPr>
      <w:r>
        <w:rPr>
          <w:rFonts w:ascii="Arial Unicode MS" w:hAnsi="Arial Unicode MS"/>
          <w:i/>
          <w:noProof/>
          <w:color w:val="4F81BD"/>
          <w:sz w:val="22"/>
          <w:szCs w:val="22"/>
          <w:u w:val="none"/>
        </w:rPr>
        <w:t>Водеща роля в енергийния преход към безопасен, сигурен и устойчив енергиен сектор, в който централно място е отредено на потребителя</w:t>
      </w:r>
    </w:p>
    <w:p>
      <w:pPr>
        <w:spacing w:line="240" w:lineRule="auto"/>
        <w:jc w:val="both"/>
        <w:rPr>
          <w:noProof/>
          <w:u w:val="none"/>
        </w:rPr>
      </w:pPr>
      <w:r>
        <w:rPr>
          <w:noProof/>
          <w:u w:val="none"/>
          <w:lang w:val="en-GB" w:eastAsia="en-GB"/>
        </w:rPr>
        <w:drawing>
          <wp:anchor distT="0" distB="0" distL="114300" distR="114300" simplePos="0" relativeHeight="251675648" behindDoc="0" locked="0" layoutInCell="1" allowOverlap="1">
            <wp:simplePos x="0" y="0"/>
            <wp:positionH relativeFrom="margin">
              <wp:posOffset>-5080</wp:posOffset>
            </wp:positionH>
            <wp:positionV relativeFrom="margin">
              <wp:posOffset>2338070</wp:posOffset>
            </wp:positionV>
            <wp:extent cx="3571875" cy="200977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cstate="email">
                      <a:extLst>
                        <a:ext uri="{28A0092B-C50C-407E-A947-70E740481C1C}">
                          <a14:useLocalDpi xmlns:a14="http://schemas.microsoft.com/office/drawing/2010/main"/>
                        </a:ext>
                      </a:extLst>
                    </a:blip>
                    <a:srcRect/>
                    <a:stretch>
                      <a:fillRect/>
                    </a:stretch>
                  </pic:blipFill>
                  <pic:spPr bwMode="auto">
                    <a:xfrm>
                      <a:off x="0" y="0"/>
                      <a:ext cx="3571875"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u w:val="none"/>
        </w:rPr>
        <w:t xml:space="preserve">През 2016 г. Европейската комисия предложи пакета </w:t>
      </w:r>
      <w:hyperlink r:id="rId78" w:history="1">
        <w:r>
          <w:rPr>
            <w:rStyle w:val="Hyperlink"/>
            <w:noProof/>
            <w:u w:val="none"/>
          </w:rPr>
          <w:t>„Чиста енергия за всички европейци“</w:t>
        </w:r>
      </w:hyperlink>
      <w:r>
        <w:rPr>
          <w:noProof/>
          <w:u w:val="none"/>
        </w:rPr>
        <w:t>. С него бяха завишени амбициите на ЕС за осъществяването на преход към чиста енергия и запазването на конкурентоспособността на ЕС в процеса на промени на световните енергийни пазари.</w:t>
      </w:r>
    </w:p>
    <w:p>
      <w:pPr>
        <w:spacing w:after="240" w:line="240" w:lineRule="auto"/>
        <w:jc w:val="both"/>
        <w:rPr>
          <w:noProof/>
          <w:spacing w:val="-4"/>
          <w:u w:val="none"/>
        </w:rPr>
      </w:pPr>
      <w:r>
        <w:rPr>
          <w:noProof/>
          <w:spacing w:val="-4"/>
          <w:u w:val="none"/>
        </w:rPr>
        <w:t>През 2018 г. Европейският парламент и Съветът постигнаха политическо съгласие по всички предложения на Комисията в рамките на този пакет.</w:t>
      </w:r>
    </w:p>
    <w:p>
      <w:pPr>
        <w:jc w:val="both"/>
        <w:rPr>
          <w:noProof/>
          <w:u w:val="none"/>
        </w:rPr>
      </w:pPr>
      <w:r>
        <w:rPr>
          <w:noProof/>
          <w:u w:val="none"/>
        </w:rPr>
        <w:t xml:space="preserve">Пакетът „Чиста енергия за всички европейци“ включва преразглеждане на ключово законодателство на ЕС в области като </w:t>
      </w:r>
      <w:hyperlink r:id="rId79" w:history="1">
        <w:r>
          <w:rPr>
            <w:rStyle w:val="Hyperlink"/>
            <w:noProof/>
            <w:u w:val="none"/>
          </w:rPr>
          <w:t>енергийните характеристики на сградите</w:t>
        </w:r>
      </w:hyperlink>
      <w:r>
        <w:rPr>
          <w:noProof/>
          <w:u w:val="none"/>
        </w:rPr>
        <w:t xml:space="preserve">, </w:t>
      </w:r>
      <w:hyperlink r:id="rId80" w:history="1">
        <w:r>
          <w:rPr>
            <w:rStyle w:val="Hyperlink"/>
            <w:noProof/>
            <w:u w:val="none"/>
          </w:rPr>
          <w:t>енергийната ефективност</w:t>
        </w:r>
      </w:hyperlink>
      <w:r>
        <w:rPr>
          <w:noProof/>
          <w:u w:val="none"/>
        </w:rPr>
        <w:t xml:space="preserve">, </w:t>
      </w:r>
      <w:hyperlink r:id="rId81" w:history="1">
        <w:r>
          <w:rPr>
            <w:rStyle w:val="Hyperlink"/>
            <w:noProof/>
            <w:u w:val="none"/>
          </w:rPr>
          <w:t>енергията от възобновяеми източници</w:t>
        </w:r>
      </w:hyperlink>
      <w:r>
        <w:rPr>
          <w:noProof/>
          <w:u w:val="none"/>
        </w:rPr>
        <w:t xml:space="preserve"> и </w:t>
      </w:r>
      <w:hyperlink r:id="rId82" w:history="1">
        <w:r>
          <w:rPr>
            <w:rStyle w:val="Hyperlink"/>
            <w:noProof/>
            <w:u w:val="none"/>
          </w:rPr>
          <w:t>управлението на Енергийния съюз и на действията в областта на климата</w:t>
        </w:r>
      </w:hyperlink>
      <w:r>
        <w:rPr>
          <w:rStyle w:val="Hyperlink"/>
          <w:noProof/>
          <w:u w:val="none"/>
        </w:rPr>
        <w:t>, като всички те вече са в сила.</w:t>
      </w:r>
      <w:r>
        <w:rPr>
          <w:rStyle w:val="Hyperlink"/>
          <w:noProof/>
          <w:color w:val="auto"/>
          <w:u w:val="none"/>
        </w:rPr>
        <w:t xml:space="preserve"> Що се отнася до енергийните характеристики на сградите, </w:t>
      </w:r>
      <w:r>
        <w:rPr>
          <w:noProof/>
          <w:u w:val="none"/>
        </w:rPr>
        <w:t>целта е да се ускори икономически ефективното саниране на съществуващи сгради, да се мобилизират инвестиции и да се осигури подпомагане за интелигентни сградни инсталации. С пакета се цели също така да се повиши делът на енергията от възобновяеми източници до най-малко 32 % до 2030 г. Тези цели ще бъдат преразгледани през 2023 г. Държавите членки трябва да разработят интегрирани национални планове в областта на енергетиката и климата за периода 2021—2030 г., в които да определят как възнамеряват да постигнат целите за 2030 г.</w:t>
      </w:r>
    </w:p>
    <w:p>
      <w:pPr>
        <w:spacing w:after="120"/>
        <w:jc w:val="both"/>
        <w:rPr>
          <w:noProof/>
          <w:u w:val="none"/>
        </w:rPr>
      </w:pPr>
      <w:r>
        <w:rPr>
          <w:noProof/>
          <w:u w:val="none"/>
        </w:rPr>
        <w:t>Наред с други средства за проследяване на напредъка на държавите членки по изпълнение на техните цели за енергийна ефективност и гарантиране на съответствието на сградния фонд с принципите за устойчивост, Комисията използва производства за установяване на неизпълнение на задължения.</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60"/>
              <w:jc w:val="both"/>
              <w:rPr>
                <w:noProof/>
                <w:u w:val="none"/>
              </w:rPr>
            </w:pPr>
            <w:r>
              <w:rPr>
                <w:noProof/>
                <w:color w:val="FFFFFF" w:themeColor="background1"/>
                <w:u w:val="none"/>
              </w:rPr>
              <w:t xml:space="preserve">Комисията продължи производствата за установяване на неизпълнение на задължения срещу </w:t>
            </w:r>
            <w:hyperlink r:id="rId83" w:history="1">
              <w:r>
                <w:rPr>
                  <w:rStyle w:val="Hyperlink"/>
                  <w:noProof/>
                  <w:u w:val="none"/>
                </w:rPr>
                <w:t>Нидерландия</w:t>
              </w:r>
            </w:hyperlink>
            <w:r>
              <w:rPr>
                <w:noProof/>
                <w:u w:val="none"/>
              </w:rPr>
              <w:t xml:space="preserve"> </w:t>
            </w:r>
            <w:r>
              <w:rPr>
                <w:noProof/>
                <w:color w:val="FFFFFF" w:themeColor="background1"/>
                <w:u w:val="none"/>
              </w:rPr>
              <w:t xml:space="preserve">и </w:t>
            </w:r>
            <w:hyperlink r:id="rId84" w:history="1">
              <w:r>
                <w:rPr>
                  <w:rStyle w:val="Hyperlink"/>
                  <w:noProof/>
                  <w:u w:val="none"/>
                </w:rPr>
                <w:t>Словения</w:t>
              </w:r>
            </w:hyperlink>
            <w:r>
              <w:rPr>
                <w:noProof/>
                <w:u w:val="none"/>
              </w:rPr>
              <w:t xml:space="preserve"> </w:t>
            </w:r>
            <w:r>
              <w:rPr>
                <w:noProof/>
                <w:color w:val="FFFFFF" w:themeColor="background1"/>
                <w:u w:val="none"/>
              </w:rPr>
              <w:t xml:space="preserve">поради неспазване на </w:t>
            </w:r>
            <w:hyperlink r:id="rId85" w:history="1">
              <w:r>
                <w:rPr>
                  <w:rStyle w:val="Hyperlink"/>
                  <w:noProof/>
                  <w:u w:val="none"/>
                </w:rPr>
                <w:t>Директивата относно енергийните характеристики на сградите</w:t>
              </w:r>
            </w:hyperlink>
            <w:r>
              <w:rPr>
                <w:noProof/>
                <w:u w:val="none"/>
              </w:rPr>
              <w:t>.</w:t>
            </w:r>
            <w:r>
              <w:rPr>
                <w:noProof/>
                <w:color w:val="FFFFFF" w:themeColor="background1"/>
                <w:u w:val="none"/>
              </w:rPr>
              <w:t xml:space="preserve"> Тя откри производства за нарушение срещу </w:t>
            </w:r>
            <w:hyperlink r:id="rId86" w:history="1">
              <w:r>
                <w:rPr>
                  <w:rStyle w:val="Hyperlink"/>
                  <w:noProof/>
                  <w:u w:val="none"/>
                </w:rPr>
                <w:t>15 държави членки</w:t>
              </w:r>
            </w:hyperlink>
            <w:r>
              <w:rPr>
                <w:noProof/>
                <w:color w:val="FFFFFF" w:themeColor="background1"/>
                <w:u w:val="none"/>
              </w:rPr>
              <w:t xml:space="preserve">, като поиска от тях да приложат правилно </w:t>
            </w:r>
            <w:hyperlink r:id="rId87" w:history="1">
              <w:r>
                <w:rPr>
                  <w:rStyle w:val="Hyperlink"/>
                  <w:noProof/>
                  <w:u w:val="none"/>
                </w:rPr>
                <w:t>правилата на ЕС за енергийна ефективност</w:t>
              </w:r>
            </w:hyperlink>
            <w:r>
              <w:rPr>
                <w:noProof/>
                <w:u w:val="none"/>
              </w:rPr>
              <w:t>.</w:t>
            </w:r>
          </w:p>
        </w:tc>
      </w:tr>
    </w:tbl>
    <w:p>
      <w:pPr>
        <w:spacing w:before="120" w:after="120"/>
        <w:jc w:val="both"/>
        <w:rPr>
          <w:noProof/>
          <w:u w:val="none"/>
        </w:rPr>
      </w:pPr>
      <w:r>
        <w:rPr>
          <w:noProof/>
          <w:u w:val="none"/>
        </w:rPr>
        <w:t>Производства за установяване на неизпълнение на задължения бяха използвани също така за радиационна защита на населението и за гарантиране на безопасността в ядрения сектор.</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60"/>
              <w:jc w:val="both"/>
              <w:rPr>
                <w:noProof/>
              </w:rPr>
            </w:pPr>
            <w:r>
              <w:rPr>
                <w:noProof/>
                <w:color w:val="FFFFFF" w:themeColor="background1"/>
                <w:u w:val="none"/>
              </w:rPr>
              <w:t xml:space="preserve">Комисията поиска от </w:t>
            </w:r>
            <w:hyperlink r:id="rId88" w:history="1">
              <w:r>
                <w:rPr>
                  <w:rStyle w:val="Hyperlink"/>
                  <w:noProof/>
                  <w:u w:val="none"/>
                </w:rPr>
                <w:t>Белгия</w:t>
              </w:r>
            </w:hyperlink>
            <w:r>
              <w:rPr>
                <w:noProof/>
                <w:u w:val="none"/>
              </w:rPr>
              <w:t>,</w:t>
            </w:r>
            <w:r>
              <w:rPr>
                <w:noProof/>
                <w:color w:val="0000FF"/>
                <w:u w:val="none"/>
              </w:rPr>
              <w:t xml:space="preserve"> </w:t>
            </w:r>
            <w:hyperlink r:id="rId89" w:history="1">
              <w:r>
                <w:rPr>
                  <w:rStyle w:val="Hyperlink"/>
                  <w:noProof/>
                  <w:u w:val="none"/>
                </w:rPr>
                <w:t>Испания</w:t>
              </w:r>
            </w:hyperlink>
            <w:r>
              <w:rPr>
                <w:rStyle w:val="Hyperlink"/>
                <w:noProof/>
                <w:u w:val="none"/>
              </w:rPr>
              <w:t xml:space="preserve"> </w:t>
            </w:r>
            <w:r>
              <w:rPr>
                <w:noProof/>
                <w:color w:val="FFFFFF" w:themeColor="background1"/>
                <w:u w:val="none"/>
              </w:rPr>
              <w:t>и</w:t>
            </w:r>
            <w:r>
              <w:rPr>
                <w:rStyle w:val="Hyperlink"/>
                <w:noProof/>
                <w:u w:val="none"/>
              </w:rPr>
              <w:t xml:space="preserve"> </w:t>
            </w:r>
            <w:hyperlink r:id="rId90" w:history="1">
              <w:r>
                <w:rPr>
                  <w:rStyle w:val="Hyperlink"/>
                  <w:noProof/>
                  <w:u w:val="none"/>
                </w:rPr>
                <w:t>Полша</w:t>
              </w:r>
            </w:hyperlink>
            <w:r>
              <w:rPr>
                <w:noProof/>
                <w:u w:val="none"/>
              </w:rPr>
              <w:t xml:space="preserve"> </w:t>
            </w:r>
            <w:r>
              <w:rPr>
                <w:noProof/>
                <w:color w:val="FFFFFF" w:themeColor="background1"/>
                <w:u w:val="none"/>
              </w:rPr>
              <w:t xml:space="preserve">да прилагат </w:t>
            </w:r>
            <w:hyperlink r:id="rId91" w:history="1">
              <w:r>
                <w:rPr>
                  <w:rStyle w:val="Hyperlink"/>
                  <w:noProof/>
                  <w:u w:val="none"/>
                </w:rPr>
                <w:t>правилата на ЕС за ядрена безопасност</w:t>
              </w:r>
            </w:hyperlink>
            <w:r>
              <w:rPr>
                <w:noProof/>
                <w:u w:val="none"/>
              </w:rPr>
              <w:t>.</w:t>
            </w:r>
            <w:r>
              <w:rPr>
                <w:noProof/>
                <w:color w:val="FFFFFF" w:themeColor="background1"/>
                <w:u w:val="none"/>
              </w:rPr>
              <w:t xml:space="preserve">Тя откри производства за установяване на неизпълнение на задължения срещу 22 държави членки поради неправилно транспониране на </w:t>
            </w:r>
            <w:hyperlink r:id="rId92" w:history="1">
              <w:r>
                <w:rPr>
                  <w:rStyle w:val="Hyperlink"/>
                  <w:noProof/>
                  <w:u w:val="none"/>
                </w:rPr>
                <w:t>Директивата за радиоактивните отпадъци</w:t>
              </w:r>
            </w:hyperlink>
            <w:r>
              <w:rPr>
                <w:noProof/>
                <w:u w:val="none"/>
              </w:rPr>
              <w:t>.</w:t>
            </w:r>
            <w:r>
              <w:rPr>
                <w:noProof/>
                <w:color w:val="FFFFFF" w:themeColor="background1"/>
                <w:u w:val="none"/>
              </w:rPr>
              <w:t xml:space="preserve">Освен това Комисията образува производства срещу </w:t>
            </w:r>
            <w:hyperlink r:id="rId93" w:history="1">
              <w:r>
                <w:rPr>
                  <w:rStyle w:val="Hyperlink"/>
                  <w:noProof/>
                  <w:color w:val="FFFFFF" w:themeColor="background1"/>
                  <w:u w:val="none"/>
                </w:rPr>
                <w:t xml:space="preserve">девет </w:t>
              </w:r>
              <w:r>
                <w:rPr>
                  <w:rStyle w:val="Hyperlink"/>
                  <w:noProof/>
                  <w:u w:val="none"/>
                </w:rPr>
                <w:t>държави членки</w:t>
              </w:r>
            </w:hyperlink>
            <w:r>
              <w:rPr>
                <w:noProof/>
                <w:color w:val="FFFFFF" w:themeColor="background1"/>
                <w:u w:val="none"/>
              </w:rPr>
              <w:t xml:space="preserve">, тъй като не са приложили </w:t>
            </w:r>
            <w:hyperlink r:id="rId94" w:history="1">
              <w:r>
                <w:rPr>
                  <w:rStyle w:val="Hyperlink"/>
                  <w:noProof/>
                  <w:u w:val="none"/>
                </w:rPr>
                <w:t>Директивата за основните норми за безопасност</w:t>
              </w:r>
            </w:hyperlink>
            <w:r>
              <w:rPr>
                <w:rStyle w:val="Hyperlink"/>
                <w:noProof/>
                <w:color w:val="auto"/>
                <w:u w:val="none"/>
              </w:rPr>
              <w:t>.</w:t>
            </w:r>
          </w:p>
        </w:tc>
      </w:tr>
    </w:tbl>
    <w:p>
      <w:pPr>
        <w:spacing w:after="0" w:line="240" w:lineRule="auto"/>
        <w:rPr>
          <w:noProof/>
          <w:u w:val="none"/>
        </w:rPr>
      </w:pPr>
      <w:r>
        <w:rPr>
          <w:noProof/>
        </w:rPr>
        <w:br w:type="page"/>
      </w:r>
    </w:p>
    <w:p>
      <w:pPr>
        <w:spacing w:line="240" w:lineRule="auto"/>
        <w:rPr>
          <w:rFonts w:ascii="Arial Unicode MS" w:eastAsia="Arial Unicode MS" w:hAnsi="Arial Unicode MS" w:cs="Arial Unicode MS"/>
          <w:i/>
          <w:noProof/>
          <w:color w:val="4F81BD"/>
          <w:sz w:val="22"/>
          <w:szCs w:val="22"/>
          <w:u w:val="none"/>
        </w:rPr>
      </w:pPr>
      <w:r>
        <w:rPr>
          <w:rFonts w:ascii="Arial Unicode MS" w:hAnsi="Arial Unicode MS"/>
          <w:i/>
          <w:noProof/>
          <w:color w:val="4F81BD"/>
          <w:sz w:val="22"/>
          <w:szCs w:val="22"/>
          <w:u w:val="none"/>
        </w:rPr>
        <w:t>Прилагане на Парижкото споразумение относно изменението на климата</w:t>
      </w:r>
    </w:p>
    <w:p>
      <w:pPr>
        <w:jc w:val="both"/>
        <w:rPr>
          <w:noProof/>
          <w:u w:val="none"/>
        </w:rPr>
      </w:pPr>
      <w:r>
        <w:rPr>
          <w:noProof/>
          <w:u w:val="none"/>
          <w:lang w:val="en-GB" w:eastAsia="en-GB"/>
        </w:rPr>
        <w:drawing>
          <wp:anchor distT="0" distB="0" distL="114300" distR="114300" simplePos="0" relativeHeight="251653120" behindDoc="0" locked="0" layoutInCell="1" allowOverlap="1">
            <wp:simplePos x="0" y="0"/>
            <wp:positionH relativeFrom="column">
              <wp:posOffset>1270</wp:posOffset>
            </wp:positionH>
            <wp:positionV relativeFrom="paragraph">
              <wp:posOffset>1270</wp:posOffset>
            </wp:positionV>
            <wp:extent cx="2808514" cy="19431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NER8.jpg"/>
                    <pic:cNvPicPr/>
                  </pic:nvPicPr>
                  <pic:blipFill>
                    <a:blip r:embed="rId95" cstate="email">
                      <a:extLst>
                        <a:ext uri="{28A0092B-C50C-407E-A947-70E740481C1C}">
                          <a14:useLocalDpi xmlns:a14="http://schemas.microsoft.com/office/drawing/2010/main"/>
                        </a:ext>
                      </a:extLst>
                    </a:blip>
                    <a:stretch>
                      <a:fillRect/>
                    </a:stretch>
                  </pic:blipFill>
                  <pic:spPr>
                    <a:xfrm>
                      <a:off x="0" y="0"/>
                      <a:ext cx="2808514" cy="1943100"/>
                    </a:xfrm>
                    <a:prstGeom prst="rect">
                      <a:avLst/>
                    </a:prstGeom>
                  </pic:spPr>
                </pic:pic>
              </a:graphicData>
            </a:graphic>
          </wp:anchor>
        </w:drawing>
      </w:r>
      <w:r>
        <w:rPr>
          <w:noProof/>
          <w:u w:val="none"/>
        </w:rPr>
        <w:t>Парижкото споразумение от 2015 г. определя глобален план за действие за ограничаване на изменението на климата.</w:t>
      </w:r>
    </w:p>
    <w:p>
      <w:pPr>
        <w:jc w:val="both"/>
        <w:rPr>
          <w:noProof/>
          <w:u w:val="none"/>
        </w:rPr>
      </w:pPr>
      <w:r>
        <w:rPr>
          <w:noProof/>
          <w:u w:val="none"/>
        </w:rPr>
        <w:t>Европейският съюз е първата голяма икономика, която превърна своите обещания по Парижкото споразумение в задължително законодателство.</w:t>
      </w:r>
    </w:p>
    <w:p>
      <w:pPr>
        <w:jc w:val="both"/>
        <w:rPr>
          <w:noProof/>
          <w:u w:val="none"/>
        </w:rPr>
      </w:pPr>
      <w:r>
        <w:rPr>
          <w:noProof/>
          <w:u w:val="none"/>
        </w:rPr>
        <w:t xml:space="preserve">През 2018 г. Европейският парламент и Съветът приеха основното законодателство за прилагането на </w:t>
      </w:r>
      <w:hyperlink r:id="rId96" w:history="1">
        <w:r>
          <w:rPr>
            <w:rStyle w:val="Hyperlink"/>
            <w:noProof/>
            <w:u w:val="none"/>
          </w:rPr>
          <w:t>Рамката в областта на климата и енергетиката до 2030 г</w:t>
        </w:r>
      </w:hyperlink>
      <w:r>
        <w:rPr>
          <w:noProof/>
          <w:u w:val="none"/>
        </w:rPr>
        <w:t xml:space="preserve">. В нея е заложена целта за намаляване на емисиите на парникови газове най-малко с 40 % (спрямо равнищата от 1990 г.) до 2030 г. Комисията вече гледа по-далеч в бъдещето, като представи през 2018 г. своята визия за просперираща, модерна, конкурентоспособна и неутрална по отношение на климата икономика до </w:t>
      </w:r>
      <w:hyperlink r:id="rId97" w:history="1">
        <w:r>
          <w:rPr>
            <w:rStyle w:val="Hyperlink"/>
            <w:noProof/>
            <w:u w:val="none"/>
          </w:rPr>
          <w:t>2050 г</w:t>
        </w:r>
      </w:hyperlink>
      <w:r>
        <w:rPr>
          <w:noProof/>
          <w:u w:val="none"/>
        </w:rPr>
        <w:t>.</w:t>
      </w:r>
    </w:p>
    <w:p>
      <w:pPr>
        <w:jc w:val="both"/>
        <w:rPr>
          <w:noProof/>
          <w:u w:val="none"/>
        </w:rPr>
      </w:pPr>
      <w:r>
        <w:rPr>
          <w:noProof/>
          <w:u w:val="none"/>
        </w:rPr>
        <w:t xml:space="preserve">За постигането на тези цели, както и на </w:t>
      </w:r>
      <w:hyperlink r:id="rId98" w:history="1">
        <w:r>
          <w:rPr>
            <w:rStyle w:val="Hyperlink"/>
            <w:noProof/>
            <w:u w:val="none"/>
          </w:rPr>
          <w:t>целите за 2020 г.</w:t>
        </w:r>
      </w:hyperlink>
      <w:r>
        <w:rPr>
          <w:noProof/>
          <w:u w:val="none"/>
        </w:rPr>
        <w:t>, е необходимо законодателството да бъде напълно транспонирано и прилагано. През 2018 г. мерките за правоприлагане и наблюдение включваха производства за установяване на неизпълнение на задължения и неформални диалози с държавите членки.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rPr>
          <w:trHeight w:val="367"/>
        </w:trPr>
        <w:tc>
          <w:tcPr>
            <w:tcW w:w="9286" w:type="dxa"/>
            <w:shd w:val="clear" w:color="auto" w:fill="8DB3E2" w:themeFill="text2" w:themeFillTint="66"/>
          </w:tcPr>
          <w:p>
            <w:pPr>
              <w:spacing w:before="60" w:after="60" w:line="240" w:lineRule="auto"/>
              <w:jc w:val="both"/>
              <w:rPr>
                <w:noProof/>
                <w:u w:val="none"/>
              </w:rPr>
            </w:pPr>
            <w:r>
              <w:rPr>
                <w:noProof/>
                <w:color w:val="FFFFFF" w:themeColor="background1"/>
                <w:u w:val="none"/>
              </w:rPr>
              <w:t>Неформалните диалози с държавите членки бяха съсредоточени върху</w:t>
            </w:r>
            <w:r>
              <w:rPr>
                <w:noProof/>
                <w:u w:val="none"/>
              </w:rPr>
              <w:t xml:space="preserve"> </w:t>
            </w:r>
            <w:hyperlink r:id="rId99" w:history="1">
              <w:r>
                <w:rPr>
                  <w:rStyle w:val="Hyperlink"/>
                  <w:noProof/>
                  <w:u w:val="none"/>
                </w:rPr>
                <w:t>Директивата относно улавянето и съхранението на въглероден диоксид</w:t>
              </w:r>
            </w:hyperlink>
            <w:r>
              <w:rPr>
                <w:noProof/>
                <w:color w:val="FFFFFF" w:themeColor="background1"/>
                <w:u w:val="none"/>
              </w:rPr>
              <w:t xml:space="preserve">, </w:t>
            </w:r>
            <w:hyperlink r:id="rId100" w:history="1">
              <w:r>
                <w:rPr>
                  <w:rStyle w:val="Hyperlink"/>
                  <w:noProof/>
                  <w:u w:val="none"/>
                </w:rPr>
                <w:t>Регламента за флуорсъдържащите газове</w:t>
              </w:r>
            </w:hyperlink>
            <w:r>
              <w:rPr>
                <w:noProof/>
                <w:u w:val="none"/>
              </w:rPr>
              <w:t xml:space="preserve"> </w:t>
            </w:r>
            <w:r>
              <w:rPr>
                <w:noProof/>
                <w:color w:val="FFFFFF" w:themeColor="background1"/>
                <w:u w:val="none"/>
              </w:rPr>
              <w:t xml:space="preserve">и </w:t>
            </w:r>
            <w:hyperlink r:id="rId101" w:history="1">
              <w:r>
                <w:rPr>
                  <w:rStyle w:val="Hyperlink"/>
                  <w:noProof/>
                  <w:u w:val="none"/>
                </w:rPr>
                <w:t>Регламента относно мониторинга, докладването и проверката на емисиите на въглероден диоксид от морския транспорт</w:t>
              </w:r>
            </w:hyperlink>
            <w:r>
              <w:rPr>
                <w:noProof/>
                <w:u w:val="none"/>
              </w:rPr>
              <w:t>.</w:t>
            </w:r>
          </w:p>
          <w:p>
            <w:pPr>
              <w:spacing w:before="60" w:after="60" w:line="240" w:lineRule="auto"/>
              <w:jc w:val="both"/>
              <w:rPr>
                <w:rFonts w:eastAsia="Times New Roman"/>
                <w:noProof/>
                <w:color w:val="FFFFFF"/>
                <w:u w:val="none"/>
              </w:rPr>
            </w:pPr>
            <w:r>
              <w:rPr>
                <w:noProof/>
                <w:color w:val="FFFFFF" w:themeColor="background1"/>
                <w:u w:val="none"/>
              </w:rPr>
              <w:t xml:space="preserve">През 2018 г. Комисията активно работеше по текущите производства за установяване на неизпълнение на задължения във връзка с пропуска на някои държави членки да приложат </w:t>
            </w:r>
            <w:hyperlink r:id="rId102" w:history="1">
              <w:r>
                <w:rPr>
                  <w:rStyle w:val="Hyperlink"/>
                  <w:noProof/>
                  <w:u w:val="none"/>
                </w:rPr>
                <w:t>Директивата относно качеството на горивата</w:t>
              </w:r>
            </w:hyperlink>
            <w:r>
              <w:rPr>
                <w:noProof/>
                <w:u w:val="none"/>
              </w:rPr>
              <w:t>.</w:t>
            </w:r>
            <w:r>
              <w:rPr>
                <w:noProof/>
                <w:color w:val="FFFFFF" w:themeColor="background1"/>
                <w:u w:val="none"/>
              </w:rPr>
              <w:t xml:space="preserve"> По-голямата част от производствата бяха приключени и в края на годината останаха само пет случая.</w:t>
            </w:r>
          </w:p>
        </w:tc>
      </w:tr>
    </w:tbl>
    <w:p>
      <w:pPr>
        <w:spacing w:before="200"/>
        <w:jc w:val="both"/>
        <w:rPr>
          <w:noProof/>
          <w:u w:val="none"/>
        </w:rPr>
      </w:pPr>
      <w:bookmarkStart w:id="27" w:name="_Toc444796649"/>
      <w:bookmarkStart w:id="28" w:name="_Toc506199721"/>
      <w:bookmarkStart w:id="29" w:name="_Toc506199742"/>
      <w:bookmarkStart w:id="30" w:name="_Toc506209838"/>
      <w:bookmarkStart w:id="31" w:name="_Toc506218379"/>
      <w:bookmarkStart w:id="32" w:name="_Toc506309251"/>
      <w:r>
        <w:rPr>
          <w:noProof/>
          <w:u w:val="none"/>
        </w:rPr>
        <w:t xml:space="preserve">През 2018 г. ЕС постигна важен напредък по въвеждането на строги правила за декарбонизация и модернизация на транспортния сектор. През май Комисията представи първото </w:t>
      </w:r>
      <w:hyperlink r:id="rId103" w:history="1">
        <w:r>
          <w:rPr>
            <w:rStyle w:val="Hyperlink"/>
            <w:noProof/>
            <w:u w:val="none"/>
          </w:rPr>
          <w:t>законодателно предложение за стандарти за емисиите на въглероден диоксид от тежкотоварни превозни средства</w:t>
        </w:r>
      </w:hyperlink>
      <w:r>
        <w:rPr>
          <w:noProof/>
          <w:u w:val="none"/>
        </w:rPr>
        <w:t xml:space="preserve">. Освен това Европейският парламент и Съветът приеха законодателство относно </w:t>
      </w:r>
      <w:hyperlink r:id="rId104" w:history="1">
        <w:r>
          <w:rPr>
            <w:rStyle w:val="Hyperlink"/>
            <w:noProof/>
            <w:u w:val="none"/>
          </w:rPr>
          <w:t>мониторинга и докладването на емисиите на въглероден диоксид от тежкотоварни превозни средства</w:t>
        </w:r>
      </w:hyperlink>
      <w:r>
        <w:rPr>
          <w:noProof/>
          <w:u w:val="none"/>
        </w:rPr>
        <w:t xml:space="preserve"> и постигнаха </w:t>
      </w:r>
      <w:hyperlink r:id="rId105" w:history="1">
        <w:r>
          <w:rPr>
            <w:rStyle w:val="Hyperlink"/>
            <w:noProof/>
            <w:u w:val="none"/>
          </w:rPr>
          <w:t>политическо съгласие</w:t>
        </w:r>
      </w:hyperlink>
      <w:r>
        <w:rPr>
          <w:noProof/>
          <w:u w:val="none"/>
        </w:rPr>
        <w:t xml:space="preserve"> относно стандарти за емисиите на въглероден диоксид (CO2) за автомобили и микробуси за периода след 2020 г. Пълното и ефективно прилагане на тези мерки ще бъде ключът за намаляването на емисиите на CO2 от автомобилния транспорт, които все още представляват около една пета от общите емисии на CO2 на равнище ЕС.</w:t>
      </w:r>
    </w:p>
    <w:p>
      <w:pPr>
        <w:rPr>
          <w:noProof/>
        </w:rPr>
      </w:pPr>
    </w:p>
    <w:p>
      <w:pPr>
        <w:spacing w:after="0" w:line="240" w:lineRule="auto"/>
        <w:rPr>
          <w:rFonts w:eastAsia="Times New Roman"/>
          <w:bCs/>
          <w:noProof/>
          <w:color w:val="4F81BD"/>
          <w:sz w:val="24"/>
          <w:u w:val="none"/>
        </w:rPr>
      </w:pPr>
      <w:r>
        <w:rPr>
          <w:noProof/>
        </w:rPr>
        <w:br w:type="page"/>
      </w:r>
    </w:p>
    <w:p>
      <w:pPr>
        <w:pStyle w:val="kop3"/>
        <w:spacing w:before="360" w:after="240"/>
        <w:ind w:left="357" w:hanging="357"/>
        <w:rPr>
          <w:noProof/>
          <w:u w:val="none"/>
        </w:rPr>
      </w:pPr>
      <w:bookmarkStart w:id="33" w:name="_Toc13054236"/>
      <w:r>
        <w:rPr>
          <w:noProof/>
          <w:u w:val="none"/>
        </w:rPr>
        <w:t>По-задълбочен и по-справедлив вътрешен пазар със засилена промишлена база</w:t>
      </w:r>
      <w:bookmarkEnd w:id="27"/>
      <w:bookmarkEnd w:id="28"/>
      <w:bookmarkEnd w:id="29"/>
      <w:bookmarkEnd w:id="30"/>
      <w:bookmarkEnd w:id="31"/>
      <w:bookmarkEnd w:id="32"/>
      <w:bookmarkEnd w:id="33"/>
    </w:p>
    <w:p>
      <w:pPr>
        <w:spacing w:after="120"/>
        <w:jc w:val="both"/>
        <w:rPr>
          <w:i/>
          <w:noProof/>
          <w:spacing w:val="-4"/>
          <w:u w:val="none"/>
        </w:rPr>
      </w:pPr>
      <w:r>
        <w:rPr>
          <w:noProof/>
          <w:spacing w:val="-4"/>
          <w:u w:val="none"/>
        </w:rPr>
        <w:t>Единният пазар на ЕС остава един от най-ценните активи на Европа за гражданите и предприятията. Той предлага огромни възможности за предприятията, както и по-голям избор и по-ниски цени за потребителите. Той дава възможност на хората да пътуват, живеят, работят и учат навсякъде, където желаят. Тези възможности обаче не могат да се използват, ако правилата на единния пазар не се прилагат или изпълняват, или пък се възпрепятстват от други пречки.</w:t>
      </w:r>
    </w:p>
    <w:p>
      <w:pPr>
        <w:spacing w:before="240" w:after="0"/>
        <w:jc w:val="both"/>
        <w:rPr>
          <w:rFonts w:ascii="Arial Unicode MS" w:eastAsia="Arial Unicode MS" w:hAnsi="Arial Unicode MS" w:cs="Arial Unicode MS"/>
          <w:i/>
          <w:noProof/>
          <w:color w:val="4F81BD"/>
          <w:sz w:val="22"/>
          <w:szCs w:val="22"/>
          <w:u w:val="none"/>
        </w:rPr>
      </w:pPr>
      <w:r>
        <w:rPr>
          <w:rFonts w:ascii="Arial Unicode MS" w:hAnsi="Arial Unicode MS"/>
          <w:i/>
          <w:noProof/>
          <w:color w:val="4F81BD"/>
          <w:sz w:val="22"/>
          <w:szCs w:val="22"/>
          <w:u w:val="none"/>
        </w:rPr>
        <w:t>Осигуряване на конкуренция без нарушения</w:t>
      </w:r>
    </w:p>
    <w:p>
      <w:pPr>
        <w:spacing w:before="240" w:after="0"/>
        <w:jc w:val="both"/>
        <w:rPr>
          <w:noProof/>
          <w:u w:val="none"/>
        </w:rPr>
      </w:pPr>
      <w:r>
        <w:rPr>
          <w:noProof/>
          <w:u w:val="none"/>
        </w:rPr>
        <w:t>Вътрешният пазар е по-стабилен, когато конкуренцията не се нарушава.</w:t>
      </w:r>
    </w:p>
    <w:p>
      <w:pPr>
        <w:spacing w:before="240" w:after="0"/>
        <w:jc w:val="both"/>
        <w:rPr>
          <w:noProof/>
          <w:u w:val="none"/>
        </w:rPr>
      </w:pPr>
      <w:r>
        <w:rPr>
          <w:noProof/>
          <w:u w:val="none"/>
          <w:lang w:val="en-GB" w:eastAsia="en-GB"/>
        </w:rPr>
        <w:drawing>
          <wp:anchor distT="0" distB="0" distL="114300" distR="114300" simplePos="0" relativeHeight="251672576" behindDoc="0" locked="0" layoutInCell="1" allowOverlap="1">
            <wp:simplePos x="0" y="0"/>
            <wp:positionH relativeFrom="column">
              <wp:posOffset>1270</wp:posOffset>
            </wp:positionH>
            <wp:positionV relativeFrom="paragraph">
              <wp:posOffset>325120</wp:posOffset>
            </wp:positionV>
            <wp:extent cx="3274060" cy="2114550"/>
            <wp:effectExtent l="0" t="0" r="254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ompetition_2.png"/>
                    <pic:cNvPicPr/>
                  </pic:nvPicPr>
                  <pic:blipFill rotWithShape="1">
                    <a:blip r:embed="rId106" cstate="email">
                      <a:extLst>
                        <a:ext uri="{28A0092B-C50C-407E-A947-70E740481C1C}">
                          <a14:useLocalDpi xmlns:a14="http://schemas.microsoft.com/office/drawing/2010/main"/>
                        </a:ext>
                      </a:extLst>
                    </a:blip>
                    <a:srcRect/>
                    <a:stretch/>
                  </pic:blipFill>
                  <pic:spPr bwMode="auto">
                    <a:xfrm>
                      <a:off x="0" y="0"/>
                      <a:ext cx="3274060" cy="211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Lines="60" w:before="144" w:afterLines="60" w:after="144"/>
              <w:jc w:val="both"/>
              <w:rPr>
                <w:noProof/>
              </w:rPr>
            </w:pPr>
            <w:r>
              <w:rPr>
                <w:noProof/>
                <w:color w:val="FFFFFF" w:themeColor="background1"/>
                <w:u w:val="none"/>
              </w:rPr>
              <w:t xml:space="preserve">През 2018 г. Комисията потвърди, че всички държави членки са приключили транспонирането на </w:t>
            </w:r>
            <w:hyperlink r:id="rId107" w:history="1">
              <w:r>
                <w:rPr>
                  <w:rStyle w:val="Hyperlink"/>
                  <w:noProof/>
                  <w:u w:val="none"/>
                </w:rPr>
                <w:t>Директивата относно исковете за обезщетение за вреди при нарушаване на антитръстовите правила</w:t>
              </w:r>
            </w:hyperlink>
            <w:r>
              <w:rPr>
                <w:noProof/>
                <w:color w:val="FFFFFF" w:themeColor="background1"/>
                <w:u w:val="none"/>
              </w:rPr>
              <w:t xml:space="preserve"> и приключи останалите 18 </w:t>
            </w:r>
            <w:hyperlink r:id="rId108" w:history="1">
              <w:r>
                <w:rPr>
                  <w:rStyle w:val="Hyperlink"/>
                  <w:noProof/>
                  <w:u w:val="none"/>
                </w:rPr>
                <w:t>производства за установяване на неизпълнение на задължения</w:t>
              </w:r>
            </w:hyperlink>
            <w:r>
              <w:rPr>
                <w:noProof/>
                <w:u w:val="none"/>
              </w:rPr>
              <w:t>.</w:t>
            </w:r>
          </w:p>
          <w:p>
            <w:pPr>
              <w:spacing w:beforeLines="60" w:before="144" w:afterLines="60" w:after="144"/>
              <w:jc w:val="both"/>
              <w:rPr>
                <w:rFonts w:eastAsia="Times New Roman"/>
                <w:noProof/>
                <w:color w:val="FFFFFF"/>
                <w:u w:val="none"/>
              </w:rPr>
            </w:pPr>
            <w:r>
              <w:rPr>
                <w:noProof/>
                <w:color w:val="FFFFFF" w:themeColor="background1"/>
                <w:u w:val="none"/>
              </w:rPr>
              <w:t>Комисията прие също така представените от Гърция последни корективни мерки по дело относно предоставянето на изключителни права за експлоатация на находище на лигнитни въглища на основното традиционно дружество на гръцкия електроенергиен пазар в нарушение на правилата на ЕС в областта на конкуренцията.</w:t>
            </w:r>
          </w:p>
        </w:tc>
      </w:tr>
    </w:tbl>
    <w:p>
      <w:pPr>
        <w:spacing w:before="200"/>
        <w:jc w:val="both"/>
        <w:rPr>
          <w:noProof/>
          <w:spacing w:val="-4"/>
          <w:u w:val="none"/>
        </w:rPr>
      </w:pPr>
      <w:r>
        <w:rPr>
          <w:noProof/>
          <w:spacing w:val="-4"/>
          <w:u w:val="none"/>
        </w:rPr>
        <w:t>Последователното откриване на производства за установяване на неизпълнение на задължения, за да се гарантира спазването на решенията на Комисията за държавната помощ, е от съществена важност за надеждността на въведения от Комисията режим за контрол на държавната помощ.</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8" w:type="dxa"/>
            <w:shd w:val="clear" w:color="auto" w:fill="8DB3E2" w:themeFill="text2" w:themeFillTint="66"/>
          </w:tcPr>
          <w:p>
            <w:pPr>
              <w:spacing w:before="60" w:after="60" w:line="240" w:lineRule="auto"/>
              <w:jc w:val="both"/>
              <w:rPr>
                <w:noProof/>
                <w:color w:val="FFFFFF" w:themeColor="background1"/>
                <w:u w:val="none"/>
              </w:rPr>
            </w:pPr>
            <w:r>
              <w:rPr>
                <w:noProof/>
                <w:color w:val="FFFFFF" w:themeColor="background1"/>
                <w:u w:val="none"/>
              </w:rPr>
              <w:t xml:space="preserve">Комисията заведе дело срещу </w:t>
            </w:r>
            <w:hyperlink r:id="rId109" w:history="1">
              <w:r>
                <w:rPr>
                  <w:rStyle w:val="Hyperlink"/>
                  <w:noProof/>
                  <w:u w:val="none"/>
                </w:rPr>
                <w:t>Италия</w:t>
              </w:r>
            </w:hyperlink>
            <w:r>
              <w:rPr>
                <w:noProof/>
                <w:color w:val="FFFFFF" w:themeColor="background1"/>
                <w:u w:val="none"/>
              </w:rPr>
              <w:t xml:space="preserve"> за втори път, тъй като италианските органи не се съобразиха с предишно решение на Съда. В това решение Съдът потвърди, че Италия е предоставила незаконна държавна помощ на хотелиерската индустрия в Сардиния. Комисията нареди на Италия да събере неправомерно предоставената помощ, възлизаща на близо 15 милиона евро. До момента все още не са събрани почти 13 милиона евро. </w:t>
            </w:r>
          </w:p>
        </w:tc>
      </w:tr>
    </w:tbl>
    <w:p>
      <w:pPr>
        <w:spacing w:after="120" w:line="240" w:lineRule="auto"/>
        <w:rPr>
          <w:noProof/>
          <w:u w:val="non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rPr>
          <w:trHeight w:val="195"/>
        </w:trPr>
        <w:tc>
          <w:tcPr>
            <w:tcW w:w="9288" w:type="dxa"/>
            <w:shd w:val="clear" w:color="auto" w:fill="8DB3E2" w:themeFill="text2" w:themeFillTint="66"/>
          </w:tcPr>
          <w:p>
            <w:pPr>
              <w:spacing w:before="60" w:after="60" w:line="240" w:lineRule="auto"/>
              <w:jc w:val="both"/>
              <w:rPr>
                <w:rFonts w:eastAsia="Times New Roman"/>
                <w:noProof/>
                <w:color w:val="FFFFFF"/>
                <w:u w:val="none"/>
              </w:rPr>
            </w:pPr>
            <w:r>
              <w:rPr>
                <w:noProof/>
                <w:color w:val="FFFFFF" w:themeColor="background1"/>
                <w:u w:val="none"/>
              </w:rPr>
              <w:t xml:space="preserve">Съдът наложи финансови санкции по </w:t>
            </w:r>
            <w:r>
              <w:rPr>
                <w:rStyle w:val="Hyperlink"/>
                <w:noProof/>
                <w:color w:val="FFFFFF" w:themeColor="background1"/>
                <w:u w:val="none"/>
              </w:rPr>
              <w:t xml:space="preserve">дело срещу </w:t>
            </w:r>
            <w:hyperlink r:id="rId110" w:history="1">
              <w:r>
                <w:rPr>
                  <w:rStyle w:val="Hyperlink"/>
                  <w:noProof/>
                  <w:u w:val="none"/>
                </w:rPr>
                <w:t>Гърция</w:t>
              </w:r>
            </w:hyperlink>
            <w:r>
              <w:rPr>
                <w:noProof/>
                <w:u w:val="none"/>
              </w:rPr>
              <w:t xml:space="preserve"> </w:t>
            </w:r>
            <w:r>
              <w:rPr>
                <w:noProof/>
                <w:color w:val="FFFFFF" w:themeColor="background1"/>
                <w:u w:val="none"/>
              </w:rPr>
              <w:t>поради неизпълнението на решение на Комисията от 2008 г., с което от Гърция се изисква да възстанови неправомерно предоставена държавна помощ на дружество Hellenic Shipyards.</w:t>
            </w:r>
          </w:p>
        </w:tc>
      </w:tr>
    </w:tbl>
    <w:p>
      <w:pPr>
        <w:spacing w:after="0" w:line="240" w:lineRule="auto"/>
        <w:rPr>
          <w:rFonts w:ascii="Arial Unicode MS" w:eastAsia="Arial Unicode MS" w:hAnsi="Arial Unicode MS" w:cs="Arial Unicode MS"/>
          <w:i/>
          <w:noProof/>
          <w:color w:val="4F81BD"/>
          <w:sz w:val="22"/>
          <w:szCs w:val="22"/>
          <w:u w:val="none"/>
        </w:rPr>
      </w:pPr>
      <w:r>
        <w:rPr>
          <w:noProof/>
        </w:rPr>
        <w:br w:type="page"/>
      </w:r>
    </w:p>
    <w:p>
      <w:pPr>
        <w:spacing w:before="200"/>
        <w:jc w:val="both"/>
        <w:rPr>
          <w:rFonts w:ascii="Arial Unicode MS" w:eastAsia="Arial Unicode MS" w:hAnsi="Arial Unicode MS" w:cs="Arial Unicode MS"/>
          <w:i/>
          <w:noProof/>
          <w:color w:val="8DB3E2" w:themeColor="text2" w:themeTint="66"/>
          <w:sz w:val="22"/>
          <w:szCs w:val="22"/>
          <w:u w:val="none"/>
        </w:rPr>
      </w:pPr>
      <w:r>
        <w:rPr>
          <w:rFonts w:ascii="Arial Unicode MS" w:hAnsi="Arial Unicode MS"/>
          <w:i/>
          <w:noProof/>
          <w:color w:val="4F81BD"/>
          <w:sz w:val="22"/>
          <w:szCs w:val="22"/>
          <w:u w:val="none"/>
        </w:rPr>
        <w:t>Гарантиране на свободното движение на работници</w:t>
      </w:r>
    </w:p>
    <w:p>
      <w:pPr>
        <w:jc w:val="both"/>
        <w:rPr>
          <w:noProof/>
          <w:u w:val="none"/>
        </w:rPr>
      </w:pPr>
      <w:r>
        <w:rPr>
          <w:noProof/>
          <w:u w:val="none"/>
          <w:lang w:val="en-GB" w:eastAsia="en-GB"/>
        </w:rPr>
        <w:drawing>
          <wp:anchor distT="0" distB="0" distL="114300" distR="114300" simplePos="0" relativeHeight="251642880" behindDoc="0" locked="0" layoutInCell="1" allowOverlap="1">
            <wp:simplePos x="0" y="0"/>
            <wp:positionH relativeFrom="column">
              <wp:posOffset>1270</wp:posOffset>
            </wp:positionH>
            <wp:positionV relativeFrom="paragraph">
              <wp:posOffset>29210</wp:posOffset>
            </wp:positionV>
            <wp:extent cx="3672205" cy="2444750"/>
            <wp:effectExtent l="0" t="0" r="444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obility EMPL.jpg"/>
                    <pic:cNvPicPr/>
                  </pic:nvPicPr>
                  <pic:blipFill>
                    <a:blip r:embed="rId111" cstate="email">
                      <a:extLst>
                        <a:ext uri="{28A0092B-C50C-407E-A947-70E740481C1C}">
                          <a14:useLocalDpi xmlns:a14="http://schemas.microsoft.com/office/drawing/2010/main"/>
                        </a:ext>
                      </a:extLst>
                    </a:blip>
                    <a:stretch>
                      <a:fillRect/>
                    </a:stretch>
                  </pic:blipFill>
                  <pic:spPr>
                    <a:xfrm>
                      <a:off x="0" y="0"/>
                      <a:ext cx="3672205" cy="2444750"/>
                    </a:xfrm>
                    <a:prstGeom prst="rect">
                      <a:avLst/>
                    </a:prstGeom>
                  </pic:spPr>
                </pic:pic>
              </a:graphicData>
            </a:graphic>
            <wp14:sizeRelH relativeFrom="margin">
              <wp14:pctWidth>0</wp14:pctWidth>
            </wp14:sizeRelH>
            <wp14:sizeRelV relativeFrom="margin">
              <wp14:pctHeight>0</wp14:pctHeight>
            </wp14:sizeRelV>
          </wp:anchor>
        </w:drawing>
      </w:r>
      <w:r>
        <w:rPr>
          <w:noProof/>
          <w:u w:val="none"/>
        </w:rPr>
        <w:t>Хората в ЕС могат да се възползват от възможността да работят в други държави членки само ако правата на работниците, трудещи се извън тяхната родна държава членка, са надлежно защитени.</w:t>
      </w:r>
    </w:p>
    <w:p>
      <w:pPr>
        <w:jc w:val="both"/>
        <w:rPr>
          <w:noProof/>
          <w:u w:val="none"/>
        </w:rPr>
      </w:pPr>
      <w:r>
        <w:rPr>
          <w:noProof/>
          <w:u w:val="none"/>
        </w:rPr>
        <w:t xml:space="preserve">Допълнителните пенсионни схеми, свързани с трудово правоотношение, могат да възпрат мобилността на работниците. Целта на </w:t>
      </w:r>
      <w:hyperlink r:id="rId112" w:history="1">
        <w:r>
          <w:rPr>
            <w:rStyle w:val="Hyperlink"/>
            <w:noProof/>
            <w:u w:val="none"/>
          </w:rPr>
          <w:t>правилата на ЕС</w:t>
        </w:r>
      </w:hyperlink>
      <w:r>
        <w:rPr>
          <w:noProof/>
          <w:u w:val="none"/>
        </w:rPr>
        <w:t xml:space="preserve"> за подобряване на придобиването и запазването на допълнителни пенсионни права е да се преодолеят именно тези пречки.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60"/>
              <w:jc w:val="both"/>
              <w:rPr>
                <w:noProof/>
                <w:color w:val="FFFFFF" w:themeColor="background1"/>
                <w:u w:val="none"/>
              </w:rPr>
            </w:pPr>
            <w:r>
              <w:rPr>
                <w:noProof/>
                <w:color w:val="FFFFFF" w:themeColor="background1"/>
                <w:u w:val="none"/>
              </w:rPr>
              <w:t xml:space="preserve">През 2018 г. Комисията предприе правни действия срещу 10 държави членки, тъй като не са транспонирали в националното си законодателство своевременно </w:t>
            </w:r>
            <w:hyperlink r:id="rId113" w:history="1">
              <w:r>
                <w:rPr>
                  <w:rStyle w:val="Hyperlink"/>
                  <w:noProof/>
                  <w:u w:val="none"/>
                </w:rPr>
                <w:t>правилата на ЕС за повишаване на мобилността на работниците между държавите членки</w:t>
              </w:r>
            </w:hyperlink>
            <w:r>
              <w:rPr>
                <w:noProof/>
                <w:u w:val="none"/>
              </w:rPr>
              <w:t>.</w:t>
            </w:r>
            <w:r>
              <w:rPr>
                <w:noProof/>
                <w:color w:val="FFFFFF" w:themeColor="background1"/>
                <w:u w:val="none"/>
              </w:rPr>
              <w:t xml:space="preserve"> До края на 2018 г. Комисията приключи водените от нея дела срещу шест държави членки (Чехия, Гърция, Испания, Люксембург, Нидерландия и Австрия), тъй като тези държави приведоха своето законодателство в съответствие с правилата на ЕС. </w:t>
            </w:r>
          </w:p>
        </w:tc>
      </w:tr>
    </w:tbl>
    <w:p>
      <w:pPr>
        <w:spacing w:before="200"/>
        <w:jc w:val="both"/>
        <w:rPr>
          <w:noProof/>
          <w:u w:val="none"/>
        </w:rPr>
      </w:pPr>
      <w:r>
        <w:rPr>
          <w:noProof/>
          <w:u w:val="none"/>
        </w:rPr>
        <w:t>ЕС има ясни правила за свободното движение на работници, командироването на работници и координирането на социалната сигурност. Неспазването от страна на държавите членки на тези правила излага на риск доверието и справедливостта на вътрешния пазар. По-специално беше изразена загриженост, че мобилните работници може да са уязвими спрямо злоупотреби или да им се отказват полагащите им се права.</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8" w:type="dxa"/>
            <w:shd w:val="clear" w:color="auto" w:fill="8DB3E2" w:themeFill="text2" w:themeFillTint="66"/>
          </w:tcPr>
          <w:p>
            <w:pPr>
              <w:spacing w:before="60" w:after="60"/>
              <w:jc w:val="both"/>
              <w:rPr>
                <w:noProof/>
                <w:color w:val="FFFFFF" w:themeColor="background1"/>
                <w:u w:val="none"/>
              </w:rPr>
            </w:pPr>
            <w:r>
              <w:rPr>
                <w:noProof/>
                <w:color w:val="FFFFFF" w:themeColor="background1"/>
                <w:u w:val="none"/>
              </w:rPr>
              <w:t>През 2018 г. Комисията предложи създаването на</w:t>
            </w:r>
            <w:r>
              <w:rPr>
                <w:noProof/>
                <w:u w:val="none"/>
              </w:rPr>
              <w:t xml:space="preserve"> </w:t>
            </w:r>
            <w:hyperlink r:id="rId114" w:history="1">
              <w:r>
                <w:rPr>
                  <w:rStyle w:val="Hyperlink"/>
                  <w:noProof/>
                  <w:u w:val="none"/>
                </w:rPr>
                <w:t>Европейски орган по труда</w:t>
              </w:r>
            </w:hyperlink>
            <w:r>
              <w:rPr>
                <w:noProof/>
                <w:u w:val="none"/>
              </w:rPr>
              <w:t xml:space="preserve">, </w:t>
            </w:r>
            <w:r>
              <w:rPr>
                <w:noProof/>
                <w:color w:val="FFFFFF" w:themeColor="background1"/>
                <w:u w:val="none"/>
              </w:rPr>
              <w:t xml:space="preserve">който да гарантира прилагането на правилата на ЕС за трудовата мобилност по справедлив, опростен и ефективен начин. Междувременно Европейският парламент и Съветът постигнаха </w:t>
            </w:r>
            <w:hyperlink r:id="rId115" w:history="1">
              <w:r>
                <w:rPr>
                  <w:rStyle w:val="Hyperlink"/>
                  <w:noProof/>
                  <w:u w:val="none"/>
                </w:rPr>
                <w:t>предварително споразумение</w:t>
              </w:r>
            </w:hyperlink>
            <w:r>
              <w:rPr>
                <w:noProof/>
                <w:color w:val="FFFFFF" w:themeColor="background1"/>
                <w:u w:val="none"/>
              </w:rPr>
              <w:t xml:space="preserve"> по това предложение. </w:t>
            </w:r>
          </w:p>
        </w:tc>
      </w:tr>
    </w:tbl>
    <w:p>
      <w:pPr>
        <w:jc w:val="both"/>
        <w:rPr>
          <w:noProof/>
          <w:u w:val="none"/>
        </w:rPr>
      </w:pPr>
    </w:p>
    <w:p>
      <w:pPr>
        <w:jc w:val="both"/>
        <w:rPr>
          <w:noProof/>
          <w:u w:val="none"/>
        </w:rPr>
      </w:pPr>
    </w:p>
    <w:p>
      <w:pPr>
        <w:jc w:val="both"/>
        <w:rPr>
          <w:noProof/>
          <w:u w:val="none"/>
        </w:rPr>
      </w:pPr>
    </w:p>
    <w:p>
      <w:pPr>
        <w:spacing w:after="0" w:line="240" w:lineRule="auto"/>
        <w:rPr>
          <w:noProof/>
          <w:u w:val="none"/>
        </w:rPr>
      </w:pPr>
      <w:r>
        <w:rPr>
          <w:noProof/>
          <w:u w:val="none"/>
        </w:rPr>
        <w:br w:type="page"/>
      </w:r>
    </w:p>
    <w:p>
      <w:pPr>
        <w:spacing w:before="360"/>
        <w:jc w:val="both"/>
        <w:rPr>
          <w:rFonts w:ascii="Arial Unicode MS" w:eastAsia="Arial Unicode MS" w:hAnsi="Arial Unicode MS" w:cs="Arial Unicode MS"/>
          <w:i/>
          <w:noProof/>
          <w:color w:val="4F81BD"/>
          <w:sz w:val="22"/>
          <w:szCs w:val="22"/>
          <w:u w:val="none"/>
        </w:rPr>
      </w:pPr>
      <w:r>
        <w:rPr>
          <w:rFonts w:ascii="Arial Unicode MS" w:hAnsi="Arial Unicode MS"/>
          <w:i/>
          <w:noProof/>
          <w:color w:val="4F81BD"/>
          <w:sz w:val="22"/>
          <w:szCs w:val="22"/>
          <w:u w:val="none"/>
        </w:rPr>
        <w:t>Гарантиране на свободното движение на стоки</w:t>
      </w:r>
    </w:p>
    <w:p>
      <w:pPr>
        <w:spacing w:before="120" w:after="480"/>
        <w:jc w:val="both"/>
        <w:rPr>
          <w:noProof/>
          <w:u w:val="none"/>
        </w:rPr>
      </w:pPr>
      <w:r>
        <w:rPr>
          <w:noProof/>
          <w:u w:val="none"/>
          <w:lang w:val="en-GB" w:eastAsia="en-GB"/>
        </w:rPr>
        <w:drawing>
          <wp:anchor distT="0" distB="0" distL="114300" distR="114300" simplePos="0" relativeHeight="251646976" behindDoc="0" locked="0" layoutInCell="1" allowOverlap="1">
            <wp:simplePos x="0" y="0"/>
            <wp:positionH relativeFrom="column">
              <wp:posOffset>4445</wp:posOffset>
            </wp:positionH>
            <wp:positionV relativeFrom="paragraph">
              <wp:posOffset>16510</wp:posOffset>
            </wp:positionV>
            <wp:extent cx="3343275" cy="1858645"/>
            <wp:effectExtent l="0" t="0" r="9525" b="825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ransport.jpg"/>
                    <pic:cNvPicPr/>
                  </pic:nvPicPr>
                  <pic:blipFill>
                    <a:blip r:embed="rId116" cstate="email">
                      <a:extLst>
                        <a:ext uri="{28A0092B-C50C-407E-A947-70E740481C1C}">
                          <a14:useLocalDpi xmlns:a14="http://schemas.microsoft.com/office/drawing/2010/main"/>
                        </a:ext>
                      </a:extLst>
                    </a:blip>
                    <a:stretch>
                      <a:fillRect/>
                    </a:stretch>
                  </pic:blipFill>
                  <pic:spPr>
                    <a:xfrm>
                      <a:off x="0" y="0"/>
                      <a:ext cx="3343275" cy="1858645"/>
                    </a:xfrm>
                    <a:prstGeom prst="rect">
                      <a:avLst/>
                    </a:prstGeom>
                  </pic:spPr>
                </pic:pic>
              </a:graphicData>
            </a:graphic>
            <wp14:sizeRelH relativeFrom="margin">
              <wp14:pctWidth>0</wp14:pctWidth>
            </wp14:sizeRelH>
            <wp14:sizeRelV relativeFrom="margin">
              <wp14:pctHeight>0</wp14:pctHeight>
            </wp14:sizeRelV>
          </wp:anchor>
        </w:drawing>
      </w:r>
      <w:r>
        <w:rPr>
          <w:noProof/>
          <w:u w:val="none"/>
        </w:rPr>
        <w:t xml:space="preserve">Що се отнася до автомобилния сектор, Комисията стигна до заключението, че няколко държави членки не са въвели или приложили санкции, които да възпират производителите на автомобили да нарушават законодателството относно емисиите от автомобили. Това беше последица от разкритията от 2015 г. на използването от Volkswagen Group на софтуер с цел да се заобиколят стандартите за емисии на някои замърсители на въздуха.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60" w:line="240" w:lineRule="auto"/>
              <w:jc w:val="both"/>
              <w:rPr>
                <w:rFonts w:eastAsia="Times New Roman"/>
                <w:noProof/>
                <w:color w:val="FFFFFF"/>
                <w:u w:val="none"/>
              </w:rPr>
            </w:pPr>
            <w:r>
              <w:rPr>
                <w:noProof/>
                <w:color w:val="FFFFFF" w:themeColor="background1"/>
                <w:u w:val="none"/>
              </w:rPr>
              <w:t xml:space="preserve">През 2018 г. Комисията предприе допълнителни стъпки в производствата за установяване на неизпълнение на задължения срещу </w:t>
            </w:r>
            <w:hyperlink r:id="rId117" w:history="1">
              <w:r>
                <w:rPr>
                  <w:rStyle w:val="Hyperlink"/>
                  <w:noProof/>
                  <w:u w:val="none"/>
                </w:rPr>
                <w:t>Италия, Люксембург, Обединеното кралство и Германия</w:t>
              </w:r>
            </w:hyperlink>
            <w:r>
              <w:rPr>
                <w:noProof/>
                <w:color w:val="FFFFFF" w:themeColor="background1"/>
                <w:u w:val="none"/>
              </w:rPr>
              <w:t xml:space="preserve"> поради неизпълнение на задълженията им съгласно законодателството на ЕС за одобрение на типа на превозните средства.</w:t>
            </w:r>
          </w:p>
        </w:tc>
      </w:tr>
    </w:tbl>
    <w:p>
      <w:pPr>
        <w:spacing w:before="120" w:after="120"/>
        <w:jc w:val="both"/>
        <w:rPr>
          <w:noProof/>
          <w:u w:val="none"/>
        </w:rPr>
      </w:pPr>
      <w:r>
        <w:rPr>
          <w:noProof/>
          <w:u w:val="none"/>
        </w:rPr>
        <w:t>Комисията следи също така за това държавите членки да не въвеждат количествени ограничения на търговията в рамките на ЕС. През 2018 г. Комисията предприе действия във връзка с регистрацията на автомобили и с лекарствените продукти.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60" w:line="240" w:lineRule="auto"/>
              <w:jc w:val="both"/>
              <w:rPr>
                <w:rFonts w:eastAsia="Times New Roman"/>
                <w:noProof/>
                <w:color w:val="FFFFFF"/>
                <w:u w:val="none"/>
              </w:rPr>
            </w:pPr>
            <w:r>
              <w:rPr>
                <w:noProof/>
                <w:color w:val="FFFFFF"/>
                <w:u w:val="none"/>
              </w:rPr>
              <w:t>В някои случаи регистрацията във Франция на автомобили втора употреба, регистрирани преди това в други държави членки, беше затруднена. След иск от страна на Комисията, през 2018 г. Франция измени своето законодателство, така че да даде възможност за онлайн регистрация на внесените автомобили втора употреба.</w:t>
            </w:r>
          </w:p>
          <w:p>
            <w:pPr>
              <w:spacing w:before="60" w:after="60" w:line="240" w:lineRule="auto"/>
              <w:jc w:val="both"/>
              <w:rPr>
                <w:rFonts w:eastAsia="Times New Roman"/>
                <w:noProof/>
                <w:color w:val="FFFFFF"/>
                <w:u w:val="none"/>
              </w:rPr>
            </w:pPr>
            <w:r>
              <w:rPr>
                <w:noProof/>
                <w:color w:val="FFFFFF"/>
                <w:u w:val="none"/>
              </w:rPr>
              <w:t>Комисията предприе действия срещу</w:t>
            </w:r>
            <w:r>
              <w:rPr>
                <w:noProof/>
                <w:u w:val="none"/>
              </w:rPr>
              <w:t xml:space="preserve"> </w:t>
            </w:r>
            <w:hyperlink r:id="rId118" w:history="1">
              <w:r>
                <w:rPr>
                  <w:rStyle w:val="Hyperlink"/>
                  <w:noProof/>
                  <w:u w:val="none"/>
                </w:rPr>
                <w:t>Латвия</w:t>
              </w:r>
            </w:hyperlink>
            <w:r>
              <w:rPr>
                <w:noProof/>
                <w:u w:val="none"/>
              </w:rPr>
              <w:t xml:space="preserve"> </w:t>
            </w:r>
            <w:r>
              <w:rPr>
                <w:noProof/>
                <w:color w:val="FFFFFF"/>
                <w:u w:val="none"/>
              </w:rPr>
              <w:t>поради неприемането за регистрация на автомобили с десен волан.</w:t>
            </w:r>
          </w:p>
        </w:tc>
      </w:tr>
    </w:tbl>
    <w:p>
      <w:pPr>
        <w:spacing w:before="120" w:after="120"/>
        <w:jc w:val="both"/>
        <w:rPr>
          <w:noProof/>
          <w:u w:val="none"/>
        </w:rPr>
      </w:pPr>
      <w:r>
        <w:rPr>
          <w:noProof/>
          <w:u w:val="none"/>
        </w:rPr>
        <w:t>„Паралелната търговия“ позволява на търговците на едро да купуват лекарствени продукти в една държава членка (обикновено където цените на лекарствата така също са по-ниски) и да ги продават в други държави членки (където цените са по-високи). При лекарствените продукти „паралелната търговия“ е законна икономическа дейност в рамките на вътрешния пазар. Паралелният внос може да е от полза за пациентите и системите за обществено здравеопазване, ако води до по-евтини цени и по-ниски разходи за възстановяване. В същото време в някои държави членки има опасения, че паралелният износ би могъл да доведе до недостиг на лекарства за пациентите, което излага на опасност тяхното здраве и дори техния живот. Поради това държавите членки имат право да ограничават паралелната търговия на лекарствени продукти, ако тя представлява риск за опазването на здравето и живота на хората или за защитата на промишлената и търговската собственост.</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60" w:line="240" w:lineRule="auto"/>
              <w:jc w:val="both"/>
              <w:rPr>
                <w:rFonts w:eastAsia="Times New Roman"/>
                <w:noProof/>
                <w:color w:val="FFFFFF"/>
                <w:spacing w:val="-6"/>
                <w:u w:val="none"/>
              </w:rPr>
            </w:pPr>
            <w:r>
              <w:rPr>
                <w:noProof/>
                <w:color w:val="FFFFFF"/>
                <w:spacing w:val="-6"/>
                <w:u w:val="none"/>
              </w:rPr>
              <w:t xml:space="preserve">През 2018 г. Европейската комисия приключи процедурите за установяване на неизпълнение на задължения и процедурите по разглеждане на жалби срещу </w:t>
            </w:r>
            <w:hyperlink r:id="rId119" w:history="1">
              <w:r>
                <w:rPr>
                  <w:rStyle w:val="Hyperlink"/>
                  <w:noProof/>
                  <w:spacing w:val="-6"/>
                  <w:u w:val="none"/>
                </w:rPr>
                <w:t>Полша, Румъния и Словакия</w:t>
              </w:r>
            </w:hyperlink>
            <w:r>
              <w:rPr>
                <w:noProof/>
                <w:spacing w:val="-6"/>
                <w:u w:val="none"/>
              </w:rPr>
              <w:t xml:space="preserve"> </w:t>
            </w:r>
            <w:r>
              <w:rPr>
                <w:noProof/>
                <w:color w:val="FFFFFF"/>
                <w:spacing w:val="-6"/>
                <w:u w:val="none"/>
              </w:rPr>
              <w:t>по отношение на паралелната търговия с лекарствени продукти за хуманна употреба. Комисията реши, че трябва да се потърсят други начини за преодоляването на загрижеността на държавите членки в тази област. За тази цел Комисията счете, че следва бързо да се проведе структуриран диалог. Комисията продължи да подкрепя държавите членки в усилията им да гарантират, че гражданите имат навременен достъп до финансово приемлива и качествена профилактика и здравни грижи. За тази цел тя реши да събере повече информация, за да обсъди с държавите членки в рамките на работната група по фармацевтичните продукти към Комисията ограниченията на износа.</w:t>
            </w:r>
          </w:p>
        </w:tc>
      </w:tr>
    </w:tbl>
    <w:p>
      <w:pPr>
        <w:spacing w:after="0" w:line="240" w:lineRule="auto"/>
        <w:rPr>
          <w:noProof/>
        </w:rPr>
      </w:pPr>
      <w:r>
        <w:rPr>
          <w:noProof/>
        </w:rPr>
        <w:br w:type="page"/>
      </w:r>
    </w:p>
    <w:p>
      <w:pPr>
        <w:spacing w:after="0" w:line="240" w:lineRule="auto"/>
        <w:rPr>
          <w:rFonts w:ascii="Arial Unicode MS" w:eastAsia="Arial Unicode MS" w:hAnsi="Arial Unicode MS" w:cs="Arial Unicode MS"/>
          <w:i/>
          <w:noProof/>
          <w:color w:val="4F81BD"/>
          <w:sz w:val="22"/>
          <w:szCs w:val="22"/>
          <w:u w:val="none"/>
        </w:rPr>
      </w:pPr>
      <w:r>
        <w:rPr>
          <w:rFonts w:ascii="Arial Unicode MS" w:hAnsi="Arial Unicode MS"/>
          <w:i/>
          <w:noProof/>
          <w:color w:val="4F81BD"/>
          <w:sz w:val="22"/>
          <w:szCs w:val="22"/>
          <w:u w:val="none"/>
        </w:rPr>
        <w:t>Гарантиране на свободата на установяване</w:t>
      </w:r>
    </w:p>
    <w:p>
      <w:pPr>
        <w:spacing w:before="200"/>
        <w:rPr>
          <w:noProof/>
          <w:color w:val="FFFFFF" w:themeColor="background1"/>
          <w:u w:val="none"/>
        </w:rPr>
      </w:pPr>
      <w:r>
        <w:rPr>
          <w:noProof/>
          <w:color w:val="FFFFFF" w:themeColor="background1"/>
          <w:u w:val="none"/>
          <w:lang w:val="en-GB" w:eastAsia="en-GB"/>
        </w:rPr>
        <w:drawing>
          <wp:anchor distT="0" distB="0" distL="114300" distR="114300" simplePos="0" relativeHeight="251656192" behindDoc="0" locked="0" layoutInCell="1" allowOverlap="1">
            <wp:simplePos x="0" y="0"/>
            <wp:positionH relativeFrom="column">
              <wp:posOffset>7620</wp:posOffset>
            </wp:positionH>
            <wp:positionV relativeFrom="paragraph">
              <wp:posOffset>404495</wp:posOffset>
            </wp:positionV>
            <wp:extent cx="2781300" cy="278130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age 16_small size.jpg"/>
                    <pic:cNvPicPr/>
                  </pic:nvPicPr>
                  <pic:blipFill>
                    <a:blip r:embed="rId120" cstate="email">
                      <a:extLst>
                        <a:ext uri="{28A0092B-C50C-407E-A947-70E740481C1C}">
                          <a14:useLocalDpi xmlns:a14="http://schemas.microsoft.com/office/drawing/2010/main"/>
                        </a:ext>
                      </a:extLst>
                    </a:blip>
                    <a:stretch>
                      <a:fillRect/>
                    </a:stretch>
                  </pic:blipFill>
                  <pic:spPr>
                    <a:xfrm>
                      <a:off x="0" y="0"/>
                      <a:ext cx="2781300" cy="278130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4573"/>
      </w:tblGrid>
      <w:tr>
        <w:trPr>
          <w:trHeight w:val="4344"/>
        </w:trPr>
        <w:tc>
          <w:tcPr>
            <w:tcW w:w="4573" w:type="dxa"/>
            <w:shd w:val="clear" w:color="auto" w:fill="8DB3E2" w:themeFill="text2" w:themeFillTint="66"/>
          </w:tcPr>
          <w:p>
            <w:pPr>
              <w:spacing w:before="60" w:after="60" w:line="240" w:lineRule="auto"/>
              <w:jc w:val="both"/>
              <w:rPr>
                <w:noProof/>
                <w:color w:val="FFFFFF" w:themeColor="background1"/>
                <w:u w:val="none"/>
              </w:rPr>
            </w:pPr>
          </w:p>
          <w:p>
            <w:pPr>
              <w:spacing w:before="60" w:after="60" w:line="240" w:lineRule="auto"/>
              <w:jc w:val="both"/>
              <w:rPr>
                <w:noProof/>
                <w:color w:val="FFFFFF" w:themeColor="background1"/>
                <w:u w:val="none"/>
              </w:rPr>
            </w:pPr>
            <w:r>
              <w:rPr>
                <w:noProof/>
                <w:color w:val="FFFFFF" w:themeColor="background1"/>
                <w:u w:val="none"/>
              </w:rPr>
              <w:t xml:space="preserve">В областта на свободата на установяване и предоставяне на услуги през 2018 г. Комисията предприе действия срещу всички държави членки (освен Литва), тъй като не бяха превели законодателството си в съответствие с </w:t>
            </w:r>
            <w:hyperlink r:id="rId121" w:history="1">
              <w:r>
                <w:rPr>
                  <w:rStyle w:val="Hyperlink"/>
                  <w:noProof/>
                  <w:u w:val="none"/>
                </w:rPr>
                <w:t>Директивата за професионалните квалификации</w:t>
              </w:r>
            </w:hyperlink>
            <w:r>
              <w:rPr>
                <w:noProof/>
                <w:color w:val="FFFFFF" w:themeColor="background1"/>
                <w:u w:val="none"/>
              </w:rPr>
              <w:t>. Няколко национални правила не отговарят на Директивата. Те се отнасят до въвеждането на европейска професионална карта, механизма за предупреждение, възможността за частичен достъп до професионална дейност, пропорционалността на езиковите изисквания, създаването на центрове за помощ и задълженията за докладване и уведомяване.</w:t>
            </w:r>
          </w:p>
        </w:tc>
      </w:tr>
    </w:tbl>
    <w:p>
      <w:pPr>
        <w:spacing w:line="240" w:lineRule="auto"/>
        <w:rPr>
          <w:rFonts w:ascii="Arial Unicode MS" w:eastAsia="Arial Unicode MS" w:hAnsi="Arial Unicode MS" w:cs="Arial Unicode MS"/>
          <w:i/>
          <w:noProof/>
          <w:color w:val="4F81BD"/>
          <w:sz w:val="22"/>
          <w:szCs w:val="22"/>
          <w:u w:val="none"/>
        </w:rPr>
      </w:pPr>
    </w:p>
    <w:p>
      <w:pPr>
        <w:spacing w:line="240" w:lineRule="auto"/>
        <w:rPr>
          <w:rFonts w:ascii="Arial Unicode MS" w:eastAsia="Arial Unicode MS" w:hAnsi="Arial Unicode MS" w:cs="Arial Unicode MS"/>
          <w:i/>
          <w:noProof/>
          <w:color w:val="4F81BD"/>
          <w:sz w:val="22"/>
          <w:szCs w:val="22"/>
          <w:u w:val="none"/>
        </w:rPr>
      </w:pPr>
      <w:r>
        <w:rPr>
          <w:rFonts w:ascii="Arial Unicode MS" w:hAnsi="Arial Unicode MS"/>
          <w:i/>
          <w:noProof/>
          <w:color w:val="4F81BD"/>
          <w:sz w:val="22"/>
          <w:szCs w:val="22"/>
          <w:u w:val="none"/>
        </w:rPr>
        <w:t>По-добра информация и съдействие за гражданите и предприятията</w:t>
      </w:r>
    </w:p>
    <w:p>
      <w:pPr>
        <w:spacing w:line="240" w:lineRule="auto"/>
        <w:jc w:val="both"/>
        <w:rPr>
          <w:noProof/>
          <w:u w:val="none"/>
        </w:rPr>
      </w:pPr>
      <w:r>
        <w:rPr>
          <w:noProof/>
          <w:u w:val="none"/>
          <w:lang w:val="en-GB" w:eastAsia="en-GB"/>
        </w:rPr>
        <w:drawing>
          <wp:anchor distT="0" distB="0" distL="114300" distR="114300" simplePos="0" relativeHeight="251671552" behindDoc="0" locked="0" layoutInCell="1" allowOverlap="1">
            <wp:simplePos x="0" y="0"/>
            <wp:positionH relativeFrom="column">
              <wp:posOffset>4445</wp:posOffset>
            </wp:positionH>
            <wp:positionV relativeFrom="paragraph">
              <wp:posOffset>53975</wp:posOffset>
            </wp:positionV>
            <wp:extent cx="3030974" cy="2781774"/>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age 16.2_small sizejpg.jpg"/>
                    <pic:cNvPicPr/>
                  </pic:nvPicPr>
                  <pic:blipFill>
                    <a:blip r:embed="rId122" cstate="email">
                      <a:extLst>
                        <a:ext uri="{28A0092B-C50C-407E-A947-70E740481C1C}">
                          <a14:useLocalDpi xmlns:a14="http://schemas.microsoft.com/office/drawing/2010/main"/>
                        </a:ext>
                      </a:extLst>
                    </a:blip>
                    <a:stretch>
                      <a:fillRect/>
                    </a:stretch>
                  </pic:blipFill>
                  <pic:spPr>
                    <a:xfrm>
                      <a:off x="0" y="0"/>
                      <a:ext cx="3030974" cy="2781774"/>
                    </a:xfrm>
                    <a:prstGeom prst="rect">
                      <a:avLst/>
                    </a:prstGeom>
                  </pic:spPr>
                </pic:pic>
              </a:graphicData>
            </a:graphic>
            <wp14:sizeRelH relativeFrom="margin">
              <wp14:pctWidth>0</wp14:pctWidth>
            </wp14:sizeRelH>
            <wp14:sizeRelV relativeFrom="margin">
              <wp14:pctHeight>0</wp14:pctHeight>
            </wp14:sizeRelV>
          </wp:anchor>
        </w:drawing>
      </w:r>
      <w:r>
        <w:rPr>
          <w:noProof/>
          <w:u w:val="none"/>
        </w:rPr>
        <w:t xml:space="preserve">През 2018 г., когато бе отбелязана 25-та годишнина на единния пазар, Комисията съсредоточи работата си върху това да се гарантира, че правилата на единния пазар носят конкретни ползи на място. Комисията положи по-големи усилия за информиране на гражданите и предприятията за техните права и задължения чрез портала „Вашата Европа“, крайъгълния камък на бъдещия единен цифров портал. Гражданите и предприятията могат да се радват на многото ползи от единния пазар само ако съвместно договорените правила се прилагат на практика. В съответствие с този политически приоритет и като последица от </w:t>
      </w:r>
      <w:hyperlink r:id="rId123" w:history="1">
        <w:r>
          <w:rPr>
            <w:rStyle w:val="Hyperlink"/>
            <w:noProof/>
            <w:u w:val="none"/>
          </w:rPr>
          <w:t>плана за действие SOLVIT</w:t>
        </w:r>
      </w:hyperlink>
      <w:r>
        <w:rPr>
          <w:noProof/>
          <w:u w:val="none"/>
        </w:rPr>
        <w:t xml:space="preserve"> държавите членки се възползваха от информацията, предоставена от SOLVIT и услугата „Вашата Европа - Съвети“, за да работят за отстраняване на повтарящите се нарушения на правото на ЕС. Базата данни на „Вашата Европа - Съвети“ съдържа над 265 000 случая от реалния живот, които дават отлична представа за различните начини, по които гражданите и предприятията могат да извлекат полза от единния пазар.</w:t>
      </w:r>
    </w:p>
    <w:p>
      <w:pPr>
        <w:spacing w:after="0" w:line="240" w:lineRule="auto"/>
        <w:jc w:val="both"/>
        <w:rPr>
          <w:rFonts w:ascii="Arial Unicode MS" w:eastAsia="Arial Unicode MS" w:hAnsi="Arial Unicode MS" w:cs="Arial Unicode MS"/>
          <w:i/>
          <w:noProof/>
          <w:color w:val="8DB3E2" w:themeColor="text2" w:themeTint="66"/>
          <w:sz w:val="22"/>
          <w:szCs w:val="22"/>
          <w:u w:val="none"/>
        </w:rPr>
      </w:pPr>
      <w:r>
        <w:rPr>
          <w:noProof/>
          <w:u w:val="none"/>
        </w:rPr>
        <w:t xml:space="preserve">През 2018 г. широко беше използвано </w:t>
      </w:r>
      <w:hyperlink r:id="rId124" w:history="1">
        <w:r>
          <w:rPr>
            <w:rStyle w:val="Hyperlink"/>
            <w:noProof/>
            <w:u w:val="none"/>
          </w:rPr>
          <w:t>взаимното свързване на търговските регистри</w:t>
        </w:r>
      </w:hyperlink>
      <w:r>
        <w:rPr>
          <w:noProof/>
          <w:u w:val="none"/>
        </w:rPr>
        <w:t xml:space="preserve">, което улеснява намирането на фирмена информация в ЕС чрез единен </w:t>
      </w:r>
      <w:r>
        <w:rPr>
          <w:rStyle w:val="Hyperlink"/>
          <w:noProof/>
          <w:u w:val="none"/>
        </w:rPr>
        <w:t>Европейски портал за електронно правосъдие</w:t>
      </w:r>
      <w:r>
        <w:rPr>
          <w:noProof/>
          <w:u w:val="none"/>
        </w:rPr>
        <w:t>. Бяха осъществени над 372 000 търсения на фирмена информация и отправени над 241 000 искания за фирмени данни.</w:t>
      </w:r>
      <w:r>
        <w:rPr>
          <w:noProof/>
          <w:u w:val="none"/>
        </w:rPr>
        <w:br w:type="page"/>
      </w:r>
    </w:p>
    <w:p>
      <w:pPr>
        <w:spacing w:before="360" w:line="260" w:lineRule="exact"/>
        <w:jc w:val="both"/>
        <w:rPr>
          <w:rFonts w:ascii="Arial Unicode MS" w:eastAsia="Arial Unicode MS" w:hAnsi="Arial Unicode MS" w:cs="Arial Unicode MS"/>
          <w:i/>
          <w:noProof/>
          <w:color w:val="4F81BD"/>
          <w:sz w:val="22"/>
          <w:szCs w:val="22"/>
          <w:u w:val="none"/>
        </w:rPr>
      </w:pPr>
      <w:r>
        <w:rPr>
          <w:rFonts w:ascii="Arial Unicode MS" w:hAnsi="Arial Unicode MS"/>
          <w:i/>
          <w:noProof/>
          <w:color w:val="4F81BD"/>
          <w:sz w:val="22"/>
          <w:szCs w:val="22"/>
          <w:u w:val="none"/>
        </w:rPr>
        <w:t>Прилагане на съюза на капиталовите пазари, правилата за финансовите услуги и свободното движение на капитали</w:t>
      </w:r>
    </w:p>
    <w:p>
      <w:pPr>
        <w:jc w:val="both"/>
        <w:rPr>
          <w:noProof/>
          <w:u w:val="none"/>
        </w:rPr>
      </w:pPr>
      <w:r>
        <w:rPr>
          <w:noProof/>
          <w:lang w:val="en-GB" w:eastAsia="en-GB"/>
        </w:rPr>
        <w:drawing>
          <wp:anchor distT="0" distB="0" distL="114300" distR="114300" simplePos="0" relativeHeight="251663360" behindDoc="0" locked="0" layoutInCell="1" allowOverlap="1">
            <wp:simplePos x="0" y="0"/>
            <wp:positionH relativeFrom="column">
              <wp:posOffset>4445</wp:posOffset>
            </wp:positionH>
            <wp:positionV relativeFrom="paragraph">
              <wp:posOffset>4445</wp:posOffset>
            </wp:positionV>
            <wp:extent cx="3346450" cy="2457450"/>
            <wp:effectExtent l="0" t="0" r="635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0115550001.jpg"/>
                    <pic:cNvPicPr/>
                  </pic:nvPicPr>
                  <pic:blipFill>
                    <a:blip r:embed="rId125" cstate="email">
                      <a:extLst>
                        <a:ext uri="{28A0092B-C50C-407E-A947-70E740481C1C}">
                          <a14:useLocalDpi xmlns:a14="http://schemas.microsoft.com/office/drawing/2010/main"/>
                        </a:ext>
                      </a:extLst>
                    </a:blip>
                    <a:stretch>
                      <a:fillRect/>
                    </a:stretch>
                  </pic:blipFill>
                  <pic:spPr>
                    <a:xfrm>
                      <a:off x="0" y="0"/>
                      <a:ext cx="3346450" cy="2457450"/>
                    </a:xfrm>
                    <a:prstGeom prst="rect">
                      <a:avLst/>
                    </a:prstGeom>
                  </pic:spPr>
                </pic:pic>
              </a:graphicData>
            </a:graphic>
            <wp14:sizeRelH relativeFrom="margin">
              <wp14:pctWidth>0</wp14:pctWidth>
            </wp14:sizeRelH>
            <wp14:sizeRelV relativeFrom="margin">
              <wp14:pctHeight>0</wp14:pctHeight>
            </wp14:sizeRelV>
          </wp:anchor>
        </w:drawing>
      </w:r>
      <w:r>
        <w:rPr>
          <w:noProof/>
          <w:u w:val="none"/>
        </w:rPr>
        <w:t>Приетите след финансовата криза директиви трябва да се изпълняват правилно, за да се повиши устойчивостта и стабилността на финансовия сектор и да се подобри защитата на инвеститорите. Прилагането на някои от тези директиви е важно също така за постигането на съюза на капиталовите пазари. Целта на този съюз е подобряване на достъпа до финансиране, по-специално за иновативни дружества и за стартиращи или малки и средни предприятия. Освен това той повишава привлекателността на капиталовите пазари за инвеститорите на дребно и институционалните инвеститори, както и улеснява трансграничните инвестиции.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60" w:line="240" w:lineRule="auto"/>
              <w:jc w:val="both"/>
              <w:rPr>
                <w:rStyle w:val="Hyperlink"/>
                <w:noProof/>
                <w:color w:val="FFFFFF" w:themeColor="background1"/>
                <w:u w:val="none"/>
              </w:rPr>
            </w:pPr>
            <w:r>
              <w:rPr>
                <w:noProof/>
                <w:color w:val="FFFFFF"/>
                <w:u w:val="none"/>
              </w:rPr>
              <w:t xml:space="preserve">През 2018 г. Комисията откри процедури за установяване на неизпълнение на задължения, тъй като някои държави членки не бяха приложили своевременно </w:t>
            </w:r>
            <w:hyperlink r:id="rId126" w:history="1">
              <w:r>
                <w:rPr>
                  <w:rStyle w:val="Hyperlink"/>
                  <w:noProof/>
                  <w:u w:val="none"/>
                </w:rPr>
                <w:t>Директивата относно разпространението на застрахователни продукти</w:t>
              </w:r>
            </w:hyperlink>
            <w:r>
              <w:rPr>
                <w:noProof/>
                <w:color w:val="FFFFFF"/>
                <w:u w:val="none"/>
              </w:rPr>
              <w:t xml:space="preserve"> </w:t>
            </w:r>
            <w:r>
              <w:rPr>
                <w:noProof/>
                <w:color w:val="FFFFFF" w:themeColor="background1"/>
                <w:u w:val="none"/>
              </w:rPr>
              <w:t xml:space="preserve">и </w:t>
            </w:r>
            <w:hyperlink r:id="rId127" w:history="1">
              <w:r>
                <w:rPr>
                  <w:rStyle w:val="Hyperlink"/>
                  <w:noProof/>
                  <w:u w:val="none"/>
                </w:rPr>
                <w:t>Директивата за платежните услуги</w:t>
              </w:r>
            </w:hyperlink>
            <w:r>
              <w:rPr>
                <w:noProof/>
                <w:u w:val="none"/>
              </w:rPr>
              <w:t xml:space="preserve"> </w:t>
            </w:r>
            <w:r>
              <w:rPr>
                <w:noProof/>
                <w:color w:val="FFFFFF" w:themeColor="background1"/>
                <w:u w:val="none"/>
              </w:rPr>
              <w:t>в националното законодателство.</w:t>
            </w:r>
          </w:p>
          <w:p>
            <w:pPr>
              <w:spacing w:before="60" w:after="60" w:line="240" w:lineRule="auto"/>
              <w:jc w:val="both"/>
              <w:rPr>
                <w:rFonts w:eastAsia="Times New Roman"/>
                <w:noProof/>
                <w:color w:val="FFFFFF"/>
                <w:u w:val="none"/>
              </w:rPr>
            </w:pPr>
            <w:r>
              <w:rPr>
                <w:rStyle w:val="Hyperlink"/>
                <w:noProof/>
                <w:color w:val="FFFFFF" w:themeColor="background1"/>
                <w:u w:val="none"/>
              </w:rPr>
              <w:t xml:space="preserve">Освен това Комисията продължи процедурите за установяване на неизпълнение на задължения срещу </w:t>
            </w:r>
            <w:hyperlink r:id="rId128" w:history="1">
              <w:r>
                <w:rPr>
                  <w:rStyle w:val="Hyperlink"/>
                  <w:noProof/>
                  <w:color w:val="FFFFFF" w:themeColor="background1"/>
                  <w:u w:val="none"/>
                </w:rPr>
                <w:t>Испания</w:t>
              </w:r>
            </w:hyperlink>
            <w:r>
              <w:rPr>
                <w:rStyle w:val="Hyperlink"/>
                <w:noProof/>
                <w:color w:val="FFFFFF" w:themeColor="background1"/>
                <w:u w:val="none"/>
              </w:rPr>
              <w:t xml:space="preserve"> и </w:t>
            </w:r>
            <w:hyperlink r:id="rId129" w:history="1">
              <w:r>
                <w:rPr>
                  <w:rStyle w:val="Hyperlink"/>
                  <w:noProof/>
                  <w:color w:val="FFFFFF" w:themeColor="background1"/>
                  <w:u w:val="none"/>
                </w:rPr>
                <w:t>Словения</w:t>
              </w:r>
            </w:hyperlink>
            <w:r>
              <w:rPr>
                <w:rStyle w:val="Hyperlink"/>
                <w:noProof/>
                <w:color w:val="FFFFFF" w:themeColor="background1"/>
                <w:u w:val="none"/>
              </w:rPr>
              <w:t xml:space="preserve">, тъй като те не бяха приложили своевременно </w:t>
            </w:r>
            <w:hyperlink r:id="rId130" w:history="1">
              <w:r>
                <w:rPr>
                  <w:rStyle w:val="Hyperlink"/>
                  <w:noProof/>
                  <w:color w:val="FFFFFF" w:themeColor="background1"/>
                  <w:u w:val="none"/>
                </w:rPr>
                <w:t>Директивата за счетоводството и одита</w:t>
              </w:r>
            </w:hyperlink>
            <w:r>
              <w:rPr>
                <w:rStyle w:val="Hyperlink"/>
                <w:noProof/>
                <w:color w:val="FFFFFF" w:themeColor="background1"/>
                <w:u w:val="none"/>
              </w:rPr>
              <w:t xml:space="preserve"> и </w:t>
            </w:r>
            <w:hyperlink r:id="rId131" w:history="1">
              <w:r>
                <w:rPr>
                  <w:rStyle w:val="Hyperlink"/>
                  <w:noProof/>
                  <w:color w:val="FFFFFF" w:themeColor="background1"/>
                  <w:u w:val="none"/>
                </w:rPr>
                <w:t>Директивата за платежните сметки</w:t>
              </w:r>
            </w:hyperlink>
            <w:r>
              <w:rPr>
                <w:rStyle w:val="Hyperlink"/>
                <w:noProof/>
                <w:color w:val="FFFFFF" w:themeColor="background1"/>
                <w:u w:val="none"/>
              </w:rPr>
              <w:t>.</w:t>
            </w:r>
          </w:p>
        </w:tc>
      </w:tr>
    </w:tbl>
    <w:p>
      <w:pPr>
        <w:spacing w:before="200" w:after="120"/>
        <w:jc w:val="both"/>
        <w:rPr>
          <w:noProof/>
          <w:u w:val="none"/>
        </w:rPr>
      </w:pPr>
      <w:r>
        <w:rPr>
          <w:noProof/>
          <w:u w:val="none"/>
        </w:rPr>
        <w:t>С Директивата за пазарите на финансови инструменти се цели да се подобри защитата на инвеститорите, да се засили единният пазар и да се създадат прозрачни, добре надзиравани, конкурентни и стабилни условия на търговия на пазарите в цялото Европейско икономическо пространство.</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60" w:line="240" w:lineRule="auto"/>
              <w:jc w:val="both"/>
              <w:rPr>
                <w:rFonts w:eastAsia="Times New Roman"/>
                <w:noProof/>
                <w:color w:val="FFFFFF"/>
                <w:u w:val="none"/>
              </w:rPr>
            </w:pPr>
            <w:r>
              <w:rPr>
                <w:noProof/>
                <w:color w:val="FFFFFF"/>
                <w:u w:val="none"/>
              </w:rPr>
              <w:t xml:space="preserve">Комисията продължи процедурата за установяване на неизпълнение на задължения срещу </w:t>
            </w:r>
            <w:hyperlink r:id="rId132" w:history="1">
              <w:r>
                <w:rPr>
                  <w:rStyle w:val="Hyperlink"/>
                  <w:noProof/>
                  <w:u w:val="none"/>
                </w:rPr>
                <w:t>Словения</w:t>
              </w:r>
            </w:hyperlink>
            <w:r>
              <w:rPr>
                <w:noProof/>
                <w:color w:val="FFFFFF"/>
                <w:u w:val="none"/>
              </w:rPr>
              <w:t xml:space="preserve"> за ненавременно изпълнение на Директивата за пазарите на финансови инструменти в националното законодателство.</w:t>
            </w:r>
          </w:p>
        </w:tc>
      </w:tr>
    </w:tbl>
    <w:p>
      <w:pPr>
        <w:spacing w:before="200" w:after="120"/>
        <w:jc w:val="both"/>
        <w:rPr>
          <w:noProof/>
          <w:u w:val="none"/>
        </w:rPr>
      </w:pPr>
      <w:r>
        <w:rPr>
          <w:noProof/>
          <w:u w:val="none"/>
        </w:rPr>
        <w:t>Правилата на ЕС гарантират, че инвеститорите ще могат да вземат информирани решения и ще бъдат убедени, че са защитени по подходящ начин, като ще имат право също така на обезщетение, ако нещо се обърка.</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60" w:line="240" w:lineRule="auto"/>
              <w:jc w:val="both"/>
              <w:rPr>
                <w:rFonts w:eastAsia="Times New Roman"/>
                <w:noProof/>
                <w:color w:val="FFFFFF"/>
                <w:u w:val="none"/>
              </w:rPr>
            </w:pPr>
            <w:r>
              <w:rPr>
                <w:noProof/>
                <w:color w:val="FFFFFF" w:themeColor="background1"/>
                <w:u w:val="none"/>
              </w:rPr>
              <w:t xml:space="preserve">Комисията откри производство за установяване на неизпълнение на задължения срещу Кипър поради отлагането на плащането на обезщетение за неопределен срок в нарушение на </w:t>
            </w:r>
            <w:hyperlink r:id="rId133" w:history="1">
              <w:r>
                <w:rPr>
                  <w:rStyle w:val="Hyperlink"/>
                  <w:noProof/>
                  <w:color w:val="FFFFFF" w:themeColor="background1"/>
                  <w:u w:val="none"/>
                </w:rPr>
                <w:t>Директивата относно схемите за обезщетение на инвеститорите</w:t>
              </w:r>
            </w:hyperlink>
            <w:r>
              <w:rPr>
                <w:noProof/>
                <w:u w:val="none"/>
              </w:rPr>
              <w:t>.</w:t>
            </w:r>
          </w:p>
        </w:tc>
      </w:tr>
    </w:tbl>
    <w:p>
      <w:pPr>
        <w:spacing w:before="200" w:after="120"/>
        <w:jc w:val="both"/>
        <w:rPr>
          <w:noProof/>
          <w:spacing w:val="-4"/>
          <w:u w:val="none"/>
        </w:rPr>
      </w:pPr>
      <w:r>
        <w:rPr>
          <w:noProof/>
          <w:spacing w:val="-4"/>
          <w:u w:val="none"/>
        </w:rPr>
        <w:t>Що се отнася до свободното движение на капитали, в миналото Комисията образува производства за установяване на неизпълнение на задължения срещу пет държави членки във връзка със системата на двустранни инвестиционни договори между държави от ЕС, която позволява на инвеститорите от ЕС да предявяват искове срещу държави членки пред арбитражни съдилища.</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8" w:type="dxa"/>
            <w:shd w:val="clear" w:color="auto" w:fill="8DB3E2" w:themeFill="text2" w:themeFillTint="66"/>
          </w:tcPr>
          <w:p>
            <w:pPr>
              <w:spacing w:before="60" w:after="60" w:line="240" w:lineRule="auto"/>
              <w:jc w:val="both"/>
              <w:rPr>
                <w:rFonts w:eastAsia="Times New Roman"/>
                <w:noProof/>
                <w:color w:val="FFFFFF"/>
                <w:u w:val="none"/>
              </w:rPr>
            </w:pPr>
            <w:r>
              <w:rPr>
                <w:noProof/>
                <w:color w:val="FFFFFF" w:themeColor="background1"/>
                <w:u w:val="none"/>
              </w:rPr>
              <w:t>През 2018 г. Съдът постанови по</w:t>
            </w:r>
            <w:r>
              <w:rPr>
                <w:noProof/>
                <w:u w:val="none"/>
              </w:rPr>
              <w:t xml:space="preserve"> </w:t>
            </w:r>
            <w:hyperlink r:id="rId134" w:history="1">
              <w:r>
                <w:rPr>
                  <w:rStyle w:val="Hyperlink"/>
                  <w:noProof/>
                  <w:u w:val="none"/>
                </w:rPr>
                <w:t>дело Achmea</w:t>
              </w:r>
            </w:hyperlink>
            <w:r>
              <w:rPr>
                <w:noProof/>
                <w:u w:val="none"/>
              </w:rPr>
              <w:t xml:space="preserve">, </w:t>
            </w:r>
            <w:r>
              <w:rPr>
                <w:noProof/>
                <w:color w:val="FFFFFF" w:themeColor="background1"/>
                <w:u w:val="none"/>
              </w:rPr>
              <w:t>че тази арбитражна система не е съвместима с правото на ЕС. Комисията следи отблизо последващите действия на държавите членки след решението на Съда.</w:t>
            </w:r>
          </w:p>
        </w:tc>
      </w:tr>
    </w:tbl>
    <w:p>
      <w:pPr>
        <w:spacing w:after="0" w:line="240" w:lineRule="auto"/>
        <w:rPr>
          <w:rFonts w:ascii="Arial Unicode MS" w:eastAsia="Arial Unicode MS" w:hAnsi="Arial Unicode MS" w:cs="Arial Unicode MS"/>
          <w:i/>
          <w:noProof/>
          <w:color w:val="4F81BD"/>
          <w:sz w:val="22"/>
          <w:szCs w:val="22"/>
          <w:u w:val="none"/>
        </w:rPr>
      </w:pPr>
      <w:r>
        <w:rPr>
          <w:noProof/>
        </w:rPr>
        <w:br w:type="page"/>
      </w:r>
    </w:p>
    <w:p>
      <w:pPr>
        <w:spacing w:after="0" w:line="240" w:lineRule="auto"/>
        <w:rPr>
          <w:rFonts w:ascii="Arial Unicode MS" w:eastAsia="Arial Unicode MS" w:hAnsi="Arial Unicode MS" w:cs="Arial Unicode MS"/>
          <w:i/>
          <w:noProof/>
          <w:color w:val="4F81BD"/>
          <w:sz w:val="22"/>
          <w:szCs w:val="22"/>
          <w:u w:val="none"/>
        </w:rPr>
      </w:pPr>
      <w:r>
        <w:rPr>
          <w:rFonts w:ascii="Arial Unicode MS" w:hAnsi="Arial Unicode MS"/>
          <w:i/>
          <w:noProof/>
          <w:color w:val="4F81BD"/>
          <w:sz w:val="22"/>
          <w:szCs w:val="22"/>
          <w:u w:val="none"/>
        </w:rPr>
        <w:t>Прилагане на правилата в областта на данъчното облагане и митниците</w:t>
      </w:r>
    </w:p>
    <w:p>
      <w:pPr>
        <w:spacing w:before="240" w:after="120"/>
        <w:jc w:val="both"/>
        <w:rPr>
          <w:noProof/>
          <w:u w:val="none"/>
        </w:rPr>
      </w:pPr>
      <w:r>
        <w:rPr>
          <w:noProof/>
          <w:u w:val="none"/>
          <w:lang w:val="en-GB" w:eastAsia="en-GB"/>
        </w:rPr>
        <w:drawing>
          <wp:anchor distT="0" distB="0" distL="114300" distR="114300" simplePos="0" relativeHeight="251643904" behindDoc="0" locked="0" layoutInCell="1" allowOverlap="1">
            <wp:simplePos x="0" y="0"/>
            <wp:positionH relativeFrom="column">
              <wp:posOffset>4445</wp:posOffset>
            </wp:positionH>
            <wp:positionV relativeFrom="paragraph">
              <wp:posOffset>78740</wp:posOffset>
            </wp:positionV>
            <wp:extent cx="2672730" cy="2004696"/>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age 18 small size.jpg"/>
                    <pic:cNvPicPr/>
                  </pic:nvPicPr>
                  <pic:blipFill>
                    <a:blip r:embed="rId135" cstate="email">
                      <a:extLst>
                        <a:ext uri="{28A0092B-C50C-407E-A947-70E740481C1C}">
                          <a14:useLocalDpi xmlns:a14="http://schemas.microsoft.com/office/drawing/2010/main"/>
                        </a:ext>
                      </a:extLst>
                    </a:blip>
                    <a:stretch>
                      <a:fillRect/>
                    </a:stretch>
                  </pic:blipFill>
                  <pic:spPr>
                    <a:xfrm>
                      <a:off x="0" y="0"/>
                      <a:ext cx="2672730" cy="2004696"/>
                    </a:xfrm>
                    <a:prstGeom prst="rect">
                      <a:avLst/>
                    </a:prstGeom>
                  </pic:spPr>
                </pic:pic>
              </a:graphicData>
            </a:graphic>
          </wp:anchor>
        </w:drawing>
      </w:r>
      <w:r>
        <w:rPr>
          <w:noProof/>
          <w:u w:val="none"/>
        </w:rPr>
        <w:t xml:space="preserve">Стратегията на Комисията за правоприлагане в областта на митниците беше насочена към гарантиране, че държавите членки прилагат правилно и еднакво </w:t>
      </w:r>
      <w:hyperlink r:id="rId136" w:history="1">
        <w:r>
          <w:rPr>
            <w:rStyle w:val="Hyperlink"/>
            <w:noProof/>
            <w:u w:val="none"/>
          </w:rPr>
          <w:t>Митническия кодекс на Съюза</w:t>
        </w:r>
      </w:hyperlink>
      <w:r>
        <w:rPr>
          <w:noProof/>
          <w:u w:val="none"/>
        </w:rPr>
        <w:t>, както и към разкриване на такси с равностоен на мито ефект дори в рамките на ЕС.</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60" w:line="240" w:lineRule="auto"/>
              <w:jc w:val="both"/>
              <w:rPr>
                <w:rFonts w:eastAsia="Times New Roman"/>
                <w:noProof/>
                <w:color w:val="FFFFFF"/>
                <w:u w:val="none"/>
              </w:rPr>
            </w:pPr>
            <w:r>
              <w:rPr>
                <w:noProof/>
                <w:color w:val="FFFFFF" w:themeColor="background1"/>
                <w:u w:val="none"/>
              </w:rPr>
              <w:t>След като Комисията започна разследване, белгийските органи измениха правилата си, за да премахнат ограничение за пряко митническо представителство, което беше в противоречие с</w:t>
            </w:r>
            <w:r>
              <w:rPr>
                <w:noProof/>
                <w:u w:val="none"/>
              </w:rPr>
              <w:t xml:space="preserve"> </w:t>
            </w:r>
            <w:hyperlink r:id="rId137" w:history="1">
              <w:r>
                <w:rPr>
                  <w:rStyle w:val="Hyperlink"/>
                  <w:noProof/>
                  <w:u w:val="none"/>
                </w:rPr>
                <w:t>Митническия кодекс на Съюза</w:t>
              </w:r>
            </w:hyperlink>
            <w:r>
              <w:rPr>
                <w:noProof/>
                <w:u w:val="none"/>
              </w:rPr>
              <w:t>.</w:t>
            </w:r>
          </w:p>
        </w:tc>
      </w:tr>
    </w:tbl>
    <w:p>
      <w:pPr>
        <w:spacing w:before="200"/>
        <w:jc w:val="both"/>
        <w:rPr>
          <w:noProof/>
          <w:u w:val="none"/>
        </w:rPr>
      </w:pPr>
      <w:r>
        <w:rPr>
          <w:noProof/>
          <w:u w:val="none"/>
        </w:rPr>
        <w:t>Комисията направи проучване, за да провери пощенските такси в държавите членки. Тези такси могат да бъдат в противоречие с митническото право на ЕС, а именно правилата за митническо представителство и забраната за налагане на такси за митнически формалности.</w:t>
      </w:r>
    </w:p>
    <w:p>
      <w:pPr>
        <w:spacing w:before="200"/>
        <w:jc w:val="both"/>
        <w:rPr>
          <w:noProof/>
          <w:u w:val="none"/>
        </w:rPr>
      </w:pPr>
      <w:r>
        <w:rPr>
          <w:noProof/>
          <w:u w:val="none"/>
        </w:rPr>
        <w:t>Що се отнася до непрякото данъчно облагане, усилията на Комисията във връзка с правоприлагането приоритетно бяха насочени към отстраняването на нередности, нарушаващи конкуренцията на вътрешния пазар или противоречащи на справедливото данъчно облагане.</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120" w:line="240" w:lineRule="auto"/>
              <w:jc w:val="both"/>
              <w:rPr>
                <w:rFonts w:eastAsia="Times New Roman"/>
                <w:noProof/>
                <w:color w:val="FFFFFF"/>
                <w:u w:val="none"/>
              </w:rPr>
            </w:pPr>
            <w:r>
              <w:rPr>
                <w:noProof/>
                <w:color w:val="FFFFFF" w:themeColor="background1"/>
                <w:u w:val="none"/>
              </w:rPr>
              <w:t>След разкритията в</w:t>
            </w:r>
            <w:hyperlink r:id="rId138" w:history="1">
              <w:r>
                <w:rPr>
                  <w:rStyle w:val="Hyperlink"/>
                  <w:noProof/>
                  <w:u w:val="none"/>
                </w:rPr>
                <w:t xml:space="preserve"> „Райските досиета“ (Paradise Papers)</w:t>
              </w:r>
            </w:hyperlink>
            <w:r>
              <w:rPr>
                <w:noProof/>
                <w:color w:val="FFFFFF" w:themeColor="background1"/>
                <w:u w:val="none"/>
              </w:rPr>
              <w:t xml:space="preserve"> за широко разпространено избягване на данъци в секторите на яхтите и въздухоплавателните средства, Комисията предприе правни действия срещу </w:t>
            </w:r>
            <w:hyperlink r:id="rId139" w:history="1">
              <w:r>
                <w:rPr>
                  <w:rStyle w:val="Hyperlink"/>
                  <w:noProof/>
                  <w:u w:val="none"/>
                </w:rPr>
                <w:t>Гърция</w:t>
              </w:r>
            </w:hyperlink>
            <w:r>
              <w:rPr>
                <w:noProof/>
                <w:u w:val="none"/>
              </w:rPr>
              <w:t xml:space="preserve">, </w:t>
            </w:r>
            <w:hyperlink r:id="rId140" w:history="1">
              <w:r>
                <w:rPr>
                  <w:rStyle w:val="Hyperlink"/>
                  <w:noProof/>
                  <w:u w:val="none"/>
                </w:rPr>
                <w:t>Италия</w:t>
              </w:r>
            </w:hyperlink>
            <w:r>
              <w:rPr>
                <w:noProof/>
                <w:u w:val="none"/>
              </w:rPr>
              <w:t xml:space="preserve">, </w:t>
            </w:r>
            <w:hyperlink r:id="rId141" w:history="1">
              <w:r>
                <w:rPr>
                  <w:rStyle w:val="Hyperlink"/>
                  <w:noProof/>
                  <w:u w:val="none"/>
                </w:rPr>
                <w:t>Кипър</w:t>
              </w:r>
            </w:hyperlink>
            <w:r>
              <w:rPr>
                <w:noProof/>
                <w:u w:val="none"/>
              </w:rPr>
              <w:t>,</w:t>
            </w:r>
            <w:r>
              <w:rPr>
                <w:rStyle w:val="Hyperlink"/>
                <w:noProof/>
                <w:u w:val="none"/>
              </w:rPr>
              <w:t xml:space="preserve"> </w:t>
            </w:r>
            <w:hyperlink r:id="rId142" w:history="1">
              <w:r>
                <w:rPr>
                  <w:rStyle w:val="Hyperlink"/>
                  <w:noProof/>
                  <w:u w:val="none"/>
                </w:rPr>
                <w:t>Малта</w:t>
              </w:r>
            </w:hyperlink>
            <w:r>
              <w:rPr>
                <w:noProof/>
                <w:u w:val="none"/>
              </w:rPr>
              <w:t xml:space="preserve"> </w:t>
            </w:r>
            <w:r>
              <w:rPr>
                <w:noProof/>
                <w:color w:val="FFFFFF" w:themeColor="background1"/>
                <w:u w:val="none"/>
              </w:rPr>
              <w:t xml:space="preserve">и </w:t>
            </w:r>
            <w:hyperlink r:id="rId143" w:history="1">
              <w:r>
                <w:rPr>
                  <w:rStyle w:val="Hyperlink"/>
                  <w:noProof/>
                  <w:u w:val="none"/>
                </w:rPr>
                <w:t>Обединеното кралство</w:t>
              </w:r>
            </w:hyperlink>
            <w:r>
              <w:rPr>
                <w:noProof/>
                <w:u w:val="none"/>
              </w:rPr>
              <w:t xml:space="preserve">. </w:t>
            </w:r>
            <w:r>
              <w:rPr>
                <w:noProof/>
                <w:color w:val="FFFFFF" w:themeColor="background1"/>
                <w:u w:val="none"/>
              </w:rPr>
              <w:t>Тези държави членки са въвели данъчни мерки, благоприятни за секторите на яхтите и въздухоплавателните средства за развлечения, които противоречат на правото на ЕС.</w:t>
            </w:r>
          </w:p>
        </w:tc>
      </w:tr>
    </w:tbl>
    <w:p>
      <w:pPr>
        <w:spacing w:after="0"/>
        <w:jc w:val="both"/>
        <w:rPr>
          <w:noProof/>
          <w:u w:val="non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60" w:line="240" w:lineRule="auto"/>
              <w:jc w:val="both"/>
              <w:rPr>
                <w:rFonts w:eastAsia="Times New Roman"/>
                <w:noProof/>
                <w:color w:val="FFFFFF"/>
                <w:u w:val="none"/>
              </w:rPr>
            </w:pPr>
            <w:r>
              <w:rPr>
                <w:noProof/>
                <w:color w:val="FFFFFF" w:themeColor="background1"/>
                <w:u w:val="none"/>
              </w:rPr>
              <w:t xml:space="preserve">Директивата за ДДС позволява да се прилага специален режим за ДДС за земеделските стопани, които вероятно ще срещнат административни затруднения, ако следват общите правила за ДДС. Комисията предприе действия срещу </w:t>
            </w:r>
            <w:hyperlink r:id="rId144" w:history="1">
              <w:r>
                <w:rPr>
                  <w:rStyle w:val="Hyperlink"/>
                  <w:noProof/>
                  <w:u w:val="none"/>
                </w:rPr>
                <w:t>Германия</w:t>
              </w:r>
            </w:hyperlink>
            <w:r>
              <w:rPr>
                <w:noProof/>
                <w:color w:val="FFFFFF" w:themeColor="background1"/>
                <w:u w:val="none"/>
              </w:rPr>
              <w:t>, която приложи този специален режим по подразбиране за всички земеделски стопани, включително за собствениците на големи стопанства, които не биха се сблъскали с такива затруднения.</w:t>
            </w:r>
          </w:p>
        </w:tc>
      </w:tr>
    </w:tbl>
    <w:p>
      <w:pPr>
        <w:spacing w:before="200"/>
        <w:jc w:val="both"/>
        <w:rPr>
          <w:noProof/>
          <w:u w:val="none"/>
        </w:rPr>
      </w:pPr>
      <w:r>
        <w:rPr>
          <w:noProof/>
          <w:u w:val="none"/>
        </w:rPr>
        <w:t xml:space="preserve">Едно от предимствата на вътрешния пазар е, че гражданите и предприятията имат свободата да се преместват, осъществяват дейност и инвестират отвъд националните граници. Като се има предвид обаче, че прякото данъчно облагане не е хармонизирано в рамките на ЕС, тази свобода може да означава, че някои данъкоплатци успяват да избегнат или да укриват данъци в държавата по пребиваване. Поради това данъчните органи в ЕС се договориха за по-тясно сътрудничество с цел гарантиране на плащането на данъци и борба с данъчните измами и избягването на данъци. Това сътрудничество е залегнало в </w:t>
      </w:r>
      <w:hyperlink r:id="rId145" w:history="1">
        <w:r>
          <w:rPr>
            <w:rStyle w:val="Hyperlink"/>
            <w:noProof/>
            <w:u w:val="none"/>
          </w:rPr>
          <w:t>Директивата относно административното сътрудничество</w:t>
        </w:r>
      </w:hyperlink>
      <w:r>
        <w:rPr>
          <w:noProof/>
          <w:u w:val="none"/>
        </w:rPr>
        <w:t>. Във все по-глобализираната среда тази Директива дава възможност на държавите членки да гарантират, че всички техни данъкоплатци заплащат своя справедлив дял от данъците. Това е основният инструмент за прозрачност, с който да се води борба с практиките за укриване на данъци, разкрити при делото „Люкслийкс“ (LuxLeaks) и с документите от Панама и „Райските досиета“ (Paradise Papers).</w:t>
      </w:r>
    </w:p>
    <w:p>
      <w:pPr>
        <w:spacing w:before="200"/>
        <w:jc w:val="both"/>
        <w:rPr>
          <w:rStyle w:val="Hyperlink"/>
          <w:noProof/>
          <w:u w:val="none"/>
        </w:rPr>
      </w:pPr>
      <w:r>
        <w:rPr>
          <w:noProof/>
          <w:u w:val="none"/>
        </w:rPr>
        <w:t xml:space="preserve">През 2018 г. действията по правоприлагане на Комисията целяха да се гарантира, че държавите членки са приложили важни изменения на Директивата за административно сътрудничество по отношение на </w:t>
      </w:r>
      <w:hyperlink r:id="rId146" w:history="1">
        <w:r>
          <w:rPr>
            <w:rStyle w:val="Hyperlink"/>
            <w:noProof/>
            <w:u w:val="none"/>
          </w:rPr>
          <w:t>достъпа до информация за борбата с изпирането на пари</w:t>
        </w:r>
      </w:hyperlink>
      <w:r>
        <w:rPr>
          <w:rStyle w:val="Hyperlink"/>
          <w:noProof/>
          <w:u w:val="none"/>
        </w:rPr>
        <w:t xml:space="preserve">, </w:t>
      </w:r>
      <w:hyperlink r:id="rId147" w:history="1">
        <w:r>
          <w:rPr>
            <w:rStyle w:val="Hyperlink"/>
            <w:noProof/>
            <w:u w:val="none"/>
          </w:rPr>
          <w:t>автоматичния обмен на информация за финансови сметки</w:t>
        </w:r>
      </w:hyperlink>
      <w:r>
        <w:rPr>
          <w:noProof/>
          <w:u w:val="none"/>
        </w:rPr>
        <w:t xml:space="preserve"> и </w:t>
      </w:r>
      <w:hyperlink r:id="rId148" w:history="1">
        <w:r>
          <w:rPr>
            <w:rStyle w:val="Hyperlink"/>
            <w:noProof/>
            <w:u w:val="none"/>
          </w:rPr>
          <w:t>административното сътрудничество в областта на данъчното облагане</w:t>
        </w:r>
      </w:hyperlink>
      <w:r>
        <w:rPr>
          <w:rStyle w:val="Hyperlink"/>
          <w:noProof/>
          <w:u w:val="none"/>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0" w:line="240" w:lineRule="auto"/>
              <w:jc w:val="both"/>
              <w:rPr>
                <w:rFonts w:eastAsia="Times New Roman"/>
                <w:noProof/>
                <w:color w:val="FFFFFF"/>
                <w:u w:val="none"/>
              </w:rPr>
            </w:pPr>
            <w:r>
              <w:rPr>
                <w:noProof/>
                <w:color w:val="FFFFFF" w:themeColor="background1"/>
                <w:u w:val="none"/>
              </w:rPr>
              <w:t xml:space="preserve">Европейската комисия продължи производствата за установяване на неизпълнение на задължения срещу </w:t>
            </w:r>
            <w:hyperlink r:id="rId149" w:history="1">
              <w:r>
                <w:rPr>
                  <w:rStyle w:val="Hyperlink"/>
                  <w:noProof/>
                  <w:u w:val="none"/>
                </w:rPr>
                <w:t>Кипър, Люксембург, Румъния, Ирландия и Гърция</w:t>
              </w:r>
            </w:hyperlink>
            <w:r>
              <w:rPr>
                <w:noProof/>
                <w:color w:val="FFFFFF" w:themeColor="background1"/>
                <w:u w:val="none"/>
              </w:rPr>
              <w:t xml:space="preserve"> поради ненавременно изпълнение на мерките относно </w:t>
            </w:r>
            <w:hyperlink r:id="rId150" w:history="1">
              <w:r>
                <w:rPr>
                  <w:rStyle w:val="Hyperlink"/>
                  <w:noProof/>
                  <w:color w:val="FFFFFF" w:themeColor="background1"/>
                  <w:u w:val="none"/>
                </w:rPr>
                <w:t>достъпа до информация за борбата с изпирането на пари</w:t>
              </w:r>
            </w:hyperlink>
            <w:r>
              <w:rPr>
                <w:noProof/>
                <w:color w:val="FFFFFF" w:themeColor="background1"/>
                <w:u w:val="none"/>
              </w:rPr>
              <w:t xml:space="preserve">. Комисията предприе така също действия срещу </w:t>
            </w:r>
            <w:hyperlink r:id="rId151" w:history="1">
              <w:r>
                <w:rPr>
                  <w:rStyle w:val="Hyperlink"/>
                  <w:noProof/>
                  <w:u w:val="none"/>
                </w:rPr>
                <w:t>Чехия</w:t>
              </w:r>
            </w:hyperlink>
            <w:r>
              <w:rPr>
                <w:noProof/>
                <w:u w:val="none"/>
              </w:rPr>
              <w:t xml:space="preserve"> </w:t>
            </w:r>
            <w:r>
              <w:rPr>
                <w:noProof/>
                <w:color w:val="FFFFFF" w:themeColor="background1"/>
                <w:u w:val="none"/>
              </w:rPr>
              <w:t>поради неправилно прилагане на правилата на ЕС относно</w:t>
            </w:r>
            <w:r>
              <w:rPr>
                <w:noProof/>
                <w:u w:val="none"/>
              </w:rPr>
              <w:t xml:space="preserve"> </w:t>
            </w:r>
            <w:hyperlink r:id="rId152" w:history="1">
              <w:r>
                <w:rPr>
                  <w:rStyle w:val="Hyperlink"/>
                  <w:noProof/>
                  <w:u w:val="none"/>
                </w:rPr>
                <w:t>автоматичния обмен на информация за финансови сметки</w:t>
              </w:r>
            </w:hyperlink>
            <w:r>
              <w:rPr>
                <w:rStyle w:val="Hyperlink"/>
                <w:noProof/>
                <w:u w:val="none"/>
              </w:rPr>
              <w:t>.</w:t>
            </w:r>
          </w:p>
        </w:tc>
      </w:tr>
    </w:tbl>
    <w:p>
      <w:pPr>
        <w:spacing w:before="200" w:after="0"/>
        <w:jc w:val="both"/>
        <w:rPr>
          <w:noProof/>
          <w:u w:val="non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60" w:line="240" w:lineRule="auto"/>
              <w:jc w:val="both"/>
              <w:rPr>
                <w:rFonts w:eastAsia="Times New Roman"/>
                <w:noProof/>
                <w:color w:val="FFFFFF"/>
                <w:u w:val="none"/>
              </w:rPr>
            </w:pPr>
            <w:r>
              <w:rPr>
                <w:noProof/>
                <w:color w:val="FFFFFF" w:themeColor="background1"/>
                <w:u w:val="none"/>
              </w:rPr>
              <w:t xml:space="preserve">През 2018 г. Комисията приключи производствата за установяване на неизпълнение на задължения срещу Белгия (по отношение на по-високата годишна данъчна ставка върху чуждестранни професионални инвестиционни фондове) и </w:t>
            </w:r>
            <w:hyperlink r:id="rId153" w:history="1">
              <w:r>
                <w:rPr>
                  <w:rStyle w:val="Hyperlink"/>
                  <w:noProof/>
                  <w:u w:val="none"/>
                </w:rPr>
                <w:t>Португалия</w:t>
              </w:r>
            </w:hyperlink>
            <w:r>
              <w:rPr>
                <w:noProof/>
                <w:u w:val="none"/>
              </w:rPr>
              <w:t xml:space="preserve"> </w:t>
            </w:r>
            <w:r>
              <w:rPr>
                <w:noProof/>
                <w:color w:val="FFFFFF" w:themeColor="background1"/>
                <w:u w:val="none"/>
              </w:rPr>
              <w:t>(по отношение на данъците за физически лица), след като тези държави приведоха своите данъчни правила в съответствие с изискванията на законодателството на ЕС.</w:t>
            </w:r>
          </w:p>
        </w:tc>
      </w:tr>
    </w:tbl>
    <w:p>
      <w:pPr>
        <w:spacing w:before="200"/>
        <w:jc w:val="both"/>
        <w:rPr>
          <w:rFonts w:ascii="Arial Unicode MS" w:eastAsia="Arial Unicode MS" w:hAnsi="Arial Unicode MS" w:cs="Arial Unicode MS"/>
          <w:i/>
          <w:noProof/>
          <w:color w:val="4F81BD"/>
          <w:sz w:val="22"/>
          <w:szCs w:val="22"/>
          <w:u w:val="none"/>
        </w:rPr>
      </w:pPr>
      <w:r>
        <w:rPr>
          <w:rFonts w:ascii="Arial Unicode MS" w:hAnsi="Arial Unicode MS"/>
          <w:i/>
          <w:noProof/>
          <w:color w:val="4F81BD"/>
          <w:sz w:val="22"/>
          <w:szCs w:val="22"/>
          <w:u w:val="none"/>
        </w:rPr>
        <w:t>Гарантиране на високо ниво на защита за потребителите</w:t>
      </w:r>
    </w:p>
    <w:p>
      <w:pPr>
        <w:jc w:val="both"/>
        <w:rPr>
          <w:noProof/>
          <w:u w:val="none"/>
        </w:rPr>
      </w:pPr>
      <w:r>
        <w:rPr>
          <w:noProof/>
          <w:u w:val="none"/>
          <w:lang w:val="en-GB" w:eastAsia="en-GB"/>
        </w:rPr>
        <w:drawing>
          <wp:anchor distT="0" distB="0" distL="114300" distR="114300" simplePos="0" relativeHeight="251650048" behindDoc="0" locked="0" layoutInCell="1" allowOverlap="1">
            <wp:simplePos x="0" y="0"/>
            <wp:positionH relativeFrom="column">
              <wp:posOffset>1270</wp:posOffset>
            </wp:positionH>
            <wp:positionV relativeFrom="paragraph">
              <wp:posOffset>23495</wp:posOffset>
            </wp:positionV>
            <wp:extent cx="3067050" cy="2041431"/>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trade.jpg"/>
                    <pic:cNvPicPr/>
                  </pic:nvPicPr>
                  <pic:blipFill>
                    <a:blip r:embed="rId154" cstate="email">
                      <a:extLst>
                        <a:ext uri="{28A0092B-C50C-407E-A947-70E740481C1C}">
                          <a14:useLocalDpi xmlns:a14="http://schemas.microsoft.com/office/drawing/2010/main"/>
                        </a:ext>
                      </a:extLst>
                    </a:blip>
                    <a:stretch>
                      <a:fillRect/>
                    </a:stretch>
                  </pic:blipFill>
                  <pic:spPr>
                    <a:xfrm>
                      <a:off x="0" y="0"/>
                      <a:ext cx="3067050" cy="2041431"/>
                    </a:xfrm>
                    <a:prstGeom prst="rect">
                      <a:avLst/>
                    </a:prstGeom>
                  </pic:spPr>
                </pic:pic>
              </a:graphicData>
            </a:graphic>
          </wp:anchor>
        </w:drawing>
      </w:r>
      <w:r>
        <w:rPr>
          <w:noProof/>
          <w:u w:val="none"/>
        </w:rPr>
        <w:t xml:space="preserve">През април 2018 г. Комисията предложи </w:t>
      </w:r>
      <w:hyperlink r:id="rId155" w:history="1">
        <w:r>
          <w:rPr>
            <w:rStyle w:val="Hyperlink"/>
            <w:noProof/>
            <w:u w:val="none"/>
          </w:rPr>
          <w:t>Нова сделка за потребителите</w:t>
        </w:r>
      </w:hyperlink>
      <w:r>
        <w:rPr>
          <w:noProof/>
          <w:u w:val="none"/>
        </w:rPr>
        <w:t>, за да се гарантира, че всички европейски потребители ще могат пълноценно да се възползват от правата си в съответствие с правото на ЕС. Според предложената нова сделка квалифицирани субекти, например потребителски организации, ще могат да търсят обезщетение, замяна или поправка от името на група потребители, понесли щети заради дадена незаконна търговска практика.</w:t>
      </w:r>
    </w:p>
    <w:p>
      <w:pPr>
        <w:jc w:val="both"/>
        <w:rPr>
          <w:noProof/>
          <w:u w:val="non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60" w:line="240" w:lineRule="auto"/>
              <w:jc w:val="both"/>
              <w:rPr>
                <w:rFonts w:eastAsia="Times New Roman"/>
                <w:noProof/>
                <w:color w:val="FFFFFF"/>
                <w:u w:val="none"/>
              </w:rPr>
            </w:pPr>
            <w:r>
              <w:rPr>
                <w:noProof/>
                <w:color w:val="FFFFFF" w:themeColor="background1"/>
                <w:u w:val="none"/>
              </w:rPr>
              <w:t xml:space="preserve">Например при сценарий от типа „Дизелгейт“ (Dieselgate), според предложената нова сделка жертвите на </w:t>
            </w:r>
            <w:hyperlink r:id="rId156" w:history="1">
              <w:r>
                <w:rPr>
                  <w:rStyle w:val="Hyperlink"/>
                  <w:noProof/>
                  <w:u w:val="none"/>
                </w:rPr>
                <w:t>незаконни търговски практики</w:t>
              </w:r>
            </w:hyperlink>
            <w:r>
              <w:rPr>
                <w:noProof/>
                <w:color w:val="FFFFFF" w:themeColor="background1"/>
                <w:u w:val="none"/>
              </w:rPr>
              <w:t>, като заблуждаващи реклами от автомобилните производители, които не съответстват на одобрението на типа или законодателството в областта на околната среда, ще могат да получат правна защита колективно чрез представителен иск. Понастоящем правото на ЕС не предлага възможност за колективна правна защита.</w:t>
            </w:r>
          </w:p>
        </w:tc>
      </w:tr>
    </w:tbl>
    <w:p>
      <w:pPr>
        <w:spacing w:before="200"/>
        <w:jc w:val="both"/>
        <w:rPr>
          <w:noProof/>
          <w:u w:val="none"/>
        </w:rPr>
      </w:pPr>
      <w:r>
        <w:rPr>
          <w:noProof/>
          <w:u w:val="none"/>
        </w:rPr>
        <w:t>Новата сделка за потребителите ще доведе до укрепване на правата на потребителите онлайн, преодоляване на проблемите с двойния стандарт за качество на потребителските продукти и подобряване на условията за предприятията.</w:t>
      </w:r>
    </w:p>
    <w:p>
      <w:pPr>
        <w:jc w:val="both"/>
        <w:rPr>
          <w:noProof/>
          <w:u w:val="none"/>
        </w:rPr>
      </w:pPr>
      <w:r>
        <w:rPr>
          <w:noProof/>
          <w:u w:val="none"/>
        </w:rPr>
        <w:t xml:space="preserve">През 2018 г. Комисията наблюдаваше също така начина, по който държавите членки са приложили </w:t>
      </w:r>
      <w:hyperlink r:id="rId157" w:history="1">
        <w:r>
          <w:rPr>
            <w:rStyle w:val="Hyperlink"/>
            <w:noProof/>
            <w:u w:val="none"/>
          </w:rPr>
          <w:t>Директивата относно свързаните пътнически услуги</w:t>
        </w:r>
      </w:hyperlink>
      <w:r>
        <w:rPr>
          <w:noProof/>
          <w:u w:val="none"/>
        </w:rPr>
        <w:t xml:space="preserve"> в своето национално право.</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60" w:line="240" w:lineRule="auto"/>
              <w:jc w:val="both"/>
              <w:rPr>
                <w:rFonts w:eastAsia="Times New Roman"/>
                <w:noProof/>
                <w:color w:val="FFFFFF"/>
                <w:spacing w:val="-6"/>
                <w:u w:val="none"/>
              </w:rPr>
            </w:pPr>
            <w:r>
              <w:rPr>
                <w:noProof/>
                <w:color w:val="FFFFFF" w:themeColor="background1"/>
                <w:spacing w:val="-6"/>
                <w:u w:val="none"/>
              </w:rPr>
              <w:t>Комисията откри производства за установяване на неизпълнение на задължения срещу 14 държави членки, които не бяха изпълнили своите задължения в съответствие с тази директива на ЕС.</w:t>
            </w:r>
          </w:p>
        </w:tc>
      </w:tr>
    </w:tbl>
    <w:p>
      <w:pPr>
        <w:spacing w:before="200"/>
        <w:jc w:val="both"/>
        <w:rPr>
          <w:rFonts w:ascii="Arial Unicode MS" w:eastAsia="Arial Unicode MS" w:hAnsi="Arial Unicode MS" w:cs="Arial Unicode MS"/>
          <w:i/>
          <w:noProof/>
          <w:color w:val="4F81BD"/>
          <w:sz w:val="22"/>
          <w:szCs w:val="22"/>
          <w:u w:val="none"/>
        </w:rPr>
      </w:pPr>
      <w:r>
        <w:rPr>
          <w:noProof/>
          <w:u w:val="none"/>
        </w:rPr>
        <w:t xml:space="preserve">През 2018 г. Комисията предприе мерки също така за подобряване на прилагането на законодателството на ЕС в областта на алтернативното и онлайн решаването на потребителски спорове. Те включваха подобряване на европейската платформа за </w:t>
      </w:r>
      <w:r>
        <w:rPr>
          <w:rStyle w:val="Hyperlink"/>
          <w:noProof/>
          <w:u w:val="none"/>
        </w:rPr>
        <w:t>онлайн решаване на спорове</w:t>
      </w:r>
      <w:r>
        <w:rPr>
          <w:noProof/>
          <w:u w:val="none"/>
        </w:rPr>
        <w:t xml:space="preserve">.Комисията организира първата Асамблея на европейската общност за </w:t>
      </w:r>
      <w:hyperlink r:id="rId158" w:history="1">
        <w:r>
          <w:rPr>
            <w:rStyle w:val="Hyperlink"/>
            <w:noProof/>
            <w:u w:val="none"/>
          </w:rPr>
          <w:t>алтернативно решаване на спорове</w:t>
        </w:r>
      </w:hyperlink>
      <w:r>
        <w:rPr>
          <w:noProof/>
          <w:u w:val="none"/>
        </w:rPr>
        <w:t xml:space="preserve"> с над 350 участници. Проведени бяха и семинари с националните органи за защита на потребителите, за да се подготвят за новия </w:t>
      </w:r>
      <w:hyperlink r:id="rId159" w:history="1">
        <w:r>
          <w:rPr>
            <w:rStyle w:val="Hyperlink"/>
            <w:noProof/>
            <w:u w:val="none"/>
          </w:rPr>
          <w:t>Регламент относно сътрудничеството за защита на потребителите</w:t>
        </w:r>
      </w:hyperlink>
      <w:r>
        <w:rPr>
          <w:noProof/>
          <w:u w:val="none"/>
        </w:rPr>
        <w:t>, който ще започне да се прилага през 2020 г.</w:t>
      </w:r>
      <w:r>
        <w:rPr>
          <w:noProof/>
          <w:u w:val="none"/>
        </w:rPr>
        <w:br w:type="page"/>
      </w:r>
    </w:p>
    <w:p>
      <w:pPr>
        <w:spacing w:before="480"/>
        <w:jc w:val="both"/>
        <w:rPr>
          <w:rFonts w:ascii="Arial Unicode MS" w:eastAsia="Arial Unicode MS" w:hAnsi="Arial Unicode MS" w:cs="Arial Unicode MS"/>
          <w:i/>
          <w:noProof/>
          <w:color w:val="4F81BD"/>
          <w:sz w:val="22"/>
          <w:szCs w:val="22"/>
          <w:u w:val="none"/>
        </w:rPr>
      </w:pPr>
      <w:r>
        <w:rPr>
          <w:noProof/>
          <w:u w:val="none"/>
          <w:lang w:val="en-GB" w:eastAsia="en-GB"/>
        </w:rPr>
        <w:drawing>
          <wp:anchor distT="0" distB="0" distL="114300" distR="114300" simplePos="0" relativeHeight="251659264" behindDoc="0" locked="0" layoutInCell="1" allowOverlap="1">
            <wp:simplePos x="0" y="0"/>
            <wp:positionH relativeFrom="column">
              <wp:posOffset>1270</wp:posOffset>
            </wp:positionH>
            <wp:positionV relativeFrom="paragraph">
              <wp:posOffset>407670</wp:posOffset>
            </wp:positionV>
            <wp:extent cx="3536950" cy="2813050"/>
            <wp:effectExtent l="0" t="0" r="508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age 20 small size.jpg"/>
                    <pic:cNvPicPr/>
                  </pic:nvPicPr>
                  <pic:blipFill>
                    <a:blip r:embed="rId160" cstate="email">
                      <a:extLst>
                        <a:ext uri="{28A0092B-C50C-407E-A947-70E740481C1C}">
                          <a14:useLocalDpi xmlns:a14="http://schemas.microsoft.com/office/drawing/2010/main"/>
                        </a:ext>
                      </a:extLst>
                    </a:blip>
                    <a:stretch>
                      <a:fillRect/>
                    </a:stretch>
                  </pic:blipFill>
                  <pic:spPr>
                    <a:xfrm>
                      <a:off x="0" y="0"/>
                      <a:ext cx="3536950" cy="2813050"/>
                    </a:xfrm>
                    <a:prstGeom prst="rect">
                      <a:avLst/>
                    </a:prstGeom>
                  </pic:spPr>
                </pic:pic>
              </a:graphicData>
            </a:graphic>
            <wp14:sizeRelH relativeFrom="margin">
              <wp14:pctWidth>0</wp14:pctWidth>
            </wp14:sizeRelH>
            <wp14:sizeRelV relativeFrom="margin">
              <wp14:pctHeight>0</wp14:pctHeight>
            </wp14:sizeRelV>
          </wp:anchor>
        </w:drawing>
      </w:r>
      <w:r>
        <w:rPr>
          <w:rFonts w:ascii="Arial Unicode MS" w:hAnsi="Arial Unicode MS"/>
          <w:i/>
          <w:noProof/>
          <w:color w:val="4F81BD"/>
          <w:sz w:val="22"/>
          <w:szCs w:val="22"/>
          <w:u w:val="none"/>
        </w:rPr>
        <w:t>Гарантиране на високо ниво на защита на общественото здраве</w:t>
      </w:r>
    </w:p>
    <w:p>
      <w:pPr>
        <w:spacing w:after="360"/>
        <w:jc w:val="both"/>
        <w:rPr>
          <w:noProof/>
          <w:u w:val="none"/>
        </w:rPr>
      </w:pPr>
      <w:r>
        <w:rPr>
          <w:noProof/>
          <w:u w:val="none"/>
        </w:rPr>
        <w:t xml:space="preserve">През 2018 г. Комисията продължи да наблюдава начина, по който държавите членки са приложили разпоредбите на </w:t>
      </w:r>
      <w:hyperlink r:id="rId161" w:history="1">
        <w:r>
          <w:rPr>
            <w:rStyle w:val="Hyperlink"/>
            <w:noProof/>
            <w:u w:val="none"/>
          </w:rPr>
          <w:t>Директивата относно тютюневите изделия</w:t>
        </w:r>
      </w:hyperlink>
      <w:r>
        <w:rPr>
          <w:noProof/>
          <w:u w:val="none"/>
        </w:rPr>
        <w:t xml:space="preserve"> в своето национално право. Целта на тази директива е да се намали употребата на тютюневи изделия, по-специално като се разубеждават младите хора да не започват да пушат и като се гарантира, че цялото общество напълно осъзнава вредните последици от тютюнопушенето. </w:t>
      </w:r>
    </w:p>
    <w:p>
      <w:pPr>
        <w:spacing w:after="480"/>
        <w:jc w:val="both"/>
        <w:rPr>
          <w:noProof/>
          <w:u w:val="none"/>
        </w:rPr>
      </w:pPr>
      <w:r>
        <w:rPr>
          <w:noProof/>
          <w:u w:val="none"/>
        </w:rPr>
        <w:t>Намаляване на употребата на тютюн само с 2 % се изразява в годишни икономии от здравеопазване от около 506 млн. евро за целия ЕС.</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60" w:line="240" w:lineRule="auto"/>
              <w:jc w:val="both"/>
              <w:rPr>
                <w:rFonts w:eastAsia="Times New Roman"/>
                <w:noProof/>
                <w:color w:val="FFFFFF"/>
                <w:u w:val="none"/>
              </w:rPr>
            </w:pPr>
            <w:r>
              <w:rPr>
                <w:noProof/>
                <w:color w:val="FFFFFF" w:themeColor="background1"/>
                <w:u w:val="none"/>
              </w:rPr>
              <w:t>През 2018 г. Комисията приключи производствата за установяване на неизпълнение на задължения срещу България, Франция, Латвия, Унгария и Финландия, тъй като те своевременно предприеха мерки за прилагане на Директивата относно тютюневите изделия в националното право.</w:t>
            </w:r>
          </w:p>
        </w:tc>
      </w:tr>
    </w:tbl>
    <w:p>
      <w:pPr>
        <w:spacing w:before="200"/>
        <w:jc w:val="both"/>
        <w:rPr>
          <w:noProof/>
          <w:u w:val="none"/>
        </w:rPr>
      </w:pPr>
      <w:r>
        <w:rPr>
          <w:noProof/>
          <w:u w:val="none"/>
        </w:rPr>
        <w:t xml:space="preserve">През 2018 г. правото на пациентите на достъп до безопасно и висококачествено здравно обслужване в други държави от ЕС продължи да бъде приоритет за Комисията. Комисията проследи отблизо изпълнението на </w:t>
      </w:r>
      <w:hyperlink r:id="rId162" w:history="1">
        <w:r>
          <w:rPr>
            <w:rStyle w:val="Hyperlink"/>
            <w:noProof/>
            <w:u w:val="none"/>
          </w:rPr>
          <w:t>Директивата за трансгранично здравно обслужване</w:t>
        </w:r>
      </w:hyperlink>
      <w:r>
        <w:rPr>
          <w:noProof/>
          <w:u w:val="none"/>
        </w:rPr>
        <w:t>.</w:t>
      </w:r>
    </w:p>
    <w:p>
      <w:pPr>
        <w:jc w:val="both"/>
        <w:rPr>
          <w:noProof/>
          <w:u w:val="none"/>
        </w:rPr>
      </w:pPr>
      <w:r>
        <w:rPr>
          <w:noProof/>
          <w:u w:val="none"/>
        </w:rPr>
        <w:t xml:space="preserve">От </w:t>
      </w:r>
      <w:hyperlink r:id="rId163" w:history="1">
        <w:r>
          <w:rPr>
            <w:rStyle w:val="Hyperlink"/>
            <w:noProof/>
            <w:u w:val="none"/>
          </w:rPr>
          <w:t>Европейската гражданска инициатива през 2017 г.</w:t>
        </w:r>
      </w:hyperlink>
      <w:r>
        <w:rPr>
          <w:noProof/>
          <w:u w:val="none"/>
        </w:rPr>
        <w:t xml:space="preserve">, която призоваваше за забрана на използването на глифозат, е видно, че има голям обществен интерес към безопасното и устойчиво използване на пестициди. За Комисията това е важен въпрос на общественото здраве и околната среда. През 2018 г. Комисията извърши редица одити на държави членки, за да провери използването на пестициди в тях. Комисията ще докладва на Европейския парламент и Съвета за напредъка по прилагането на </w:t>
      </w:r>
      <w:hyperlink r:id="rId164" w:history="1">
        <w:r>
          <w:rPr>
            <w:rStyle w:val="Hyperlink"/>
            <w:noProof/>
            <w:u w:val="none"/>
          </w:rPr>
          <w:t>Директивата относно устойчивата употреба на пестициди</w:t>
        </w:r>
      </w:hyperlink>
      <w:r>
        <w:rPr>
          <w:noProof/>
          <w:u w:val="none"/>
        </w:rPr>
        <w:t xml:space="preserve"> през 2019 г.</w:t>
      </w:r>
    </w:p>
    <w:p>
      <w:pPr>
        <w:spacing w:after="0" w:line="240" w:lineRule="auto"/>
        <w:rPr>
          <w:noProof/>
          <w:u w:val="none"/>
        </w:rPr>
      </w:pPr>
      <w:r>
        <w:rPr>
          <w:noProof/>
        </w:rPr>
        <w:br w:type="page"/>
      </w:r>
    </w:p>
    <w:p>
      <w:pPr>
        <w:spacing w:line="240" w:lineRule="auto"/>
        <w:rPr>
          <w:rFonts w:ascii="Arial Unicode MS" w:eastAsia="Arial Unicode MS" w:hAnsi="Arial Unicode MS" w:cs="Arial Unicode MS"/>
          <w:i/>
          <w:noProof/>
          <w:color w:val="4F81BD"/>
          <w:sz w:val="22"/>
          <w:szCs w:val="22"/>
          <w:u w:val="none"/>
        </w:rPr>
      </w:pPr>
      <w:r>
        <w:rPr>
          <w:rFonts w:ascii="Arial Unicode MS" w:hAnsi="Arial Unicode MS"/>
          <w:i/>
          <w:noProof/>
          <w:color w:val="4F81BD"/>
          <w:sz w:val="22"/>
          <w:szCs w:val="22"/>
          <w:u w:val="none"/>
        </w:rPr>
        <w:t>Прилагане на правилата в областта на мобилността и транспорта</w:t>
      </w:r>
    </w:p>
    <w:p>
      <w:pPr>
        <w:jc w:val="both"/>
        <w:rPr>
          <w:noProof/>
          <w:u w:val="none"/>
        </w:rPr>
      </w:pPr>
      <w:r>
        <w:rPr>
          <w:noProof/>
          <w:u w:val="none"/>
          <w:lang w:val="en-GB" w:eastAsia="en-GB"/>
        </w:rPr>
        <w:drawing>
          <wp:anchor distT="0" distB="0" distL="114300" distR="114300" simplePos="0" relativeHeight="251652096" behindDoc="0" locked="0" layoutInCell="1" allowOverlap="1">
            <wp:simplePos x="0" y="0"/>
            <wp:positionH relativeFrom="column">
              <wp:posOffset>1270</wp:posOffset>
            </wp:positionH>
            <wp:positionV relativeFrom="paragraph">
              <wp:posOffset>67945</wp:posOffset>
            </wp:positionV>
            <wp:extent cx="3429000" cy="2282345"/>
            <wp:effectExtent l="0" t="0" r="0" b="381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transport traveling.jpg"/>
                    <pic:cNvPicPr/>
                  </pic:nvPicPr>
                  <pic:blipFill>
                    <a:blip r:embed="rId165" cstate="email">
                      <a:extLst>
                        <a:ext uri="{28A0092B-C50C-407E-A947-70E740481C1C}">
                          <a14:useLocalDpi xmlns:a14="http://schemas.microsoft.com/office/drawing/2010/main"/>
                        </a:ext>
                      </a:extLst>
                    </a:blip>
                    <a:stretch>
                      <a:fillRect/>
                    </a:stretch>
                  </pic:blipFill>
                  <pic:spPr>
                    <a:xfrm>
                      <a:off x="0" y="0"/>
                      <a:ext cx="3429000" cy="2282345"/>
                    </a:xfrm>
                    <a:prstGeom prst="rect">
                      <a:avLst/>
                    </a:prstGeom>
                  </pic:spPr>
                </pic:pic>
              </a:graphicData>
            </a:graphic>
          </wp:anchor>
        </w:drawing>
      </w:r>
      <w:r>
        <w:rPr>
          <w:noProof/>
          <w:u w:val="none"/>
        </w:rPr>
        <w:t>През 2018 г. Комисията съсредоточи своите усилия по правоприлагане върху три области: транспортна безопасност, цифровизация чрез разработването на интелигентни транспортни системи и завършване на единния пазар в транспорта.</w:t>
      </w:r>
    </w:p>
    <w:p>
      <w:pPr>
        <w:jc w:val="both"/>
        <w:rPr>
          <w:noProof/>
          <w:u w:val="none"/>
        </w:rPr>
      </w:pPr>
      <w:r>
        <w:rPr>
          <w:noProof/>
          <w:u w:val="none"/>
        </w:rPr>
        <w:t>Безопасността продължава да бъде от основно значение за всяка транспортна система. Създаването на среда за безопасен транспорт е съществено важно за обществеността. Една от функциите на Комисията е да отговаря на тези очаквания, като гарантира прилагането на задоволителни стандарти за безопасност в целия ЕС за всички видове транспорт. Тези стандарти за безопасност допринасят за значително намаляване на броя на транспортните произшествия.</w:t>
      </w:r>
    </w:p>
    <w:p>
      <w:pPr>
        <w:jc w:val="both"/>
        <w:rPr>
          <w:noProof/>
          <w:u w:val="none"/>
        </w:rPr>
      </w:pPr>
      <w:r>
        <w:rPr>
          <w:noProof/>
          <w:u w:val="none"/>
        </w:rPr>
        <w:t>В</w:t>
      </w:r>
      <w:r>
        <w:rPr>
          <w:b/>
          <w:noProof/>
          <w:u w:val="none"/>
        </w:rPr>
        <w:t xml:space="preserve"> железопътния транспорт</w:t>
      </w:r>
      <w:r>
        <w:rPr>
          <w:noProof/>
          <w:u w:val="none"/>
        </w:rPr>
        <w:t xml:space="preserve"> правилата на ЕС изискват от държавите членки да създадат независим орган по безопасността и независим разследващ орган на произшествия и инциденти. Освен това от държавите членки се изисква да определят общи принципи за безопасност на железопътния транспорт.</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8" w:type="dxa"/>
            <w:shd w:val="clear" w:color="auto" w:fill="8DB3E2" w:themeFill="text2" w:themeFillTint="66"/>
          </w:tcPr>
          <w:p>
            <w:pPr>
              <w:spacing w:before="60" w:after="60" w:line="240" w:lineRule="auto"/>
              <w:jc w:val="both"/>
              <w:rPr>
                <w:rFonts w:eastAsia="Times New Roman"/>
                <w:noProof/>
                <w:color w:val="FFFFFF"/>
                <w:u w:val="none"/>
              </w:rPr>
            </w:pPr>
            <w:r>
              <w:rPr>
                <w:noProof/>
                <w:color w:val="FFFFFF" w:themeColor="background1"/>
                <w:u w:val="none"/>
              </w:rPr>
              <w:t xml:space="preserve">Комисията поиска от </w:t>
            </w:r>
            <w:hyperlink r:id="rId166" w:history="1">
              <w:r>
                <w:rPr>
                  <w:rStyle w:val="Hyperlink"/>
                  <w:noProof/>
                  <w:u w:val="none"/>
                </w:rPr>
                <w:t>Германия</w:t>
              </w:r>
            </w:hyperlink>
            <w:r>
              <w:rPr>
                <w:noProof/>
                <w:u w:val="none"/>
              </w:rPr>
              <w:t xml:space="preserve"> </w:t>
            </w:r>
            <w:r>
              <w:rPr>
                <w:noProof/>
                <w:color w:val="FFFFFF" w:themeColor="background1"/>
                <w:u w:val="none"/>
              </w:rPr>
              <w:t xml:space="preserve">и </w:t>
            </w:r>
            <w:hyperlink r:id="rId167" w:history="1">
              <w:r>
                <w:rPr>
                  <w:rStyle w:val="Hyperlink"/>
                  <w:noProof/>
                  <w:u w:val="none"/>
                </w:rPr>
                <w:t>България</w:t>
              </w:r>
            </w:hyperlink>
            <w:r>
              <w:rPr>
                <w:noProof/>
                <w:u w:val="none"/>
              </w:rPr>
              <w:t xml:space="preserve"> </w:t>
            </w:r>
            <w:r>
              <w:rPr>
                <w:noProof/>
                <w:color w:val="FFFFFF" w:themeColor="background1"/>
                <w:u w:val="none"/>
              </w:rPr>
              <w:t>да приложат изцяло законодателството на ЕС относно безопасността на железопътния транспорт. Германия не бе успяла да осигури съответствие на своите регионални транспортни мрежи с изискванията за безопасност, определени в правилата на ЕС. Българското законодателство все още не гарантира, че разследванията на тежки железопътни инциденти се извършват от независим разследващ орган.</w:t>
            </w:r>
          </w:p>
        </w:tc>
      </w:tr>
    </w:tbl>
    <w:p>
      <w:pPr>
        <w:spacing w:before="200"/>
        <w:jc w:val="both"/>
        <w:rPr>
          <w:noProof/>
          <w:u w:val="none"/>
        </w:rPr>
      </w:pPr>
      <w:r>
        <w:rPr>
          <w:noProof/>
          <w:u w:val="none"/>
        </w:rPr>
        <w:t xml:space="preserve">В </w:t>
      </w:r>
      <w:r>
        <w:rPr>
          <w:b/>
          <w:noProof/>
          <w:u w:val="none"/>
        </w:rPr>
        <w:t>морския сектор</w:t>
      </w:r>
      <w:r>
        <w:rPr>
          <w:noProof/>
          <w:u w:val="none"/>
        </w:rPr>
        <w:t xml:space="preserve"> целта на правилата на ЕС е да се гарантира, че стандартите за обучение на морските лица се спазват в целия ЕС и че те съответстват на договорените на международно равнище стандарти.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60" w:line="240" w:lineRule="auto"/>
              <w:jc w:val="both"/>
              <w:rPr>
                <w:noProof/>
                <w:color w:val="FFFFFF" w:themeColor="background1"/>
                <w:u w:val="none"/>
              </w:rPr>
            </w:pPr>
            <w:r>
              <w:rPr>
                <w:noProof/>
                <w:color w:val="FFFFFF" w:themeColor="background1"/>
                <w:u w:val="none"/>
              </w:rPr>
              <w:t xml:space="preserve">Комисията прикани настоятелно </w:t>
            </w:r>
            <w:hyperlink r:id="rId168" w:history="1">
              <w:r>
                <w:rPr>
                  <w:rStyle w:val="Hyperlink"/>
                  <w:noProof/>
                  <w:u w:val="none"/>
                </w:rPr>
                <w:t>Испания</w:t>
              </w:r>
            </w:hyperlink>
            <w:r>
              <w:rPr>
                <w:rStyle w:val="Hyperlink"/>
                <w:noProof/>
                <w:u w:val="none"/>
              </w:rPr>
              <w:t xml:space="preserve">, </w:t>
            </w:r>
            <w:hyperlink r:id="rId169" w:history="1">
              <w:r>
                <w:rPr>
                  <w:rStyle w:val="Hyperlink"/>
                  <w:noProof/>
                  <w:u w:val="none"/>
                </w:rPr>
                <w:t>Малта</w:t>
              </w:r>
            </w:hyperlink>
            <w:r>
              <w:rPr>
                <w:noProof/>
                <w:u w:val="none"/>
              </w:rPr>
              <w:t xml:space="preserve"> и </w:t>
            </w:r>
            <w:hyperlink r:id="rId170" w:history="1">
              <w:r>
                <w:rPr>
                  <w:rStyle w:val="Hyperlink"/>
                  <w:noProof/>
                  <w:u w:val="none"/>
                </w:rPr>
                <w:t>Латвия</w:t>
              </w:r>
            </w:hyperlink>
            <w:r>
              <w:rPr>
                <w:noProof/>
                <w:u w:val="none"/>
              </w:rPr>
              <w:t xml:space="preserve"> </w:t>
            </w:r>
            <w:r>
              <w:rPr>
                <w:noProof/>
                <w:color w:val="FFFFFF" w:themeColor="background1"/>
                <w:u w:val="none"/>
              </w:rPr>
              <w:t xml:space="preserve">да спазват </w:t>
            </w:r>
            <w:hyperlink r:id="rId171" w:history="1">
              <w:r>
                <w:rPr>
                  <w:rStyle w:val="Hyperlink"/>
                  <w:noProof/>
                  <w:u w:val="none"/>
                </w:rPr>
                <w:t>правилата на ЕС относно минималното ниво на обучение на морските лица</w:t>
              </w:r>
            </w:hyperlink>
            <w:r>
              <w:rPr>
                <w:noProof/>
                <w:u w:val="none"/>
              </w:rPr>
              <w:t xml:space="preserve">. </w:t>
            </w:r>
            <w:r>
              <w:rPr>
                <w:noProof/>
                <w:color w:val="FFFFFF" w:themeColor="background1"/>
                <w:u w:val="none"/>
              </w:rPr>
              <w:t>Латвия не приложи съответните международни стандарти за крайбрежните плавания, докато в Испания бяха установени редица недостатъци по отношение на освидетелстването на морските лица и проектирането на морските програми. В случая с Малта системата за управление на качеството, прилагана от една от нейните одобрени институции за обучение и образование в областта на морското дело, не обхващаше всички съответни курсове за обучение в областта на морското дело.</w:t>
            </w:r>
          </w:p>
        </w:tc>
      </w:tr>
    </w:tbl>
    <w:p>
      <w:pPr>
        <w:spacing w:before="120" w:after="120"/>
        <w:jc w:val="both"/>
        <w:rPr>
          <w:noProof/>
          <w:u w:val="none"/>
        </w:rPr>
      </w:pPr>
      <w:r>
        <w:rPr>
          <w:noProof/>
          <w:u w:val="none"/>
        </w:rPr>
        <w:t xml:space="preserve">В </w:t>
      </w:r>
      <w:r>
        <w:rPr>
          <w:b/>
          <w:noProof/>
          <w:u w:val="none"/>
        </w:rPr>
        <w:t>сектора на въздушния транспорт</w:t>
      </w:r>
      <w:r>
        <w:rPr>
          <w:noProof/>
          <w:u w:val="none"/>
        </w:rPr>
        <w:t xml:space="preserve"> Комисията гарантира правилното прилагане от страна на държавите членки на правилата на ЕС в областта на авиацията.</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60"/>
              <w:jc w:val="both"/>
              <w:rPr>
                <w:noProof/>
                <w:color w:val="FFFFFF" w:themeColor="background1"/>
                <w:u w:val="none"/>
              </w:rPr>
            </w:pPr>
            <w:r>
              <w:rPr>
                <w:noProof/>
                <w:color w:val="FFFFFF" w:themeColor="background1"/>
                <w:u w:val="none"/>
              </w:rPr>
              <w:t>Комисията поиска от</w:t>
            </w:r>
            <w:r>
              <w:rPr>
                <w:noProof/>
                <w:u w:val="none"/>
              </w:rPr>
              <w:t xml:space="preserve"> </w:t>
            </w:r>
            <w:hyperlink r:id="rId172" w:history="1">
              <w:r>
                <w:rPr>
                  <w:rStyle w:val="Hyperlink"/>
                  <w:noProof/>
                  <w:u w:val="none"/>
                </w:rPr>
                <w:t>Унгария</w:t>
              </w:r>
            </w:hyperlink>
            <w:r>
              <w:rPr>
                <w:noProof/>
                <w:u w:val="none"/>
              </w:rPr>
              <w:t xml:space="preserve"> </w:t>
            </w:r>
            <w:r>
              <w:rPr>
                <w:noProof/>
                <w:color w:val="FFFFFF" w:themeColor="background1"/>
                <w:u w:val="none"/>
              </w:rPr>
              <w:t>да засили своя мониторинг върху начина, по който се осъществяват въздушните операции. Комисията предприе действия така също срещу</w:t>
            </w:r>
            <w:r>
              <w:rPr>
                <w:noProof/>
                <w:u w:val="none"/>
              </w:rPr>
              <w:t xml:space="preserve"> </w:t>
            </w:r>
            <w:hyperlink r:id="rId173" w:history="1">
              <w:r>
                <w:rPr>
                  <w:rStyle w:val="Hyperlink"/>
                  <w:noProof/>
                  <w:u w:val="none"/>
                </w:rPr>
                <w:t>Ирландия</w:t>
              </w:r>
            </w:hyperlink>
            <w:r>
              <w:rPr>
                <w:noProof/>
                <w:u w:val="none"/>
              </w:rPr>
              <w:t xml:space="preserve"> </w:t>
            </w:r>
            <w:r>
              <w:rPr>
                <w:noProof/>
                <w:color w:val="FFFFFF" w:themeColor="background1"/>
                <w:u w:val="none"/>
              </w:rPr>
              <w:t>поради неспазване на някои от европейските изисквания за докладване, и по-конкретно от заетите във въздухоплаването, на инциденти в гражданското въздухоплаване и за анализ и последващи действия по тези инциденти.</w:t>
            </w:r>
          </w:p>
          <w:p>
            <w:pPr>
              <w:spacing w:before="60" w:after="60" w:line="240" w:lineRule="auto"/>
              <w:jc w:val="both"/>
              <w:rPr>
                <w:rFonts w:eastAsia="Times New Roman"/>
                <w:noProof/>
                <w:color w:val="FFFFFF"/>
                <w:u w:val="none"/>
              </w:rPr>
            </w:pPr>
            <w:r>
              <w:rPr>
                <w:noProof/>
                <w:color w:val="FFFFFF" w:themeColor="background1"/>
                <w:u w:val="none"/>
              </w:rPr>
              <w:t>В резултат на извършена от Комисията проверка на гръцкия орган в областта на гражданското въздухоплаване бе установено, че субектите, отговарящи за прилагането на стандартите за сигурност на въздухоплаването на територията на Гърция, не са били обект на редовно наблюдение. Комисията призова</w:t>
            </w:r>
            <w:r>
              <w:rPr>
                <w:noProof/>
                <w:u w:val="none"/>
              </w:rPr>
              <w:t xml:space="preserve"> </w:t>
            </w:r>
            <w:hyperlink r:id="rId174" w:history="1">
              <w:r>
                <w:rPr>
                  <w:rStyle w:val="Hyperlink"/>
                  <w:noProof/>
                  <w:u w:val="none"/>
                </w:rPr>
                <w:t>Гърция</w:t>
              </w:r>
            </w:hyperlink>
            <w:r>
              <w:rPr>
                <w:noProof/>
                <w:u w:val="none"/>
              </w:rPr>
              <w:t xml:space="preserve"> </w:t>
            </w:r>
            <w:r>
              <w:rPr>
                <w:noProof/>
                <w:color w:val="FFFFFF" w:themeColor="background1"/>
                <w:u w:val="none"/>
              </w:rPr>
              <w:t>да извършва подходящо наблюдение</w:t>
            </w:r>
            <w:r>
              <w:rPr>
                <w:noProof/>
                <w:u w:val="none"/>
              </w:rPr>
              <w:t>.</w:t>
            </w:r>
          </w:p>
        </w:tc>
      </w:tr>
    </w:tbl>
    <w:p>
      <w:pPr>
        <w:spacing w:before="120" w:after="120"/>
        <w:jc w:val="both"/>
        <w:rPr>
          <w:noProof/>
          <w:u w:val="none"/>
        </w:rPr>
      </w:pPr>
      <w:r>
        <w:rPr>
          <w:noProof/>
          <w:u w:val="none"/>
        </w:rPr>
        <w:t xml:space="preserve"> През следващите години се очаква бързо развитие на цифровизацията на транспорта, което ще доведе до по-безопасен, по-ефикасен и по-устойчив транспорт. Постепенно се разработват интелигентни транспортни системи. Техният пълен потенциал обаче може да се постигне само ако бъдат ефективно внедрени и ако информацията за пътуването и неговото управление се координират на ниво ЕС.</w:t>
      </w:r>
    </w:p>
    <w:p>
      <w:pPr>
        <w:spacing w:before="120" w:after="120"/>
        <w:jc w:val="both"/>
        <w:rPr>
          <w:noProof/>
          <w:u w:val="non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8" w:type="dxa"/>
            <w:shd w:val="clear" w:color="auto" w:fill="8DB3E2" w:themeFill="text2" w:themeFillTint="66"/>
          </w:tcPr>
          <w:p>
            <w:pPr>
              <w:spacing w:before="60" w:after="60" w:line="240" w:lineRule="auto"/>
              <w:jc w:val="both"/>
              <w:rPr>
                <w:rFonts w:eastAsia="Times New Roman"/>
                <w:noProof/>
                <w:color w:val="FFFFFF"/>
                <w:spacing w:val="-4"/>
                <w:u w:val="none"/>
              </w:rPr>
            </w:pPr>
            <w:r>
              <w:rPr>
                <w:noProof/>
                <w:color w:val="FFFFFF" w:themeColor="background1"/>
                <w:spacing w:val="-4"/>
                <w:u w:val="none"/>
              </w:rPr>
              <w:t>Комисията откри производства за установяване на неизпълнение на задължения срещу девет</w:t>
            </w:r>
            <w:hyperlink r:id="rId175" w:history="1">
              <w:r>
                <w:rPr>
                  <w:rStyle w:val="Hyperlink"/>
                  <w:noProof/>
                  <w:spacing w:val="-4"/>
                  <w:u w:val="none"/>
                </w:rPr>
                <w:t xml:space="preserve"> държави членки</w:t>
              </w:r>
            </w:hyperlink>
            <w:r>
              <w:rPr>
                <w:noProof/>
                <w:color w:val="FFFFFF" w:themeColor="background1"/>
                <w:spacing w:val="-4"/>
                <w:u w:val="none"/>
              </w:rPr>
              <w:t xml:space="preserve"> за това, че не са предоставили на ползвателите безплатна минимална универсална информация за движението, свързана с пътната безопасност. Комисията продължи също така производствата за установяване на неизпълнение на задължения срещу седем</w:t>
            </w:r>
            <w:hyperlink r:id="rId176" w:history="1">
              <w:r>
                <w:rPr>
                  <w:rStyle w:val="Hyperlink"/>
                  <w:noProof/>
                  <w:spacing w:val="-4"/>
                  <w:u w:val="none"/>
                </w:rPr>
                <w:t xml:space="preserve"> държави членки</w:t>
              </w:r>
            </w:hyperlink>
            <w:r>
              <w:rPr>
                <w:noProof/>
                <w:color w:val="FFFFFF" w:themeColor="background1"/>
                <w:spacing w:val="-4"/>
                <w:u w:val="none"/>
              </w:rPr>
              <w:t xml:space="preserve">, които не бяха изпълнили задълженията си за предоставяне </w:t>
            </w:r>
            <w:hyperlink r:id="rId177" w:history="1">
              <w:r>
                <w:rPr>
                  <w:rStyle w:val="Hyperlink"/>
                  <w:noProof/>
                  <w:spacing w:val="-4"/>
                  <w:u w:val="none"/>
                </w:rPr>
                <w:t>в целия ЕС на информационни услуги в реално време за движението по пътищата</w:t>
              </w:r>
            </w:hyperlink>
            <w:r>
              <w:rPr>
                <w:noProof/>
                <w:color w:val="FFFFFF" w:themeColor="background1"/>
                <w:spacing w:val="-4"/>
                <w:u w:val="none"/>
              </w:rPr>
              <w:t xml:space="preserve">. На последно място, тя призова </w:t>
            </w:r>
            <w:hyperlink r:id="rId178" w:history="1">
              <w:r>
                <w:rPr>
                  <w:rStyle w:val="Hyperlink"/>
                  <w:noProof/>
                  <w:spacing w:val="-4"/>
                  <w:u w:val="none"/>
                </w:rPr>
                <w:t>шест държави членки</w:t>
              </w:r>
            </w:hyperlink>
            <w:r>
              <w:rPr>
                <w:noProof/>
                <w:color w:val="FFFFFF" w:themeColor="background1"/>
                <w:spacing w:val="-4"/>
                <w:u w:val="none"/>
              </w:rPr>
              <w:t xml:space="preserve"> да приложат правилата относно </w:t>
            </w:r>
            <w:hyperlink r:id="rId179" w:history="1">
              <w:r>
                <w:rPr>
                  <w:rStyle w:val="Hyperlink"/>
                  <w:noProof/>
                  <w:spacing w:val="-4"/>
                  <w:u w:val="none"/>
                </w:rPr>
                <w:t>интелигентните транспортни системи</w:t>
              </w:r>
            </w:hyperlink>
            <w:r>
              <w:rPr>
                <w:noProof/>
                <w:color w:val="FFFFFF" w:themeColor="background1"/>
                <w:spacing w:val="-4"/>
                <w:u w:val="none"/>
              </w:rPr>
              <w:t>.</w:t>
            </w:r>
          </w:p>
        </w:tc>
      </w:tr>
    </w:tbl>
    <w:p>
      <w:pPr>
        <w:spacing w:before="120" w:after="120"/>
        <w:jc w:val="both"/>
        <w:rPr>
          <w:noProof/>
          <w:u w:val="none"/>
        </w:rPr>
      </w:pPr>
      <w:r>
        <w:rPr>
          <w:noProof/>
          <w:u w:val="none"/>
        </w:rPr>
        <w:t>Комисията провери също така дали държавите членки могат ефективно да обменят информация относно картите за тахограф чрез европейската система TACHOnet. Тахографът е устройство, което регистрира времето за управление, прекъсванията на работа, периодите на почивка, както и периодите на друга работа, извършена от водача.</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8" w:type="dxa"/>
            <w:shd w:val="clear" w:color="auto" w:fill="8DB3E2" w:themeFill="text2" w:themeFillTint="66"/>
          </w:tcPr>
          <w:p>
            <w:pPr>
              <w:spacing w:before="60" w:after="60" w:line="240" w:lineRule="auto"/>
              <w:jc w:val="both"/>
              <w:rPr>
                <w:rFonts w:eastAsia="Times New Roman"/>
                <w:noProof/>
                <w:color w:val="FFFFFF"/>
                <w:u w:val="none"/>
              </w:rPr>
            </w:pPr>
            <w:r>
              <w:rPr>
                <w:noProof/>
                <w:color w:val="FFFFFF" w:themeColor="background1"/>
                <w:spacing w:val="-4"/>
                <w:u w:val="none"/>
              </w:rPr>
              <w:t>Комисията поиска от</w:t>
            </w:r>
            <w:r>
              <w:rPr>
                <w:noProof/>
                <w:u w:val="none"/>
              </w:rPr>
              <w:t xml:space="preserve"> </w:t>
            </w:r>
            <w:hyperlink r:id="rId180" w:history="1">
              <w:r>
                <w:rPr>
                  <w:rStyle w:val="Hyperlink"/>
                  <w:noProof/>
                  <w:u w:val="none"/>
                </w:rPr>
                <w:t>10 държави членки</w:t>
              </w:r>
            </w:hyperlink>
            <w:r>
              <w:rPr>
                <w:noProof/>
                <w:u w:val="none"/>
              </w:rPr>
              <w:t xml:space="preserve"> </w:t>
            </w:r>
            <w:r>
              <w:rPr>
                <w:noProof/>
                <w:color w:val="FFFFFF" w:themeColor="background1"/>
                <w:spacing w:val="-4"/>
                <w:u w:val="none"/>
              </w:rPr>
              <w:t>да спазват</w:t>
            </w:r>
            <w:r>
              <w:rPr>
                <w:noProof/>
                <w:u w:val="none"/>
              </w:rPr>
              <w:t xml:space="preserve"> </w:t>
            </w:r>
            <w:hyperlink r:id="rId181" w:history="1">
              <w:r>
                <w:rPr>
                  <w:rStyle w:val="Hyperlink"/>
                  <w:noProof/>
                  <w:u w:val="none"/>
                </w:rPr>
                <w:t>правилата на ЕС относно взаимното свързване на националните електронни регистри за картите за тахограф</w:t>
              </w:r>
            </w:hyperlink>
            <w:r>
              <w:rPr>
                <w:noProof/>
                <w:u w:val="none"/>
              </w:rPr>
              <w:t>.</w:t>
            </w:r>
          </w:p>
        </w:tc>
      </w:tr>
    </w:tbl>
    <w:p>
      <w:pPr>
        <w:spacing w:before="120"/>
        <w:jc w:val="both"/>
        <w:rPr>
          <w:noProof/>
          <w:u w:val="none"/>
        </w:rPr>
      </w:pPr>
      <w:r>
        <w:rPr>
          <w:noProof/>
          <w:u w:val="none"/>
        </w:rPr>
        <w:t>Напълно функциониращ вътрешен транспортен пазар може да се постигне само ако няма неоснователни пречки пред предоставянето на транспортни услуги. В сферата на автомобилния транспорт пазарът на превозвачите е от съществена важност за транспортирането на стоки в ЕС и важен сектор за малките и средните дружества.</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8" w:type="dxa"/>
            <w:shd w:val="clear" w:color="auto" w:fill="8DB3E2" w:themeFill="text2" w:themeFillTint="66"/>
          </w:tcPr>
          <w:p>
            <w:pPr>
              <w:spacing w:before="60" w:after="60" w:line="240" w:lineRule="auto"/>
              <w:jc w:val="both"/>
              <w:rPr>
                <w:rFonts w:eastAsia="Times New Roman"/>
                <w:noProof/>
                <w:color w:val="FFFFFF"/>
                <w:u w:val="none"/>
              </w:rPr>
            </w:pPr>
            <w:r>
              <w:rPr>
                <w:noProof/>
                <w:color w:val="FFFFFF" w:themeColor="background1"/>
                <w:spacing w:val="-4"/>
                <w:u w:val="none"/>
              </w:rPr>
              <w:t>Съдът потвърди, че</w:t>
            </w:r>
            <w:r>
              <w:rPr>
                <w:noProof/>
                <w:u w:val="none"/>
              </w:rPr>
              <w:t xml:space="preserve"> </w:t>
            </w:r>
            <w:hyperlink r:id="rId182" w:history="1">
              <w:r>
                <w:rPr>
                  <w:rStyle w:val="Hyperlink"/>
                  <w:noProof/>
                  <w:u w:val="none"/>
                </w:rPr>
                <w:t>Испания</w:t>
              </w:r>
            </w:hyperlink>
            <w:r>
              <w:rPr>
                <w:noProof/>
                <w:u w:val="none"/>
              </w:rPr>
              <w:t xml:space="preserve"> </w:t>
            </w:r>
            <w:r>
              <w:rPr>
                <w:noProof/>
                <w:color w:val="FFFFFF" w:themeColor="background1"/>
                <w:spacing w:val="-4"/>
                <w:u w:val="none"/>
              </w:rPr>
              <w:t>е дискриминирала малките превозвачи, като ги е изключила от пазара на автомобилния транспорт.</w:t>
            </w:r>
            <w:r>
              <w:rPr>
                <w:noProof/>
                <w:color w:val="FFFFFF" w:themeColor="background1"/>
                <w:u w:val="none"/>
              </w:rPr>
              <w:t xml:space="preserve"> В Испания те са били задължени да разполагат с парк от най-малко три превозни средства, за да могат да получат разрешение за транспорт. Освен това Комисията предприе действия срещу </w:t>
            </w:r>
            <w:hyperlink r:id="rId183" w:history="1">
              <w:r>
                <w:rPr>
                  <w:rStyle w:val="Hyperlink"/>
                  <w:noProof/>
                  <w:u w:val="none"/>
                </w:rPr>
                <w:t>Дания</w:t>
              </w:r>
            </w:hyperlink>
            <w:r>
              <w:rPr>
                <w:rStyle w:val="Hyperlink"/>
                <w:noProof/>
                <w:color w:val="FFFFFF" w:themeColor="background1"/>
                <w:u w:val="none"/>
              </w:rPr>
              <w:t>,</w:t>
            </w:r>
            <w:r>
              <w:rPr>
                <w:noProof/>
                <w:u w:val="none"/>
              </w:rPr>
              <w:t xml:space="preserve"> </w:t>
            </w:r>
            <w:r>
              <w:rPr>
                <w:noProof/>
                <w:color w:val="FFFFFF" w:themeColor="background1"/>
                <w:u w:val="none"/>
              </w:rPr>
              <w:t xml:space="preserve">чиито правила за паркиране на камиони ограничават периода на паркиране до 25 часа. Тези правила затрудняват спазването на разпоредбите за почивка </w:t>
            </w:r>
            <w:r>
              <w:rPr>
                <w:noProof/>
                <w:color w:val="FFFFFF" w:themeColor="background1"/>
                <w:spacing w:val="-4"/>
                <w:u w:val="none"/>
              </w:rPr>
              <w:t>от</w:t>
            </w:r>
            <w:r>
              <w:rPr>
                <w:noProof/>
                <w:color w:val="FFFFFF" w:themeColor="background1"/>
                <w:u w:val="none"/>
              </w:rPr>
              <w:t xml:space="preserve"> страна на шофьорите на камиони. Тъй като тези правила засягат главно превозвачи, установени в друга държава членка, те представляват необоснована непряка дискриминация, основана на гражданството.</w:t>
            </w:r>
          </w:p>
        </w:tc>
      </w:tr>
    </w:tbl>
    <w:p>
      <w:pPr>
        <w:spacing w:before="120"/>
        <w:jc w:val="both"/>
        <w:rPr>
          <w:noProof/>
          <w:u w:val="none"/>
        </w:rPr>
      </w:pPr>
      <w:r>
        <w:rPr>
          <w:noProof/>
          <w:u w:val="none"/>
        </w:rPr>
        <w:t>Засилената интеграция на транспортния сектор е съществено важна за завършването на вътрешния пазар. Железниците са жизнено важна част от транспортния сектор на ЕС и от стремежа към устойчива мобилност. През 2018 г. Комисията започна цялостна оценка на съответствието на националните законодателства с правния инструмент на ЕС за създаването на единно европейско железопътно пространство.</w:t>
      </w:r>
    </w:p>
    <w:p>
      <w:pPr>
        <w:jc w:val="both"/>
        <w:rPr>
          <w:noProof/>
          <w:u w:val="none"/>
        </w:rPr>
      </w:pPr>
    </w:p>
    <w:p>
      <w:pPr>
        <w:jc w:val="both"/>
        <w:rPr>
          <w:noProof/>
          <w:u w:val="none"/>
        </w:rPr>
      </w:pPr>
    </w:p>
    <w:p>
      <w:pPr>
        <w:jc w:val="both"/>
        <w:rPr>
          <w:noProof/>
          <w:u w:val="none"/>
        </w:rPr>
      </w:pPr>
    </w:p>
    <w:p>
      <w:pPr>
        <w:jc w:val="both"/>
        <w:rPr>
          <w:noProof/>
          <w:u w:val="none"/>
        </w:rPr>
      </w:pPr>
    </w:p>
    <w:p>
      <w:pPr>
        <w:jc w:val="both"/>
        <w:rPr>
          <w:noProof/>
          <w:u w:val="none"/>
        </w:rPr>
      </w:pPr>
    </w:p>
    <w:p>
      <w:pPr>
        <w:spacing w:after="0" w:line="240" w:lineRule="auto"/>
        <w:rPr>
          <w:noProof/>
          <w:u w:val="none"/>
        </w:rPr>
      </w:pPr>
      <w:r>
        <w:rPr>
          <w:noProof/>
        </w:rPr>
        <w:br w:type="page"/>
      </w:r>
    </w:p>
    <w:p>
      <w:pPr>
        <w:pStyle w:val="kop3"/>
        <w:spacing w:before="360" w:after="240"/>
        <w:ind w:left="357" w:hanging="357"/>
        <w:rPr>
          <w:noProof/>
        </w:rPr>
      </w:pPr>
      <w:bookmarkStart w:id="34" w:name="_Toc506199722"/>
      <w:bookmarkStart w:id="35" w:name="_Toc506199743"/>
      <w:bookmarkStart w:id="36" w:name="_Toc444796650"/>
      <w:bookmarkStart w:id="37" w:name="_Toc506209839"/>
      <w:bookmarkStart w:id="38" w:name="_Toc506218380"/>
      <w:bookmarkStart w:id="39" w:name="_Toc506309252"/>
      <w:bookmarkStart w:id="40" w:name="_Toc13054237"/>
      <w:r>
        <w:rPr>
          <w:noProof/>
          <w:u w:val="none"/>
        </w:rPr>
        <w:t>По-задълбочен и по-справедлив икономически и паричен съюз</w:t>
      </w:r>
      <w:bookmarkStart w:id="41" w:name="_Toc444796651"/>
      <w:bookmarkEnd w:id="34"/>
      <w:bookmarkEnd w:id="35"/>
      <w:bookmarkEnd w:id="36"/>
      <w:bookmarkEnd w:id="37"/>
      <w:bookmarkEnd w:id="38"/>
      <w:bookmarkEnd w:id="39"/>
      <w:bookmarkEnd w:id="40"/>
    </w:p>
    <w:p>
      <w:pPr>
        <w:jc w:val="both"/>
        <w:rPr>
          <w:noProof/>
          <w:u w:val="none"/>
        </w:rPr>
      </w:pPr>
      <w:r>
        <w:rPr>
          <w:noProof/>
          <w:u w:val="none"/>
        </w:rPr>
        <w:t>Един „по-задълбочен и по-справедлив икономически и паричен съюз“ е основна част от отговора на Комисията на икономическата и финансова криза. Целта на тази политика е укрепване на икономиката на ЕС по начин, с който се създават повече работни места и се подобрява стандартът на живот на хората.</w:t>
      </w:r>
    </w:p>
    <w:p>
      <w:pPr>
        <w:spacing w:before="360"/>
        <w:jc w:val="both"/>
        <w:rPr>
          <w:rFonts w:ascii="Arial Unicode MS" w:eastAsia="Arial Unicode MS" w:hAnsi="Arial Unicode MS" w:cs="Arial Unicode MS"/>
          <w:i/>
          <w:noProof/>
          <w:color w:val="4F81BD"/>
          <w:sz w:val="22"/>
          <w:szCs w:val="22"/>
          <w:u w:val="none"/>
        </w:rPr>
      </w:pPr>
      <w:r>
        <w:rPr>
          <w:rFonts w:ascii="Arial Unicode MS" w:hAnsi="Arial Unicode MS"/>
          <w:i/>
          <w:noProof/>
          <w:color w:val="4F81BD"/>
          <w:sz w:val="22"/>
          <w:szCs w:val="22"/>
          <w:u w:val="none"/>
        </w:rPr>
        <w:t>Прилагане на правилата на икономическия и паричен съюз</w:t>
      </w:r>
    </w:p>
    <w:p>
      <w:pPr>
        <w:jc w:val="both"/>
        <w:rPr>
          <w:noProof/>
          <w:u w:val="none"/>
        </w:rPr>
      </w:pPr>
      <w:r>
        <w:rPr>
          <w:noProof/>
          <w:u w:val="none"/>
          <w:lang w:val="en-GB" w:eastAsia="en-GB"/>
        </w:rPr>
        <w:drawing>
          <wp:anchor distT="0" distB="0" distL="114300" distR="114300" simplePos="0" relativeHeight="251670528" behindDoc="1" locked="0" layoutInCell="1" allowOverlap="1">
            <wp:simplePos x="0" y="0"/>
            <wp:positionH relativeFrom="column">
              <wp:posOffset>1270</wp:posOffset>
            </wp:positionH>
            <wp:positionV relativeFrom="paragraph">
              <wp:posOffset>93980</wp:posOffset>
            </wp:positionV>
            <wp:extent cx="2705100" cy="1791970"/>
            <wp:effectExtent l="0" t="0" r="2540" b="0"/>
            <wp:wrapTight wrapText="bothSides">
              <wp:wrapPolygon edited="0">
                <wp:start x="0" y="0"/>
                <wp:lineTo x="0" y="21355"/>
                <wp:lineTo x="21448" y="21355"/>
                <wp:lineTo x="214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SMA4_small.jpg"/>
                    <pic:cNvPicPr/>
                  </pic:nvPicPr>
                  <pic:blipFill>
                    <a:blip r:embed="rId184" cstate="email">
                      <a:extLst>
                        <a:ext uri="{28A0092B-C50C-407E-A947-70E740481C1C}">
                          <a14:useLocalDpi xmlns:a14="http://schemas.microsoft.com/office/drawing/2010/main"/>
                        </a:ext>
                      </a:extLst>
                    </a:blip>
                    <a:stretch>
                      <a:fillRect/>
                    </a:stretch>
                  </pic:blipFill>
                  <pic:spPr>
                    <a:xfrm>
                      <a:off x="0" y="0"/>
                      <a:ext cx="2705100" cy="1791970"/>
                    </a:xfrm>
                    <a:prstGeom prst="rect">
                      <a:avLst/>
                    </a:prstGeom>
                  </pic:spPr>
                </pic:pic>
              </a:graphicData>
            </a:graphic>
            <wp14:sizeRelH relativeFrom="margin">
              <wp14:pctWidth>0</wp14:pctWidth>
            </wp14:sizeRelH>
            <wp14:sizeRelV relativeFrom="margin">
              <wp14:pctHeight>0</wp14:pctHeight>
            </wp14:sizeRelV>
          </wp:anchor>
        </w:drawing>
      </w:r>
    </w:p>
    <w:p>
      <w:pPr>
        <w:jc w:val="both"/>
        <w:rPr>
          <w:noProof/>
          <w:u w:val="none"/>
        </w:rPr>
      </w:pPr>
      <w:r>
        <w:rPr>
          <w:noProof/>
          <w:u w:val="none"/>
        </w:rPr>
        <w:t>Икономическият и паричен съюз е в основата на процеса на интеграция на ЕС. Постигането на икономически и паричен съюз не е самоцел, а средство за осигуряване на стабилност и на по-силен, устойчив и приобщаващ растеж в еврозоната и в целия ЕС.</w:t>
      </w:r>
    </w:p>
    <w:p>
      <w:pPr>
        <w:spacing w:after="480"/>
        <w:jc w:val="both"/>
        <w:rPr>
          <w:noProof/>
          <w:u w:val="none"/>
          <w:lang w:eastAsia="en-GB"/>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60"/>
              <w:jc w:val="both"/>
              <w:rPr>
                <w:noProof/>
                <w:color w:val="FFFFFF" w:themeColor="background1"/>
                <w:u w:val="none"/>
              </w:rPr>
            </w:pPr>
            <w:r>
              <w:rPr>
                <w:noProof/>
                <w:color w:val="FFFFFF" w:themeColor="background1"/>
                <w:u w:val="none"/>
              </w:rPr>
              <w:t xml:space="preserve">През 2018 г. Комисията продължи да обръща специално внимание на прилагането на </w:t>
            </w:r>
            <w:hyperlink r:id="rId185" w:history="1">
              <w:r>
                <w:rPr>
                  <w:rStyle w:val="Hyperlink"/>
                  <w:noProof/>
                  <w:u w:val="none"/>
                </w:rPr>
                <w:t>Директивата относно изискванията за бюджетните рамки на държавите членки</w:t>
              </w:r>
            </w:hyperlink>
            <w:r>
              <w:rPr>
                <w:noProof/>
                <w:u w:val="none"/>
              </w:rPr>
              <w:t>.</w:t>
            </w:r>
          </w:p>
        </w:tc>
      </w:tr>
    </w:tbl>
    <w:p>
      <w:pPr>
        <w:spacing w:before="200"/>
        <w:jc w:val="both"/>
        <w:rPr>
          <w:noProof/>
          <w:u w:val="none"/>
        </w:rPr>
      </w:pPr>
      <w:r>
        <w:rPr>
          <w:noProof/>
          <w:u w:val="none"/>
        </w:rPr>
        <w:t>Освен това според обществеността и предприятията еврото може да бъде силна и надеждна валута само ако е подходящо защитено срещу подправяне.</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8" w:type="dxa"/>
            <w:shd w:val="clear" w:color="auto" w:fill="8DB3E2" w:themeFill="text2" w:themeFillTint="66"/>
          </w:tcPr>
          <w:p>
            <w:pPr>
              <w:spacing w:before="60" w:after="60"/>
              <w:jc w:val="both"/>
              <w:rPr>
                <w:noProof/>
                <w:color w:val="FFFFFF" w:themeColor="background1"/>
                <w:u w:val="none"/>
              </w:rPr>
            </w:pPr>
            <w:r>
              <w:rPr>
                <w:noProof/>
                <w:color w:val="FFFFFF" w:themeColor="background1"/>
                <w:u w:val="none"/>
              </w:rPr>
              <w:t>През 2018 г. Комисията продължи своите правни действия срещу Белгия, България, Хърватия, Ирландия, Гърция, Люксембург, Малта, Словакия и Словения поради неизпълнение на</w:t>
            </w:r>
            <w:r>
              <w:rPr>
                <w:noProof/>
                <w:u w:val="none"/>
              </w:rPr>
              <w:t xml:space="preserve"> </w:t>
            </w:r>
            <w:hyperlink r:id="rId186" w:history="1">
              <w:r>
                <w:rPr>
                  <w:rStyle w:val="Hyperlink"/>
                  <w:noProof/>
                  <w:u w:val="none"/>
                </w:rPr>
                <w:t>правилата на ЕС относно защитата по наказателноправен ред на еврото и на другите парични знаци срещу подправяне</w:t>
              </w:r>
            </w:hyperlink>
            <w:r>
              <w:rPr>
                <w:noProof/>
                <w:u w:val="none"/>
              </w:rPr>
              <w:t>.</w:t>
            </w:r>
          </w:p>
        </w:tc>
      </w:tr>
    </w:tbl>
    <w:p>
      <w:pPr>
        <w:spacing w:after="0" w:line="240" w:lineRule="auto"/>
        <w:rPr>
          <w:rFonts w:ascii="Arial Unicode MS" w:eastAsia="Arial Unicode MS" w:hAnsi="Arial Unicode MS" w:cs="Arial Unicode MS"/>
          <w:i/>
          <w:noProof/>
          <w:color w:val="4F81BD"/>
          <w:sz w:val="22"/>
          <w:szCs w:val="22"/>
          <w:u w:val="none"/>
        </w:rPr>
      </w:pPr>
      <w:r>
        <w:rPr>
          <w:noProof/>
        </w:rPr>
        <w:br w:type="page"/>
      </w:r>
      <w:r>
        <w:rPr>
          <w:rFonts w:ascii="Arial Unicode MS" w:hAnsi="Arial Unicode MS"/>
          <w:i/>
          <w:noProof/>
          <w:color w:val="4F81BD"/>
          <w:sz w:val="22"/>
          <w:szCs w:val="22"/>
          <w:u w:val="none"/>
        </w:rPr>
        <w:t>Прилагане на правилата за банковия съюз</w:t>
      </w:r>
    </w:p>
    <w:p>
      <w:pPr>
        <w:spacing w:before="200"/>
        <w:jc w:val="both"/>
        <w:rPr>
          <w:noProof/>
          <w:u w:val="none"/>
        </w:rPr>
      </w:pPr>
      <w:r>
        <w:rPr>
          <w:i/>
          <w:noProof/>
          <w:u w:val="none"/>
          <w:lang w:val="en-GB" w:eastAsia="en-GB"/>
        </w:rPr>
        <w:drawing>
          <wp:anchor distT="0" distB="0" distL="114300" distR="114300" simplePos="0" relativeHeight="251645952" behindDoc="0" locked="0" layoutInCell="1" allowOverlap="1">
            <wp:simplePos x="0" y="0"/>
            <wp:positionH relativeFrom="column">
              <wp:posOffset>1270</wp:posOffset>
            </wp:positionH>
            <wp:positionV relativeFrom="paragraph">
              <wp:posOffset>128270</wp:posOffset>
            </wp:positionV>
            <wp:extent cx="3648865" cy="273685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SMA BANK_small.jpg"/>
                    <pic:cNvPicPr/>
                  </pic:nvPicPr>
                  <pic:blipFill>
                    <a:blip r:embed="rId187" cstate="email">
                      <a:extLst>
                        <a:ext uri="{28A0092B-C50C-407E-A947-70E740481C1C}">
                          <a14:useLocalDpi xmlns:a14="http://schemas.microsoft.com/office/drawing/2010/main"/>
                        </a:ext>
                      </a:extLst>
                    </a:blip>
                    <a:stretch>
                      <a:fillRect/>
                    </a:stretch>
                  </pic:blipFill>
                  <pic:spPr>
                    <a:xfrm>
                      <a:off x="0" y="0"/>
                      <a:ext cx="3648865" cy="2736850"/>
                    </a:xfrm>
                    <a:prstGeom prst="rect">
                      <a:avLst/>
                    </a:prstGeom>
                  </pic:spPr>
                </pic:pic>
              </a:graphicData>
            </a:graphic>
            <wp14:sizeRelH relativeFrom="margin">
              <wp14:pctWidth>0</wp14:pctWidth>
            </wp14:sizeRelH>
            <wp14:sizeRelV relativeFrom="margin">
              <wp14:pctHeight>0</wp14:pctHeight>
            </wp14:sizeRelV>
          </wp:anchor>
        </w:drawing>
      </w:r>
      <w:r>
        <w:rPr>
          <w:noProof/>
          <w:u w:val="none"/>
        </w:rPr>
        <w:t xml:space="preserve">В рамките на банковия съюз Комисията продължи да проверява прилагането от държавите членки на </w:t>
      </w:r>
      <w:hyperlink r:id="rId188" w:history="1">
        <w:r>
          <w:rPr>
            <w:rStyle w:val="Hyperlink"/>
            <w:noProof/>
            <w:u w:val="none"/>
          </w:rPr>
          <w:t>Директивата за капиталовите изисквания IV</w:t>
        </w:r>
      </w:hyperlink>
      <w:r>
        <w:rPr>
          <w:noProof/>
          <w:u w:val="none"/>
        </w:rPr>
        <w:t xml:space="preserve">, </w:t>
      </w:r>
      <w:hyperlink r:id="rId189" w:history="1">
        <w:r>
          <w:rPr>
            <w:rStyle w:val="Hyperlink"/>
            <w:noProof/>
            <w:u w:val="none"/>
          </w:rPr>
          <w:t>Директивата относно схемите за гарантиране на депозити</w:t>
        </w:r>
      </w:hyperlink>
      <w:r>
        <w:rPr>
          <w:noProof/>
          <w:u w:val="none"/>
        </w:rPr>
        <w:t xml:space="preserve"> и </w:t>
      </w:r>
      <w:hyperlink r:id="rId190" w:history="1">
        <w:r>
          <w:rPr>
            <w:rStyle w:val="Hyperlink"/>
            <w:noProof/>
            <w:u w:val="none"/>
          </w:rPr>
          <w:t>Директивата за възстановяване и преструктуриране на банки</w:t>
        </w:r>
      </w:hyperlink>
      <w:r>
        <w:rPr>
          <w:noProof/>
          <w:u w:val="none"/>
        </w:rPr>
        <w:t>. С тези инструменти на ЕС се цели да се гарантира, че банките са по-силни и върху тях се осъществява по-добър надзор, както и че проблемите могат да се разрешават по-лесно, без да се използват пари на данъкоплатците.</w:t>
      </w:r>
    </w:p>
    <w:p>
      <w:pPr>
        <w:jc w:val="both"/>
        <w:rPr>
          <w:noProof/>
          <w:u w:val="none"/>
        </w:rPr>
      </w:pPr>
    </w:p>
    <w:p>
      <w:pPr>
        <w:jc w:val="both"/>
        <w:rPr>
          <w:noProof/>
          <w:u w:val="non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8" w:type="dxa"/>
            <w:shd w:val="clear" w:color="auto" w:fill="8DB3E2" w:themeFill="text2" w:themeFillTint="66"/>
          </w:tcPr>
          <w:p>
            <w:pPr>
              <w:spacing w:before="60" w:after="60" w:line="240" w:lineRule="auto"/>
              <w:jc w:val="both"/>
              <w:rPr>
                <w:rFonts w:eastAsia="Times New Roman"/>
                <w:noProof/>
                <w:color w:val="FFFFFF"/>
                <w:u w:val="none"/>
              </w:rPr>
            </w:pPr>
            <w:r>
              <w:rPr>
                <w:noProof/>
                <w:color w:val="FFFFFF" w:themeColor="background1"/>
                <w:u w:val="none"/>
              </w:rPr>
              <w:t xml:space="preserve">През юли 2018 г. Комисията реши да заведе дело пред съда на ЕС срещу </w:t>
            </w:r>
            <w:hyperlink r:id="rId191" w:history="1">
              <w:r>
                <w:rPr>
                  <w:rStyle w:val="Hyperlink"/>
                  <w:noProof/>
                  <w:u w:val="none"/>
                </w:rPr>
                <w:t>Испания</w:t>
              </w:r>
            </w:hyperlink>
            <w:r>
              <w:rPr>
                <w:noProof/>
                <w:color w:val="FFFFFF" w:themeColor="background1"/>
                <w:u w:val="none"/>
              </w:rPr>
              <w:t xml:space="preserve"> за това, че страната не е приела националните мерки, необходими за пълното транспониране на </w:t>
            </w:r>
            <w:hyperlink r:id="rId192" w:history="1">
              <w:r>
                <w:rPr>
                  <w:rStyle w:val="Hyperlink"/>
                  <w:noProof/>
                  <w:u w:val="none"/>
                </w:rPr>
                <w:t>Директивата за капиталовите изисквания</w:t>
              </w:r>
            </w:hyperlink>
            <w:r>
              <w:rPr>
                <w:noProof/>
                <w:color w:val="FFFFFF" w:themeColor="background1"/>
                <w:u w:val="none"/>
              </w:rPr>
              <w:t>. Тъй като испанските органи предприеха стъпки за гарантиране на пълното транспониране на директивата, Комисията реши да прекъсне процедурата за сезиране до приемането на законодателството за изменение.</w:t>
            </w:r>
            <w:r>
              <w:rPr>
                <w:noProof/>
                <w:u w:val="none"/>
              </w:rPr>
              <w:t xml:space="preserve"> </w:t>
            </w:r>
          </w:p>
        </w:tc>
      </w:tr>
    </w:tbl>
    <w:p>
      <w:pPr>
        <w:spacing w:before="240"/>
        <w:jc w:val="both"/>
        <w:rPr>
          <w:noProof/>
          <w:u w:val="none"/>
        </w:rPr>
      </w:pPr>
      <w:r>
        <w:rPr>
          <w:noProof/>
          <w:u w:val="none"/>
        </w:rPr>
        <w:t>Комисията продължи също така да проверява дали държавите членки зачитат независимостта и автономното функциониране на централните банки.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8" w:type="dxa"/>
            <w:shd w:val="clear" w:color="auto" w:fill="8DB3E2" w:themeFill="text2" w:themeFillTint="66"/>
          </w:tcPr>
          <w:p>
            <w:pPr>
              <w:spacing w:before="60" w:after="60" w:line="240" w:lineRule="auto"/>
              <w:jc w:val="both"/>
              <w:rPr>
                <w:rFonts w:eastAsia="Times New Roman"/>
                <w:noProof/>
                <w:color w:val="FFFFFF"/>
                <w:u w:val="none"/>
              </w:rPr>
            </w:pPr>
            <w:r>
              <w:rPr>
                <w:noProof/>
                <w:color w:val="FFFFFF" w:themeColor="background1"/>
                <w:u w:val="none"/>
              </w:rPr>
              <w:t>През 2018 г. Комисията продължи своите правни действия срещу</w:t>
            </w:r>
            <w:r>
              <w:rPr>
                <w:noProof/>
                <w:u w:val="none"/>
              </w:rPr>
              <w:t xml:space="preserve"> </w:t>
            </w:r>
            <w:hyperlink r:id="rId193" w:history="1">
              <w:r>
                <w:rPr>
                  <w:rStyle w:val="Hyperlink"/>
                  <w:noProof/>
                  <w:u w:val="none"/>
                </w:rPr>
                <w:t>Словения</w:t>
              </w:r>
            </w:hyperlink>
            <w:r>
              <w:rPr>
                <w:noProof/>
                <w:u w:val="none"/>
              </w:rPr>
              <w:t xml:space="preserve"> </w:t>
            </w:r>
            <w:r>
              <w:rPr>
                <w:noProof/>
                <w:color w:val="FFFFFF" w:themeColor="background1"/>
                <w:u w:val="none"/>
              </w:rPr>
              <w:t>във връзка с нарушаването от нейна страна на неприкосновеността на архивите на Европейската централна банка.</w:t>
            </w:r>
          </w:p>
        </w:tc>
      </w:tr>
    </w:tbl>
    <w:p>
      <w:pPr>
        <w:pStyle w:val="kop3"/>
        <w:numPr>
          <w:ilvl w:val="0"/>
          <w:numId w:val="0"/>
        </w:numPr>
        <w:spacing w:before="360" w:after="240"/>
        <w:rPr>
          <w:rFonts w:eastAsia="Calibri"/>
          <w:bCs w:val="0"/>
          <w:noProof/>
          <w:color w:val="auto"/>
          <w:sz w:val="20"/>
          <w:u w:val="none"/>
        </w:rPr>
      </w:pPr>
      <w:bookmarkStart w:id="42" w:name="_Toc506199723"/>
      <w:bookmarkStart w:id="43" w:name="_Toc506199744"/>
      <w:bookmarkStart w:id="44" w:name="_Toc506209840"/>
      <w:bookmarkStart w:id="45" w:name="_Toc506218381"/>
      <w:bookmarkStart w:id="46" w:name="_Toc506309253"/>
    </w:p>
    <w:p>
      <w:pPr>
        <w:spacing w:after="0" w:line="240" w:lineRule="auto"/>
        <w:rPr>
          <w:noProof/>
        </w:rPr>
      </w:pPr>
      <w:r>
        <w:rPr>
          <w:noProof/>
        </w:rPr>
        <w:br w:type="page"/>
      </w:r>
    </w:p>
    <w:p>
      <w:pPr>
        <w:pStyle w:val="kop3"/>
        <w:spacing w:before="360" w:after="240"/>
        <w:ind w:left="357" w:hanging="357"/>
        <w:rPr>
          <w:noProof/>
          <w:u w:val="none"/>
        </w:rPr>
      </w:pPr>
      <w:bookmarkStart w:id="47" w:name="_Toc13054238"/>
      <w:r>
        <w:rPr>
          <w:noProof/>
          <w:u w:val="none"/>
        </w:rPr>
        <w:t>Пространство на правосъдие и основни права, изградено върху взаимно доверие</w:t>
      </w:r>
      <w:bookmarkEnd w:id="41"/>
      <w:bookmarkEnd w:id="42"/>
      <w:bookmarkEnd w:id="43"/>
      <w:bookmarkEnd w:id="44"/>
      <w:bookmarkEnd w:id="45"/>
      <w:bookmarkEnd w:id="46"/>
      <w:bookmarkEnd w:id="47"/>
    </w:p>
    <w:p>
      <w:pPr>
        <w:jc w:val="both"/>
        <w:rPr>
          <w:noProof/>
          <w:u w:val="none"/>
        </w:rPr>
      </w:pPr>
      <w:r>
        <w:rPr>
          <w:noProof/>
          <w:u w:val="none"/>
        </w:rPr>
        <w:t>В областта на правосъдието Комисията гарантира спазването на принципите на правовата държава и на Хартата на основните права. Тя гарантира също така и спазването на конкретни права като правото на свободно движение, на защита на данните, на равенство между половете, на недискриминация, правата на жертвите и правото на справедлив процес в наказателни производства. Тези теми заемат водещо място в програмата на Комисията, тъй като засягат пряко живота на хората.</w:t>
      </w:r>
    </w:p>
    <w:p>
      <w:pPr>
        <w:jc w:val="both"/>
        <w:rPr>
          <w:noProof/>
          <w:u w:val="none"/>
        </w:rPr>
      </w:pPr>
      <w:r>
        <w:rPr>
          <w:noProof/>
          <w:u w:val="none"/>
        </w:rPr>
        <w:t xml:space="preserve">Наред с това, в рамките на </w:t>
      </w:r>
      <w:hyperlink r:id="rId194" w:history="1">
        <w:r>
          <w:rPr>
            <w:rStyle w:val="Hyperlink"/>
            <w:noProof/>
            <w:u w:val="none"/>
          </w:rPr>
          <w:t>европейския семестър</w:t>
        </w:r>
      </w:hyperlink>
      <w:r>
        <w:rPr>
          <w:rStyle w:val="Hyperlink"/>
          <w:noProof/>
        </w:rPr>
        <w:t xml:space="preserve"> </w:t>
      </w:r>
      <w:r>
        <w:rPr>
          <w:noProof/>
          <w:u w:val="none"/>
        </w:rPr>
        <w:t xml:space="preserve">Комисията продължи да насърчава държавите членки да подобряват ефективността на капацитета си за правоприлагане. Това по-специално касае независимостта, качеството и ефикасността на техните национални съдебни системи. За тази цел Комисията предложи специфични за всяка държава препоръки за пет държави членки, приети впоследствие от Съвета. Чрез </w:t>
      </w:r>
      <w:hyperlink r:id="rId195" w:history="1">
        <w:r>
          <w:rPr>
            <w:rStyle w:val="Hyperlink"/>
            <w:noProof/>
            <w:u w:val="none"/>
          </w:rPr>
          <w:t>информационното табло на ЕС в областта на правосъдието</w:t>
        </w:r>
      </w:hyperlink>
      <w:r>
        <w:rPr>
          <w:noProof/>
          <w:u w:val="none"/>
        </w:rPr>
        <w:t xml:space="preserve"> Комисията наблюдава независимостта, качеството и ефективността на националните правосъдни системи. През май 2018 г. Комисията предложи също така </w:t>
      </w:r>
      <w:hyperlink r:id="rId196" w:history="1">
        <w:r>
          <w:rPr>
            <w:rStyle w:val="Hyperlink"/>
            <w:noProof/>
            <w:u w:val="none"/>
          </w:rPr>
          <w:t>Регламент относно защитата на бюджета на Съюза в случаите на широко разпространено незачитане на принципите на правовата държава</w:t>
        </w:r>
      </w:hyperlink>
      <w:r>
        <w:rPr>
          <w:noProof/>
          <w:u w:val="none"/>
        </w:rPr>
        <w:t xml:space="preserve"> в държавите членки. Спазването на принципите на правовата държава е съществено важно условие за доброто финансово управление.</w:t>
      </w:r>
    </w:p>
    <w:p>
      <w:pPr>
        <w:spacing w:after="0" w:line="240" w:lineRule="auto"/>
        <w:rPr>
          <w:rFonts w:ascii="Arial Unicode MS" w:eastAsia="Arial Unicode MS" w:hAnsi="Arial Unicode MS" w:cs="Arial Unicode MS"/>
          <w:i/>
          <w:noProof/>
          <w:color w:val="4F81BD"/>
          <w:sz w:val="22"/>
          <w:szCs w:val="22"/>
          <w:u w:val="none"/>
        </w:rPr>
      </w:pPr>
      <w:r>
        <w:rPr>
          <w:rFonts w:ascii="Arial Unicode MS" w:hAnsi="Arial Unicode MS"/>
          <w:i/>
          <w:noProof/>
          <w:color w:val="4F81BD"/>
          <w:sz w:val="22"/>
          <w:szCs w:val="22"/>
          <w:u w:val="none"/>
        </w:rPr>
        <w:t>Отстояване на върховенството на закона и основните права</w:t>
      </w:r>
    </w:p>
    <w:p>
      <w:pPr>
        <w:jc w:val="both"/>
        <w:rPr>
          <w:rFonts w:eastAsia="Times New Roman"/>
          <w:noProof/>
          <w:spacing w:val="-4"/>
          <w:u w:val="none"/>
        </w:rPr>
      </w:pPr>
      <w:r>
        <w:rPr>
          <w:rFonts w:eastAsia="Times New Roman"/>
          <w:noProof/>
          <w:u w:val="none"/>
          <w:lang w:val="en-GB" w:eastAsia="en-GB"/>
        </w:rPr>
        <w:drawing>
          <wp:anchor distT="0" distB="0" distL="114300" distR="114300" simplePos="0" relativeHeight="251664384" behindDoc="0" locked="0" layoutInCell="1" allowOverlap="1">
            <wp:simplePos x="0" y="0"/>
            <wp:positionH relativeFrom="column">
              <wp:posOffset>4445</wp:posOffset>
            </wp:positionH>
            <wp:positionV relativeFrom="paragraph">
              <wp:posOffset>83185</wp:posOffset>
            </wp:positionV>
            <wp:extent cx="3898265" cy="2599055"/>
            <wp:effectExtent l="0" t="0" r="6985"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HOME bis 12_small size.jpg"/>
                    <pic:cNvPicPr/>
                  </pic:nvPicPr>
                  <pic:blipFill>
                    <a:blip r:embed="rId197" cstate="email">
                      <a:extLst>
                        <a:ext uri="{28A0092B-C50C-407E-A947-70E740481C1C}">
                          <a14:useLocalDpi xmlns:a14="http://schemas.microsoft.com/office/drawing/2010/main"/>
                        </a:ext>
                      </a:extLst>
                    </a:blip>
                    <a:stretch>
                      <a:fillRect/>
                    </a:stretch>
                  </pic:blipFill>
                  <pic:spPr>
                    <a:xfrm>
                      <a:off x="0" y="0"/>
                      <a:ext cx="3898265" cy="2599055"/>
                    </a:xfrm>
                    <a:prstGeom prst="rect">
                      <a:avLst/>
                    </a:prstGeom>
                  </pic:spPr>
                </pic:pic>
              </a:graphicData>
            </a:graphic>
            <wp14:sizeRelH relativeFrom="margin">
              <wp14:pctWidth>0</wp14:pctWidth>
            </wp14:sizeRelH>
            <wp14:sizeRelV relativeFrom="margin">
              <wp14:pctHeight>0</wp14:pctHeight>
            </wp14:sizeRelV>
          </wp:anchor>
        </w:drawing>
      </w:r>
      <w:r>
        <w:rPr>
          <w:noProof/>
          <w:u w:val="none"/>
        </w:rPr>
        <w:t>П</w:t>
      </w:r>
      <w:r>
        <w:rPr>
          <w:noProof/>
          <w:spacing w:val="-4"/>
          <w:u w:val="none"/>
        </w:rPr>
        <w:t>рез 2018 г. Комисията продължи да полага усилия за насърчаване и отстояване на върховенството на закона в целия ЕС.</w:t>
      </w:r>
    </w:p>
    <w:p>
      <w:pPr>
        <w:spacing w:after="120"/>
        <w:jc w:val="both"/>
        <w:rPr>
          <w:rFonts w:eastAsia="Times New Roman"/>
          <w:noProof/>
          <w:u w:val="none"/>
        </w:rPr>
      </w:pPr>
      <w:r>
        <w:rPr>
          <w:noProof/>
          <w:u w:val="none"/>
        </w:rPr>
        <w:t>Тя продължи по-специално диалога с полските органи в рамките на Уредбата за укрепване на принципите на правовата държава. В тези рамки Съветът по общи въпроси проведе три изслушвания с Полша.</w:t>
      </w:r>
    </w:p>
    <w:p>
      <w:pPr>
        <w:spacing w:after="120"/>
        <w:rPr>
          <w:rFonts w:eastAsia="Times New Roman"/>
          <w:noProof/>
          <w:u w:val="none"/>
        </w:rPr>
      </w:pPr>
    </w:p>
    <w:p>
      <w:pPr>
        <w:spacing w:after="240"/>
        <w:rPr>
          <w:rFonts w:eastAsia="Times New Roman"/>
          <w:noProof/>
          <w:u w:val="none"/>
        </w:rPr>
      </w:pPr>
    </w:p>
    <w:p>
      <w:pPr>
        <w:spacing w:after="120"/>
        <w:rPr>
          <w:rFonts w:eastAsia="Times New Roman"/>
          <w:noProof/>
          <w:u w:val="non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pStyle w:val="NormalWeb"/>
              <w:spacing w:before="60" w:beforeAutospacing="0" w:after="60" w:afterAutospacing="0"/>
              <w:jc w:val="both"/>
              <w:rPr>
                <w:rFonts w:ascii="Arial" w:eastAsia="Times New Roman" w:hAnsi="Arial"/>
                <w:noProof/>
                <w:color w:val="FFFFFF"/>
                <w:sz w:val="20"/>
                <w:u w:val="none"/>
              </w:rPr>
            </w:pPr>
            <w:r>
              <w:rPr>
                <w:rFonts w:ascii="Arial" w:hAnsi="Arial"/>
                <w:noProof/>
                <w:color w:val="FFFFFF"/>
                <w:sz w:val="20"/>
                <w:u w:val="none"/>
              </w:rPr>
              <w:t>Комисията предяви иск срещу</w:t>
            </w:r>
            <w:r>
              <w:rPr>
                <w:noProof/>
                <w:u w:val="none"/>
              </w:rPr>
              <w:t xml:space="preserve"> </w:t>
            </w:r>
            <w:hyperlink r:id="rId198" w:history="1">
              <w:r>
                <w:rPr>
                  <w:rStyle w:val="Hyperlink"/>
                  <w:rFonts w:ascii="Arial" w:hAnsi="Arial"/>
                  <w:noProof/>
                  <w:sz w:val="20"/>
                  <w:u w:val="none"/>
                </w:rPr>
                <w:t>Полша</w:t>
              </w:r>
            </w:hyperlink>
            <w:r>
              <w:rPr>
                <w:noProof/>
                <w:u w:val="none"/>
              </w:rPr>
              <w:t xml:space="preserve"> </w:t>
            </w:r>
            <w:r>
              <w:rPr>
                <w:rFonts w:ascii="Arial" w:hAnsi="Arial"/>
                <w:noProof/>
                <w:color w:val="FFFFFF"/>
                <w:sz w:val="20"/>
                <w:u w:val="none"/>
              </w:rPr>
              <w:t>пред Съда заради нарушения на принципа на независимост на съдебната власт, произтичащи от полския закон за Върховния съд. Комисията поиска от Съда да разпореди временни мерки, които да се прилагат, докато той не постанови решение по делото. Съдът постанови поисканите временни мерки.</w:t>
            </w:r>
          </w:p>
        </w:tc>
      </w:tr>
    </w:tbl>
    <w:p>
      <w:pPr>
        <w:spacing w:before="120" w:after="120"/>
        <w:jc w:val="both"/>
        <w:rPr>
          <w:noProof/>
          <w:u w:val="none"/>
        </w:rPr>
      </w:pPr>
      <w:r>
        <w:rPr>
          <w:noProof/>
          <w:u w:val="none"/>
        </w:rPr>
        <w:t>На 12 септември 2018 г. Европейският парламент задейства процедурата във връзка с върховенството на закона срещу Унгария в съответствие с член 7, параграф 1 от Договора за Европейския съюз. Комисията споделя загрижеността, която се изразява в доклада на Парламента, и по-специално по отношение на основните права, корупцията, отношението към ромите и независимостта на съдебната власт. Според процедурата по член 7, параграф 1 от ДЕС и по искане на Съвета, Комисията представи фактическа информация по съответните текущи производства за установяване на неизпълнение на задължения срещу Унгария.</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pStyle w:val="NormalWeb"/>
              <w:spacing w:before="60" w:beforeAutospacing="0" w:after="60" w:afterAutospacing="0"/>
              <w:jc w:val="both"/>
              <w:rPr>
                <w:rFonts w:ascii="Arial" w:eastAsia="Times New Roman" w:hAnsi="Arial"/>
                <w:noProof/>
                <w:color w:val="FFFFFF"/>
                <w:sz w:val="20"/>
                <w:u w:val="none"/>
              </w:rPr>
            </w:pPr>
            <w:r>
              <w:rPr>
                <w:rFonts w:ascii="Arial" w:hAnsi="Arial"/>
                <w:noProof/>
                <w:color w:val="FFFFFF"/>
                <w:sz w:val="20"/>
                <w:u w:val="none"/>
              </w:rPr>
              <w:t>Комисията образува допълнително производство за установяване на неизпълнение на задължения срещу</w:t>
            </w:r>
            <w:r>
              <w:rPr>
                <w:noProof/>
                <w:u w:val="none"/>
              </w:rPr>
              <w:t xml:space="preserve"> </w:t>
            </w:r>
            <w:hyperlink r:id="rId199" w:history="1">
              <w:r>
                <w:rPr>
                  <w:rStyle w:val="Hyperlink"/>
                  <w:rFonts w:ascii="Arial" w:hAnsi="Arial"/>
                  <w:noProof/>
                  <w:sz w:val="20"/>
                  <w:u w:val="none"/>
                </w:rPr>
                <w:t>Унгария</w:t>
              </w:r>
            </w:hyperlink>
            <w:r>
              <w:rPr>
                <w:noProof/>
                <w:u w:val="none"/>
              </w:rPr>
              <w:t xml:space="preserve"> </w:t>
            </w:r>
            <w:r>
              <w:rPr>
                <w:rFonts w:ascii="Arial" w:hAnsi="Arial"/>
                <w:noProof/>
                <w:color w:val="FFFFFF"/>
                <w:sz w:val="20"/>
                <w:u w:val="none"/>
              </w:rPr>
              <w:t>във връзка със законодателството ѝ за криминализиране на дейности в подкрепа на заявленията за убежище и пребиваване и по-нататъшно ограничаване на правото на искане на убежище.</w:t>
            </w:r>
          </w:p>
        </w:tc>
      </w:tr>
    </w:tbl>
    <w:p>
      <w:pPr>
        <w:spacing w:before="120" w:after="120"/>
        <w:jc w:val="both"/>
        <w:rPr>
          <w:noProof/>
          <w:u w:val="none"/>
        </w:rPr>
      </w:pPr>
    </w:p>
    <w:p>
      <w:pPr>
        <w:spacing w:after="0" w:line="240" w:lineRule="auto"/>
        <w:rPr>
          <w:rFonts w:ascii="Arial Unicode MS" w:eastAsia="Arial Unicode MS" w:hAnsi="Arial Unicode MS" w:cs="Arial Unicode MS"/>
          <w:i/>
          <w:noProof/>
          <w:color w:val="4F81BD"/>
          <w:sz w:val="22"/>
          <w:szCs w:val="22"/>
          <w:u w:val="none"/>
        </w:rPr>
      </w:pPr>
      <w:r>
        <w:rPr>
          <w:noProof/>
        </w:rPr>
        <w:br w:type="page"/>
      </w:r>
    </w:p>
    <w:p>
      <w:pPr>
        <w:spacing w:line="240" w:lineRule="auto"/>
        <w:rPr>
          <w:rFonts w:ascii="Arial Unicode MS" w:eastAsia="Arial Unicode MS" w:hAnsi="Arial Unicode MS" w:cs="Arial Unicode MS"/>
          <w:i/>
          <w:noProof/>
          <w:color w:val="4F81BD"/>
          <w:sz w:val="22"/>
          <w:szCs w:val="22"/>
          <w:u w:val="none"/>
        </w:rPr>
      </w:pPr>
      <w:r>
        <w:rPr>
          <w:rFonts w:ascii="Arial Unicode MS" w:hAnsi="Arial Unicode MS"/>
          <w:i/>
          <w:noProof/>
          <w:color w:val="4F81BD"/>
          <w:sz w:val="22"/>
          <w:szCs w:val="22"/>
          <w:u w:val="none"/>
        </w:rPr>
        <w:t>По-добра защита на данните</w:t>
      </w:r>
    </w:p>
    <w:p>
      <w:pPr>
        <w:pStyle w:val="NormalWeb"/>
        <w:spacing w:before="0" w:beforeAutospacing="0" w:after="200" w:afterAutospacing="0" w:line="276" w:lineRule="auto"/>
        <w:jc w:val="both"/>
        <w:rPr>
          <w:rFonts w:ascii="Arial" w:hAnsi="Arial"/>
          <w:noProof/>
          <w:sz w:val="20"/>
          <w:szCs w:val="20"/>
          <w:u w:val="none"/>
        </w:rPr>
      </w:pPr>
      <w:r>
        <w:rPr>
          <w:rFonts w:ascii="Arial" w:hAnsi="Arial" w:cs="Arial"/>
          <w:noProof/>
          <w:sz w:val="20"/>
          <w:szCs w:val="20"/>
          <w:u w:val="none"/>
          <w:lang w:val="en-GB"/>
        </w:rPr>
        <w:drawing>
          <wp:anchor distT="0" distB="0" distL="114300" distR="114300" simplePos="0" relativeHeight="251660288" behindDoc="0" locked="0" layoutInCell="1" allowOverlap="1">
            <wp:simplePos x="0" y="0"/>
            <wp:positionH relativeFrom="column">
              <wp:posOffset>4445</wp:posOffset>
            </wp:positionH>
            <wp:positionV relativeFrom="paragraph">
              <wp:posOffset>26670</wp:posOffset>
            </wp:positionV>
            <wp:extent cx="3190875" cy="1795145"/>
            <wp:effectExtent l="0" t="0" r="9525"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HOME passports bis_small size.jpg"/>
                    <pic:cNvPicPr/>
                  </pic:nvPicPr>
                  <pic:blipFill>
                    <a:blip r:embed="rId200" cstate="email">
                      <a:extLst>
                        <a:ext uri="{28A0092B-C50C-407E-A947-70E740481C1C}">
                          <a14:useLocalDpi xmlns:a14="http://schemas.microsoft.com/office/drawing/2010/main"/>
                        </a:ext>
                      </a:extLst>
                    </a:blip>
                    <a:stretch>
                      <a:fillRect/>
                    </a:stretch>
                  </pic:blipFill>
                  <pic:spPr>
                    <a:xfrm>
                      <a:off x="0" y="0"/>
                      <a:ext cx="3190875" cy="17951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noProof/>
          <w:sz w:val="20"/>
          <w:szCs w:val="20"/>
          <w:u w:val="none"/>
        </w:rPr>
        <w:t xml:space="preserve">През 2018 г. Комисията продължи своята работа за подпомагане на държавите членки и заинтересованите страни при прилагането на новите правила на </w:t>
      </w:r>
      <w:hyperlink r:id="rId201" w:history="1">
        <w:r>
          <w:rPr>
            <w:rStyle w:val="Hyperlink"/>
            <w:rFonts w:ascii="Arial" w:hAnsi="Arial"/>
            <w:noProof/>
            <w:sz w:val="20"/>
            <w:szCs w:val="20"/>
            <w:u w:val="none"/>
          </w:rPr>
          <w:t>Общия регламент относно защитата на данните</w:t>
        </w:r>
      </w:hyperlink>
      <w:r>
        <w:rPr>
          <w:rStyle w:val="Hyperlink"/>
          <w:noProof/>
        </w:rPr>
        <w:t>,</w:t>
      </w:r>
      <w:r>
        <w:rPr>
          <w:rFonts w:ascii="Arial" w:hAnsi="Arial"/>
          <w:noProof/>
          <w:sz w:val="20"/>
          <w:szCs w:val="20"/>
          <w:u w:val="none"/>
        </w:rPr>
        <w:t xml:space="preserve"> който се прилага от 25 май 2018 г. Единният набор от правила за защита на данните е приложим пряко в целия ЕС и гарантира свободното движение на данни, повишава доверието и сигурността на гражданите и установява единни правила за предприятията. Комисията организира срещи с националните органи, промишлеността, специалисти от практиката и Европейския комитет по защита на данните. Тя адаптира така също Информационната система за вътрешния пазар (IMI), която може да се използва от органите за защита на данните, за да си помагат и да координират вземането на решения по трансгранични дела.</w:t>
      </w:r>
    </w:p>
    <w:p>
      <w:pPr>
        <w:jc w:val="both"/>
        <w:rPr>
          <w:noProof/>
          <w:u w:val="none"/>
        </w:rPr>
      </w:pPr>
      <w:r>
        <w:rPr>
          <w:noProof/>
          <w:u w:val="none"/>
        </w:rPr>
        <w:t xml:space="preserve">До май 2018 г. държавите членки трябваше да приложат </w:t>
      </w:r>
      <w:hyperlink r:id="rId202" w:history="1">
        <w:r>
          <w:rPr>
            <w:rStyle w:val="Hyperlink"/>
            <w:noProof/>
            <w:u w:val="none"/>
          </w:rPr>
          <w:t>Директивата относно обработването на лични данни от компетентните органи</w:t>
        </w:r>
      </w:hyperlink>
      <w:r>
        <w:rPr>
          <w:noProof/>
          <w:u w:val="none"/>
        </w:rPr>
        <w:t xml:space="preserve">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Жертвите, свидетелите и заподозрените за престъпления са надлежно защитени при наказателни разследвания или правоприлагащи действия. Същевременно новите разпоредби улесняват трансграничното сътрудничество между полицията и прокуратурата в борбата с престъпността и тероризма.</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60" w:line="240" w:lineRule="auto"/>
              <w:jc w:val="both"/>
              <w:rPr>
                <w:rFonts w:eastAsia="Times New Roman"/>
                <w:noProof/>
                <w:color w:val="FFFFFF"/>
                <w:u w:val="none"/>
              </w:rPr>
            </w:pPr>
            <w:r>
              <w:rPr>
                <w:noProof/>
                <w:color w:val="FFFFFF" w:themeColor="background1"/>
                <w:u w:val="none"/>
              </w:rPr>
              <w:t xml:space="preserve">През юли 2018 г. Комисията предприе правни действия срещу 19 държави членки, които не бяха транспонирали своевременно тази </w:t>
            </w:r>
            <w:hyperlink r:id="rId203" w:history="1">
              <w:r>
                <w:rPr>
                  <w:rStyle w:val="Hyperlink"/>
                  <w:noProof/>
                  <w:u w:val="none"/>
                </w:rPr>
                <w:t>директива</w:t>
              </w:r>
            </w:hyperlink>
            <w:r>
              <w:rPr>
                <w:noProof/>
              </w:rPr>
              <w:t xml:space="preserve"> </w:t>
            </w:r>
            <w:r>
              <w:rPr>
                <w:noProof/>
                <w:color w:val="FFFFFF" w:themeColor="background1"/>
                <w:u w:val="none"/>
              </w:rPr>
              <w:t>в националното си право.</w:t>
            </w:r>
          </w:p>
        </w:tc>
      </w:tr>
    </w:tbl>
    <w:p>
      <w:pPr>
        <w:spacing w:after="0" w:line="240" w:lineRule="auto"/>
        <w:rPr>
          <w:rFonts w:ascii="Arial Unicode MS" w:eastAsia="Arial Unicode MS" w:hAnsi="Arial Unicode MS" w:cs="Arial Unicode MS"/>
          <w:i/>
          <w:noProof/>
          <w:color w:val="4F81BD"/>
          <w:sz w:val="22"/>
          <w:szCs w:val="22"/>
          <w:u w:val="none"/>
        </w:rPr>
      </w:pPr>
    </w:p>
    <w:p>
      <w:pPr>
        <w:spacing w:after="0" w:line="240" w:lineRule="auto"/>
        <w:rPr>
          <w:rFonts w:ascii="Arial Unicode MS" w:eastAsia="Arial Unicode MS" w:hAnsi="Arial Unicode MS" w:cs="Arial Unicode MS"/>
          <w:i/>
          <w:noProof/>
          <w:color w:val="4F81BD"/>
          <w:sz w:val="22"/>
          <w:szCs w:val="22"/>
          <w:u w:val="none"/>
        </w:rPr>
      </w:pPr>
      <w:r>
        <w:rPr>
          <w:rFonts w:ascii="Arial Unicode MS" w:hAnsi="Arial Unicode MS"/>
          <w:i/>
          <w:noProof/>
          <w:color w:val="4F81BD"/>
          <w:sz w:val="22"/>
          <w:szCs w:val="22"/>
          <w:u w:val="none"/>
        </w:rPr>
        <w:t>Борба с дискриминацията</w:t>
      </w:r>
    </w:p>
    <w:p>
      <w:pPr>
        <w:spacing w:before="200"/>
        <w:jc w:val="both"/>
        <w:rPr>
          <w:i/>
          <w:noProof/>
          <w:u w:val="none"/>
        </w:rPr>
      </w:pPr>
      <w:bookmarkStart w:id="48" w:name="_Toc444796652"/>
      <w:r>
        <w:rPr>
          <w:noProof/>
          <w:u w:val="none"/>
          <w:lang w:val="en-GB" w:eastAsia="en-GB"/>
        </w:rPr>
        <w:drawing>
          <wp:anchor distT="0" distB="0" distL="114300" distR="114300" simplePos="0" relativeHeight="251665408" behindDoc="0" locked="0" layoutInCell="1" allowOverlap="1">
            <wp:simplePos x="0" y="0"/>
            <wp:positionH relativeFrom="column">
              <wp:posOffset>114935</wp:posOffset>
            </wp:positionH>
            <wp:positionV relativeFrom="paragraph">
              <wp:posOffset>137795</wp:posOffset>
            </wp:positionV>
            <wp:extent cx="3498850" cy="2398395"/>
            <wp:effectExtent l="0" t="0" r="6350" b="190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age 26 small size.jpg"/>
                    <pic:cNvPicPr/>
                  </pic:nvPicPr>
                  <pic:blipFill>
                    <a:blip r:embed="rId204" cstate="email">
                      <a:extLst>
                        <a:ext uri="{28A0092B-C50C-407E-A947-70E740481C1C}">
                          <a14:useLocalDpi xmlns:a14="http://schemas.microsoft.com/office/drawing/2010/main"/>
                        </a:ext>
                      </a:extLst>
                    </a:blip>
                    <a:stretch>
                      <a:fillRect/>
                    </a:stretch>
                  </pic:blipFill>
                  <pic:spPr>
                    <a:xfrm>
                      <a:off x="0" y="0"/>
                      <a:ext cx="3498850" cy="2398395"/>
                    </a:xfrm>
                    <a:prstGeom prst="rect">
                      <a:avLst/>
                    </a:prstGeom>
                  </pic:spPr>
                </pic:pic>
              </a:graphicData>
            </a:graphic>
            <wp14:sizeRelH relativeFrom="margin">
              <wp14:pctWidth>0</wp14:pctWidth>
            </wp14:sizeRelH>
            <wp14:sizeRelV relativeFrom="margin">
              <wp14:pctHeight>0</wp14:pctHeight>
            </wp14:sizeRelV>
          </wp:anchor>
        </w:drawing>
      </w:r>
      <w:r>
        <w:rPr>
          <w:noProof/>
          <w:u w:val="none"/>
        </w:rPr>
        <w:t xml:space="preserve">През юни 2018 г. Комисията прие </w:t>
      </w:r>
      <w:hyperlink r:id="rId205" w:history="1">
        <w:r>
          <w:rPr>
            <w:rStyle w:val="Hyperlink"/>
            <w:noProof/>
            <w:u w:val="none"/>
          </w:rPr>
          <w:t>Препоръка относно стандартите за органите по въпросите на равенството</w:t>
        </w:r>
      </w:hyperlink>
      <w:r>
        <w:rPr>
          <w:noProof/>
          <w:u w:val="none"/>
        </w:rPr>
        <w:t>. С нея държавите членки се насърчават да засилят независимостта и ефективността на органите по въпросите на равенството. Това би трябвало да помогне на органите за изпълнението на техните основни задачи по предлагане на независима подкрепа на жертви на дискриминация, насърчаване на равенството, провеждане на независими проучвания и издаване на независими доклади и препоръки.</w:t>
      </w:r>
    </w:p>
    <w:p>
      <w:pPr>
        <w:spacing w:after="120"/>
        <w:jc w:val="both"/>
        <w:rPr>
          <w:noProof/>
          <w:u w:val="none"/>
        </w:rPr>
      </w:pPr>
    </w:p>
    <w:p>
      <w:pPr>
        <w:jc w:val="both"/>
        <w:rPr>
          <w:noProof/>
          <w:u w:val="none"/>
        </w:rPr>
      </w:pPr>
      <w:r>
        <w:rPr>
          <w:noProof/>
          <w:u w:val="none"/>
        </w:rPr>
        <w:t xml:space="preserve">Комисията наблюдаваше отблизо прилагането на </w:t>
      </w:r>
      <w:hyperlink r:id="rId206" w:history="1">
        <w:r>
          <w:rPr>
            <w:rStyle w:val="Hyperlink"/>
            <w:noProof/>
            <w:u w:val="none"/>
          </w:rPr>
          <w:t>Директивата за равно третиране без разлика на расата</w:t>
        </w:r>
      </w:hyperlink>
      <w:r>
        <w:rPr>
          <w:rStyle w:val="Hyperlink"/>
          <w:noProof/>
          <w:u w:val="none"/>
        </w:rPr>
        <w:t xml:space="preserve"> — </w:t>
      </w:r>
      <w:r>
        <w:rPr>
          <w:noProof/>
          <w:u w:val="none"/>
        </w:rPr>
        <w:t>ключов правен инструмент на ЕС за борба срещу дискриминацията на основата на расов или етнически произход</w:t>
      </w:r>
      <w:r>
        <w:rPr>
          <w:rStyle w:val="Hyperlink"/>
          <w:noProof/>
          <w:u w:val="none"/>
        </w:rPr>
        <w:t xml:space="preserve">. </w:t>
      </w:r>
      <w:r>
        <w:rPr>
          <w:noProof/>
          <w:u w:val="none"/>
        </w:rPr>
        <w:t>Комисията съсредоточи своите усилия върху достъпа на ромската общност до образование и жилища. За тази цел тя организира мисии за установяване на факти в държавите членки и срещи със заинтересованите страни и със съответните експертни групи на високо равнище (включително подгрупа, съсредоточена върху данните за равенството).</w:t>
      </w:r>
    </w:p>
    <w:p>
      <w:pPr>
        <w:spacing w:before="240"/>
        <w:jc w:val="both"/>
        <w:rPr>
          <w:rFonts w:ascii="Arial Unicode MS" w:eastAsia="Arial Unicode MS" w:hAnsi="Arial Unicode MS" w:cs="Arial Unicode MS"/>
          <w:i/>
          <w:noProof/>
          <w:color w:val="4F81BD"/>
          <w:sz w:val="22"/>
          <w:szCs w:val="22"/>
          <w:u w:val="none"/>
        </w:rPr>
      </w:pPr>
      <w:r>
        <w:rPr>
          <w:noProof/>
        </w:rPr>
        <w:br w:type="page"/>
      </w:r>
      <w:r>
        <w:rPr>
          <w:rFonts w:ascii="Arial Unicode MS" w:hAnsi="Arial Unicode MS"/>
          <w:i/>
          <w:noProof/>
          <w:color w:val="4F81BD"/>
          <w:sz w:val="22"/>
          <w:szCs w:val="22"/>
          <w:u w:val="none"/>
        </w:rPr>
        <w:t>Прилагане на правилата в областта на сигурността</w:t>
      </w:r>
    </w:p>
    <w:p>
      <w:pPr>
        <w:jc w:val="both"/>
        <w:rPr>
          <w:noProof/>
          <w:u w:val="none"/>
        </w:rPr>
      </w:pPr>
      <w:r>
        <w:rPr>
          <w:noProof/>
          <w:u w:val="none"/>
        </w:rPr>
        <w:t xml:space="preserve">През 2018 г. работата в областта на правоприлагането продължи в контекста на </w:t>
      </w:r>
      <w:hyperlink r:id="rId207" w:history="1">
        <w:r>
          <w:rPr>
            <w:rStyle w:val="Hyperlink"/>
            <w:noProof/>
            <w:u w:val="none"/>
          </w:rPr>
          <w:t>Европейската програма за сигурност</w:t>
        </w:r>
      </w:hyperlink>
      <w:r>
        <w:rPr>
          <w:noProof/>
          <w:u w:val="none"/>
        </w:rPr>
        <w:t xml:space="preserve"> и изграждането на Съюза на сигурност. Прилагането на правилата на ЕС в тази област е от основно значение за гарантиране на високо ниво на сигурност в целия ЕС. Редовните доклади за напредъка относно Съюза на сигурност отразяват продължаващите усилия да се гарантира пълното и правилно прилагане на правилата.</w:t>
      </w:r>
    </w:p>
    <w:p>
      <w:pPr>
        <w:jc w:val="both"/>
        <w:rPr>
          <w:noProof/>
          <w:u w:val="none"/>
        </w:rPr>
      </w:pPr>
      <w:r>
        <w:rPr>
          <w:noProof/>
          <w:u w:val="none"/>
          <w:lang w:val="en-GB" w:eastAsia="en-GB"/>
        </w:rPr>
        <w:drawing>
          <wp:anchor distT="0" distB="0" distL="114300" distR="114300" simplePos="0" relativeHeight="251667456" behindDoc="0" locked="0" layoutInCell="1" allowOverlap="1">
            <wp:simplePos x="0" y="0"/>
            <wp:positionH relativeFrom="column">
              <wp:posOffset>33020</wp:posOffset>
            </wp:positionH>
            <wp:positionV relativeFrom="paragraph">
              <wp:posOffset>32385</wp:posOffset>
            </wp:positionV>
            <wp:extent cx="2762250" cy="1838325"/>
            <wp:effectExtent l="0" t="0" r="0" b="9525"/>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age 27 small size.jpg"/>
                    <pic:cNvPicPr/>
                  </pic:nvPicPr>
                  <pic:blipFill>
                    <a:blip r:embed="rId208" cstate="email">
                      <a:extLst>
                        <a:ext uri="{28A0092B-C50C-407E-A947-70E740481C1C}">
                          <a14:useLocalDpi xmlns:a14="http://schemas.microsoft.com/office/drawing/2010/main"/>
                        </a:ext>
                      </a:extLst>
                    </a:blip>
                    <a:stretch>
                      <a:fillRect/>
                    </a:stretch>
                  </pic:blipFill>
                  <pic:spPr>
                    <a:xfrm>
                      <a:off x="0" y="0"/>
                      <a:ext cx="2762250" cy="1838325"/>
                    </a:xfrm>
                    <a:prstGeom prst="rect">
                      <a:avLst/>
                    </a:prstGeom>
                  </pic:spPr>
                </pic:pic>
              </a:graphicData>
            </a:graphic>
            <wp14:sizeRelH relativeFrom="margin">
              <wp14:pctWidth>0</wp14:pctWidth>
            </wp14:sizeRelH>
            <wp14:sizeRelV relativeFrom="margin">
              <wp14:pctHeight>0</wp14:pctHeight>
            </wp14:sizeRelV>
          </wp:anchor>
        </w:drawing>
      </w:r>
      <w:r>
        <w:rPr>
          <w:noProof/>
          <w:u w:val="none"/>
        </w:rPr>
        <w:t xml:space="preserve">Директивата относно </w:t>
      </w:r>
      <w:hyperlink r:id="rId209" w:history="1">
        <w:r>
          <w:rPr>
            <w:rStyle w:val="Hyperlink"/>
            <w:noProof/>
            <w:u w:val="none"/>
          </w:rPr>
          <w:t>Европейската заповед за разследване</w:t>
        </w:r>
      </w:hyperlink>
      <w:r>
        <w:rPr>
          <w:noProof/>
          <w:u w:val="none"/>
        </w:rPr>
        <w:t xml:space="preserve"> по наказателноправни въпроси и </w:t>
      </w:r>
      <w:hyperlink r:id="rId210" w:history="1">
        <w:r>
          <w:rPr>
            <w:rStyle w:val="Hyperlink"/>
            <w:noProof/>
            <w:u w:val="none"/>
          </w:rPr>
          <w:t>Четвъртата директива относно борбата с изпирането на пари</w:t>
        </w:r>
      </w:hyperlink>
      <w:r>
        <w:rPr>
          <w:noProof/>
          <w:u w:val="none"/>
        </w:rPr>
        <w:t xml:space="preserve"> са основни инструменти за ефективно сътрудничество в борбата с трансграничната престъпност и тероризма. Тези директиви допринасят за целите на програмата за сигурност.</w:t>
      </w:r>
    </w:p>
    <w:p>
      <w:pPr>
        <w:jc w:val="both"/>
        <w:rPr>
          <w:noProof/>
          <w:u w:val="none"/>
        </w:rPr>
      </w:pPr>
    </w:p>
    <w:p>
      <w:pPr>
        <w:jc w:val="both"/>
        <w:rPr>
          <w:noProof/>
          <w:u w:val="none"/>
        </w:rPr>
      </w:pPr>
    </w:p>
    <w:p>
      <w:pPr>
        <w:spacing w:after="480"/>
        <w:jc w:val="both"/>
        <w:rPr>
          <w:noProof/>
          <w:u w:val="non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jc w:val="both"/>
              <w:rPr>
                <w:rFonts w:eastAsia="Times New Roman"/>
                <w:noProof/>
                <w:color w:val="FFFFFF"/>
                <w:u w:val="none"/>
              </w:rPr>
            </w:pPr>
            <w:r>
              <w:rPr>
                <w:noProof/>
                <w:color w:val="FFFFFF" w:themeColor="background1"/>
                <w:u w:val="none"/>
              </w:rPr>
              <w:t xml:space="preserve">През 2018 г. Комисията продължи производствата за установяване на неизпълнение на задължения срещу </w:t>
            </w:r>
            <w:hyperlink r:id="rId211" w:history="1">
              <w:r>
                <w:rPr>
                  <w:rStyle w:val="Hyperlink"/>
                  <w:noProof/>
                  <w:u w:val="none"/>
                </w:rPr>
                <w:t>държавите членки</w:t>
              </w:r>
            </w:hyperlink>
            <w:r>
              <w:rPr>
                <w:noProof/>
                <w:color w:val="FFFFFF" w:themeColor="background1"/>
                <w:u w:val="none"/>
              </w:rPr>
              <w:t xml:space="preserve">, които не бяха транспонирали </w:t>
            </w:r>
            <w:hyperlink r:id="rId212" w:history="1">
              <w:r>
                <w:rPr>
                  <w:rStyle w:val="Hyperlink"/>
                  <w:noProof/>
                  <w:u w:val="none"/>
                </w:rPr>
                <w:t>Четвъртата директива относно борбата с изпирането на пари</w:t>
              </w:r>
            </w:hyperlink>
            <w:r>
              <w:rPr>
                <w:noProof/>
                <w:color w:val="FFFFFF" w:themeColor="background1"/>
                <w:u w:val="none"/>
              </w:rPr>
              <w:t xml:space="preserve"> в националното законодателство. Поради тази причина Комисията предяви искове пред Съда срещу</w:t>
            </w:r>
            <w:r>
              <w:rPr>
                <w:noProof/>
                <w:u w:val="none"/>
              </w:rPr>
              <w:t xml:space="preserve"> </w:t>
            </w:r>
            <w:hyperlink r:id="rId213" w:history="1">
              <w:r>
                <w:rPr>
                  <w:rStyle w:val="Hyperlink"/>
                  <w:noProof/>
                  <w:u w:val="none"/>
                </w:rPr>
                <w:t>Ирландия и Румъния</w:t>
              </w:r>
            </w:hyperlink>
            <w:r>
              <w:rPr>
                <w:noProof/>
                <w:u w:val="none"/>
              </w:rPr>
              <w:t>.</w:t>
            </w:r>
          </w:p>
        </w:tc>
      </w:tr>
    </w:tbl>
    <w:p>
      <w:pPr>
        <w:spacing w:before="200"/>
        <w:jc w:val="both"/>
        <w:rPr>
          <w:noProof/>
          <w:u w:val="none"/>
        </w:rPr>
      </w:pPr>
      <w:r>
        <w:rPr>
          <w:noProof/>
          <w:u w:val="none"/>
        </w:rPr>
        <w:t xml:space="preserve">С </w:t>
      </w:r>
      <w:hyperlink r:id="rId214" w:history="1">
        <w:r>
          <w:rPr>
            <w:rStyle w:val="Hyperlink"/>
            <w:noProof/>
            <w:u w:val="none"/>
          </w:rPr>
          <w:t>Европейската заповед за разследване</w:t>
        </w:r>
      </w:hyperlink>
      <w:r>
        <w:rPr>
          <w:noProof/>
          <w:u w:val="none"/>
        </w:rPr>
        <w:t xml:space="preserve"> се опростява работата на съдебните органи, когато търсят доказателства в друга държава от ЕС.</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8" w:type="dxa"/>
            <w:shd w:val="clear" w:color="auto" w:fill="8DB3E2" w:themeFill="text2" w:themeFillTint="66"/>
          </w:tcPr>
          <w:p>
            <w:pPr>
              <w:spacing w:before="60" w:after="60"/>
              <w:jc w:val="both"/>
              <w:rPr>
                <w:noProof/>
                <w:color w:val="FFFFFF" w:themeColor="background1"/>
                <w:u w:val="none"/>
              </w:rPr>
            </w:pPr>
            <w:r>
              <w:rPr>
                <w:noProof/>
                <w:color w:val="FFFFFF" w:themeColor="background1"/>
                <w:u w:val="none"/>
              </w:rPr>
              <w:t>Комисията предприе по-нататъшни действия в производствата за установяване на неизпълнение на задължения срещу</w:t>
            </w:r>
            <w:r>
              <w:rPr>
                <w:rStyle w:val="Hyperlink"/>
                <w:noProof/>
                <w:color w:val="FFFFFF" w:themeColor="background1"/>
                <w:u w:val="none"/>
              </w:rPr>
              <w:t xml:space="preserve"> </w:t>
            </w:r>
            <w:hyperlink r:id="rId215" w:history="1">
              <w:r>
                <w:rPr>
                  <w:rStyle w:val="Hyperlink"/>
                  <w:noProof/>
                  <w:u w:val="none"/>
                </w:rPr>
                <w:t>България, Испания, Люксембург и Австрия</w:t>
              </w:r>
            </w:hyperlink>
            <w:r>
              <w:rPr>
                <w:noProof/>
                <w:color w:val="FFFFFF" w:themeColor="background1"/>
                <w:u w:val="none"/>
              </w:rPr>
              <w:t xml:space="preserve"> поради неизпълнение на правилата на ЕС относно </w:t>
            </w:r>
            <w:hyperlink r:id="rId216" w:history="1">
              <w:r>
                <w:rPr>
                  <w:rStyle w:val="Hyperlink"/>
                  <w:noProof/>
                  <w:u w:val="none"/>
                </w:rPr>
                <w:t>Европейската заповед за разследване</w:t>
              </w:r>
            </w:hyperlink>
            <w:r>
              <w:rPr>
                <w:noProof/>
                <w:color w:val="FFFFFF" w:themeColor="background1"/>
                <w:u w:val="none"/>
              </w:rPr>
              <w:t xml:space="preserve"> по наказателноправни въпроси.</w:t>
            </w:r>
          </w:p>
        </w:tc>
      </w:tr>
    </w:tbl>
    <w:p>
      <w:pPr>
        <w:spacing w:before="200"/>
        <w:jc w:val="both"/>
        <w:rPr>
          <w:noProof/>
          <w:u w:val="none"/>
        </w:rPr>
      </w:pPr>
      <w:r>
        <w:rPr>
          <w:noProof/>
          <w:u w:val="none"/>
        </w:rPr>
        <w:t xml:space="preserve">През 2018 г. Комисията проследи прилагането от държавите членки на две основни директиви на ЕС в областта на сигурността и борбата с тежката престъпност: </w:t>
      </w:r>
      <w:hyperlink r:id="rId217" w:history="1">
        <w:r>
          <w:rPr>
            <w:rStyle w:val="Hyperlink"/>
            <w:noProof/>
            <w:u w:val="none"/>
          </w:rPr>
          <w:t>Директивата относно резервационните данни на пътниците</w:t>
        </w:r>
      </w:hyperlink>
      <w:r>
        <w:rPr>
          <w:noProof/>
          <w:u w:val="none"/>
        </w:rPr>
        <w:t xml:space="preserve"> и </w:t>
      </w:r>
      <w:hyperlink r:id="rId218" w:history="1">
        <w:r>
          <w:rPr>
            <w:rStyle w:val="Hyperlink"/>
            <w:noProof/>
            <w:u w:val="none"/>
          </w:rPr>
          <w:t>Директивата относно борбата с тероризма</w:t>
        </w:r>
      </w:hyperlink>
      <w:r>
        <w:rPr>
          <w:rStyle w:val="Hyperlink"/>
          <w:noProof/>
          <w:color w:val="auto"/>
          <w:u w:val="none"/>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8" w:type="dxa"/>
            <w:shd w:val="clear" w:color="auto" w:fill="8DB3E2" w:themeFill="text2" w:themeFillTint="66"/>
          </w:tcPr>
          <w:p>
            <w:pPr>
              <w:spacing w:before="60" w:after="60"/>
              <w:jc w:val="both"/>
              <w:rPr>
                <w:noProof/>
                <w:color w:val="FFFFFF" w:themeColor="background1"/>
                <w:u w:val="none"/>
              </w:rPr>
            </w:pPr>
            <w:r>
              <w:rPr>
                <w:noProof/>
                <w:color w:val="FFFFFF" w:themeColor="background1"/>
                <w:u w:val="none"/>
              </w:rPr>
              <w:t xml:space="preserve">Комисията образува производства за установяване на неизпълнение на задължения срещу 14 държави членки, които не бяха транспонирали своевременно </w:t>
            </w:r>
            <w:hyperlink r:id="rId219" w:history="1">
              <w:r>
                <w:rPr>
                  <w:rStyle w:val="Hyperlink"/>
                  <w:noProof/>
                  <w:u w:val="none"/>
                </w:rPr>
                <w:t>Директивата относно резервационните данни на пътниците</w:t>
              </w:r>
            </w:hyperlink>
            <w:r>
              <w:rPr>
                <w:noProof/>
                <w:color w:val="FFFFFF" w:themeColor="background1"/>
                <w:u w:val="none"/>
              </w:rPr>
              <w:t xml:space="preserve">. Комисията образува също така производства срещу 16 държави членки, тъй като не бяха транспонирали своевременно </w:t>
            </w:r>
            <w:hyperlink r:id="rId220" w:history="1">
              <w:r>
                <w:rPr>
                  <w:rStyle w:val="Hyperlink"/>
                  <w:noProof/>
                  <w:u w:val="none"/>
                </w:rPr>
                <w:t>Директивата относно борбата с тероризма</w:t>
              </w:r>
            </w:hyperlink>
            <w:r>
              <w:rPr>
                <w:noProof/>
                <w:color w:val="FFFFFF" w:themeColor="background1"/>
                <w:u w:val="none"/>
              </w:rPr>
              <w:t>.</w:t>
            </w:r>
          </w:p>
        </w:tc>
      </w:tr>
    </w:tbl>
    <w:p>
      <w:pPr>
        <w:spacing w:after="0" w:line="240" w:lineRule="auto"/>
        <w:rPr>
          <w:rFonts w:ascii="Arial Unicode MS" w:eastAsia="Arial Unicode MS" w:hAnsi="Arial Unicode MS" w:cs="Arial Unicode MS"/>
          <w:i/>
          <w:noProof/>
          <w:color w:val="8DB3E2" w:themeColor="text2" w:themeTint="66"/>
          <w:sz w:val="22"/>
          <w:szCs w:val="22"/>
          <w:u w:val="none"/>
        </w:rPr>
      </w:pPr>
      <w:r>
        <w:rPr>
          <w:noProof/>
        </w:rPr>
        <w:br w:type="page"/>
      </w:r>
    </w:p>
    <w:p>
      <w:pPr>
        <w:pStyle w:val="kop3"/>
        <w:spacing w:before="360" w:after="240"/>
        <w:ind w:left="357" w:hanging="357"/>
        <w:rPr>
          <w:noProof/>
          <w:u w:val="none"/>
        </w:rPr>
      </w:pPr>
      <w:bookmarkStart w:id="49" w:name="_Toc506199724"/>
      <w:bookmarkStart w:id="50" w:name="_Toc506199745"/>
      <w:bookmarkStart w:id="51" w:name="_Toc506209841"/>
      <w:bookmarkStart w:id="52" w:name="_Toc506218382"/>
      <w:bookmarkStart w:id="53" w:name="_Toc506309254"/>
      <w:bookmarkStart w:id="54" w:name="_Toc13054239"/>
      <w:r>
        <w:rPr>
          <w:noProof/>
          <w:u w:val="none"/>
        </w:rPr>
        <w:t>Към нова политика за миграцията</w:t>
      </w:r>
      <w:bookmarkEnd w:id="48"/>
      <w:bookmarkEnd w:id="49"/>
      <w:bookmarkEnd w:id="50"/>
      <w:bookmarkEnd w:id="51"/>
      <w:bookmarkEnd w:id="52"/>
      <w:bookmarkEnd w:id="53"/>
      <w:bookmarkEnd w:id="54"/>
    </w:p>
    <w:p>
      <w:pPr>
        <w:jc w:val="both"/>
        <w:rPr>
          <w:noProof/>
          <w:u w:val="none"/>
        </w:rPr>
      </w:pPr>
      <w:r>
        <w:rPr>
          <w:noProof/>
          <w:u w:val="none"/>
          <w:lang w:val="en-GB" w:eastAsia="en-GB"/>
        </w:rPr>
        <w:drawing>
          <wp:anchor distT="0" distB="0" distL="114300" distR="114300" simplePos="0" relativeHeight="251644928" behindDoc="0" locked="0" layoutInCell="1" allowOverlap="1">
            <wp:simplePos x="0" y="0"/>
            <wp:positionH relativeFrom="column">
              <wp:posOffset>94615</wp:posOffset>
            </wp:positionH>
            <wp:positionV relativeFrom="paragraph">
              <wp:posOffset>56515</wp:posOffset>
            </wp:positionV>
            <wp:extent cx="2626360" cy="1856105"/>
            <wp:effectExtent l="0" t="0" r="254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ife vests.jpg"/>
                    <pic:cNvPicPr/>
                  </pic:nvPicPr>
                  <pic:blipFill>
                    <a:blip r:embed="rId221" cstate="email">
                      <a:extLst>
                        <a:ext uri="{28A0092B-C50C-407E-A947-70E740481C1C}">
                          <a14:useLocalDpi xmlns:a14="http://schemas.microsoft.com/office/drawing/2010/main"/>
                        </a:ext>
                      </a:extLst>
                    </a:blip>
                    <a:stretch>
                      <a:fillRect/>
                    </a:stretch>
                  </pic:blipFill>
                  <pic:spPr>
                    <a:xfrm>
                      <a:off x="0" y="0"/>
                      <a:ext cx="2626360" cy="1856105"/>
                    </a:xfrm>
                    <a:prstGeom prst="rect">
                      <a:avLst/>
                    </a:prstGeom>
                  </pic:spPr>
                </pic:pic>
              </a:graphicData>
            </a:graphic>
            <wp14:sizeRelH relativeFrom="margin">
              <wp14:pctWidth>0</wp14:pctWidth>
            </wp14:sizeRelH>
          </wp:anchor>
        </w:drawing>
      </w:r>
      <w:r>
        <w:rPr>
          <w:noProof/>
          <w:u w:val="none"/>
        </w:rPr>
        <w:t>Политиката на Комисията по отношение на миграцията има за цел да предостави на ЕС инструменти за по-добро управление на миграцията в средносрочен и дългосрочен план. Тя обхваща незаконната миграция, защитата на границите, убежището и законната миграция</w:t>
      </w:r>
    </w:p>
    <w:p>
      <w:pPr>
        <w:jc w:val="both"/>
        <w:rPr>
          <w:noProof/>
          <w:u w:val="none"/>
        </w:rPr>
      </w:pPr>
      <w:r>
        <w:rPr>
          <w:noProof/>
          <w:u w:val="none"/>
        </w:rPr>
        <w:t xml:space="preserve">През 2018 г. Комисията продължи да наблюдава прилагането от държавите членки на правото на ЕС в областта на миграцията и убежището, и по-специално на </w:t>
      </w:r>
      <w:hyperlink r:id="rId222" w:history="1">
        <w:r>
          <w:rPr>
            <w:rStyle w:val="Hyperlink"/>
            <w:noProof/>
            <w:u w:val="none"/>
          </w:rPr>
          <w:t>Директивата за процедурите за убежище</w:t>
        </w:r>
      </w:hyperlink>
      <w:r>
        <w:rPr>
          <w:noProof/>
          <w:u w:val="none"/>
        </w:rPr>
        <w:t xml:space="preserve">, </w:t>
      </w:r>
      <w:hyperlink r:id="rId223" w:history="1">
        <w:r>
          <w:rPr>
            <w:rStyle w:val="Hyperlink"/>
            <w:noProof/>
            <w:u w:val="none"/>
          </w:rPr>
          <w:t>Директивата за условията на приемане</w:t>
        </w:r>
      </w:hyperlink>
      <w:r>
        <w:rPr>
          <w:noProof/>
          <w:u w:val="none"/>
        </w:rPr>
        <w:t xml:space="preserve"> и </w:t>
      </w:r>
      <w:hyperlink r:id="rId224" w:history="1">
        <w:r>
          <w:rPr>
            <w:rStyle w:val="Hyperlink"/>
            <w:noProof/>
            <w:u w:val="none"/>
          </w:rPr>
          <w:t>Директивата относно връщането</w:t>
        </w:r>
      </w:hyperlink>
      <w:r>
        <w:rPr>
          <w:noProof/>
          <w:u w:val="none"/>
        </w:rPr>
        <w:t>. Тези директиви установяват правила относно обработването на искания за убежище, гарантират достоен стандарт на живот за лицата, търсещи убежище, в ЕС и определят общи стандарти и процедури, въз основа на които незаконно пребиваващите граждани на държави извън ЕС могат да бъдат изведени от територията на държави от ЕС.</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8" w:type="dxa"/>
            <w:shd w:val="clear" w:color="auto" w:fill="8DB3E2" w:themeFill="text2" w:themeFillTint="66"/>
          </w:tcPr>
          <w:p>
            <w:pPr>
              <w:spacing w:before="60" w:after="60" w:line="240" w:lineRule="auto"/>
              <w:jc w:val="both"/>
              <w:rPr>
                <w:rFonts w:eastAsia="Times New Roman"/>
                <w:noProof/>
                <w:color w:val="FFFFFF"/>
                <w:u w:val="none"/>
              </w:rPr>
            </w:pPr>
            <w:r>
              <w:rPr>
                <w:noProof/>
                <w:color w:val="FFFFFF" w:themeColor="background1"/>
                <w:u w:val="none"/>
              </w:rPr>
              <w:t xml:space="preserve">Комисията </w:t>
            </w:r>
            <w:r>
              <w:rPr>
                <w:rStyle w:val="Hyperlink"/>
                <w:noProof/>
                <w:color w:val="FFFFFF" w:themeColor="background1"/>
                <w:u w:val="none"/>
              </w:rPr>
              <w:t xml:space="preserve">заведе дело пред Съда на ЕС срещу </w:t>
            </w:r>
            <w:hyperlink r:id="rId225" w:history="1">
              <w:r>
                <w:rPr>
                  <w:rStyle w:val="Hyperlink"/>
                  <w:noProof/>
                  <w:u w:val="none"/>
                </w:rPr>
                <w:t>Унгария</w:t>
              </w:r>
            </w:hyperlink>
            <w:r>
              <w:rPr>
                <w:noProof/>
                <w:color w:val="FFFFFF" w:themeColor="background1"/>
                <w:u w:val="none"/>
              </w:rPr>
              <w:t xml:space="preserve"> във връзка със законодателството на страната от 2017 г. в областта на убежището и връщането. Комисията счита, че унгарското законодателство не отговаря на </w:t>
            </w:r>
            <w:hyperlink r:id="rId226" w:history="1">
              <w:r>
                <w:rPr>
                  <w:rStyle w:val="Hyperlink"/>
                  <w:noProof/>
                  <w:u w:val="none"/>
                </w:rPr>
                <w:t>Директивата за процедурите за убежище</w:t>
              </w:r>
            </w:hyperlink>
            <w:r>
              <w:rPr>
                <w:noProof/>
                <w:color w:val="FFFFFF" w:themeColor="background1"/>
                <w:u w:val="none"/>
              </w:rPr>
              <w:t xml:space="preserve">, </w:t>
            </w:r>
            <w:hyperlink r:id="rId227" w:history="1">
              <w:r>
                <w:rPr>
                  <w:rStyle w:val="Hyperlink"/>
                  <w:noProof/>
                  <w:u w:val="none"/>
                </w:rPr>
                <w:t>Директивата за условията за приемане</w:t>
              </w:r>
            </w:hyperlink>
            <w:r>
              <w:rPr>
                <w:noProof/>
                <w:color w:val="FFFFFF" w:themeColor="background1"/>
                <w:u w:val="none"/>
              </w:rPr>
              <w:t xml:space="preserve">, </w:t>
            </w:r>
            <w:hyperlink r:id="rId228" w:history="1">
              <w:r>
                <w:rPr>
                  <w:rStyle w:val="Hyperlink"/>
                  <w:noProof/>
                  <w:u w:val="none"/>
                </w:rPr>
                <w:t>Директивата относно връщането</w:t>
              </w:r>
            </w:hyperlink>
            <w:r>
              <w:rPr>
                <w:noProof/>
                <w:color w:val="FFFFFF" w:themeColor="background1"/>
                <w:u w:val="none"/>
              </w:rPr>
              <w:t xml:space="preserve"> или няколко разпоредби от Хартата на основните права. Комисията образува също така</w:t>
            </w:r>
            <w:r>
              <w:rPr>
                <w:noProof/>
                <w:u w:val="none"/>
              </w:rPr>
              <w:t xml:space="preserve"> </w:t>
            </w:r>
            <w:hyperlink r:id="rId229" w:history="1">
              <w:r>
                <w:rPr>
                  <w:rStyle w:val="Hyperlink"/>
                  <w:noProof/>
                  <w:u w:val="none"/>
                </w:rPr>
                <w:t>производство за установяване на неизпълнение на задължения</w:t>
              </w:r>
            </w:hyperlink>
            <w:r>
              <w:rPr>
                <w:noProof/>
                <w:u w:val="none"/>
              </w:rPr>
              <w:t xml:space="preserve"> </w:t>
            </w:r>
            <w:r>
              <w:rPr>
                <w:noProof/>
                <w:color w:val="FFFFFF" w:themeColor="background1"/>
                <w:u w:val="none"/>
              </w:rPr>
              <w:t>срещу България във връзка със съвместимостта на българското законодателство в областта на убежището с правото на ЕС</w:t>
            </w:r>
            <w:r>
              <w:rPr>
                <w:noProof/>
                <w:u w:val="none"/>
              </w:rPr>
              <w:t>.</w:t>
            </w:r>
          </w:p>
        </w:tc>
      </w:tr>
    </w:tbl>
    <w:p>
      <w:pPr>
        <w:spacing w:before="200"/>
        <w:jc w:val="both"/>
        <w:rPr>
          <w:noProof/>
          <w:u w:val="none"/>
        </w:rPr>
      </w:pPr>
      <w:r>
        <w:rPr>
          <w:noProof/>
          <w:u w:val="none"/>
        </w:rPr>
        <w:t>Приоритетът на Комисията в областта на законната миграция е подобряването на способността на ЕС да привлича и задържа висококвалифицирани работници. Поради това е важно да се гарантира пълното и правилно прилагане на директивите на ЕС относно законната миграция. С тях се определят общи условия за приемането и пребиваването на граждани на трети държави.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8" w:type="dxa"/>
            <w:shd w:val="clear" w:color="auto" w:fill="8DB3E2" w:themeFill="text2" w:themeFillTint="66"/>
          </w:tcPr>
          <w:p>
            <w:pPr>
              <w:spacing w:before="60" w:after="60"/>
              <w:jc w:val="both"/>
              <w:rPr>
                <w:noProof/>
                <w:u w:val="none"/>
              </w:rPr>
            </w:pPr>
            <w:r>
              <w:rPr>
                <w:noProof/>
                <w:color w:val="FFFFFF" w:themeColor="background1"/>
                <w:u w:val="none"/>
              </w:rPr>
              <w:t xml:space="preserve">През 2018 г. Комисията образува производства за установяване на неизпълнение на задължения срещу </w:t>
            </w:r>
            <w:hyperlink r:id="rId230" w:history="1">
              <w:r>
                <w:rPr>
                  <w:rStyle w:val="Hyperlink"/>
                  <w:noProof/>
                  <w:u w:val="none"/>
                </w:rPr>
                <w:t>17 държави членки</w:t>
              </w:r>
            </w:hyperlink>
            <w:r>
              <w:rPr>
                <w:noProof/>
                <w:u w:val="none"/>
              </w:rPr>
              <w:t xml:space="preserve">, </w:t>
            </w:r>
            <w:r>
              <w:rPr>
                <w:noProof/>
                <w:color w:val="FFFFFF" w:themeColor="background1"/>
                <w:u w:val="none"/>
              </w:rPr>
              <w:t>тъй като те не бяха изпълнили своевременно</w:t>
            </w:r>
            <w:r>
              <w:rPr>
                <w:noProof/>
                <w:u w:val="none"/>
              </w:rPr>
              <w:t xml:space="preserve"> </w:t>
            </w:r>
            <w:hyperlink r:id="rId231" w:history="1">
              <w:r>
                <w:rPr>
                  <w:rStyle w:val="Hyperlink"/>
                  <w:noProof/>
                  <w:u w:val="none"/>
                </w:rPr>
                <w:t>Директивата относно студентите и научните работници</w:t>
              </w:r>
            </w:hyperlink>
            <w:r>
              <w:rPr>
                <w:noProof/>
                <w:u w:val="none"/>
              </w:rPr>
              <w:t>.</w:t>
            </w:r>
          </w:p>
        </w:tc>
      </w:tr>
    </w:tbl>
    <w:p>
      <w:pPr>
        <w:spacing w:before="200"/>
        <w:jc w:val="both"/>
        <w:rPr>
          <w:noProof/>
          <w:u w:val="none"/>
        </w:rPr>
      </w:pPr>
      <w:r>
        <w:rPr>
          <w:noProof/>
          <w:u w:val="none"/>
        </w:rPr>
        <w:t>Комисията продължи също така да проверява дали държавите членки не начисляват непропорционални такси за издаването на разрешения за пребиваване на граждани на държави извън ЕС.</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9286"/>
      </w:tblGrid>
      <w:tr>
        <w:tc>
          <w:tcPr>
            <w:tcW w:w="9286" w:type="dxa"/>
            <w:shd w:val="clear" w:color="auto" w:fill="8DB3E2" w:themeFill="text2" w:themeFillTint="66"/>
          </w:tcPr>
          <w:p>
            <w:pPr>
              <w:spacing w:before="60" w:after="60"/>
              <w:jc w:val="both"/>
              <w:rPr>
                <w:noProof/>
                <w:color w:val="FFFFFF" w:themeColor="background1"/>
                <w:u w:val="none"/>
              </w:rPr>
            </w:pPr>
            <w:r>
              <w:rPr>
                <w:noProof/>
                <w:color w:val="FFFFFF" w:themeColor="background1"/>
                <w:u w:val="none"/>
              </w:rPr>
              <w:t xml:space="preserve">Комисията образува производство за установяване на неизпълнение на задължения срещу </w:t>
            </w:r>
            <w:hyperlink r:id="rId232" w:history="1">
              <w:r>
                <w:rPr>
                  <w:rStyle w:val="Hyperlink"/>
                  <w:noProof/>
                  <w:u w:val="none"/>
                </w:rPr>
                <w:t>Нидерландия</w:t>
              </w:r>
            </w:hyperlink>
            <w:r>
              <w:rPr>
                <w:noProof/>
                <w:color w:val="FFFFFF" w:themeColor="background1"/>
                <w:u w:val="none"/>
              </w:rPr>
              <w:t xml:space="preserve"> за начисляването на прекомерни и непропорционални такси за разрешения за пребиваване съгласно правилата на ЕС за законна миграция.</w:t>
            </w:r>
          </w:p>
        </w:tc>
      </w:tr>
      <w:bookmarkEnd w:id="12"/>
    </w:tbl>
    <w:p>
      <w:pPr>
        <w:jc w:val="both"/>
        <w:rPr>
          <w:noProof/>
        </w:rPr>
      </w:pPr>
    </w:p>
    <w:sectPr>
      <w:headerReference w:type="even" r:id="rId233"/>
      <w:headerReference w:type="default" r:id="rId234"/>
      <w:footerReference w:type="even" r:id="rId235"/>
      <w:footerReference w:type="default" r:id="rId236"/>
      <w:headerReference w:type="first" r:id="rId237"/>
      <w:footerReference w:type="first" r:id="rId238"/>
      <w:pgSz w:w="11906" w:h="16838" w:code="9"/>
      <w:pgMar w:top="1418" w:right="1418" w:bottom="1418" w:left="1418" w:header="454"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aavi">
    <w:panose1 w:val="020B0502040204020203"/>
    <w:charset w:val="00"/>
    <w:family w:val="swiss"/>
    <w:pitch w:val="variable"/>
    <w:sig w:usb0="0002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12"/>
      </w:rPr>
    </w:pPr>
    <w:r>
      <w:rPr>
        <w:u w:val="none"/>
      </w:rPr>
      <w:fldChar w:fldCharType="begin"/>
    </w:r>
    <w:r>
      <w:rPr>
        <w:u w:val="none"/>
      </w:rPr>
      <w:instrText xml:space="preserve"> PAGE   \* MERGEFORMAT </w:instrText>
    </w:r>
    <w:r>
      <w:rPr>
        <w:u w:val="none"/>
      </w:rPr>
      <w:fldChar w:fldCharType="separate"/>
    </w:r>
    <w:r>
      <w:rPr>
        <w:noProof/>
        <w:u w:val="none"/>
      </w:rPr>
      <w:t>1</w:t>
    </w:r>
    <w:r>
      <w:rPr>
        <w:u w:val="none"/>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rPr>
        <w:u w:val="none"/>
      </w:rPr>
      <w:fldChar w:fldCharType="begin"/>
    </w:r>
    <w:r>
      <w:rPr>
        <w:u w:val="none"/>
      </w:rPr>
      <w:instrText xml:space="preserve"> PAGE   \* MERGEFORMAT </w:instrText>
    </w:r>
    <w:r>
      <w:rPr>
        <w:u w:val="none"/>
      </w:rPr>
      <w:fldChar w:fldCharType="separate"/>
    </w:r>
    <w:r>
      <w:rPr>
        <w:noProof/>
        <w:u w:val="none"/>
      </w:rPr>
      <w:t>29</w:t>
    </w:r>
    <w:r>
      <w:rPr>
        <w:u w:val="none"/>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u w:val="none"/>
      </w:rPr>
    </w:pPr>
    <w:r>
      <w:rPr>
        <w:u w:val="none"/>
      </w:rPr>
      <w:fldChar w:fldCharType="begin"/>
    </w:r>
    <w:r>
      <w:rPr>
        <w:u w:val="none"/>
      </w:rPr>
      <w:instrText xml:space="preserve"> PAGE   \* MERGEFORMAT </w:instrText>
    </w:r>
    <w:r>
      <w:rPr>
        <w:u w:val="none"/>
      </w:rPr>
      <w:fldChar w:fldCharType="separate"/>
    </w:r>
    <w:r>
      <w:rPr>
        <w:noProof/>
        <w:u w:val="none"/>
      </w:rPr>
      <w:t>2</w:t>
    </w:r>
    <w:r>
      <w:rPr>
        <w:u w:val="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Koptekstmetarcering"/>
      <w:tabs>
        <w:tab w:val="left" w:pos="5032"/>
      </w:tabs>
      <w:jc w:val="center"/>
    </w:pPr>
    <w:r>
      <w:t>Съдържание</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3"/>
        <w:tab w:val="left" w:pos="7513"/>
        <w:tab w:val="right" w:pos="8306"/>
      </w:tabs>
      <w:spacing w:after="0"/>
      <w:ind w:left="4153" w:hanging="4153"/>
      <w:jc w:val="cente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188595</wp:posOffset>
              </wp:positionH>
              <wp:positionV relativeFrom="paragraph">
                <wp:posOffset>-46677</wp:posOffset>
              </wp:positionV>
              <wp:extent cx="5473700" cy="4445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444500"/>
                      </a:xfrm>
                      <a:prstGeom prst="rect">
                        <a:avLst/>
                      </a:prstGeom>
                      <a:noFill/>
                      <a:ln w="9525">
                        <a:noFill/>
                        <a:miter lim="800000"/>
                        <a:headEnd/>
                        <a:tailEnd/>
                      </a:ln>
                    </wps:spPr>
                    <wps:txbx>
                      <w:txbxContent>
                        <w:p>
                          <w:pPr>
                            <w:spacing w:after="0"/>
                            <w:jc w:val="center"/>
                            <w:rPr>
                              <w:b/>
                              <w:color w:val="004194"/>
                              <w:u w:val="none"/>
                            </w:rPr>
                          </w:pPr>
                          <w:r>
                            <w:rPr>
                              <w:color w:val="004194"/>
                              <w:u w:val="none"/>
                            </w:rPr>
                            <w:t>Мониторинг върху прилагането на правото на Европейския съюз</w:t>
                          </w:r>
                        </w:p>
                        <w:p>
                          <w:pPr>
                            <w:spacing w:after="0"/>
                            <w:jc w:val="center"/>
                            <w:rPr>
                              <w:b/>
                              <w:color w:val="004194"/>
                              <w:u w:val="none"/>
                            </w:rPr>
                          </w:pPr>
                          <w:r>
                            <w:rPr>
                              <w:color w:val="004194"/>
                              <w:u w:val="none"/>
                            </w:rPr>
                            <w:t>Годишен доклад за 2018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85pt;margin-top:-3.7pt;width:431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" filled="f" stroked="f">
              <v:textbox>
                <w:txbxContent>
                  <w:p>
                    <w:pPr>
                      <w:spacing w:after="0"/>
                      <w:jc w:val="center"/>
                      <w:rPr>
                        <w:b/>
                        <w:color w:val="004194"/>
                        <w:u w:val="none"/>
                      </w:rPr>
                    </w:pPr>
                    <w:r>
                      <w:rPr>
                        <w:color w:val="004194"/>
                        <w:u w:val="none"/>
                      </w:rPr>
                      <w:t>Мониторинг върху прилагането на правото на Европейския съюз</w:t>
                    </w:r>
                  </w:p>
                  <w:p>
                    <w:pPr>
                      <w:spacing w:after="0"/>
                      <w:jc w:val="center"/>
                      <w:rPr>
                        <w:b/>
                        <w:color w:val="004194"/>
                        <w:u w:val="none"/>
                      </w:rPr>
                    </w:pPr>
                    <w:r>
                      <w:rPr>
                        <w:color w:val="004194"/>
                        <w:u w:val="none"/>
                      </w:rPr>
                      <w:t>Годишен доклад за 2018 г.</w:t>
                    </w:r>
                  </w:p>
                </w:txbxContent>
              </v:textbox>
            </v:shape>
          </w:pict>
        </mc:Fallback>
      </mc:AlternateContent>
    </w:r>
  </w:p>
  <w:p>
    <w:pPr>
      <w:pStyle w:val="Header"/>
    </w:pPr>
    <w:r>
      <w:rPr>
        <w:noProof/>
        <w:lang w:val="en-GB" w:eastAsia="en-GB"/>
      </w:rPr>
      <mc:AlternateContent>
        <mc:Choice Requires="wps">
          <w:drawing>
            <wp:anchor distT="0" distB="0" distL="114300" distR="114300" simplePos="0" relativeHeight="251658241" behindDoc="0" locked="0" layoutInCell="1" allowOverlap="1">
              <wp:simplePos x="0" y="0"/>
              <wp:positionH relativeFrom="column">
                <wp:posOffset>4814570</wp:posOffset>
              </wp:positionH>
              <wp:positionV relativeFrom="paragraph">
                <wp:posOffset>72390</wp:posOffset>
              </wp:positionV>
              <wp:extent cx="1899920" cy="219075"/>
              <wp:effectExtent l="0" t="0" r="5080"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992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1EB8D6E" id="Rectangle 13" o:spid="_x0000_s1026" style="position:absolute;margin-left:379.1pt;margin-top:5.7pt;width:149.6pt;height:17.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" fillcolor="#004194" stroked="f" strokeweight="2pt">
              <v:path arrowok="t"/>
            </v:rect>
          </w:pict>
        </mc:Fallback>
      </mc:AlternateContent>
    </w:r>
    <w:r>
      <w:rPr>
        <w:noProof/>
        <w:lang w:val="en-GB" w:eastAsia="en-GB"/>
      </w:rPr>
      <mc:AlternateContent>
        <mc:Choice Requires="wps">
          <w:drawing>
            <wp:anchor distT="0" distB="0" distL="114300" distR="114300" simplePos="0" relativeHeight="251658248" behindDoc="0" locked="0" layoutInCell="1" allowOverlap="1">
              <wp:simplePos x="0" y="0"/>
              <wp:positionH relativeFrom="column">
                <wp:posOffset>-967105</wp:posOffset>
              </wp:positionH>
              <wp:positionV relativeFrom="paragraph">
                <wp:posOffset>73347</wp:posOffset>
              </wp:positionV>
              <wp:extent cx="1803400" cy="219075"/>
              <wp:effectExtent l="0" t="0" r="635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54C760F" id="Rectangle 2" o:spid="_x0000_s1026" style="position:absolute;margin-left:-76.15pt;margin-top:5.8pt;width:142pt;height:17.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" fillcolor="#004194" stroked="f" strokeweight="2pt">
              <v:path arrowok="t"/>
            </v:rect>
          </w:pict>
        </mc:Fallback>
      </mc:AlternateContent>
    </w:r>
  </w:p>
  <w:p>
    <w:pPr>
      <w:pStyle w:val="Header"/>
      <w:tabs>
        <w:tab w:val="left" w:pos="7513"/>
      </w:tabs>
      <w:spacing w:after="0"/>
      <w:ind w:left="4153" w:hanging="4153"/>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3"/>
        <w:tab w:val="left" w:pos="7513"/>
        <w:tab w:val="right" w:pos="8306"/>
      </w:tabs>
      <w:spacing w:after="0"/>
      <w:ind w:left="4153" w:hanging="4153"/>
      <w:jc w:val="center"/>
    </w:pPr>
    <w:r>
      <w:rPr>
        <w:noProof/>
        <w:lang w:val="en-GB" w:eastAsia="en-GB"/>
      </w:rPr>
      <mc:AlternateContent>
        <mc:Choice Requires="wps">
          <w:drawing>
            <wp:anchor distT="0" distB="0" distL="114300" distR="114300" simplePos="0" relativeHeight="251658247" behindDoc="0" locked="0" layoutInCell="1" allowOverlap="1">
              <wp:simplePos x="0" y="0"/>
              <wp:positionH relativeFrom="column">
                <wp:posOffset>4814570</wp:posOffset>
              </wp:positionH>
              <wp:positionV relativeFrom="paragraph">
                <wp:posOffset>214630</wp:posOffset>
              </wp:positionV>
              <wp:extent cx="1884680" cy="219075"/>
              <wp:effectExtent l="0" t="0" r="1270" b="952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219075"/>
                      </a:xfrm>
                      <a:prstGeom prst="rect">
                        <a:avLst/>
                      </a:prstGeom>
                      <a:solidFill>
                        <a:srgbClr val="004194"/>
                      </a:solidFill>
                      <a:ln w="25400" cap="flat" cmpd="sng" algn="ctr">
                        <a:no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63" o:spid="_x0000_s1027" style="position:absolute;left:0;text-align:left;margin-left:379.1pt;margin-top:16.9pt;width:148.4pt;height:17.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" fillcolor="#004194" stroked="f" strokeweight="2pt">
              <v:path arrowok="t"/>
              <v:textbox>
                <w:txbxContent>
                  <w:p>
                    <w:pPr>
                      <w:jc w:val="center"/>
                    </w:pPr>
                  </w:p>
                </w:txbxContent>
              </v:textbox>
            </v:rect>
          </w:pict>
        </mc:Fallback>
      </mc:AlternateContent>
    </w:r>
    <w:r>
      <w:rPr>
        <w:noProof/>
        <w:lang w:val="en-GB" w:eastAsia="en-GB"/>
      </w:rPr>
      <mc:AlternateContent>
        <mc:Choice Requires="wps">
          <w:drawing>
            <wp:anchor distT="0" distB="0" distL="114300" distR="114300" simplePos="0" relativeHeight="251658246" behindDoc="0" locked="0" layoutInCell="1" allowOverlap="1">
              <wp:simplePos x="0" y="0"/>
              <wp:positionH relativeFrom="column">
                <wp:posOffset>-1007110</wp:posOffset>
              </wp:positionH>
              <wp:positionV relativeFrom="paragraph">
                <wp:posOffset>214630</wp:posOffset>
              </wp:positionV>
              <wp:extent cx="1803400" cy="219075"/>
              <wp:effectExtent l="0" t="0" r="6350" b="9525"/>
              <wp:wrapNone/>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CF10019" id="Rectangle 288" o:spid="_x0000_s1026" style="position:absolute;margin-left:-79.3pt;margin-top:16.9pt;width:142pt;height:17.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" fillcolor="#004194" stroked="f" strokeweight="2pt">
              <v:path arrowok="t"/>
            </v:rect>
          </w:pict>
        </mc:Fallback>
      </mc:AlternateContent>
    </w:r>
    <w:r>
      <w:rPr>
        <w:noProof/>
        <w:lang w:val="en-GB" w:eastAsia="en-GB"/>
      </w:rPr>
      <mc:AlternateContent>
        <mc:Choice Requires="wps">
          <w:drawing>
            <wp:anchor distT="0" distB="0" distL="114300" distR="114300" simplePos="0" relativeHeight="251658245" behindDoc="0" locked="0" layoutInCell="1" allowOverlap="1">
              <wp:simplePos x="0" y="0"/>
              <wp:positionH relativeFrom="column">
                <wp:posOffset>207645</wp:posOffset>
              </wp:positionH>
              <wp:positionV relativeFrom="paragraph">
                <wp:posOffset>-64770</wp:posOffset>
              </wp:positionV>
              <wp:extent cx="5473700" cy="444500"/>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444500"/>
                      </a:xfrm>
                      <a:prstGeom prst="rect">
                        <a:avLst/>
                      </a:prstGeom>
                      <a:noFill/>
                      <a:ln w="9525">
                        <a:noFill/>
                        <a:miter lim="800000"/>
                        <a:headEnd/>
                        <a:tailEnd/>
                      </a:ln>
                    </wps:spPr>
                    <wps:txbx>
                      <w:txbxContent>
                        <w:p>
                          <w:pPr>
                            <w:spacing w:after="0"/>
                            <w:jc w:val="center"/>
                            <w:rPr>
                              <w:b/>
                              <w:color w:val="004194"/>
                              <w:u w:val="none"/>
                            </w:rPr>
                          </w:pPr>
                          <w:r>
                            <w:rPr>
                              <w:color w:val="004194"/>
                              <w:u w:val="none"/>
                            </w:rPr>
                            <w:t>Мониторинг върху прилагането на правото на Европейския съюз</w:t>
                          </w:r>
                        </w:p>
                        <w:p>
                          <w:pPr>
                            <w:spacing w:after="0"/>
                            <w:jc w:val="center"/>
                            <w:rPr>
                              <w:b/>
                              <w:color w:val="004194"/>
                              <w:u w:val="none"/>
                            </w:rPr>
                          </w:pPr>
                          <w:r>
                            <w:rPr>
                              <w:color w:val="004194"/>
                              <w:u w:val="none"/>
                            </w:rPr>
                            <w:t>Годишен доклад за 2018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6.35pt;margin-top:-5.1pt;width:431pt;height: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" filled="f" stroked="f">
              <v:textbox>
                <w:txbxContent>
                  <w:p>
                    <w:pPr>
                      <w:spacing w:after="0"/>
                      <w:jc w:val="center"/>
                      <w:rPr>
                        <w:b/>
                        <w:color w:val="004194"/>
                        <w:u w:val="none"/>
                      </w:rPr>
                    </w:pPr>
                    <w:r>
                      <w:rPr>
                        <w:color w:val="004194"/>
                        <w:u w:val="none"/>
                      </w:rPr>
                      <w:t>Мониторинг върху прилагането на правото на Европейския съюз</w:t>
                    </w:r>
                  </w:p>
                  <w:p>
                    <w:pPr>
                      <w:spacing w:after="0"/>
                      <w:jc w:val="center"/>
                      <w:rPr>
                        <w:b/>
                        <w:color w:val="004194"/>
                        <w:u w:val="none"/>
                      </w:rPr>
                    </w:pPr>
                    <w:r>
                      <w:rPr>
                        <w:color w:val="004194"/>
                        <w:u w:val="none"/>
                      </w:rPr>
                      <w:t>Годишен доклад за 2018 г.</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3"/>
        <w:tab w:val="left" w:pos="7513"/>
        <w:tab w:val="right" w:pos="8306"/>
      </w:tabs>
      <w:spacing w:after="0"/>
      <w:ind w:left="4153" w:hanging="4153"/>
      <w:jc w:val="center"/>
    </w:pPr>
    <w:r>
      <w:rPr>
        <w:noProof/>
        <w:lang w:val="en-GB" w:eastAsia="en-GB"/>
      </w:rPr>
      <mc:AlternateContent>
        <mc:Choice Requires="wps">
          <w:drawing>
            <wp:anchor distT="0" distB="0" distL="114300" distR="114300" simplePos="0" relativeHeight="251658242" behindDoc="0" locked="0" layoutInCell="1" allowOverlap="1">
              <wp:simplePos x="0" y="0"/>
              <wp:positionH relativeFrom="column">
                <wp:posOffset>140970</wp:posOffset>
              </wp:positionH>
              <wp:positionV relativeFrom="paragraph">
                <wp:posOffset>-42545</wp:posOffset>
              </wp:positionV>
              <wp:extent cx="5473700" cy="444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444500"/>
                      </a:xfrm>
                      <a:prstGeom prst="rect">
                        <a:avLst/>
                      </a:prstGeom>
                      <a:noFill/>
                      <a:ln w="9525">
                        <a:noFill/>
                        <a:miter lim="800000"/>
                        <a:headEnd/>
                        <a:tailEnd/>
                      </a:ln>
                    </wps:spPr>
                    <wps:txbx>
                      <w:txbxContent>
                        <w:p>
                          <w:pPr>
                            <w:spacing w:after="0"/>
                            <w:jc w:val="center"/>
                            <w:rPr>
                              <w:b/>
                              <w:color w:val="004194"/>
                              <w:u w:val="none"/>
                            </w:rPr>
                          </w:pPr>
                          <w:r>
                            <w:rPr>
                              <w:color w:val="004194"/>
                              <w:u w:val="none"/>
                            </w:rPr>
                            <w:t>Мониторинг върху прилагането на правото на Европейския съюз</w:t>
                          </w:r>
                        </w:p>
                        <w:p>
                          <w:pPr>
                            <w:spacing w:after="0"/>
                            <w:jc w:val="center"/>
                            <w:rPr>
                              <w:b/>
                              <w:color w:val="004194"/>
                              <w:u w:val="none"/>
                            </w:rPr>
                          </w:pPr>
                          <w:r>
                            <w:rPr>
                              <w:color w:val="004194"/>
                              <w:u w:val="none"/>
                            </w:rPr>
                            <w:t>Годишен доклад за 2018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11.1pt;margin-top:-3.35pt;width:431pt;height: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" filled="f" stroked="f">
              <v:textbox>
                <w:txbxContent>
                  <w:p>
                    <w:pPr>
                      <w:spacing w:after="0"/>
                      <w:jc w:val="center"/>
                      <w:rPr>
                        <w:b/>
                        <w:color w:val="004194"/>
                        <w:u w:val="none"/>
                      </w:rPr>
                    </w:pPr>
                    <w:r>
                      <w:rPr>
                        <w:color w:val="004194"/>
                        <w:u w:val="none"/>
                      </w:rPr>
                      <w:t>Мониторинг върху прилагането на правото на Европейския съюз</w:t>
                    </w:r>
                  </w:p>
                  <w:p>
                    <w:pPr>
                      <w:spacing w:after="0"/>
                      <w:jc w:val="center"/>
                      <w:rPr>
                        <w:b/>
                        <w:color w:val="004194"/>
                        <w:u w:val="none"/>
                      </w:rPr>
                    </w:pPr>
                    <w:r>
                      <w:rPr>
                        <w:color w:val="004194"/>
                        <w:u w:val="none"/>
                      </w:rPr>
                      <w:t>Годишен доклад за 2018 г.</w:t>
                    </w:r>
                  </w:p>
                </w:txbxContent>
              </v:textbox>
            </v:shape>
          </w:pict>
        </mc:Fallback>
      </mc:AlternateContent>
    </w:r>
  </w:p>
  <w:p>
    <w:pPr>
      <w:pStyle w:val="Header"/>
    </w:pPr>
    <w:r>
      <w:rPr>
        <w:noProof/>
        <w:lang w:val="en-GB" w:eastAsia="en-GB"/>
      </w:rPr>
      <mc:AlternateContent>
        <mc:Choice Requires="wps">
          <w:drawing>
            <wp:anchor distT="0" distB="0" distL="114300" distR="114300" simplePos="0" relativeHeight="251658244" behindDoc="0" locked="0" layoutInCell="1" allowOverlap="1">
              <wp:simplePos x="0" y="0"/>
              <wp:positionH relativeFrom="column">
                <wp:posOffset>4814570</wp:posOffset>
              </wp:positionH>
              <wp:positionV relativeFrom="paragraph">
                <wp:posOffset>62865</wp:posOffset>
              </wp:positionV>
              <wp:extent cx="1835150" cy="219075"/>
              <wp:effectExtent l="0" t="0" r="0"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15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9DD9B88" id="Rectangle 17" o:spid="_x0000_s1026" style="position:absolute;margin-left:379.1pt;margin-top:4.95pt;width:144.5pt;height:17.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" fillcolor="#004194" stroked="f" strokeweight="2pt">
              <v:path arrowok="t"/>
            </v:rect>
          </w:pict>
        </mc:Fallback>
      </mc:AlternateContent>
    </w:r>
    <w:r>
      <w:rPr>
        <w:noProof/>
        <w:lang w:val="en-GB" w:eastAsia="en-GB"/>
      </w:rPr>
      <mc:AlternateContent>
        <mc:Choice Requires="wps">
          <w:drawing>
            <wp:anchor distT="0" distB="0" distL="114300" distR="114300" simplePos="0" relativeHeight="251658243" behindDoc="0" locked="0" layoutInCell="1" allowOverlap="1">
              <wp:simplePos x="0" y="0"/>
              <wp:positionH relativeFrom="column">
                <wp:posOffset>-900430</wp:posOffset>
              </wp:positionH>
              <wp:positionV relativeFrom="paragraph">
                <wp:posOffset>75565</wp:posOffset>
              </wp:positionV>
              <wp:extent cx="1803400" cy="219075"/>
              <wp:effectExtent l="0" t="0" r="6350"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36C4675" id="Rectangle 27" o:spid="_x0000_s1026" style="position:absolute;margin-left:-70.9pt;margin-top:5.95pt;width:142pt;height:17.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" fillcolor="#004194" stroked="f" strokeweight="2pt">
              <v:path arrowok="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D7BEA"/>
    <w:multiLevelType w:val="hybridMultilevel"/>
    <w:tmpl w:val="D3808FF6"/>
    <w:lvl w:ilvl="0" w:tplc="53649850">
      <w:start w:val="1"/>
      <w:numFmt w:val="lowerLetter"/>
      <w:pStyle w:val="Lijstje"/>
      <w:lvlText w:val="%1)"/>
      <w:lvlJc w:val="left"/>
      <w:pPr>
        <w:ind w:left="1419" w:hanging="705"/>
      </w:pPr>
      <w:rPr>
        <w:rFonts w:hint="default"/>
      </w:rPr>
    </w:lvl>
    <w:lvl w:ilvl="1" w:tplc="08130019" w:tentative="1">
      <w:start w:val="1"/>
      <w:numFmt w:val="lowerLetter"/>
      <w:lvlText w:val="%2."/>
      <w:lvlJc w:val="left"/>
      <w:pPr>
        <w:ind w:left="1794" w:hanging="360"/>
      </w:pPr>
    </w:lvl>
    <w:lvl w:ilvl="2" w:tplc="0813001B" w:tentative="1">
      <w:start w:val="1"/>
      <w:numFmt w:val="lowerRoman"/>
      <w:lvlText w:val="%3."/>
      <w:lvlJc w:val="right"/>
      <w:pPr>
        <w:ind w:left="2514" w:hanging="180"/>
      </w:pPr>
    </w:lvl>
    <w:lvl w:ilvl="3" w:tplc="0813000F" w:tentative="1">
      <w:start w:val="1"/>
      <w:numFmt w:val="decimal"/>
      <w:lvlText w:val="%4."/>
      <w:lvlJc w:val="left"/>
      <w:pPr>
        <w:ind w:left="3234" w:hanging="360"/>
      </w:pPr>
    </w:lvl>
    <w:lvl w:ilvl="4" w:tplc="08130019" w:tentative="1">
      <w:start w:val="1"/>
      <w:numFmt w:val="lowerLetter"/>
      <w:lvlText w:val="%5."/>
      <w:lvlJc w:val="left"/>
      <w:pPr>
        <w:ind w:left="3954" w:hanging="360"/>
      </w:pPr>
    </w:lvl>
    <w:lvl w:ilvl="5" w:tplc="0813001B" w:tentative="1">
      <w:start w:val="1"/>
      <w:numFmt w:val="lowerRoman"/>
      <w:lvlText w:val="%6."/>
      <w:lvlJc w:val="right"/>
      <w:pPr>
        <w:ind w:left="4674" w:hanging="180"/>
      </w:pPr>
    </w:lvl>
    <w:lvl w:ilvl="6" w:tplc="0813000F" w:tentative="1">
      <w:start w:val="1"/>
      <w:numFmt w:val="decimal"/>
      <w:lvlText w:val="%7."/>
      <w:lvlJc w:val="left"/>
      <w:pPr>
        <w:ind w:left="5394" w:hanging="360"/>
      </w:pPr>
    </w:lvl>
    <w:lvl w:ilvl="7" w:tplc="08130019" w:tentative="1">
      <w:start w:val="1"/>
      <w:numFmt w:val="lowerLetter"/>
      <w:lvlText w:val="%8."/>
      <w:lvlJc w:val="left"/>
      <w:pPr>
        <w:ind w:left="6114" w:hanging="360"/>
      </w:pPr>
    </w:lvl>
    <w:lvl w:ilvl="8" w:tplc="0813001B" w:tentative="1">
      <w:start w:val="1"/>
      <w:numFmt w:val="lowerRoman"/>
      <w:lvlText w:val="%9."/>
      <w:lvlJc w:val="right"/>
      <w:pPr>
        <w:ind w:left="6834" w:hanging="180"/>
      </w:pPr>
    </w:lvl>
  </w:abstractNum>
  <w:abstractNum w:abstractNumId="4">
    <w:nsid w:val="17F54380"/>
    <w:multiLevelType w:val="hybridMultilevel"/>
    <w:tmpl w:val="7DFA5CD4"/>
    <w:lvl w:ilvl="0" w:tplc="7A7A0B3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ED7B4A"/>
    <w:multiLevelType w:val="hybridMultilevel"/>
    <w:tmpl w:val="2AEABBA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1E081D"/>
    <w:multiLevelType w:val="hybridMultilevel"/>
    <w:tmpl w:val="F3FE0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6BF1488"/>
    <w:multiLevelType w:val="multilevel"/>
    <w:tmpl w:val="A60CB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7730C4"/>
    <w:multiLevelType w:val="singleLevel"/>
    <w:tmpl w:val="456C96DE"/>
    <w:lvl w:ilvl="0">
      <w:start w:val="1"/>
      <w:numFmt w:val="bullet"/>
      <w:lvlText w:val=""/>
      <w:lvlJc w:val="left"/>
      <w:pPr>
        <w:tabs>
          <w:tab w:val="num" w:pos="765"/>
        </w:tabs>
        <w:ind w:left="765" w:hanging="283"/>
      </w:pPr>
      <w:rPr>
        <w:rFonts w:ascii="Symbol" w:hAnsi="Symbol"/>
      </w:r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1">
    <w:nsid w:val="507B4F44"/>
    <w:multiLevelType w:val="hybridMultilevel"/>
    <w:tmpl w:val="73086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3361CB"/>
    <w:multiLevelType w:val="hybridMultilevel"/>
    <w:tmpl w:val="53D20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nsid w:val="5B1F74FB"/>
    <w:multiLevelType w:val="hybridMultilevel"/>
    <w:tmpl w:val="1BD8B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nsid w:val="5EA36AE3"/>
    <w:multiLevelType w:val="hybridMultilevel"/>
    <w:tmpl w:val="C172E006"/>
    <w:lvl w:ilvl="0" w:tplc="BF86F04E">
      <w:start w:val="1"/>
      <w:numFmt w:val="bullet"/>
      <w:pStyle w:val="Lijstje2"/>
      <w:lvlText w:val=""/>
      <w:lvlJc w:val="left"/>
      <w:pPr>
        <w:ind w:left="2137" w:hanging="360"/>
      </w:pPr>
      <w:rPr>
        <w:rFonts w:ascii="Symbol" w:hAnsi="Symbol" w:hint="default"/>
      </w:rPr>
    </w:lvl>
    <w:lvl w:ilvl="1" w:tplc="EDDCC440">
      <w:start w:val="1"/>
      <w:numFmt w:val="bullet"/>
      <w:pStyle w:val="Lijstje3"/>
      <w:lvlText w:val="o"/>
      <w:lvlJc w:val="left"/>
      <w:pPr>
        <w:ind w:left="2857" w:hanging="360"/>
      </w:pPr>
      <w:rPr>
        <w:rFonts w:ascii="Courier New" w:hAnsi="Courier New" w:cs="Courier New" w:hint="default"/>
      </w:rPr>
    </w:lvl>
    <w:lvl w:ilvl="2" w:tplc="08130005">
      <w:start w:val="1"/>
      <w:numFmt w:val="bullet"/>
      <w:lvlText w:val=""/>
      <w:lvlJc w:val="left"/>
      <w:pPr>
        <w:ind w:left="3577" w:hanging="360"/>
      </w:pPr>
      <w:rPr>
        <w:rFonts w:ascii="Wingdings" w:hAnsi="Wingdings" w:hint="default"/>
      </w:rPr>
    </w:lvl>
    <w:lvl w:ilvl="3" w:tplc="08130001" w:tentative="1">
      <w:start w:val="1"/>
      <w:numFmt w:val="bullet"/>
      <w:lvlText w:val=""/>
      <w:lvlJc w:val="left"/>
      <w:pPr>
        <w:ind w:left="4297" w:hanging="360"/>
      </w:pPr>
      <w:rPr>
        <w:rFonts w:ascii="Symbol" w:hAnsi="Symbol" w:hint="default"/>
      </w:rPr>
    </w:lvl>
    <w:lvl w:ilvl="4" w:tplc="08130003" w:tentative="1">
      <w:start w:val="1"/>
      <w:numFmt w:val="bullet"/>
      <w:lvlText w:val="o"/>
      <w:lvlJc w:val="left"/>
      <w:pPr>
        <w:ind w:left="5017" w:hanging="360"/>
      </w:pPr>
      <w:rPr>
        <w:rFonts w:ascii="Courier New" w:hAnsi="Courier New" w:cs="Courier New" w:hint="default"/>
      </w:rPr>
    </w:lvl>
    <w:lvl w:ilvl="5" w:tplc="08130005" w:tentative="1">
      <w:start w:val="1"/>
      <w:numFmt w:val="bullet"/>
      <w:lvlText w:val=""/>
      <w:lvlJc w:val="left"/>
      <w:pPr>
        <w:ind w:left="5737" w:hanging="360"/>
      </w:pPr>
      <w:rPr>
        <w:rFonts w:ascii="Wingdings" w:hAnsi="Wingdings" w:hint="default"/>
      </w:rPr>
    </w:lvl>
    <w:lvl w:ilvl="6" w:tplc="08130001" w:tentative="1">
      <w:start w:val="1"/>
      <w:numFmt w:val="bullet"/>
      <w:lvlText w:val=""/>
      <w:lvlJc w:val="left"/>
      <w:pPr>
        <w:ind w:left="6457" w:hanging="360"/>
      </w:pPr>
      <w:rPr>
        <w:rFonts w:ascii="Symbol" w:hAnsi="Symbol" w:hint="default"/>
      </w:rPr>
    </w:lvl>
    <w:lvl w:ilvl="7" w:tplc="08130003" w:tentative="1">
      <w:start w:val="1"/>
      <w:numFmt w:val="bullet"/>
      <w:lvlText w:val="o"/>
      <w:lvlJc w:val="left"/>
      <w:pPr>
        <w:ind w:left="7177" w:hanging="360"/>
      </w:pPr>
      <w:rPr>
        <w:rFonts w:ascii="Courier New" w:hAnsi="Courier New" w:cs="Courier New" w:hint="default"/>
      </w:rPr>
    </w:lvl>
    <w:lvl w:ilvl="8" w:tplc="08130005" w:tentative="1">
      <w:start w:val="1"/>
      <w:numFmt w:val="bullet"/>
      <w:lvlText w:val=""/>
      <w:lvlJc w:val="left"/>
      <w:pPr>
        <w:ind w:left="7897" w:hanging="360"/>
      </w:pPr>
      <w:rPr>
        <w:rFonts w:ascii="Wingdings" w:hAnsi="Wingdings" w:hint="default"/>
      </w:rPr>
    </w:lvl>
  </w:abstractNum>
  <w:abstractNum w:abstractNumId="2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3B8387B"/>
    <w:multiLevelType w:val="hybridMultilevel"/>
    <w:tmpl w:val="73E6A5A2"/>
    <w:lvl w:ilvl="0" w:tplc="E1147942">
      <w:start w:val="1"/>
      <w:numFmt w:val="upperRoman"/>
      <w:pStyle w:val="kop2"/>
      <w:lvlText w:val="%1."/>
      <w:lvlJc w:val="righ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74A3558"/>
    <w:multiLevelType w:val="hybridMultilevel"/>
    <w:tmpl w:val="4BE2B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B9674C5"/>
    <w:multiLevelType w:val="multilevel"/>
    <w:tmpl w:val="C7FA39E2"/>
    <w:lvl w:ilvl="0">
      <w:start w:val="1"/>
      <w:numFmt w:val="decimal"/>
      <w:pStyle w:val="kop3"/>
      <w:lvlText w:val="%1."/>
      <w:lvlJc w:val="left"/>
      <w:pPr>
        <w:ind w:left="360" w:hanging="360"/>
      </w:pPr>
    </w:lvl>
    <w:lvl w:ilvl="1">
      <w:start w:val="1"/>
      <w:numFmt w:val="decimal"/>
      <w:pStyle w:val="Kop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8"/>
  </w:num>
  <w:num w:numId="4">
    <w:abstractNumId w:val="17"/>
  </w:num>
  <w:num w:numId="5">
    <w:abstractNumId w:val="11"/>
  </w:num>
  <w:num w:numId="6">
    <w:abstractNumId w:val="16"/>
  </w:num>
  <w:num w:numId="7">
    <w:abstractNumId w:val="28"/>
  </w:num>
  <w:num w:numId="8">
    <w:abstractNumId w:val="29"/>
  </w:num>
  <w:num w:numId="9">
    <w:abstractNumId w:val="13"/>
  </w:num>
  <w:num w:numId="10">
    <w:abstractNumId w:val="27"/>
  </w:num>
  <w:num w:numId="11">
    <w:abstractNumId w:val="25"/>
  </w:num>
  <w:num w:numId="12">
    <w:abstractNumId w:val="18"/>
  </w:num>
  <w:num w:numId="13">
    <w:abstractNumId w:val="23"/>
  </w:num>
  <w:num w:numId="14">
    <w:abstractNumId w:val="9"/>
  </w:num>
  <w:num w:numId="15">
    <w:abstractNumId w:val="14"/>
  </w:num>
  <w:num w:numId="16">
    <w:abstractNumId w:val="6"/>
  </w:num>
  <w:num w:numId="17">
    <w:abstractNumId w:val="12"/>
  </w:num>
  <w:num w:numId="18">
    <w:abstractNumId w:val="30"/>
  </w:num>
  <w:num w:numId="19">
    <w:abstractNumId w:val="19"/>
  </w:num>
  <w:num w:numId="20">
    <w:abstractNumId w:val="2"/>
  </w:num>
  <w:num w:numId="21">
    <w:abstractNumId w:val="20"/>
  </w:num>
  <w:num w:numId="22">
    <w:abstractNumId w:val="3"/>
  </w:num>
  <w:num w:numId="23">
    <w:abstractNumId w:val="26"/>
  </w:num>
  <w:num w:numId="24">
    <w:abstractNumId w:val="31"/>
  </w:num>
  <w:num w:numId="25">
    <w:abstractNumId w:val="33"/>
  </w:num>
  <w:num w:numId="26">
    <w:abstractNumId w:val="4"/>
  </w:num>
  <w:num w:numId="27">
    <w:abstractNumId w:val="7"/>
  </w:num>
  <w:num w:numId="28">
    <w:abstractNumId w:val="21"/>
  </w:num>
  <w:num w:numId="29">
    <w:abstractNumId w:val="33"/>
  </w:num>
  <w:num w:numId="30">
    <w:abstractNumId w:val="10"/>
  </w:num>
  <w:num w:numId="31">
    <w:abstractNumId w:val="32"/>
  </w:num>
  <w:num w:numId="32">
    <w:abstractNumId w:val="24"/>
  </w:num>
  <w:num w:numId="33">
    <w:abstractNumId w:val="15"/>
  </w:num>
  <w:num w:numId="34">
    <w:abstractNumId w:val="22"/>
  </w:num>
  <w:num w:numId="35">
    <w:abstractNumId w:val="5"/>
  </w:num>
  <w:num w:numId="36">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3BEDB28-4328-49CC-8584-3193362D5307"/>
    <w:docVar w:name="LW_COVERPAGE_TYPE" w:val="1"/>
    <w:docVar w:name="LW_CROSSREFERENCE" w:val="{SWD(2019) 285 final} - {SWD(2019) 286 final} - {SWD(2019) 287 final}"/>
    <w:docVar w:name="LW_DocType" w:val="NORMAL"/>
    <w:docVar w:name="LW_EMISSION" w:val="4.7.2019"/>
    <w:docVar w:name="LW_EMISSION_ISODATE" w:val="2019-07-04"/>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3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2?\u1086?\u1085?\u1080?\u1090?\u1086?\u1088?\u1080?\u1085?\u1075? \u1074?\u1098?\u1088?\u1093?\u1091? \u1087?\u1088?\u1080?\u1083?\u1072?\u1075?\u1072?\u1085?\u1077?\u1090?\u1086? \u1085?\u1072? \u1087?\u1088?\u1072?\u1074?\u1086?\u1090?\u1086? \u1085?\u1072? \u1045?\u1074?\u1088?\u1086?\u1087?\u1077?\u1081?\u1089?\u1082?\u1080?\u1103? \u1089?\u1098?\u1102?\u1079?_x000d__x000b_\u1043?\u1086?\u1076?\u1080?\u1096?\u1077?\u1085? \u1076?\u1086?\u1082?\u1083?\u1072?\u1076? \u1079?\u1072? 2018 \u1075?."/>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ja-JP" w:bidi="p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bg-BG"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u w:val="single"/>
      <w:lang w:eastAsia="en-US"/>
    </w:rPr>
  </w:style>
  <w:style w:type="paragraph" w:styleId="Heading1">
    <w:name w:val="heading 1"/>
    <w:basedOn w:val="Normal"/>
    <w:next w:val="Text1"/>
    <w:link w:val="Heading1Char"/>
    <w:pPr>
      <w:keepNext/>
      <w:numPr>
        <w:numId w:val="3"/>
      </w:numPr>
      <w:spacing w:before="240" w:after="240" w:line="240" w:lineRule="auto"/>
      <w:jc w:val="both"/>
      <w:outlineLvl w:val="0"/>
    </w:pPr>
    <w:rPr>
      <w:rFonts w:ascii="Times New Roman" w:eastAsia="Times New Roman" w:hAnsi="Times New Roman"/>
      <w:b/>
      <w:smallCaps/>
      <w:sz w:val="24"/>
    </w:rPr>
  </w:style>
  <w:style w:type="paragraph" w:styleId="Heading2">
    <w:name w:val="heading 2"/>
    <w:basedOn w:val="Normal"/>
    <w:next w:val="Text2"/>
    <w:link w:val="Heading2Char"/>
    <w:pPr>
      <w:keepNext/>
      <w:numPr>
        <w:ilvl w:val="1"/>
        <w:numId w:val="3"/>
      </w:numPr>
      <w:spacing w:after="240" w:line="240" w:lineRule="auto"/>
      <w:jc w:val="both"/>
      <w:outlineLvl w:val="1"/>
    </w:pPr>
    <w:rPr>
      <w:rFonts w:ascii="Times New Roman" w:eastAsia="Times New Roman" w:hAnsi="Times New Roman"/>
      <w:b/>
      <w:sz w:val="24"/>
    </w:rPr>
  </w:style>
  <w:style w:type="paragraph" w:styleId="Heading3">
    <w:name w:val="heading 3"/>
    <w:basedOn w:val="Normal"/>
    <w:next w:val="Text3"/>
    <w:link w:val="Heading3Char"/>
    <w:pPr>
      <w:keepNext/>
      <w:numPr>
        <w:ilvl w:val="2"/>
        <w:numId w:val="3"/>
      </w:numPr>
      <w:spacing w:after="240" w:line="240" w:lineRule="auto"/>
      <w:jc w:val="both"/>
      <w:outlineLvl w:val="2"/>
    </w:pPr>
    <w:rPr>
      <w:rFonts w:ascii="Times New Roman" w:eastAsia="Times New Roman" w:hAnsi="Times New Roman"/>
      <w:i/>
      <w:sz w:val="24"/>
    </w:rPr>
  </w:style>
  <w:style w:type="paragraph" w:styleId="Heading4">
    <w:name w:val="heading 4"/>
    <w:basedOn w:val="Normal"/>
    <w:next w:val="Text4"/>
    <w:link w:val="Heading4Char"/>
    <w:pPr>
      <w:keepNext/>
      <w:numPr>
        <w:ilvl w:val="3"/>
        <w:numId w:val="3"/>
      </w:numPr>
      <w:spacing w:after="240" w:line="240" w:lineRule="auto"/>
      <w:jc w:val="both"/>
      <w:outlineLvl w:val="3"/>
    </w:pPr>
    <w:rPr>
      <w:rFonts w:ascii="Times New Roman" w:eastAsia="Times New Roman" w:hAnsi="Times New Roman"/>
      <w:sz w:val="24"/>
    </w:rPr>
  </w:style>
  <w:style w:type="paragraph" w:styleId="Heading5">
    <w:name w:val="heading 5"/>
    <w:basedOn w:val="Normal"/>
    <w:next w:val="Normal"/>
    <w:link w:val="Heading5Char"/>
    <w:pPr>
      <w:tabs>
        <w:tab w:val="num" w:pos="0"/>
      </w:tabs>
      <w:spacing w:before="240" w:after="60" w:line="240" w:lineRule="auto"/>
      <w:jc w:val="both"/>
      <w:outlineLvl w:val="4"/>
    </w:pPr>
    <w:rPr>
      <w:rFonts w:eastAsia="Times New Roman"/>
    </w:rPr>
  </w:style>
  <w:style w:type="paragraph" w:styleId="Heading6">
    <w:name w:val="heading 6"/>
    <w:basedOn w:val="Normal"/>
    <w:next w:val="Normal"/>
    <w:link w:val="Heading6Char"/>
    <w:pPr>
      <w:tabs>
        <w:tab w:val="num" w:pos="0"/>
      </w:tabs>
      <w:spacing w:before="240" w:after="60" w:line="240" w:lineRule="auto"/>
      <w:jc w:val="both"/>
      <w:outlineLvl w:val="5"/>
    </w:pPr>
    <w:rPr>
      <w:rFonts w:eastAsia="Times New Roman"/>
      <w:i/>
    </w:rPr>
  </w:style>
  <w:style w:type="paragraph" w:styleId="Heading7">
    <w:name w:val="heading 7"/>
    <w:basedOn w:val="Normal"/>
    <w:next w:val="Normal"/>
    <w:link w:val="Heading7Char"/>
    <w:pPr>
      <w:tabs>
        <w:tab w:val="num" w:pos="0"/>
      </w:tabs>
      <w:spacing w:before="240" w:after="60" w:line="240" w:lineRule="auto"/>
      <w:jc w:val="both"/>
      <w:outlineLvl w:val="6"/>
    </w:pPr>
    <w:rPr>
      <w:rFonts w:eastAsia="Times New Roman"/>
    </w:rPr>
  </w:style>
  <w:style w:type="paragraph" w:styleId="Heading8">
    <w:name w:val="heading 8"/>
    <w:basedOn w:val="Normal"/>
    <w:next w:val="Normal"/>
    <w:link w:val="Heading8Char"/>
    <w:pPr>
      <w:tabs>
        <w:tab w:val="num" w:pos="0"/>
      </w:tabs>
      <w:spacing w:before="240" w:after="60" w:line="240" w:lineRule="auto"/>
      <w:jc w:val="both"/>
      <w:outlineLvl w:val="7"/>
    </w:pPr>
    <w:rPr>
      <w:rFonts w:eastAsia="Times New Roman"/>
      <w:i/>
    </w:rPr>
  </w:style>
  <w:style w:type="paragraph" w:styleId="Heading9">
    <w:name w:val="heading 9"/>
    <w:basedOn w:val="Normal"/>
    <w:next w:val="Normal"/>
    <w:link w:val="Heading9Char"/>
    <w:pPr>
      <w:tabs>
        <w:tab w:val="num" w:pos="0"/>
      </w:tabs>
      <w:spacing w:before="240" w:after="60" w:line="240" w:lineRule="auto"/>
      <w:jc w:val="both"/>
      <w:outlineLvl w:val="8"/>
    </w:pPr>
    <w:rPr>
      <w:rFonts w:eastAsia="Times New Roman"/>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Pr>
      <w:rFonts w:eastAsia="MS Mincho"/>
      <w:u w:val="single"/>
      <w:lang w:eastAsia="ja-JP"/>
    </w:rPr>
  </w:style>
  <w:style w:type="character" w:customStyle="1" w:styleId="NoSpacingChar">
    <w:name w:val="No Spacing Char"/>
    <w:link w:val="NoSpacing"/>
    <w:uiPriority w:val="1"/>
    <w:rPr>
      <w:rFonts w:eastAsia="MS Mincho"/>
      <w:lang w:val="bg-BG" w:eastAsia="ja-JP"/>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1Char">
    <w:name w:val="Heading 1 Char"/>
    <w:link w:val="Heading1"/>
    <w:rPr>
      <w:rFonts w:ascii="Times New Roman" w:eastAsia="Times New Roman" w:hAnsi="Times New Roman" w:cs="Times New Roman"/>
      <w:b/>
      <w:smallCaps/>
      <w:sz w:val="24"/>
      <w:szCs w:val="20"/>
    </w:rPr>
  </w:style>
  <w:style w:type="character" w:customStyle="1" w:styleId="Heading2Char">
    <w:name w:val="Heading 2 Char"/>
    <w:link w:val="Heading2"/>
    <w:rPr>
      <w:rFonts w:ascii="Times New Roman" w:eastAsia="Times New Roman" w:hAnsi="Times New Roman" w:cs="Times New Roman"/>
      <w:b/>
      <w:sz w:val="24"/>
      <w:szCs w:val="20"/>
    </w:rPr>
  </w:style>
  <w:style w:type="character" w:customStyle="1" w:styleId="Heading3Char">
    <w:name w:val="Heading 3 Char"/>
    <w:link w:val="Heading3"/>
    <w:rPr>
      <w:rFonts w:ascii="Times New Roman" w:eastAsia="Times New Roman" w:hAnsi="Times New Roman" w:cs="Times New Roman"/>
      <w:i/>
      <w:sz w:val="24"/>
      <w:szCs w:val="20"/>
    </w:rPr>
  </w:style>
  <w:style w:type="character" w:customStyle="1" w:styleId="Heading4Char">
    <w:name w:val="Heading 4 Char"/>
    <w:link w:val="Heading4"/>
    <w:rPr>
      <w:rFonts w:ascii="Times New Roman" w:eastAsia="Times New Roman" w:hAnsi="Times New Roman" w:cs="Times New Roman"/>
      <w:sz w:val="24"/>
      <w:szCs w:val="20"/>
    </w:rPr>
  </w:style>
  <w:style w:type="character" w:customStyle="1" w:styleId="Heading5Char">
    <w:name w:val="Heading 5 Char"/>
    <w:link w:val="Heading5"/>
    <w:rPr>
      <w:rFonts w:ascii="Arial" w:eastAsia="Times New Roman" w:hAnsi="Arial" w:cs="Times New Roman"/>
      <w:szCs w:val="20"/>
    </w:rPr>
  </w:style>
  <w:style w:type="character" w:customStyle="1" w:styleId="Heading6Char">
    <w:name w:val="Heading 6 Char"/>
    <w:link w:val="Heading6"/>
    <w:rPr>
      <w:rFonts w:ascii="Arial" w:eastAsia="Times New Roman" w:hAnsi="Arial" w:cs="Times New Roman"/>
      <w:i/>
      <w:szCs w:val="20"/>
    </w:rPr>
  </w:style>
  <w:style w:type="character" w:customStyle="1" w:styleId="Heading7Char">
    <w:name w:val="Heading 7 Char"/>
    <w:link w:val="Heading7"/>
    <w:rPr>
      <w:rFonts w:ascii="Arial" w:eastAsia="Times New Roman" w:hAnsi="Arial" w:cs="Times New Roman"/>
      <w:sz w:val="20"/>
      <w:szCs w:val="20"/>
    </w:rPr>
  </w:style>
  <w:style w:type="character" w:customStyle="1" w:styleId="Heading8Char">
    <w:name w:val="Heading 8 Char"/>
    <w:link w:val="Heading8"/>
    <w:rPr>
      <w:rFonts w:ascii="Arial" w:eastAsia="Times New Roman" w:hAnsi="Arial" w:cs="Times New Roman"/>
      <w:i/>
      <w:sz w:val="20"/>
      <w:szCs w:val="20"/>
    </w:rPr>
  </w:style>
  <w:style w:type="character" w:customStyle="1" w:styleId="Heading9Char">
    <w:name w:val="Heading 9 Char"/>
    <w:link w:val="Heading9"/>
    <w:rPr>
      <w:rFonts w:ascii="Arial" w:eastAsia="Times New Roman" w:hAnsi="Arial" w:cs="Times New Roman"/>
      <w:i/>
      <w:sz w:val="18"/>
      <w:szCs w:val="20"/>
    </w:rPr>
  </w:style>
  <w:style w:type="paragraph" w:customStyle="1" w:styleId="Text1">
    <w:name w:val="Text 1"/>
    <w:basedOn w:val="Normal"/>
    <w:pPr>
      <w:spacing w:after="240" w:line="240" w:lineRule="auto"/>
      <w:ind w:left="482"/>
      <w:jc w:val="both"/>
    </w:pPr>
    <w:rPr>
      <w:rFonts w:ascii="Times New Roman" w:eastAsia="Times New Roman" w:hAnsi="Times New Roman"/>
      <w:sz w:val="24"/>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sz w:val="24"/>
    </w:rPr>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sz w:val="24"/>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sz w:val="24"/>
    </w:rPr>
  </w:style>
  <w:style w:type="paragraph" w:customStyle="1" w:styleId="Address">
    <w:name w:val="Address"/>
    <w:basedOn w:val="Normal"/>
    <w:pPr>
      <w:spacing w:after="0" w:line="240" w:lineRule="auto"/>
    </w:pPr>
    <w:rPr>
      <w:rFonts w:ascii="Times New Roman" w:eastAsia="Times New Roman" w:hAnsi="Times New Roman"/>
      <w:sz w:val="24"/>
    </w:rPr>
  </w:style>
  <w:style w:type="paragraph" w:customStyle="1" w:styleId="AddressTL">
    <w:name w:val="AddressTL"/>
    <w:basedOn w:val="Normal"/>
    <w:next w:val="Normal"/>
    <w:pPr>
      <w:spacing w:after="720" w:line="240" w:lineRule="auto"/>
    </w:pPr>
    <w:rPr>
      <w:rFonts w:ascii="Times New Roman" w:eastAsia="Times New Roman" w:hAnsi="Times New Roman"/>
      <w:sz w:val="24"/>
    </w:rPr>
  </w:style>
  <w:style w:type="paragraph" w:customStyle="1" w:styleId="AddressTR">
    <w:name w:val="AddressTR"/>
    <w:basedOn w:val="Normal"/>
    <w:next w:val="Normal"/>
    <w:pPr>
      <w:spacing w:after="720" w:line="240" w:lineRule="auto"/>
      <w:ind w:left="5103"/>
    </w:pPr>
    <w:rPr>
      <w:rFonts w:ascii="Times New Roman" w:eastAsia="Times New Roman" w:hAnsi="Times New Roman"/>
      <w:sz w:val="24"/>
    </w:rPr>
  </w:style>
  <w:style w:type="paragraph" w:styleId="BlockText">
    <w:name w:val="Block Text"/>
    <w:basedOn w:val="Normal"/>
    <w:pPr>
      <w:spacing w:after="120" w:line="240" w:lineRule="auto"/>
      <w:ind w:left="1440" w:right="1440"/>
      <w:jc w:val="both"/>
    </w:pPr>
    <w:rPr>
      <w:rFonts w:ascii="Times New Roman" w:eastAsia="Times New Roman" w:hAnsi="Times New Roman"/>
      <w:sz w:val="24"/>
    </w:rPr>
  </w:style>
  <w:style w:type="paragraph" w:styleId="BodyText">
    <w:name w:val="Body Text"/>
    <w:basedOn w:val="Normal"/>
    <w:link w:val="BodyTextChar"/>
    <w:pPr>
      <w:spacing w:after="120" w:line="240" w:lineRule="auto"/>
      <w:jc w:val="both"/>
    </w:pPr>
    <w:rPr>
      <w:rFonts w:ascii="Times New Roman" w:eastAsia="Times New Roman" w:hAnsi="Times New Roman"/>
      <w:sz w:val="24"/>
    </w:rPr>
  </w:style>
  <w:style w:type="character" w:customStyle="1" w:styleId="BodyTextChar">
    <w:name w:val="Body Text Char"/>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sz w:val="24"/>
    </w:rPr>
  </w:style>
  <w:style w:type="character" w:customStyle="1" w:styleId="BodyText2Char">
    <w:name w:val="Body Text 2 Char"/>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sz w:val="16"/>
    </w:rPr>
  </w:style>
  <w:style w:type="character" w:customStyle="1" w:styleId="BodyText3Char">
    <w:name w:val="Body Text 3 Char"/>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sz w:val="24"/>
    </w:rPr>
  </w:style>
  <w:style w:type="character" w:customStyle="1" w:styleId="BodyTextIndentChar">
    <w:name w:val="Body Text Indent Char"/>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sz w:val="24"/>
    </w:rPr>
  </w:style>
  <w:style w:type="character" w:customStyle="1" w:styleId="BodyTextIndent2Char">
    <w:name w:val="Body Text Indent 2 Char"/>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rPr>
  </w:style>
  <w:style w:type="character" w:customStyle="1" w:styleId="BodyTextIndent3Char">
    <w:name w:val="Body Text Indent 3 Char"/>
    <w:link w:val="BodyTextIndent3"/>
    <w:rPr>
      <w:rFonts w:ascii="Times New Roman" w:eastAsia="Times New Roman" w:hAnsi="Times New Roman" w:cs="Times New Roman"/>
      <w:sz w:val="16"/>
      <w:szCs w:val="20"/>
    </w:rPr>
  </w:style>
  <w:style w:type="paragraph" w:styleId="Caption">
    <w:name w:val="caption"/>
    <w:basedOn w:val="Normal"/>
    <w:next w:val="Normal"/>
    <w:pPr>
      <w:spacing w:before="120" w:after="120" w:line="240" w:lineRule="auto"/>
      <w:jc w:val="both"/>
    </w:pPr>
    <w:rPr>
      <w:rFonts w:ascii="Times New Roman" w:eastAsia="Times New Roman" w:hAnsi="Times New Roman"/>
      <w:b/>
      <w:sz w:val="24"/>
    </w:rPr>
  </w:style>
  <w:style w:type="paragraph" w:customStyle="1" w:styleId="ChapterTitle">
    <w:name w:val="ChapterTitle"/>
    <w:basedOn w:val="Normal"/>
    <w:next w:val="SectionTitle"/>
    <w:pPr>
      <w:keepNext/>
      <w:spacing w:after="480" w:line="240" w:lineRule="auto"/>
      <w:jc w:val="center"/>
    </w:pPr>
    <w:rPr>
      <w:rFonts w:ascii="Times New Roman" w:eastAsia="Times New Roman" w:hAnsi="Times New Roman"/>
      <w:b/>
      <w:sz w:val="32"/>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b/>
      <w:smallCaps/>
      <w:sz w:val="28"/>
    </w:rPr>
  </w:style>
  <w:style w:type="paragraph" w:styleId="Closing">
    <w:name w:val="Closing"/>
    <w:basedOn w:val="Normal"/>
    <w:link w:val="ClosingChar"/>
    <w:pPr>
      <w:spacing w:after="240" w:line="240" w:lineRule="auto"/>
      <w:ind w:left="4252"/>
      <w:jc w:val="both"/>
    </w:pPr>
    <w:rPr>
      <w:rFonts w:ascii="Times New Roman" w:eastAsia="Times New Roman" w:hAnsi="Times New Roman"/>
      <w:sz w:val="24"/>
    </w:rPr>
  </w:style>
  <w:style w:type="character" w:customStyle="1" w:styleId="ClosingChar">
    <w:name w:val="Closing Char"/>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pPr>
      <w:spacing w:after="240" w:line="240" w:lineRule="auto"/>
      <w:jc w:val="both"/>
    </w:pPr>
    <w:rPr>
      <w:rFonts w:ascii="Times New Roman" w:eastAsia="Times New Roman" w:hAnsi="Times New Roman"/>
    </w:rPr>
  </w:style>
  <w:style w:type="character" w:customStyle="1" w:styleId="CommentTextChar">
    <w:name w:val="Comment Text Char"/>
    <w:link w:val="CommentText"/>
    <w:uiPriority w:val="99"/>
    <w:semiHidden/>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sz w:val="24"/>
    </w:rPr>
  </w:style>
  <w:style w:type="character" w:customStyle="1" w:styleId="DateChar">
    <w:name w:val="Date Char"/>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sz w:val="24"/>
    </w:rPr>
  </w:style>
  <w:style w:type="character" w:customStyle="1" w:styleId="DocumentMapChar">
    <w:name w:val="Document Map Char"/>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sz w:val="24"/>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sz w:val="24"/>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rPr>
  </w:style>
  <w:style w:type="character" w:customStyle="1" w:styleId="EndnoteTextChar">
    <w:name w:val="Endnote Text Char"/>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sz w:val="24"/>
    </w:rPr>
  </w:style>
  <w:style w:type="paragraph" w:styleId="EnvelopeReturn">
    <w:name w:val="envelope return"/>
    <w:basedOn w:val="Normal"/>
    <w:pPr>
      <w:spacing w:after="0" w:line="240" w:lineRule="auto"/>
      <w:jc w:val="both"/>
    </w:pPr>
    <w:rPr>
      <w:rFonts w:ascii="Times New Roman" w:eastAsia="Times New Roman" w:hAnsi="Times New Roman"/>
    </w:rPr>
  </w:style>
  <w:style w:type="paragraph" w:styleId="Footer">
    <w:name w:val="footer"/>
    <w:basedOn w:val="Normal"/>
    <w:link w:val="FooterChar"/>
    <w:uiPriority w:val="99"/>
    <w:pPr>
      <w:spacing w:after="0" w:line="240" w:lineRule="auto"/>
      <w:ind w:right="-567"/>
    </w:pPr>
    <w:rPr>
      <w:rFonts w:eastAsia="Times New Roman"/>
      <w:sz w:val="16"/>
    </w:rPr>
  </w:style>
  <w:style w:type="character" w:customStyle="1" w:styleId="FooterChar">
    <w:name w:val="Footer Char"/>
    <w:link w:val="Footer"/>
    <w:uiPriority w:val="99"/>
    <w:rPr>
      <w:rFonts w:ascii="Arial" w:eastAsia="Times New Roman" w:hAnsi="Arial" w:cs="Times New Roman"/>
      <w:sz w:val="16"/>
      <w:szCs w:val="20"/>
    </w:rPr>
  </w:style>
  <w:style w:type="paragraph" w:styleId="FootnoteText">
    <w:name w:val="footnote text"/>
    <w:basedOn w:val="Normal"/>
    <w:link w:val="FootnoteTextChar"/>
    <w:uiPriority w:val="99"/>
    <w:qFormat/>
    <w:pPr>
      <w:spacing w:after="0" w:line="240" w:lineRule="auto"/>
      <w:ind w:left="357" w:hanging="357"/>
      <w:jc w:val="both"/>
    </w:pPr>
    <w:rPr>
      <w:rFonts w:eastAsia="Times New Roman" w:cs="Arial"/>
      <w:sz w:val="18"/>
      <w:szCs w:val="18"/>
    </w:rPr>
  </w:style>
  <w:style w:type="character" w:customStyle="1" w:styleId="FootnoteTextChar">
    <w:name w:val="Footnote Text Char"/>
    <w:link w:val="FootnoteText"/>
    <w:uiPriority w:val="99"/>
    <w:rPr>
      <w:rFonts w:ascii="Arial" w:eastAsia="Times New Roman" w:hAnsi="Arial" w:cs="Arial"/>
      <w:sz w:val="18"/>
      <w:szCs w:val="18"/>
    </w:rPr>
  </w:style>
  <w:style w:type="paragraph" w:styleId="Header">
    <w:name w:val="header"/>
    <w:basedOn w:val="Normal"/>
    <w:link w:val="HeaderChar"/>
    <w:uiPriority w:val="99"/>
    <w:pPr>
      <w:tabs>
        <w:tab w:val="center" w:pos="4153"/>
        <w:tab w:val="right" w:pos="8306"/>
      </w:tabs>
      <w:spacing w:after="240" w:line="240" w:lineRule="auto"/>
      <w:jc w:val="both"/>
    </w:pPr>
    <w:rPr>
      <w:rFonts w:ascii="Times New Roman" w:eastAsia="Times New Roman" w:hAnsi="Times New Roman"/>
      <w:sz w:val="24"/>
    </w:r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sz w:val="24"/>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sz w:val="24"/>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sz w:val="24"/>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sz w:val="24"/>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sz w:val="24"/>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sz w:val="24"/>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sz w:val="24"/>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sz w:val="24"/>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sz w:val="24"/>
    </w:rPr>
  </w:style>
  <w:style w:type="paragraph" w:styleId="IndexHeading">
    <w:name w:val="index heading"/>
    <w:basedOn w:val="Normal"/>
    <w:next w:val="Index1"/>
    <w:semiHidden/>
    <w:pPr>
      <w:spacing w:after="240" w:line="240" w:lineRule="auto"/>
      <w:jc w:val="both"/>
    </w:pPr>
    <w:rPr>
      <w:rFonts w:eastAsia="Times New Roman"/>
      <w:b/>
      <w:sz w:val="24"/>
    </w:rPr>
  </w:style>
  <w:style w:type="paragraph" w:styleId="List">
    <w:name w:val="List"/>
    <w:basedOn w:val="Normal"/>
    <w:pPr>
      <w:spacing w:after="240" w:line="240" w:lineRule="auto"/>
      <w:ind w:left="283" w:hanging="283"/>
      <w:jc w:val="both"/>
    </w:pPr>
    <w:rPr>
      <w:rFonts w:ascii="Times New Roman" w:eastAsia="Times New Roman" w:hAnsi="Times New Roman"/>
      <w:sz w:val="24"/>
    </w:rPr>
  </w:style>
  <w:style w:type="paragraph" w:styleId="List2">
    <w:name w:val="List 2"/>
    <w:basedOn w:val="Normal"/>
    <w:pPr>
      <w:spacing w:after="240" w:line="240" w:lineRule="auto"/>
      <w:ind w:left="566" w:hanging="283"/>
      <w:jc w:val="both"/>
    </w:pPr>
    <w:rPr>
      <w:rFonts w:ascii="Times New Roman" w:eastAsia="Times New Roman" w:hAnsi="Times New Roman"/>
      <w:sz w:val="24"/>
    </w:rPr>
  </w:style>
  <w:style w:type="paragraph" w:styleId="List3">
    <w:name w:val="List 3"/>
    <w:basedOn w:val="Normal"/>
    <w:pPr>
      <w:spacing w:after="240" w:line="240" w:lineRule="auto"/>
      <w:ind w:left="849" w:hanging="283"/>
      <w:jc w:val="both"/>
    </w:pPr>
    <w:rPr>
      <w:rFonts w:ascii="Times New Roman" w:eastAsia="Times New Roman" w:hAnsi="Times New Roman"/>
      <w:sz w:val="24"/>
    </w:rPr>
  </w:style>
  <w:style w:type="paragraph" w:styleId="List4">
    <w:name w:val="List 4"/>
    <w:basedOn w:val="Normal"/>
    <w:pPr>
      <w:spacing w:after="240" w:line="240" w:lineRule="auto"/>
      <w:ind w:left="1132" w:hanging="283"/>
      <w:jc w:val="both"/>
    </w:pPr>
    <w:rPr>
      <w:rFonts w:ascii="Times New Roman" w:eastAsia="Times New Roman" w:hAnsi="Times New Roman"/>
      <w:sz w:val="24"/>
    </w:rPr>
  </w:style>
  <w:style w:type="paragraph" w:styleId="List5">
    <w:name w:val="List 5"/>
    <w:basedOn w:val="Normal"/>
    <w:pPr>
      <w:spacing w:after="240" w:line="240" w:lineRule="auto"/>
      <w:ind w:left="1415" w:hanging="283"/>
      <w:jc w:val="both"/>
    </w:pPr>
    <w:rPr>
      <w:rFonts w:ascii="Times New Roman" w:eastAsia="Times New Roman" w:hAnsi="Times New Roman"/>
      <w:sz w:val="24"/>
    </w:rPr>
  </w:style>
  <w:style w:type="paragraph" w:styleId="ListBullet">
    <w:name w:val="List Bullet"/>
    <w:basedOn w:val="Normal"/>
    <w:pPr>
      <w:numPr>
        <w:numId w:val="4"/>
      </w:numPr>
      <w:spacing w:after="240" w:line="240" w:lineRule="auto"/>
      <w:jc w:val="both"/>
    </w:pPr>
    <w:rPr>
      <w:rFonts w:ascii="Times New Roman" w:eastAsia="Times New Roman" w:hAnsi="Times New Roman"/>
      <w:sz w:val="24"/>
    </w:r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spacing w:after="240" w:line="240" w:lineRule="auto"/>
      <w:jc w:val="both"/>
    </w:pPr>
    <w:rPr>
      <w:rFonts w:ascii="Times New Roman" w:eastAsia="Times New Roman" w:hAnsi="Times New Roman"/>
      <w:sz w:val="24"/>
    </w:rPr>
  </w:style>
  <w:style w:type="paragraph" w:styleId="ListContinue">
    <w:name w:val="List Continue"/>
    <w:basedOn w:val="Normal"/>
    <w:pPr>
      <w:spacing w:after="120" w:line="240" w:lineRule="auto"/>
      <w:ind w:left="283"/>
      <w:jc w:val="both"/>
    </w:pPr>
    <w:rPr>
      <w:rFonts w:ascii="Times New Roman" w:eastAsia="Times New Roman" w:hAnsi="Times New Roman"/>
      <w:sz w:val="24"/>
    </w:rPr>
  </w:style>
  <w:style w:type="paragraph" w:styleId="ListContinue2">
    <w:name w:val="List Continue 2"/>
    <w:basedOn w:val="Normal"/>
    <w:pPr>
      <w:spacing w:after="120" w:line="240" w:lineRule="auto"/>
      <w:ind w:left="566"/>
      <w:jc w:val="both"/>
    </w:pPr>
    <w:rPr>
      <w:rFonts w:ascii="Times New Roman" w:eastAsia="Times New Roman" w:hAnsi="Times New Roman"/>
      <w:sz w:val="24"/>
    </w:rPr>
  </w:style>
  <w:style w:type="paragraph" w:styleId="ListContinue3">
    <w:name w:val="List Continue 3"/>
    <w:basedOn w:val="Normal"/>
    <w:pPr>
      <w:spacing w:after="120" w:line="240" w:lineRule="auto"/>
      <w:ind w:left="849"/>
      <w:jc w:val="both"/>
    </w:pPr>
    <w:rPr>
      <w:rFonts w:ascii="Times New Roman" w:eastAsia="Times New Roman" w:hAnsi="Times New Roman"/>
      <w:sz w:val="24"/>
    </w:rPr>
  </w:style>
  <w:style w:type="paragraph" w:styleId="ListContinue4">
    <w:name w:val="List Continue 4"/>
    <w:basedOn w:val="Normal"/>
    <w:pPr>
      <w:spacing w:after="120" w:line="240" w:lineRule="auto"/>
      <w:ind w:left="1132"/>
      <w:jc w:val="both"/>
    </w:pPr>
    <w:rPr>
      <w:rFonts w:ascii="Times New Roman" w:eastAsia="Times New Roman" w:hAnsi="Times New Roman"/>
      <w:sz w:val="24"/>
    </w:rPr>
  </w:style>
  <w:style w:type="paragraph" w:styleId="ListContinue5">
    <w:name w:val="List Continue 5"/>
    <w:basedOn w:val="Normal"/>
    <w:pPr>
      <w:spacing w:after="120" w:line="240" w:lineRule="auto"/>
      <w:ind w:left="1415"/>
      <w:jc w:val="both"/>
    </w:pPr>
    <w:rPr>
      <w:rFonts w:ascii="Times New Roman" w:eastAsia="Times New Roman" w:hAnsi="Times New Roman"/>
      <w:sz w:val="24"/>
    </w:rPr>
  </w:style>
  <w:style w:type="paragraph" w:styleId="ListNumber">
    <w:name w:val="List Number"/>
    <w:basedOn w:val="Normal"/>
    <w:pPr>
      <w:numPr>
        <w:numId w:val="14"/>
      </w:numPr>
      <w:spacing w:after="240" w:line="240" w:lineRule="auto"/>
      <w:jc w:val="both"/>
    </w:pPr>
    <w:rPr>
      <w:rFonts w:ascii="Times New Roman" w:eastAsia="Times New Roman" w:hAnsi="Times New Roman"/>
      <w:sz w:val="24"/>
    </w:r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spacing w:after="240" w:line="240" w:lineRule="auto"/>
      <w:jc w:val="both"/>
    </w:pPr>
    <w:rPr>
      <w:rFonts w:ascii="Times New Roman" w:eastAsia="Times New Roman" w:hAnsi="Times New Roman"/>
      <w:sz w:val="24"/>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u w:val="single"/>
      <w:lang w:eastAsia="en-US"/>
    </w:rPr>
  </w:style>
  <w:style w:type="character" w:customStyle="1" w:styleId="MacroTextChar">
    <w:name w:val="Macro Text Char"/>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eastAsia="Times New Roman"/>
      <w:sz w:val="24"/>
    </w:rPr>
  </w:style>
  <w:style w:type="character" w:customStyle="1" w:styleId="MessageHeaderChar">
    <w:name w:val="Message Header Char"/>
    <w:link w:val="MessageHeader"/>
    <w:rPr>
      <w:rFonts w:ascii="Arial" w:eastAsia="Times New Roman" w:hAnsi="Arial" w:cs="Times New Roman"/>
      <w:sz w:val="24"/>
      <w:szCs w:val="20"/>
      <w:shd w:val="pct20" w:color="auto" w:fill="auto"/>
    </w:rPr>
  </w:style>
  <w:style w:type="paragraph" w:styleId="NormalIndent">
    <w:name w:val="Normal Indent"/>
    <w:basedOn w:val="Normal"/>
    <w:link w:val="NormalIndentChar"/>
    <w:pPr>
      <w:spacing w:after="240" w:line="240" w:lineRule="auto"/>
      <w:ind w:left="720"/>
      <w:jc w:val="both"/>
    </w:pPr>
    <w:rPr>
      <w:rFonts w:ascii="Times New Roman" w:eastAsia="Times New Roman" w:hAnsi="Times New Roman"/>
      <w:sz w:val="24"/>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sz w:val="24"/>
    </w:rPr>
  </w:style>
  <w:style w:type="character" w:customStyle="1" w:styleId="NoteHeadingChar">
    <w:name w:val="Note Heading Char"/>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b/>
      <w:smallCaps/>
      <w:sz w:val="24"/>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b/>
      <w:sz w:val="24"/>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b/>
      <w:smallCaps/>
      <w:sz w:val="24"/>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line="240" w:lineRule="auto"/>
      <w:jc w:val="center"/>
    </w:pPr>
    <w:rPr>
      <w:rFonts w:ascii="Times New Roman" w:eastAsia="Times New Roman" w:hAnsi="Times New Roman"/>
      <w:b/>
      <w:sz w:val="36"/>
    </w:rPr>
  </w:style>
  <w:style w:type="paragraph" w:styleId="PlainText">
    <w:name w:val="Plain Text"/>
    <w:basedOn w:val="Normal"/>
    <w:link w:val="PlainTextChar"/>
    <w:pPr>
      <w:spacing w:after="240" w:line="240" w:lineRule="auto"/>
      <w:jc w:val="both"/>
    </w:pPr>
    <w:rPr>
      <w:rFonts w:ascii="Courier New" w:eastAsia="Times New Roman" w:hAnsi="Courier New"/>
    </w:rPr>
  </w:style>
  <w:style w:type="character" w:customStyle="1" w:styleId="PlainTextChar">
    <w:name w:val="Plain Text Char"/>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sz w:val="24"/>
    </w:rPr>
  </w:style>
  <w:style w:type="character" w:customStyle="1" w:styleId="SalutationChar">
    <w:name w:val="Salutation Char"/>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sz w:val="24"/>
    </w:rPr>
  </w:style>
  <w:style w:type="character" w:customStyle="1" w:styleId="SignatureChar">
    <w:name w:val="Signature Char"/>
    <w:link w:val="Signature"/>
    <w:rPr>
      <w:rFonts w:ascii="Times New Roman" w:eastAsia="Times New Roman" w:hAnsi="Times New Roman" w:cs="Times New Roman"/>
      <w:sz w:val="24"/>
      <w:szCs w:val="20"/>
    </w:rPr>
  </w:style>
  <w:style w:type="paragraph" w:styleId="Subtitle">
    <w:name w:val="Subtitle"/>
    <w:basedOn w:val="Normal"/>
    <w:link w:val="SubtitleChar"/>
    <w:pPr>
      <w:spacing w:after="60" w:line="240" w:lineRule="auto"/>
      <w:jc w:val="center"/>
      <w:outlineLvl w:val="1"/>
    </w:pPr>
    <w:rPr>
      <w:rFonts w:eastAsia="Times New Roman"/>
      <w:sz w:val="24"/>
    </w:rPr>
  </w:style>
  <w:style w:type="character" w:customStyle="1" w:styleId="SubtitleChar">
    <w:name w:val="Subtitle Char"/>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b/>
      <w:sz w:val="40"/>
    </w:rPr>
  </w:style>
  <w:style w:type="paragraph" w:customStyle="1" w:styleId="SubTitle2">
    <w:name w:val="SubTitle 2"/>
    <w:basedOn w:val="Normal"/>
    <w:pPr>
      <w:spacing w:after="240" w:line="240" w:lineRule="auto"/>
      <w:jc w:val="center"/>
    </w:pPr>
    <w:rPr>
      <w:rFonts w:ascii="Times New Roman" w:eastAsia="Times New Roman" w:hAnsi="Times New Roman"/>
      <w:b/>
      <w:sz w:val="32"/>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sz w:val="24"/>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sz w:val="24"/>
    </w:rPr>
  </w:style>
  <w:style w:type="paragraph" w:styleId="Title">
    <w:name w:val="Title"/>
    <w:basedOn w:val="Normal"/>
    <w:next w:val="SubTitle1"/>
    <w:link w:val="TitleChar"/>
    <w:pPr>
      <w:spacing w:after="480" w:line="240" w:lineRule="auto"/>
      <w:jc w:val="center"/>
    </w:pPr>
    <w:rPr>
      <w:rFonts w:ascii="Times New Roman" w:eastAsia="Times New Roman" w:hAnsi="Times New Roman"/>
      <w:b/>
      <w:kern w:val="28"/>
      <w:sz w:val="48"/>
    </w:rPr>
  </w:style>
  <w:style w:type="character" w:customStyle="1" w:styleId="TitleChar">
    <w:name w:val="Title Char"/>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after="240" w:line="240" w:lineRule="auto"/>
      <w:jc w:val="both"/>
    </w:pPr>
    <w:rPr>
      <w:rFonts w:eastAsia="Times New Roman"/>
      <w:b/>
      <w:sz w:val="24"/>
    </w:rPr>
  </w:style>
  <w:style w:type="paragraph" w:styleId="TOC1">
    <w:name w:val="toc 1"/>
    <w:basedOn w:val="Normal"/>
    <w:next w:val="Normal"/>
    <w:autoRedefine/>
    <w:uiPriority w:val="39"/>
    <w:qFormat/>
    <w:pPr>
      <w:spacing w:before="240" w:after="120" w:line="240" w:lineRule="auto"/>
    </w:pPr>
    <w:rPr>
      <w:rFonts w:eastAsia="Times New Roman"/>
      <w:b/>
      <w:bCs/>
    </w:rPr>
  </w:style>
  <w:style w:type="paragraph" w:styleId="TOC2">
    <w:name w:val="toc 2"/>
    <w:basedOn w:val="Normal"/>
    <w:next w:val="Normal"/>
    <w:autoRedefine/>
    <w:uiPriority w:val="39"/>
    <w:qFormat/>
    <w:pPr>
      <w:tabs>
        <w:tab w:val="left" w:pos="720"/>
        <w:tab w:val="right" w:leader="dot" w:pos="8873"/>
      </w:tabs>
      <w:spacing w:before="120" w:after="0" w:line="240" w:lineRule="auto"/>
      <w:ind w:left="720" w:hanging="480"/>
    </w:pPr>
    <w:rPr>
      <w:rFonts w:eastAsia="Times New Roman" w:cs="Arial"/>
      <w:bCs/>
      <w:iCs/>
      <w:noProof/>
    </w:rPr>
  </w:style>
  <w:style w:type="paragraph" w:styleId="TOC3">
    <w:name w:val="toc 3"/>
    <w:basedOn w:val="Normal"/>
    <w:next w:val="Normal"/>
    <w:uiPriority w:val="39"/>
    <w:pPr>
      <w:spacing w:after="0" w:line="240" w:lineRule="auto"/>
      <w:ind w:left="480"/>
    </w:pPr>
    <w:rPr>
      <w:rFonts w:ascii="Calibri" w:eastAsia="Times New Roman" w:hAnsi="Calibri"/>
    </w:rPr>
  </w:style>
  <w:style w:type="paragraph" w:styleId="TOC4">
    <w:name w:val="toc 4"/>
    <w:basedOn w:val="Normal"/>
    <w:next w:val="Normal"/>
    <w:semiHidden/>
    <w:pPr>
      <w:spacing w:after="0" w:line="240" w:lineRule="auto"/>
      <w:ind w:left="720"/>
    </w:pPr>
    <w:rPr>
      <w:rFonts w:ascii="Calibri" w:eastAsia="Times New Roman" w:hAnsi="Calibri"/>
    </w:rPr>
  </w:style>
  <w:style w:type="paragraph" w:styleId="TOC5">
    <w:name w:val="toc 5"/>
    <w:basedOn w:val="Normal"/>
    <w:next w:val="Normal"/>
    <w:semiHidden/>
    <w:pPr>
      <w:spacing w:after="0" w:line="240" w:lineRule="auto"/>
      <w:ind w:left="960"/>
    </w:pPr>
    <w:rPr>
      <w:rFonts w:ascii="Calibri" w:eastAsia="Times New Roman" w:hAnsi="Calibri"/>
    </w:rPr>
  </w:style>
  <w:style w:type="paragraph" w:styleId="TOC6">
    <w:name w:val="toc 6"/>
    <w:basedOn w:val="Normal"/>
    <w:next w:val="Normal"/>
    <w:autoRedefine/>
    <w:semiHidden/>
    <w:pPr>
      <w:spacing w:after="0" w:line="240" w:lineRule="auto"/>
      <w:ind w:left="1200"/>
    </w:pPr>
    <w:rPr>
      <w:rFonts w:ascii="Calibri" w:eastAsia="Times New Roman" w:hAnsi="Calibri"/>
    </w:rPr>
  </w:style>
  <w:style w:type="paragraph" w:styleId="TOC7">
    <w:name w:val="toc 7"/>
    <w:basedOn w:val="Normal"/>
    <w:next w:val="Normal"/>
    <w:autoRedefine/>
    <w:semiHidden/>
    <w:pPr>
      <w:spacing w:after="0" w:line="240" w:lineRule="auto"/>
      <w:ind w:left="1440"/>
    </w:pPr>
    <w:rPr>
      <w:rFonts w:ascii="Calibri" w:eastAsia="Times New Roman" w:hAnsi="Calibri"/>
    </w:rPr>
  </w:style>
  <w:style w:type="paragraph" w:styleId="TOC8">
    <w:name w:val="toc 8"/>
    <w:basedOn w:val="Normal"/>
    <w:next w:val="Normal"/>
    <w:autoRedefine/>
    <w:semiHidden/>
    <w:pPr>
      <w:spacing w:after="0" w:line="240" w:lineRule="auto"/>
      <w:ind w:left="1680"/>
    </w:pPr>
    <w:rPr>
      <w:rFonts w:ascii="Calibri" w:eastAsia="Times New Roman" w:hAnsi="Calibri"/>
    </w:rPr>
  </w:style>
  <w:style w:type="paragraph" w:styleId="TOC9">
    <w:name w:val="toc 9"/>
    <w:basedOn w:val="Normal"/>
    <w:next w:val="Normal"/>
    <w:autoRedefine/>
    <w:semiHidden/>
    <w:pPr>
      <w:spacing w:after="0" w:line="240" w:lineRule="auto"/>
      <w:ind w:left="1920"/>
    </w:pPr>
    <w:rPr>
      <w:rFonts w:ascii="Calibri" w:eastAsia="Times New Roman" w:hAnsi="Calibri"/>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sz w:val="24"/>
    </w:rPr>
  </w:style>
  <w:style w:type="paragraph" w:customStyle="1" w:styleId="ListBullet1">
    <w:name w:val="List Bullet 1"/>
    <w:basedOn w:val="Text1"/>
    <w:pPr>
      <w:numPr>
        <w:numId w:val="5"/>
      </w:numPr>
    </w:pPr>
  </w:style>
  <w:style w:type="paragraph" w:customStyle="1" w:styleId="ListDash">
    <w:name w:val="List Dash"/>
    <w:basedOn w:val="Normal"/>
    <w:pPr>
      <w:numPr>
        <w:numId w:val="9"/>
      </w:numPr>
      <w:spacing w:after="240" w:line="240" w:lineRule="auto"/>
      <w:jc w:val="both"/>
    </w:pPr>
    <w:rPr>
      <w:rFonts w:ascii="Times New Roman" w:eastAsia="Times New Roman" w:hAnsi="Times New Roman"/>
      <w:sz w:val="24"/>
    </w:r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spacing w:after="240" w:line="240" w:lineRule="auto"/>
      <w:jc w:val="both"/>
    </w:pPr>
    <w:rPr>
      <w:rFonts w:ascii="Times New Roman" w:eastAsia="Times New Roman" w:hAnsi="Times New Roman"/>
      <w:sz w:val="24"/>
    </w:rPr>
  </w:style>
  <w:style w:type="paragraph" w:customStyle="1" w:styleId="ListNumberLevel3">
    <w:name w:val="List Number (Level 3)"/>
    <w:basedOn w:val="Normal"/>
    <w:pPr>
      <w:numPr>
        <w:ilvl w:val="2"/>
        <w:numId w:val="14"/>
      </w:numPr>
      <w:spacing w:after="240" w:line="240" w:lineRule="auto"/>
      <w:jc w:val="both"/>
    </w:pPr>
    <w:rPr>
      <w:rFonts w:ascii="Times New Roman" w:eastAsia="Times New Roman" w:hAnsi="Times New Roman"/>
      <w:sz w:val="24"/>
    </w:rPr>
  </w:style>
  <w:style w:type="paragraph" w:customStyle="1" w:styleId="ListNumberLevel4">
    <w:name w:val="List Number (Level 4)"/>
    <w:basedOn w:val="Normal"/>
    <w:pPr>
      <w:numPr>
        <w:ilvl w:val="3"/>
        <w:numId w:val="14"/>
      </w:numPr>
      <w:spacing w:after="240" w:line="240" w:lineRule="auto"/>
      <w:jc w:val="both"/>
    </w:pPr>
    <w:rPr>
      <w:rFonts w:ascii="Times New Roman" w:eastAsia="Times New Roman" w:hAnsi="Times New Roman"/>
      <w:sz w:val="24"/>
    </w:r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after="240" w:line="240" w:lineRule="auto"/>
      <w:jc w:val="center"/>
    </w:pPr>
    <w:rPr>
      <w:rFonts w:ascii="Times New Roman" w:eastAsia="Times New Roman" w:hAnsi="Times New Roman"/>
      <w:b/>
      <w:sz w:val="24"/>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sz w:val="24"/>
    </w:rPr>
  </w:style>
  <w:style w:type="paragraph" w:customStyle="1" w:styleId="ZCom">
    <w:name w:val="Z_Com"/>
    <w:basedOn w:val="Normal"/>
    <w:next w:val="ZDGName"/>
    <w:pPr>
      <w:widowControl w:val="0"/>
      <w:autoSpaceDE w:val="0"/>
      <w:autoSpaceDN w:val="0"/>
      <w:spacing w:after="0" w:line="240" w:lineRule="auto"/>
      <w:ind w:right="85"/>
      <w:jc w:val="both"/>
    </w:pPr>
    <w:rPr>
      <w:rFonts w:eastAsia="Times New Roman" w:cs="Arial"/>
      <w:sz w:val="24"/>
      <w:szCs w:val="24"/>
      <w:lang w:eastAsia="en-GB"/>
    </w:rPr>
  </w:style>
  <w:style w:type="paragraph" w:customStyle="1" w:styleId="ZDGName">
    <w:name w:val="Z_DGName"/>
    <w:basedOn w:val="Normal"/>
    <w:pPr>
      <w:widowControl w:val="0"/>
      <w:autoSpaceDE w:val="0"/>
      <w:autoSpaceDN w:val="0"/>
      <w:spacing w:after="0" w:line="240" w:lineRule="auto"/>
      <w:ind w:right="85"/>
    </w:pPr>
    <w:rPr>
      <w:rFonts w:eastAsia="Times New Roman" w:cs="Arial"/>
      <w:sz w:val="16"/>
      <w:szCs w:val="16"/>
      <w:lang w:eastAsia="en-GB"/>
    </w:rPr>
  </w:style>
  <w:style w:type="character" w:styleId="Hyperlink">
    <w:name w:val="Hyperlink"/>
    <w:uiPriority w:val="99"/>
    <w:rPr>
      <w:color w:val="0000FF"/>
      <w:u w:val="single"/>
    </w:rPr>
  </w:style>
  <w:style w:type="character" w:styleId="FootnoteReference">
    <w:name w:val="footnote reference"/>
    <w:aliases w:val="BVI fnr,SUPERS,Footnote symbol,(Footnote Reference),Footnote,Voetnootverwijzing,Times 10 Point,Exposant 3 Point,Footnote reference number,note TESI,Odwołanie przypisu, BVI fnr,Appel note de bas de p,Nota,16 Point,Superscript 6 Point"/>
    <w:uiPriority w:val="99"/>
    <w:qFormat/>
    <w:rPr>
      <w:vertAlign w:val="superscript"/>
    </w:rPr>
  </w:style>
  <w:style w:type="table" w:styleId="ColorfulGrid-Accent3">
    <w:name w:val="Colorful Grid Accent 3"/>
    <w:basedOn w:val="TableNormal"/>
    <w:uiPriority w:val="69"/>
    <w:rPr>
      <w:rFonts w:ascii="Verdana" w:eastAsia="Times New Roman"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DocumentTitle">
    <w:name w:val="Document Title"/>
    <w:basedOn w:val="Normal"/>
    <w:link w:val="DocumentTitleChar"/>
    <w:pPr>
      <w:spacing w:after="240" w:line="240" w:lineRule="auto"/>
      <w:jc w:val="center"/>
    </w:pPr>
    <w:rPr>
      <w:rFonts w:ascii="Verdana" w:eastAsia="Times New Roman" w:hAnsi="Verdana"/>
      <w:b/>
      <w:sz w:val="52"/>
    </w:rPr>
  </w:style>
  <w:style w:type="paragraph" w:customStyle="1" w:styleId="Footerapproval">
    <w:name w:val="Footer approval"/>
    <w:basedOn w:val="Footer"/>
    <w:pPr>
      <w:tabs>
        <w:tab w:val="left" w:pos="6804"/>
      </w:tabs>
    </w:pPr>
    <w:rPr>
      <w:rFonts w:ascii="Verdana" w:hAnsi="Verdana"/>
      <w:sz w:val="13"/>
    </w:rPr>
  </w:style>
  <w:style w:type="character" w:customStyle="1" w:styleId="DocumentTitleChar">
    <w:name w:val="Document Title Char"/>
    <w:link w:val="DocumentTitle"/>
    <w:rPr>
      <w:rFonts w:ascii="Verdana" w:eastAsia="Times New Roman" w:hAnsi="Verdana" w:cs="Times New Roman"/>
      <w:b/>
      <w:sz w:val="52"/>
      <w:szCs w:val="20"/>
    </w:rPr>
  </w:style>
  <w:style w:type="paragraph" w:customStyle="1" w:styleId="FooterDate">
    <w:name w:val="Footer Date"/>
    <w:basedOn w:val="Footer"/>
    <w:link w:val="FooterDateChar"/>
    <w:pPr>
      <w:tabs>
        <w:tab w:val="right" w:pos="9240"/>
      </w:tabs>
    </w:pPr>
    <w:rPr>
      <w:rFonts w:ascii="Verdana" w:hAnsi="Verdana"/>
    </w:rPr>
  </w:style>
  <w:style w:type="character" w:customStyle="1" w:styleId="ApprovalfooterChar">
    <w:name w:val="Approval_footer Char"/>
    <w:rPr>
      <w:rFonts w:ascii="Verdana" w:eastAsia="Times New Roman" w:hAnsi="Verdana" w:cs="Times New Roman"/>
      <w:sz w:val="13"/>
      <w:szCs w:val="20"/>
      <w:lang w:val="bg-BG"/>
    </w:rPr>
  </w:style>
  <w:style w:type="paragraph" w:customStyle="1" w:styleId="PageNumber1">
    <w:name w:val="Page Number1"/>
    <w:basedOn w:val="Footer"/>
    <w:pPr>
      <w:tabs>
        <w:tab w:val="right" w:pos="9240"/>
      </w:tabs>
      <w:ind w:right="-622"/>
    </w:pPr>
    <w:rPr>
      <w:rFonts w:ascii="Verdana" w:hAnsi="Verdana"/>
    </w:rPr>
  </w:style>
  <w:style w:type="character" w:customStyle="1" w:styleId="FooterDateChar">
    <w:name w:val="Footer Date Char"/>
    <w:link w:val="FooterDate"/>
    <w:rPr>
      <w:rFonts w:ascii="Verdana" w:eastAsia="Times New Roman" w:hAnsi="Verdana" w:cs="Times New Roman"/>
      <w:sz w:val="16"/>
      <w:szCs w:val="20"/>
      <w:lang w:val="bg-BG"/>
    </w:rPr>
  </w:style>
  <w:style w:type="character" w:customStyle="1" w:styleId="PagenumberChar">
    <w:name w:val="Page number Char"/>
    <w:rPr>
      <w:rFonts w:ascii="Verdana" w:eastAsia="Times New Roman" w:hAnsi="Verdana" w:cs="Times New Roman"/>
      <w:sz w:val="16"/>
      <w:szCs w:val="20"/>
      <w:lang w:val="bg-BG"/>
    </w:rPr>
  </w:style>
  <w:style w:type="paragraph" w:customStyle="1" w:styleId="DocumentSubtitle">
    <w:name w:val="Document Subtitle"/>
    <w:basedOn w:val="DocumentTitle"/>
    <w:link w:val="DocumentSubtitleChar"/>
    <w:rPr>
      <w:b w:val="0"/>
      <w:sz w:val="32"/>
      <w:szCs w:val="36"/>
    </w:rPr>
  </w:style>
  <w:style w:type="paragraph" w:customStyle="1" w:styleId="HeaderTitle">
    <w:name w:val="Header Title"/>
    <w:basedOn w:val="Normal"/>
    <w:link w:val="HeaderTitleChar"/>
    <w:pPr>
      <w:spacing w:after="240" w:line="240" w:lineRule="auto"/>
      <w:jc w:val="center"/>
    </w:pPr>
    <w:rPr>
      <w:rFonts w:ascii="Verdana" w:eastAsia="Times New Roman" w:hAnsi="Verdana"/>
      <w:b/>
      <w:color w:val="808080"/>
      <w:sz w:val="18"/>
      <w:szCs w:val="18"/>
    </w:rPr>
  </w:style>
  <w:style w:type="character" w:customStyle="1" w:styleId="DocumentSubtitleChar">
    <w:name w:val="Document Subtitle Char"/>
    <w:link w:val="DocumentSubtitle"/>
    <w:rPr>
      <w:rFonts w:ascii="Verdana" w:eastAsia="Times New Roman" w:hAnsi="Verdana" w:cs="Times New Roman"/>
      <w:sz w:val="32"/>
      <w:szCs w:val="36"/>
    </w:rPr>
  </w:style>
  <w:style w:type="paragraph" w:customStyle="1" w:styleId="Bulletpoint1">
    <w:name w:val="Bullet point1"/>
    <w:basedOn w:val="NormalIndent"/>
    <w:link w:val="Bulletpoint1Char"/>
    <w:pPr>
      <w:numPr>
        <w:numId w:val="20"/>
      </w:numPr>
      <w:spacing w:after="120"/>
      <w:jc w:val="left"/>
    </w:pPr>
    <w:rPr>
      <w:rFonts w:ascii="Verdana" w:hAnsi="Verdana"/>
      <w:sz w:val="18"/>
    </w:rPr>
  </w:style>
  <w:style w:type="character" w:customStyle="1" w:styleId="HeaderTitleChar">
    <w:name w:val="Header Title Char"/>
    <w:link w:val="HeaderTitle"/>
    <w:rPr>
      <w:rFonts w:ascii="Verdana" w:eastAsia="Times New Roman" w:hAnsi="Verdana" w:cs="Times New Roman"/>
      <w:b/>
      <w:color w:val="808080"/>
      <w:sz w:val="18"/>
      <w:szCs w:val="18"/>
    </w:rPr>
  </w:style>
  <w:style w:type="paragraph" w:customStyle="1" w:styleId="Heading">
    <w:name w:val="Heading"/>
    <w:basedOn w:val="TOC1"/>
    <w:link w:val="HeadingChar"/>
    <w:pPr>
      <w:widowControl w:val="0"/>
      <w:autoSpaceDE w:val="0"/>
      <w:autoSpaceDN w:val="0"/>
      <w:adjustRightInd w:val="0"/>
      <w:spacing w:after="0"/>
    </w:pPr>
    <w:rPr>
      <w:b w:val="0"/>
    </w:rPr>
  </w:style>
  <w:style w:type="character" w:customStyle="1" w:styleId="NormalIndentChar">
    <w:name w:val="Normal Indent Char"/>
    <w:link w:val="NormalIndent"/>
    <w:rPr>
      <w:rFonts w:ascii="Times New Roman" w:eastAsia="Times New Roman" w:hAnsi="Times New Roman" w:cs="Times New Roman"/>
      <w:sz w:val="24"/>
      <w:szCs w:val="20"/>
    </w:rPr>
  </w:style>
  <w:style w:type="character" w:customStyle="1" w:styleId="Bulletpoint1Char">
    <w:name w:val="Bullet point1 Char"/>
    <w:link w:val="Bulletpoint1"/>
    <w:rPr>
      <w:rFonts w:ascii="Verdana" w:eastAsia="Times New Roman" w:hAnsi="Verdana" w:cs="Times New Roman"/>
      <w:sz w:val="18"/>
      <w:szCs w:val="20"/>
    </w:rPr>
  </w:style>
  <w:style w:type="paragraph" w:customStyle="1" w:styleId="BulletPoint2">
    <w:name w:val="Bullet Point 2"/>
    <w:basedOn w:val="NormalIndent"/>
    <w:link w:val="BulletPoint2Char"/>
    <w:pPr>
      <w:numPr>
        <w:numId w:val="19"/>
      </w:numPr>
      <w:spacing w:after="120"/>
      <w:ind w:left="1077" w:hanging="357"/>
      <w:jc w:val="left"/>
    </w:pPr>
    <w:rPr>
      <w:rFonts w:ascii="Verdana" w:hAnsi="Verdana"/>
      <w:sz w:val="18"/>
    </w:rPr>
  </w:style>
  <w:style w:type="character" w:customStyle="1" w:styleId="HeadingChar">
    <w:name w:val="Heading Char"/>
    <w:link w:val="Heading"/>
    <w:rPr>
      <w:rFonts w:ascii="Calibri" w:eastAsia="Times New Roman" w:hAnsi="Calibri" w:cs="Times New Roman"/>
      <w:bCs/>
      <w:sz w:val="20"/>
      <w:szCs w:val="20"/>
      <w:u w:val="single"/>
    </w:rPr>
  </w:style>
  <w:style w:type="paragraph" w:customStyle="1" w:styleId="Body">
    <w:name w:val="Body"/>
    <w:basedOn w:val="Normal"/>
    <w:link w:val="BodyChar"/>
    <w:qFormat/>
    <w:pPr>
      <w:spacing w:after="240" w:line="240" w:lineRule="auto"/>
      <w:ind w:left="357"/>
      <w:jc w:val="both"/>
    </w:pPr>
    <w:rPr>
      <w:rFonts w:eastAsia="Times New Roman" w:cs="Arial"/>
    </w:rPr>
  </w:style>
  <w:style w:type="character" w:customStyle="1" w:styleId="BulletPoint2Char">
    <w:name w:val="Bullet Point 2 Char"/>
    <w:link w:val="BulletPoint2"/>
    <w:rPr>
      <w:rFonts w:ascii="Verdana" w:eastAsia="Times New Roman" w:hAnsi="Verdana" w:cs="Times New Roman"/>
      <w:sz w:val="18"/>
      <w:szCs w:val="20"/>
    </w:rPr>
  </w:style>
  <w:style w:type="paragraph" w:customStyle="1" w:styleId="Heading20">
    <w:name w:val="Heading2"/>
    <w:basedOn w:val="Title2"/>
    <w:link w:val="Heading2Char0"/>
    <w:pPr>
      <w:numPr>
        <w:numId w:val="0"/>
      </w:numPr>
    </w:pPr>
    <w:rPr>
      <w:rFonts w:ascii="Verdana" w:hAnsi="Verdana"/>
      <w:b/>
      <w:i/>
    </w:rPr>
  </w:style>
  <w:style w:type="character" w:customStyle="1" w:styleId="BodyChar">
    <w:name w:val="Body Char"/>
    <w:link w:val="Body"/>
    <w:rPr>
      <w:rFonts w:ascii="Arial" w:eastAsia="Times New Roman" w:hAnsi="Arial" w:cs="Arial"/>
      <w:sz w:val="20"/>
      <w:szCs w:val="20"/>
    </w:rPr>
  </w:style>
  <w:style w:type="table" w:styleId="TableGrid">
    <w:name w:val="Table Grid"/>
    <w:aliases w:val="Document Table"/>
    <w:basedOn w:val="TableNormal"/>
    <w:rPr>
      <w:rFonts w:ascii="Verdana" w:eastAsia="Times New Roman"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Pr>
      <w:rFonts w:ascii="Verdana" w:eastAsia="Times New Roman" w:hAnsi="Verdana" w:cs="Times New Roman"/>
      <w:b/>
      <w:i/>
      <w:sz w:val="24"/>
      <w:szCs w:val="20"/>
    </w:rPr>
  </w:style>
  <w:style w:type="table" w:customStyle="1" w:styleId="Style1">
    <w:name w:val="Style1"/>
    <w:basedOn w:val="TableNormal"/>
    <w:rPr>
      <w:rFonts w:ascii="Times New Roman" w:eastAsia="Times New Roman" w:hAnsi="Times New Roman"/>
    </w:rPr>
    <w:tblPr/>
  </w:style>
  <w:style w:type="table" w:styleId="TableElegant">
    <w:name w:val="Table Elegant"/>
    <w:basedOn w:val="TableNormal"/>
    <w:pPr>
      <w:spacing w:after="24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rPr>
  </w:style>
  <w:style w:type="character" w:customStyle="1" w:styleId="FooterDocumentChar">
    <w:name w:val="Footer Document Char"/>
    <w:link w:val="FooterDocument"/>
    <w:rPr>
      <w:rFonts w:ascii="Arial" w:eastAsia="Times New Roman" w:hAnsi="Arial" w:cs="Arial"/>
      <w:i/>
      <w:noProof/>
      <w:sz w:val="13"/>
      <w:szCs w:val="20"/>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Cambria" w:eastAsia="MS Gothic" w:hAnsi="Cambria"/>
      <w:bCs/>
      <w:smallCaps w:val="0"/>
      <w:color w:val="435186"/>
      <w:sz w:val="28"/>
      <w:szCs w:val="28"/>
    </w:rPr>
  </w:style>
  <w:style w:type="paragraph" w:customStyle="1" w:styleId="Title2">
    <w:name w:val="Title 2"/>
    <w:basedOn w:val="Normal"/>
    <w:pPr>
      <w:numPr>
        <w:numId w:val="21"/>
      </w:numPr>
      <w:spacing w:after="240" w:line="240" w:lineRule="auto"/>
      <w:jc w:val="both"/>
    </w:pPr>
    <w:rPr>
      <w:rFonts w:ascii="Times New Roman" w:eastAsia="Times New Roman" w:hAnsi="Times New Roman"/>
      <w:sz w:val="24"/>
    </w:rPr>
  </w:style>
  <w:style w:type="paragraph" w:customStyle="1" w:styleId="Subtitle0">
    <w:name w:val="Subtitle_"/>
    <w:basedOn w:val="TOC2"/>
    <w:link w:val="SubtitleChar0"/>
    <w:pPr>
      <w:ind w:left="0"/>
    </w:pPr>
    <w:rPr>
      <w:b/>
      <w:i/>
    </w:rPr>
  </w:style>
  <w:style w:type="character" w:customStyle="1" w:styleId="SubtitleChar0">
    <w:name w:val="Subtitle_ Char"/>
    <w:link w:val="Subtitle0"/>
    <w:rPr>
      <w:rFonts w:ascii="Calibri" w:eastAsia="Times New Roman" w:hAnsi="Calibri" w:cs="Times New Roman"/>
      <w:b/>
      <w:iCs/>
      <w:sz w:val="20"/>
      <w:szCs w:val="20"/>
    </w:rPr>
  </w:style>
  <w:style w:type="paragraph" w:customStyle="1" w:styleId="HeadingBody">
    <w:name w:val="Heading Body"/>
    <w:basedOn w:val="Normal"/>
    <w:link w:val="HeadingBodyChar"/>
    <w:pPr>
      <w:spacing w:after="120" w:line="240" w:lineRule="auto"/>
      <w:jc w:val="both"/>
    </w:pPr>
    <w:rPr>
      <w:rFonts w:ascii="Verdana" w:eastAsia="Times New Roman" w:hAnsi="Verdana"/>
      <w:b/>
      <w:szCs w:val="18"/>
    </w:rPr>
  </w:style>
  <w:style w:type="paragraph" w:customStyle="1" w:styleId="Titlepublication">
    <w:name w:val="Title publication"/>
    <w:basedOn w:val="Normal"/>
    <w:link w:val="TitlepublicationChar"/>
    <w:pPr>
      <w:spacing w:after="240" w:line="240" w:lineRule="auto"/>
      <w:jc w:val="center"/>
    </w:pPr>
    <w:rPr>
      <w:rFonts w:ascii="Verdana" w:eastAsia="Times New Roman" w:hAnsi="Verdana"/>
      <w:b/>
      <w:color w:val="FF0000"/>
      <w:sz w:val="52"/>
      <w:szCs w:val="52"/>
    </w:rPr>
  </w:style>
  <w:style w:type="character" w:customStyle="1" w:styleId="HeadingBodyChar">
    <w:name w:val="Heading Body Char"/>
    <w:link w:val="HeadingBody"/>
    <w:rPr>
      <w:rFonts w:ascii="Verdana" w:eastAsia="Times New Roman" w:hAnsi="Verdana" w:cs="Times New Roman"/>
      <w:b/>
      <w:sz w:val="20"/>
      <w:szCs w:val="18"/>
    </w:rPr>
  </w:style>
  <w:style w:type="paragraph" w:customStyle="1" w:styleId="Subtitlepublication">
    <w:name w:val="Subtitle publication"/>
    <w:basedOn w:val="Normal"/>
    <w:link w:val="SubtitlepublicationChar"/>
    <w:pPr>
      <w:spacing w:after="240" w:line="240" w:lineRule="auto"/>
      <w:jc w:val="center"/>
    </w:pPr>
    <w:rPr>
      <w:rFonts w:ascii="Verdana" w:eastAsia="Times New Roman" w:hAnsi="Verdana"/>
      <w:b/>
      <w:i/>
      <w:color w:val="FF0000"/>
      <w:sz w:val="32"/>
    </w:rPr>
  </w:style>
  <w:style w:type="character" w:customStyle="1" w:styleId="TitlepublicationChar">
    <w:name w:val="Title publication Char"/>
    <w:link w:val="Titlepublication"/>
    <w:rPr>
      <w:rFonts w:ascii="Verdana" w:eastAsia="Times New Roman" w:hAnsi="Verdana" w:cs="Times New Roman"/>
      <w:b/>
      <w:color w:val="FF0000"/>
      <w:sz w:val="52"/>
      <w:szCs w:val="52"/>
    </w:rPr>
  </w:style>
  <w:style w:type="paragraph" w:customStyle="1" w:styleId="Editorname">
    <w:name w:val="Editor name"/>
    <w:basedOn w:val="Normal"/>
    <w:link w:val="EditornameChar"/>
    <w:pPr>
      <w:spacing w:after="240" w:line="240" w:lineRule="auto"/>
      <w:jc w:val="center"/>
    </w:pPr>
    <w:rPr>
      <w:rFonts w:ascii="Verdana" w:eastAsia="Times New Roman" w:hAnsi="Verdana"/>
      <w:color w:val="FF0000"/>
      <w:sz w:val="24"/>
    </w:rPr>
  </w:style>
  <w:style w:type="character" w:customStyle="1" w:styleId="SubtitlepublicationChar">
    <w:name w:val="Subtitle publication Char"/>
    <w:link w:val="Subtitlepublication"/>
    <w:rPr>
      <w:rFonts w:ascii="Verdana" w:eastAsia="Times New Roman" w:hAnsi="Verdana" w:cs="Times New Roman"/>
      <w:b/>
      <w:i/>
      <w:color w:val="FF0000"/>
      <w:sz w:val="32"/>
      <w:szCs w:val="20"/>
    </w:rPr>
  </w:style>
  <w:style w:type="paragraph" w:customStyle="1" w:styleId="Backcoversummary">
    <w:name w:val="Backcover_summary"/>
    <w:basedOn w:val="Normal"/>
    <w:link w:val="BackcoversummaryChar"/>
    <w:pPr>
      <w:spacing w:after="240" w:line="240" w:lineRule="auto"/>
      <w:jc w:val="both"/>
    </w:pPr>
    <w:rPr>
      <w:rFonts w:ascii="Verdana" w:eastAsia="Times New Roman" w:hAnsi="Verdana"/>
      <w:color w:val="FF0000"/>
      <w:sz w:val="24"/>
    </w:rPr>
  </w:style>
  <w:style w:type="character" w:customStyle="1" w:styleId="EditornameChar">
    <w:name w:val="Editor name Char"/>
    <w:link w:val="Editorname"/>
    <w:rPr>
      <w:rFonts w:ascii="Verdana" w:eastAsia="Times New Roman" w:hAnsi="Verdana" w:cs="Times New Roman"/>
      <w:color w:val="FF0000"/>
      <w:sz w:val="24"/>
      <w:szCs w:val="20"/>
    </w:rPr>
  </w:style>
  <w:style w:type="paragraph" w:customStyle="1" w:styleId="Backcovercategory">
    <w:name w:val="Backcover_category"/>
    <w:basedOn w:val="Normal"/>
    <w:link w:val="BackcovercategoryChar"/>
    <w:pPr>
      <w:spacing w:after="240" w:line="240" w:lineRule="auto"/>
      <w:ind w:right="28"/>
      <w:jc w:val="both"/>
    </w:pPr>
    <w:rPr>
      <w:rFonts w:ascii="Verdana" w:eastAsia="Times New Roman" w:hAnsi="Verdana"/>
      <w:i/>
      <w:color w:val="FF0000"/>
      <w:sz w:val="18"/>
    </w:rPr>
  </w:style>
  <w:style w:type="character" w:customStyle="1" w:styleId="BackcoversummaryChar">
    <w:name w:val="Backcover_summary Char"/>
    <w:link w:val="Backcoversummary"/>
    <w:rPr>
      <w:rFonts w:ascii="Verdana" w:eastAsia="Times New Roman" w:hAnsi="Verdana" w:cs="Times New Roman"/>
      <w:color w:val="FF0000"/>
      <w:sz w:val="24"/>
      <w:szCs w:val="20"/>
    </w:rPr>
  </w:style>
  <w:style w:type="character" w:customStyle="1" w:styleId="BackcovercategoryChar">
    <w:name w:val="Backcover_category Char"/>
    <w:link w:val="Backcovercategory"/>
    <w:rPr>
      <w:rFonts w:ascii="Verdana" w:eastAsia="Times New Roman" w:hAnsi="Verdana" w:cs="Times New Roman"/>
      <w:i/>
      <w:color w:val="FF0000"/>
      <w:sz w:val="18"/>
      <w:szCs w:val="20"/>
    </w:rPr>
  </w:style>
  <w:style w:type="paragraph" w:customStyle="1" w:styleId="kop2">
    <w:name w:val="kop 2"/>
    <w:basedOn w:val="Normal"/>
    <w:next w:val="Normal"/>
    <w:link w:val="kop2Char"/>
    <w:uiPriority w:val="1"/>
    <w:unhideWhenUsed/>
    <w:qFormat/>
    <w:pPr>
      <w:keepNext/>
      <w:keepLines/>
      <w:numPr>
        <w:numId w:val="24"/>
      </w:numPr>
      <w:spacing w:after="120" w:line="240" w:lineRule="auto"/>
      <w:jc w:val="both"/>
      <w:outlineLvl w:val="1"/>
    </w:pPr>
    <w:rPr>
      <w:rFonts w:eastAsia="MS Gothic" w:cs="Arial"/>
      <w:caps/>
      <w:color w:val="4F81BD"/>
      <w:kern w:val="20"/>
      <w:sz w:val="24"/>
      <w:szCs w:val="24"/>
    </w:rPr>
  </w:style>
  <w:style w:type="paragraph" w:customStyle="1" w:styleId="kop3">
    <w:name w:val="kop 3"/>
    <w:basedOn w:val="StyleSubtitleBoldAccent1Left1"/>
    <w:next w:val="Normal"/>
    <w:link w:val="kop3Char"/>
    <w:uiPriority w:val="1"/>
    <w:unhideWhenUsed/>
    <w:qFormat/>
    <w:pPr>
      <w:numPr>
        <w:numId w:val="25"/>
      </w:numPr>
    </w:pPr>
    <w:rPr>
      <w:b w:val="0"/>
    </w:rPr>
  </w:style>
  <w:style w:type="character" w:customStyle="1" w:styleId="kop2Char">
    <w:name w:val="kop 2 Char"/>
    <w:link w:val="kop2"/>
    <w:uiPriority w:val="1"/>
    <w:rPr>
      <w:rFonts w:ascii="Arial" w:eastAsia="MS Gothic" w:hAnsi="Arial" w:cs="Arial"/>
      <w:caps/>
      <w:color w:val="4F81BD"/>
      <w:kern w:val="20"/>
      <w:sz w:val="24"/>
      <w:szCs w:val="24"/>
    </w:rPr>
  </w:style>
  <w:style w:type="character" w:customStyle="1" w:styleId="kop3Char">
    <w:name w:val="kop 3 Char"/>
    <w:link w:val="kop3"/>
    <w:uiPriority w:val="1"/>
    <w:rPr>
      <w:rFonts w:ascii="Arial" w:eastAsia="Times New Roman" w:hAnsi="Arial" w:cs="Times New Roman"/>
      <w:bCs/>
      <w:color w:val="4F81BD"/>
      <w:sz w:val="24"/>
      <w:szCs w:val="20"/>
    </w:rPr>
  </w:style>
  <w:style w:type="paragraph" w:customStyle="1" w:styleId="Lijstje">
    <w:name w:val="Lijstje"/>
    <w:basedOn w:val="NoSpacing"/>
    <w:uiPriority w:val="1"/>
    <w:unhideWhenUsed/>
    <w:qFormat/>
    <w:locked/>
    <w:pPr>
      <w:numPr>
        <w:numId w:val="22"/>
      </w:numPr>
      <w:tabs>
        <w:tab w:val="num" w:pos="1485"/>
      </w:tabs>
      <w:spacing w:after="240"/>
      <w:ind w:left="1412" w:hanging="703"/>
      <w:jc w:val="both"/>
    </w:pPr>
    <w:rPr>
      <w:rFonts w:ascii="Verdana" w:eastAsia="Calibri" w:hAnsi="Verdana"/>
      <w:kern w:val="20"/>
      <w:lang w:eastAsia="en-US"/>
    </w:rPr>
  </w:style>
  <w:style w:type="paragraph" w:customStyle="1" w:styleId="Lijstje3">
    <w:name w:val="Lijstje 3"/>
    <w:basedOn w:val="Lijstje2"/>
    <w:uiPriority w:val="1"/>
    <w:unhideWhenUsed/>
    <w:locked/>
    <w:pPr>
      <w:numPr>
        <w:ilvl w:val="1"/>
      </w:numPr>
      <w:tabs>
        <w:tab w:val="num" w:pos="765"/>
      </w:tabs>
      <w:ind w:left="1069" w:hanging="283"/>
    </w:pPr>
  </w:style>
  <w:style w:type="paragraph" w:customStyle="1" w:styleId="Lijstje2">
    <w:name w:val="Lijstje2"/>
    <w:basedOn w:val="ListParagraph"/>
    <w:uiPriority w:val="1"/>
    <w:unhideWhenUsed/>
    <w:locked/>
    <w:pPr>
      <w:numPr>
        <w:numId w:val="23"/>
      </w:numPr>
      <w:tabs>
        <w:tab w:val="num" w:pos="765"/>
      </w:tabs>
      <w:spacing w:after="200"/>
      <w:ind w:left="1797" w:hanging="357"/>
    </w:pPr>
    <w:rPr>
      <w:rFonts w:ascii="Verdana" w:eastAsia="Calibri" w:hAnsi="Verdana"/>
      <w:kern w:val="20"/>
      <w:sz w:val="20"/>
    </w:rPr>
  </w:style>
  <w:style w:type="paragraph" w:customStyle="1" w:styleId="Koptekstmetarcering">
    <w:name w:val="Koptekst met arcering"/>
    <w:basedOn w:val="Normal"/>
    <w:uiPriority w:val="19"/>
    <w:locked/>
    <w:pPr>
      <w:pBdr>
        <w:top w:val="single" w:sz="2" w:space="2" w:color="5F70AF"/>
        <w:left w:val="single" w:sz="2" w:space="6" w:color="5F70AF"/>
        <w:bottom w:val="single" w:sz="2" w:space="2" w:color="5F70AF"/>
        <w:right w:val="single" w:sz="2" w:space="6" w:color="5F70AF"/>
      </w:pBdr>
      <w:shd w:val="clear" w:color="auto" w:fill="5F70AF"/>
      <w:spacing w:after="0" w:line="240" w:lineRule="auto"/>
      <w:ind w:left="-360" w:right="-360"/>
      <w:jc w:val="both"/>
    </w:pPr>
    <w:rPr>
      <w:rFonts w:ascii="Cambria" w:eastAsia="MS Gothic" w:hAnsi="Cambria"/>
      <w:caps/>
      <w:color w:val="FFFFFF"/>
      <w:kern w:val="20"/>
      <w:sz w:val="48"/>
    </w:rPr>
  </w:style>
  <w:style w:type="character" w:styleId="Strong">
    <w:name w:val="Strong"/>
    <w:aliases w:val="Gewoon,sub subtitle"/>
    <w:uiPriority w:val="22"/>
    <w:qFormat/>
    <w:rPr>
      <w:rFonts w:ascii="Arial" w:hAnsi="Arial" w:cs="Arial"/>
      <w:i/>
      <w:color w:val="95B3D7"/>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sz w:val="24"/>
    </w:rPr>
  </w:style>
  <w:style w:type="paragraph" w:customStyle="1" w:styleId="kop1">
    <w:name w:val="kop 1"/>
    <w:basedOn w:val="Normal"/>
    <w:next w:val="Normal"/>
    <w:link w:val="Tekensvoorkop1"/>
    <w:uiPriority w:val="1"/>
    <w:locked/>
    <w:pPr>
      <w:pageBreakBefore/>
      <w:spacing w:after="360" w:line="240" w:lineRule="auto"/>
      <w:ind w:left="-360" w:right="-360"/>
      <w:jc w:val="both"/>
      <w:outlineLvl w:val="0"/>
    </w:pPr>
    <w:rPr>
      <w:rFonts w:ascii="Calibri" w:hAnsi="Calibri"/>
      <w:kern w:val="20"/>
      <w:sz w:val="36"/>
    </w:rPr>
  </w:style>
  <w:style w:type="paragraph" w:customStyle="1" w:styleId="Geenregelafstand">
    <w:name w:val="Geen regelafstand"/>
    <w:link w:val="Tekensvoorgeenregelafstand"/>
    <w:uiPriority w:val="1"/>
    <w:locked/>
    <w:pPr>
      <w:spacing w:before="40"/>
    </w:pPr>
    <w:rPr>
      <w:rFonts w:ascii="Calibri" w:hAnsi="Calibri"/>
      <w:color w:val="595959"/>
      <w:u w:val="single"/>
      <w:lang w:eastAsia="en-US"/>
    </w:rPr>
  </w:style>
  <w:style w:type="character" w:customStyle="1" w:styleId="Tekensvoorkop1">
    <w:name w:val="Tekens voor kop 1"/>
    <w:link w:val="kop1"/>
    <w:uiPriority w:val="1"/>
    <w:rPr>
      <w:rFonts w:ascii="Calibri" w:eastAsia="Calibri" w:hAnsi="Calibri" w:cs="Times New Roman"/>
      <w:kern w:val="20"/>
      <w:sz w:val="36"/>
      <w:szCs w:val="20"/>
      <w:lang w:val="bg-BG"/>
    </w:rPr>
  </w:style>
  <w:style w:type="character" w:customStyle="1" w:styleId="Extranadruk">
    <w:name w:val="Extra nadruk"/>
    <w:uiPriority w:val="1"/>
    <w:unhideWhenUsed/>
    <w:locked/>
    <w:rPr>
      <w:b/>
      <w:bCs/>
    </w:rPr>
  </w:style>
  <w:style w:type="character" w:customStyle="1" w:styleId="Tekensvoorgeenregelafstand">
    <w:name w:val="Tekens voor geen regelafstand"/>
    <w:link w:val="Geenregelafstand"/>
    <w:uiPriority w:val="1"/>
    <w:rPr>
      <w:rFonts w:ascii="Calibri" w:eastAsia="Calibri" w:hAnsi="Calibri" w:cs="Times New Roman"/>
      <w:color w:val="595959"/>
      <w:sz w:val="20"/>
      <w:szCs w:val="20"/>
      <w:lang w:val="bg-BG"/>
    </w:rPr>
  </w:style>
  <w:style w:type="paragraph" w:customStyle="1" w:styleId="Tabeltekst">
    <w:name w:val="Tabeltekst"/>
    <w:basedOn w:val="Normal"/>
    <w:uiPriority w:val="9"/>
    <w:locked/>
    <w:pPr>
      <w:spacing w:before="60" w:after="60" w:line="240" w:lineRule="auto"/>
      <w:ind w:left="144" w:right="144"/>
      <w:jc w:val="both"/>
    </w:pPr>
    <w:rPr>
      <w:rFonts w:ascii="Calibri" w:hAnsi="Calibri"/>
      <w:kern w:val="20"/>
    </w:rPr>
  </w:style>
  <w:style w:type="paragraph" w:customStyle="1" w:styleId="Kopvooromgekeerdetabel">
    <w:name w:val="Kop voor omgekeerde tabel"/>
    <w:basedOn w:val="Normal"/>
    <w:uiPriority w:val="9"/>
    <w:locked/>
    <w:pPr>
      <w:spacing w:after="40" w:line="240" w:lineRule="auto"/>
      <w:ind w:left="144" w:right="144"/>
      <w:jc w:val="both"/>
    </w:pPr>
    <w:rPr>
      <w:rFonts w:ascii="Cambria" w:eastAsia="MS Gothic" w:hAnsi="Cambria"/>
      <w:caps/>
      <w:color w:val="FFFFFF"/>
      <w:kern w:val="20"/>
      <w:sz w:val="24"/>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eastAsia="Times New Roman" w:hAnsi="Times New Roman" w:cs="Times New Roman"/>
      <w:b/>
      <w:bCs/>
      <w:sz w:val="20"/>
      <w:szCs w:val="20"/>
    </w:rPr>
  </w:style>
  <w:style w:type="paragraph" w:styleId="Revision">
    <w:name w:val="Revision"/>
    <w:hidden/>
    <w:uiPriority w:val="99"/>
    <w:semiHidden/>
    <w:rPr>
      <w:rFonts w:ascii="Times New Roman" w:eastAsia="Times New Roman" w:hAnsi="Times New Roman"/>
      <w:sz w:val="24"/>
      <w:u w:val="single"/>
      <w:lang w:eastAsia="en-US"/>
    </w:rPr>
  </w:style>
  <w:style w:type="character" w:styleId="FollowedHyperlink">
    <w:name w:val="FollowedHyperlink"/>
    <w:semiHidden/>
    <w:unhideWhenUsed/>
    <w:rPr>
      <w:color w:val="3EBBF0"/>
      <w:u w:val="single"/>
    </w:rPr>
  </w:style>
  <w:style w:type="character" w:customStyle="1" w:styleId="affairetitle">
    <w:name w:val="affaire_title"/>
    <w:basedOn w:val="DefaultParagraphFont"/>
  </w:style>
  <w:style w:type="paragraph" w:customStyle="1" w:styleId="Kop4">
    <w:name w:val="Kop 4"/>
    <w:basedOn w:val="kop3"/>
    <w:link w:val="Kop4Char"/>
    <w:qFormat/>
    <w:pPr>
      <w:numPr>
        <w:ilvl w:val="1"/>
      </w:numPr>
    </w:pPr>
    <w:rPr>
      <w:rFonts w:cs="Arial"/>
      <w:b/>
      <w:bCs w:val="0"/>
      <w:i/>
      <w:color w:val="95B3D7"/>
    </w:rPr>
  </w:style>
  <w:style w:type="paragraph" w:customStyle="1" w:styleId="Kop5">
    <w:name w:val="Kop 5"/>
    <w:basedOn w:val="Normal"/>
    <w:link w:val="Kop5Char"/>
    <w:qFormat/>
    <w:pPr>
      <w:spacing w:after="240" w:line="240" w:lineRule="auto"/>
      <w:ind w:left="709"/>
      <w:jc w:val="both"/>
    </w:pPr>
    <w:rPr>
      <w:rFonts w:ascii="Verdana" w:eastAsia="Times New Roman" w:hAnsi="Verdana"/>
      <w:color w:val="7BCCFF"/>
      <w:sz w:val="24"/>
    </w:rPr>
  </w:style>
  <w:style w:type="character" w:customStyle="1" w:styleId="Kop4Char">
    <w:name w:val="Kop 4 Char"/>
    <w:link w:val="Kop4"/>
    <w:rPr>
      <w:rFonts w:ascii="Arial" w:eastAsia="Times New Roman" w:hAnsi="Arial" w:cs="Arial"/>
      <w:b/>
      <w:i/>
      <w:color w:val="95B3D7"/>
      <w:sz w:val="24"/>
      <w:szCs w:val="20"/>
    </w:rPr>
  </w:style>
  <w:style w:type="character" w:customStyle="1" w:styleId="Kop5Char">
    <w:name w:val="Kop 5 Char"/>
    <w:link w:val="Kop5"/>
    <w:rPr>
      <w:rFonts w:ascii="Verdana" w:eastAsia="Times New Roman" w:hAnsi="Verdana" w:cs="Times New Roman"/>
      <w:color w:val="7BCCFF"/>
      <w:sz w:val="24"/>
      <w:szCs w:val="20"/>
    </w:rPr>
  </w:style>
  <w:style w:type="paragraph" w:customStyle="1" w:styleId="MemberStateHeader">
    <w:name w:val="Member State Header"/>
    <w:basedOn w:val="Normal"/>
    <w:link w:val="MemberStateHeaderChar"/>
    <w:qFormat/>
    <w:pPr>
      <w:keepNext/>
      <w:keepLines/>
      <w:spacing w:after="0" w:line="240" w:lineRule="auto"/>
      <w:jc w:val="center"/>
      <w:outlineLvl w:val="1"/>
    </w:pPr>
    <w:rPr>
      <w:rFonts w:ascii="Verdana" w:eastAsia="MS Gothic" w:hAnsi="Verdana"/>
      <w:caps/>
      <w:color w:val="242852"/>
      <w:kern w:val="20"/>
      <w:sz w:val="28"/>
    </w:rPr>
  </w:style>
  <w:style w:type="character" w:customStyle="1" w:styleId="MemberStateHeaderChar">
    <w:name w:val="Member State Header Char"/>
    <w:link w:val="MemberStateHeader"/>
    <w:rPr>
      <w:rFonts w:ascii="Verdana" w:eastAsia="MS Gothic" w:hAnsi="Verdana" w:cs="Times New Roman"/>
      <w:caps/>
      <w:color w:val="242852"/>
      <w:kern w:val="20"/>
      <w:sz w:val="28"/>
      <w:szCs w:val="20"/>
      <w:lang w:val="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link w:val="PagedecouvertureChar"/>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u w:val="none"/>
    </w:rPr>
  </w:style>
  <w:style w:type="character" w:customStyle="1" w:styleId="FooterCoverPageChar">
    <w:name w:val="Footer Cover Page Char"/>
    <w:link w:val="FooterCoverPage"/>
    <w:rPr>
      <w:rFonts w:ascii="Times New Roman" w:hAnsi="Times New Roman"/>
      <w:sz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u w:val="none"/>
    </w:rPr>
  </w:style>
  <w:style w:type="character" w:customStyle="1" w:styleId="HeaderCoverPageChar">
    <w:name w:val="Header Cover Page Char"/>
    <w:link w:val="HeaderCoverPage"/>
    <w:rPr>
      <w:rFonts w:ascii="Times New Roman" w:hAnsi="Times New Roman"/>
      <w:sz w:val="24"/>
      <w:lang w:eastAsia="en-US"/>
    </w:rPr>
  </w:style>
  <w:style w:type="paragraph" w:customStyle="1" w:styleId="Title1">
    <w:name w:val="Title1"/>
    <w:basedOn w:val="Normal"/>
    <w:next w:val="Normal"/>
    <w:autoRedefine/>
    <w:uiPriority w:val="1"/>
    <w:unhideWhenUsed/>
    <w:pPr>
      <w:keepNext/>
      <w:keepLines/>
      <w:spacing w:after="240" w:line="240" w:lineRule="auto"/>
      <w:jc w:val="both"/>
      <w:outlineLvl w:val="1"/>
    </w:pPr>
    <w:rPr>
      <w:rFonts w:eastAsia="MS Gothic" w:cs="Arial"/>
      <w:caps/>
      <w:color w:val="4F81BD"/>
      <w:kern w:val="20"/>
      <w:sz w:val="28"/>
    </w:rPr>
  </w:style>
  <w:style w:type="character" w:customStyle="1" w:styleId="TITLEChar0">
    <w:name w:val="TITLE Char"/>
    <w:uiPriority w:val="1"/>
    <w:rPr>
      <w:rFonts w:ascii="Arial" w:eastAsia="MS Gothic" w:hAnsi="Arial" w:cs="Arial"/>
      <w:caps/>
      <w:color w:val="4F81BD"/>
      <w:kern w:val="20"/>
      <w:sz w:val="28"/>
      <w:szCs w:val="20"/>
    </w:rPr>
  </w:style>
  <w:style w:type="paragraph" w:customStyle="1" w:styleId="Stylekop2LatinArialCustomColorRGB79129189After">
    <w:name w:val="Style kop 2 + (Latin) Arial Custom Color(RGB(79129189)) After: ..."/>
    <w:basedOn w:val="kop2"/>
    <w:rPr>
      <w:rFonts w:eastAsia="Times New Roman"/>
    </w:rPr>
  </w:style>
  <w:style w:type="paragraph" w:customStyle="1" w:styleId="Style2">
    <w:name w:val="Style2"/>
    <w:basedOn w:val="kop2"/>
    <w:link w:val="Style2Char"/>
  </w:style>
  <w:style w:type="paragraph" w:customStyle="1" w:styleId="StyleSubtitleBoldAccent1Left">
    <w:name w:val="Style Subtitle + Bold Accent 1 Left"/>
    <w:basedOn w:val="Subtitle"/>
    <w:qFormat/>
    <w:pPr>
      <w:jc w:val="left"/>
    </w:pPr>
    <w:rPr>
      <w:b/>
      <w:bCs/>
      <w:color w:val="4F81BD"/>
    </w:rPr>
  </w:style>
  <w:style w:type="character" w:customStyle="1" w:styleId="Style2Char">
    <w:name w:val="Style2 Char"/>
    <w:link w:val="Style2"/>
    <w:rPr>
      <w:rFonts w:ascii="Arial" w:eastAsia="MS Gothic" w:hAnsi="Arial" w:cs="Arial"/>
      <w:caps/>
      <w:color w:val="4F81BD"/>
      <w:kern w:val="20"/>
      <w:sz w:val="24"/>
      <w:szCs w:val="24"/>
    </w:rPr>
  </w:style>
  <w:style w:type="paragraph" w:customStyle="1" w:styleId="StyleSubtitleBoldAccent1Left1">
    <w:name w:val="Style Subtitle + Bold Accent 1 Left1"/>
    <w:basedOn w:val="Subtitle"/>
    <w:qFormat/>
    <w:pPr>
      <w:jc w:val="left"/>
    </w:pPr>
    <w:rPr>
      <w:b/>
      <w:bCs/>
      <w:color w:val="4F81BD"/>
    </w:rPr>
  </w:style>
  <w:style w:type="character" w:customStyle="1" w:styleId="bluetext11">
    <w:name w:val="bluetext11"/>
    <w:basedOn w:val="DefaultParagraphFont"/>
  </w:style>
  <w:style w:type="table" w:customStyle="1" w:styleId="Style12">
    <w:name w:val="Style12"/>
    <w:basedOn w:val="TableNormal"/>
    <w:rPr>
      <w:rFonts w:ascii="Times New Roman" w:eastAsia="Times New Roman" w:hAnsi="Times New Roman"/>
    </w:rPr>
    <w:tbl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lang w:eastAsia="en-GB"/>
    </w:rPr>
  </w:style>
  <w:style w:type="character" w:customStyle="1" w:styleId="at1">
    <w:name w:val="a__t1"/>
    <w:basedOn w:val="DefaultParagraphFont"/>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u w:val="none"/>
    </w:rPr>
  </w:style>
  <w:style w:type="character" w:customStyle="1" w:styleId="PagedecouvertureChar">
    <w:name w:val="Page de couverture Char"/>
    <w:link w:val="Pagedecouverture"/>
    <w:rPr>
      <w:rFonts w:ascii="Times New Roman" w:eastAsia="Calibri" w:hAnsi="Times New Roman" w:cs="Times New Roman"/>
      <w:sz w:val="24"/>
    </w:rPr>
  </w:style>
  <w:style w:type="character" w:customStyle="1" w:styleId="FooterSensitivityChar">
    <w:name w:val="Footer Sensitivity Char"/>
    <w:link w:val="FooterSensitivity"/>
    <w:rPr>
      <w:rFonts w:ascii="Times New Roman" w:hAnsi="Times New Roman"/>
      <w:b/>
      <w:sz w:val="3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u w:val="none"/>
    </w:rPr>
  </w:style>
  <w:style w:type="character" w:customStyle="1" w:styleId="HeaderSensitivityChar">
    <w:name w:val="Header Sensitivity Char"/>
    <w:link w:val="HeaderSensitivity"/>
    <w:rPr>
      <w:rFonts w:ascii="Times New Roman" w:hAnsi="Times New Roman"/>
      <w:b/>
      <w:sz w:val="32"/>
      <w:lang w:eastAsia="en-US"/>
    </w:rPr>
  </w:style>
  <w:style w:type="character" w:customStyle="1" w:styleId="apple-converted-space">
    <w:name w:val="apple-converted-space"/>
    <w:basedOn w:val="DefaultParagraphFont"/>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styleId="Emphasis">
    <w:name w:val="Emphasis"/>
    <w:basedOn w:val="DefaultParagraphFont"/>
    <w:uiPriority w:val="20"/>
    <w:qFormat/>
    <w:rPr>
      <w:i/>
      <w:iCs/>
    </w:rPr>
  </w:style>
  <w:style w:type="character" w:styleId="SubtleEmphasis">
    <w:name w:val="Subtle Emphasis"/>
    <w:basedOn w:val="DefaultParagraphFont"/>
    <w:uiPriority w:val="19"/>
    <w:qFormat/>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bg-BG"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u w:val="single"/>
      <w:lang w:eastAsia="en-US"/>
    </w:rPr>
  </w:style>
  <w:style w:type="paragraph" w:styleId="Heading1">
    <w:name w:val="heading 1"/>
    <w:basedOn w:val="Normal"/>
    <w:next w:val="Text1"/>
    <w:link w:val="Heading1Char"/>
    <w:pPr>
      <w:keepNext/>
      <w:numPr>
        <w:numId w:val="3"/>
      </w:numPr>
      <w:spacing w:before="240" w:after="240" w:line="240" w:lineRule="auto"/>
      <w:jc w:val="both"/>
      <w:outlineLvl w:val="0"/>
    </w:pPr>
    <w:rPr>
      <w:rFonts w:ascii="Times New Roman" w:eastAsia="Times New Roman" w:hAnsi="Times New Roman"/>
      <w:b/>
      <w:smallCaps/>
      <w:sz w:val="24"/>
    </w:rPr>
  </w:style>
  <w:style w:type="paragraph" w:styleId="Heading2">
    <w:name w:val="heading 2"/>
    <w:basedOn w:val="Normal"/>
    <w:next w:val="Text2"/>
    <w:link w:val="Heading2Char"/>
    <w:pPr>
      <w:keepNext/>
      <w:numPr>
        <w:ilvl w:val="1"/>
        <w:numId w:val="3"/>
      </w:numPr>
      <w:spacing w:after="240" w:line="240" w:lineRule="auto"/>
      <w:jc w:val="both"/>
      <w:outlineLvl w:val="1"/>
    </w:pPr>
    <w:rPr>
      <w:rFonts w:ascii="Times New Roman" w:eastAsia="Times New Roman" w:hAnsi="Times New Roman"/>
      <w:b/>
      <w:sz w:val="24"/>
    </w:rPr>
  </w:style>
  <w:style w:type="paragraph" w:styleId="Heading3">
    <w:name w:val="heading 3"/>
    <w:basedOn w:val="Normal"/>
    <w:next w:val="Text3"/>
    <w:link w:val="Heading3Char"/>
    <w:pPr>
      <w:keepNext/>
      <w:numPr>
        <w:ilvl w:val="2"/>
        <w:numId w:val="3"/>
      </w:numPr>
      <w:spacing w:after="240" w:line="240" w:lineRule="auto"/>
      <w:jc w:val="both"/>
      <w:outlineLvl w:val="2"/>
    </w:pPr>
    <w:rPr>
      <w:rFonts w:ascii="Times New Roman" w:eastAsia="Times New Roman" w:hAnsi="Times New Roman"/>
      <w:i/>
      <w:sz w:val="24"/>
    </w:rPr>
  </w:style>
  <w:style w:type="paragraph" w:styleId="Heading4">
    <w:name w:val="heading 4"/>
    <w:basedOn w:val="Normal"/>
    <w:next w:val="Text4"/>
    <w:link w:val="Heading4Char"/>
    <w:pPr>
      <w:keepNext/>
      <w:numPr>
        <w:ilvl w:val="3"/>
        <w:numId w:val="3"/>
      </w:numPr>
      <w:spacing w:after="240" w:line="240" w:lineRule="auto"/>
      <w:jc w:val="both"/>
      <w:outlineLvl w:val="3"/>
    </w:pPr>
    <w:rPr>
      <w:rFonts w:ascii="Times New Roman" w:eastAsia="Times New Roman" w:hAnsi="Times New Roman"/>
      <w:sz w:val="24"/>
    </w:rPr>
  </w:style>
  <w:style w:type="paragraph" w:styleId="Heading5">
    <w:name w:val="heading 5"/>
    <w:basedOn w:val="Normal"/>
    <w:next w:val="Normal"/>
    <w:link w:val="Heading5Char"/>
    <w:pPr>
      <w:tabs>
        <w:tab w:val="num" w:pos="0"/>
      </w:tabs>
      <w:spacing w:before="240" w:after="60" w:line="240" w:lineRule="auto"/>
      <w:jc w:val="both"/>
      <w:outlineLvl w:val="4"/>
    </w:pPr>
    <w:rPr>
      <w:rFonts w:eastAsia="Times New Roman"/>
    </w:rPr>
  </w:style>
  <w:style w:type="paragraph" w:styleId="Heading6">
    <w:name w:val="heading 6"/>
    <w:basedOn w:val="Normal"/>
    <w:next w:val="Normal"/>
    <w:link w:val="Heading6Char"/>
    <w:pPr>
      <w:tabs>
        <w:tab w:val="num" w:pos="0"/>
      </w:tabs>
      <w:spacing w:before="240" w:after="60" w:line="240" w:lineRule="auto"/>
      <w:jc w:val="both"/>
      <w:outlineLvl w:val="5"/>
    </w:pPr>
    <w:rPr>
      <w:rFonts w:eastAsia="Times New Roman"/>
      <w:i/>
    </w:rPr>
  </w:style>
  <w:style w:type="paragraph" w:styleId="Heading7">
    <w:name w:val="heading 7"/>
    <w:basedOn w:val="Normal"/>
    <w:next w:val="Normal"/>
    <w:link w:val="Heading7Char"/>
    <w:pPr>
      <w:tabs>
        <w:tab w:val="num" w:pos="0"/>
      </w:tabs>
      <w:spacing w:before="240" w:after="60" w:line="240" w:lineRule="auto"/>
      <w:jc w:val="both"/>
      <w:outlineLvl w:val="6"/>
    </w:pPr>
    <w:rPr>
      <w:rFonts w:eastAsia="Times New Roman"/>
    </w:rPr>
  </w:style>
  <w:style w:type="paragraph" w:styleId="Heading8">
    <w:name w:val="heading 8"/>
    <w:basedOn w:val="Normal"/>
    <w:next w:val="Normal"/>
    <w:link w:val="Heading8Char"/>
    <w:pPr>
      <w:tabs>
        <w:tab w:val="num" w:pos="0"/>
      </w:tabs>
      <w:spacing w:before="240" w:after="60" w:line="240" w:lineRule="auto"/>
      <w:jc w:val="both"/>
      <w:outlineLvl w:val="7"/>
    </w:pPr>
    <w:rPr>
      <w:rFonts w:eastAsia="Times New Roman"/>
      <w:i/>
    </w:rPr>
  </w:style>
  <w:style w:type="paragraph" w:styleId="Heading9">
    <w:name w:val="heading 9"/>
    <w:basedOn w:val="Normal"/>
    <w:next w:val="Normal"/>
    <w:link w:val="Heading9Char"/>
    <w:pPr>
      <w:tabs>
        <w:tab w:val="num" w:pos="0"/>
      </w:tabs>
      <w:spacing w:before="240" w:after="60" w:line="240" w:lineRule="auto"/>
      <w:jc w:val="both"/>
      <w:outlineLvl w:val="8"/>
    </w:pPr>
    <w:rPr>
      <w:rFonts w:eastAsia="Times New Roman"/>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Pr>
      <w:rFonts w:eastAsia="MS Mincho"/>
      <w:u w:val="single"/>
      <w:lang w:eastAsia="ja-JP"/>
    </w:rPr>
  </w:style>
  <w:style w:type="character" w:customStyle="1" w:styleId="NoSpacingChar">
    <w:name w:val="No Spacing Char"/>
    <w:link w:val="NoSpacing"/>
    <w:uiPriority w:val="1"/>
    <w:rPr>
      <w:rFonts w:eastAsia="MS Mincho"/>
      <w:lang w:val="bg-BG" w:eastAsia="ja-JP"/>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1Char">
    <w:name w:val="Heading 1 Char"/>
    <w:link w:val="Heading1"/>
    <w:rPr>
      <w:rFonts w:ascii="Times New Roman" w:eastAsia="Times New Roman" w:hAnsi="Times New Roman" w:cs="Times New Roman"/>
      <w:b/>
      <w:smallCaps/>
      <w:sz w:val="24"/>
      <w:szCs w:val="20"/>
    </w:rPr>
  </w:style>
  <w:style w:type="character" w:customStyle="1" w:styleId="Heading2Char">
    <w:name w:val="Heading 2 Char"/>
    <w:link w:val="Heading2"/>
    <w:rPr>
      <w:rFonts w:ascii="Times New Roman" w:eastAsia="Times New Roman" w:hAnsi="Times New Roman" w:cs="Times New Roman"/>
      <w:b/>
      <w:sz w:val="24"/>
      <w:szCs w:val="20"/>
    </w:rPr>
  </w:style>
  <w:style w:type="character" w:customStyle="1" w:styleId="Heading3Char">
    <w:name w:val="Heading 3 Char"/>
    <w:link w:val="Heading3"/>
    <w:rPr>
      <w:rFonts w:ascii="Times New Roman" w:eastAsia="Times New Roman" w:hAnsi="Times New Roman" w:cs="Times New Roman"/>
      <w:i/>
      <w:sz w:val="24"/>
      <w:szCs w:val="20"/>
    </w:rPr>
  </w:style>
  <w:style w:type="character" w:customStyle="1" w:styleId="Heading4Char">
    <w:name w:val="Heading 4 Char"/>
    <w:link w:val="Heading4"/>
    <w:rPr>
      <w:rFonts w:ascii="Times New Roman" w:eastAsia="Times New Roman" w:hAnsi="Times New Roman" w:cs="Times New Roman"/>
      <w:sz w:val="24"/>
      <w:szCs w:val="20"/>
    </w:rPr>
  </w:style>
  <w:style w:type="character" w:customStyle="1" w:styleId="Heading5Char">
    <w:name w:val="Heading 5 Char"/>
    <w:link w:val="Heading5"/>
    <w:rPr>
      <w:rFonts w:ascii="Arial" w:eastAsia="Times New Roman" w:hAnsi="Arial" w:cs="Times New Roman"/>
      <w:szCs w:val="20"/>
    </w:rPr>
  </w:style>
  <w:style w:type="character" w:customStyle="1" w:styleId="Heading6Char">
    <w:name w:val="Heading 6 Char"/>
    <w:link w:val="Heading6"/>
    <w:rPr>
      <w:rFonts w:ascii="Arial" w:eastAsia="Times New Roman" w:hAnsi="Arial" w:cs="Times New Roman"/>
      <w:i/>
      <w:szCs w:val="20"/>
    </w:rPr>
  </w:style>
  <w:style w:type="character" w:customStyle="1" w:styleId="Heading7Char">
    <w:name w:val="Heading 7 Char"/>
    <w:link w:val="Heading7"/>
    <w:rPr>
      <w:rFonts w:ascii="Arial" w:eastAsia="Times New Roman" w:hAnsi="Arial" w:cs="Times New Roman"/>
      <w:sz w:val="20"/>
      <w:szCs w:val="20"/>
    </w:rPr>
  </w:style>
  <w:style w:type="character" w:customStyle="1" w:styleId="Heading8Char">
    <w:name w:val="Heading 8 Char"/>
    <w:link w:val="Heading8"/>
    <w:rPr>
      <w:rFonts w:ascii="Arial" w:eastAsia="Times New Roman" w:hAnsi="Arial" w:cs="Times New Roman"/>
      <w:i/>
      <w:sz w:val="20"/>
      <w:szCs w:val="20"/>
    </w:rPr>
  </w:style>
  <w:style w:type="character" w:customStyle="1" w:styleId="Heading9Char">
    <w:name w:val="Heading 9 Char"/>
    <w:link w:val="Heading9"/>
    <w:rPr>
      <w:rFonts w:ascii="Arial" w:eastAsia="Times New Roman" w:hAnsi="Arial" w:cs="Times New Roman"/>
      <w:i/>
      <w:sz w:val="18"/>
      <w:szCs w:val="20"/>
    </w:rPr>
  </w:style>
  <w:style w:type="paragraph" w:customStyle="1" w:styleId="Text1">
    <w:name w:val="Text 1"/>
    <w:basedOn w:val="Normal"/>
    <w:pPr>
      <w:spacing w:after="240" w:line="240" w:lineRule="auto"/>
      <w:ind w:left="482"/>
      <w:jc w:val="both"/>
    </w:pPr>
    <w:rPr>
      <w:rFonts w:ascii="Times New Roman" w:eastAsia="Times New Roman" w:hAnsi="Times New Roman"/>
      <w:sz w:val="24"/>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sz w:val="24"/>
    </w:rPr>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sz w:val="24"/>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sz w:val="24"/>
    </w:rPr>
  </w:style>
  <w:style w:type="paragraph" w:customStyle="1" w:styleId="Address">
    <w:name w:val="Address"/>
    <w:basedOn w:val="Normal"/>
    <w:pPr>
      <w:spacing w:after="0" w:line="240" w:lineRule="auto"/>
    </w:pPr>
    <w:rPr>
      <w:rFonts w:ascii="Times New Roman" w:eastAsia="Times New Roman" w:hAnsi="Times New Roman"/>
      <w:sz w:val="24"/>
    </w:rPr>
  </w:style>
  <w:style w:type="paragraph" w:customStyle="1" w:styleId="AddressTL">
    <w:name w:val="AddressTL"/>
    <w:basedOn w:val="Normal"/>
    <w:next w:val="Normal"/>
    <w:pPr>
      <w:spacing w:after="720" w:line="240" w:lineRule="auto"/>
    </w:pPr>
    <w:rPr>
      <w:rFonts w:ascii="Times New Roman" w:eastAsia="Times New Roman" w:hAnsi="Times New Roman"/>
      <w:sz w:val="24"/>
    </w:rPr>
  </w:style>
  <w:style w:type="paragraph" w:customStyle="1" w:styleId="AddressTR">
    <w:name w:val="AddressTR"/>
    <w:basedOn w:val="Normal"/>
    <w:next w:val="Normal"/>
    <w:pPr>
      <w:spacing w:after="720" w:line="240" w:lineRule="auto"/>
      <w:ind w:left="5103"/>
    </w:pPr>
    <w:rPr>
      <w:rFonts w:ascii="Times New Roman" w:eastAsia="Times New Roman" w:hAnsi="Times New Roman"/>
      <w:sz w:val="24"/>
    </w:rPr>
  </w:style>
  <w:style w:type="paragraph" w:styleId="BlockText">
    <w:name w:val="Block Text"/>
    <w:basedOn w:val="Normal"/>
    <w:pPr>
      <w:spacing w:after="120" w:line="240" w:lineRule="auto"/>
      <w:ind w:left="1440" w:right="1440"/>
      <w:jc w:val="both"/>
    </w:pPr>
    <w:rPr>
      <w:rFonts w:ascii="Times New Roman" w:eastAsia="Times New Roman" w:hAnsi="Times New Roman"/>
      <w:sz w:val="24"/>
    </w:rPr>
  </w:style>
  <w:style w:type="paragraph" w:styleId="BodyText">
    <w:name w:val="Body Text"/>
    <w:basedOn w:val="Normal"/>
    <w:link w:val="BodyTextChar"/>
    <w:pPr>
      <w:spacing w:after="120" w:line="240" w:lineRule="auto"/>
      <w:jc w:val="both"/>
    </w:pPr>
    <w:rPr>
      <w:rFonts w:ascii="Times New Roman" w:eastAsia="Times New Roman" w:hAnsi="Times New Roman"/>
      <w:sz w:val="24"/>
    </w:rPr>
  </w:style>
  <w:style w:type="character" w:customStyle="1" w:styleId="BodyTextChar">
    <w:name w:val="Body Text Char"/>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sz w:val="24"/>
    </w:rPr>
  </w:style>
  <w:style w:type="character" w:customStyle="1" w:styleId="BodyText2Char">
    <w:name w:val="Body Text 2 Char"/>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sz w:val="16"/>
    </w:rPr>
  </w:style>
  <w:style w:type="character" w:customStyle="1" w:styleId="BodyText3Char">
    <w:name w:val="Body Text 3 Char"/>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sz w:val="24"/>
    </w:rPr>
  </w:style>
  <w:style w:type="character" w:customStyle="1" w:styleId="BodyTextIndentChar">
    <w:name w:val="Body Text Indent Char"/>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sz w:val="24"/>
    </w:rPr>
  </w:style>
  <w:style w:type="character" w:customStyle="1" w:styleId="BodyTextIndent2Char">
    <w:name w:val="Body Text Indent 2 Char"/>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rPr>
  </w:style>
  <w:style w:type="character" w:customStyle="1" w:styleId="BodyTextIndent3Char">
    <w:name w:val="Body Text Indent 3 Char"/>
    <w:link w:val="BodyTextIndent3"/>
    <w:rPr>
      <w:rFonts w:ascii="Times New Roman" w:eastAsia="Times New Roman" w:hAnsi="Times New Roman" w:cs="Times New Roman"/>
      <w:sz w:val="16"/>
      <w:szCs w:val="20"/>
    </w:rPr>
  </w:style>
  <w:style w:type="paragraph" w:styleId="Caption">
    <w:name w:val="caption"/>
    <w:basedOn w:val="Normal"/>
    <w:next w:val="Normal"/>
    <w:pPr>
      <w:spacing w:before="120" w:after="120" w:line="240" w:lineRule="auto"/>
      <w:jc w:val="both"/>
    </w:pPr>
    <w:rPr>
      <w:rFonts w:ascii="Times New Roman" w:eastAsia="Times New Roman" w:hAnsi="Times New Roman"/>
      <w:b/>
      <w:sz w:val="24"/>
    </w:rPr>
  </w:style>
  <w:style w:type="paragraph" w:customStyle="1" w:styleId="ChapterTitle">
    <w:name w:val="ChapterTitle"/>
    <w:basedOn w:val="Normal"/>
    <w:next w:val="SectionTitle"/>
    <w:pPr>
      <w:keepNext/>
      <w:spacing w:after="480" w:line="240" w:lineRule="auto"/>
      <w:jc w:val="center"/>
    </w:pPr>
    <w:rPr>
      <w:rFonts w:ascii="Times New Roman" w:eastAsia="Times New Roman" w:hAnsi="Times New Roman"/>
      <w:b/>
      <w:sz w:val="32"/>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b/>
      <w:smallCaps/>
      <w:sz w:val="28"/>
    </w:rPr>
  </w:style>
  <w:style w:type="paragraph" w:styleId="Closing">
    <w:name w:val="Closing"/>
    <w:basedOn w:val="Normal"/>
    <w:link w:val="ClosingChar"/>
    <w:pPr>
      <w:spacing w:after="240" w:line="240" w:lineRule="auto"/>
      <w:ind w:left="4252"/>
      <w:jc w:val="both"/>
    </w:pPr>
    <w:rPr>
      <w:rFonts w:ascii="Times New Roman" w:eastAsia="Times New Roman" w:hAnsi="Times New Roman"/>
      <w:sz w:val="24"/>
    </w:rPr>
  </w:style>
  <w:style w:type="character" w:customStyle="1" w:styleId="ClosingChar">
    <w:name w:val="Closing Char"/>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pPr>
      <w:spacing w:after="240" w:line="240" w:lineRule="auto"/>
      <w:jc w:val="both"/>
    </w:pPr>
    <w:rPr>
      <w:rFonts w:ascii="Times New Roman" w:eastAsia="Times New Roman" w:hAnsi="Times New Roman"/>
    </w:rPr>
  </w:style>
  <w:style w:type="character" w:customStyle="1" w:styleId="CommentTextChar">
    <w:name w:val="Comment Text Char"/>
    <w:link w:val="CommentText"/>
    <w:uiPriority w:val="99"/>
    <w:semiHidden/>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sz w:val="24"/>
    </w:rPr>
  </w:style>
  <w:style w:type="character" w:customStyle="1" w:styleId="DateChar">
    <w:name w:val="Date Char"/>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sz w:val="24"/>
    </w:rPr>
  </w:style>
  <w:style w:type="character" w:customStyle="1" w:styleId="DocumentMapChar">
    <w:name w:val="Document Map Char"/>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sz w:val="24"/>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sz w:val="24"/>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rPr>
  </w:style>
  <w:style w:type="character" w:customStyle="1" w:styleId="EndnoteTextChar">
    <w:name w:val="Endnote Text Char"/>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sz w:val="24"/>
    </w:rPr>
  </w:style>
  <w:style w:type="paragraph" w:styleId="EnvelopeReturn">
    <w:name w:val="envelope return"/>
    <w:basedOn w:val="Normal"/>
    <w:pPr>
      <w:spacing w:after="0" w:line="240" w:lineRule="auto"/>
      <w:jc w:val="both"/>
    </w:pPr>
    <w:rPr>
      <w:rFonts w:ascii="Times New Roman" w:eastAsia="Times New Roman" w:hAnsi="Times New Roman"/>
    </w:rPr>
  </w:style>
  <w:style w:type="paragraph" w:styleId="Footer">
    <w:name w:val="footer"/>
    <w:basedOn w:val="Normal"/>
    <w:link w:val="FooterChar"/>
    <w:uiPriority w:val="99"/>
    <w:pPr>
      <w:spacing w:after="0" w:line="240" w:lineRule="auto"/>
      <w:ind w:right="-567"/>
    </w:pPr>
    <w:rPr>
      <w:rFonts w:eastAsia="Times New Roman"/>
      <w:sz w:val="16"/>
    </w:rPr>
  </w:style>
  <w:style w:type="character" w:customStyle="1" w:styleId="FooterChar">
    <w:name w:val="Footer Char"/>
    <w:link w:val="Footer"/>
    <w:uiPriority w:val="99"/>
    <w:rPr>
      <w:rFonts w:ascii="Arial" w:eastAsia="Times New Roman" w:hAnsi="Arial" w:cs="Times New Roman"/>
      <w:sz w:val="16"/>
      <w:szCs w:val="20"/>
    </w:rPr>
  </w:style>
  <w:style w:type="paragraph" w:styleId="FootnoteText">
    <w:name w:val="footnote text"/>
    <w:basedOn w:val="Normal"/>
    <w:link w:val="FootnoteTextChar"/>
    <w:uiPriority w:val="99"/>
    <w:qFormat/>
    <w:pPr>
      <w:spacing w:after="0" w:line="240" w:lineRule="auto"/>
      <w:ind w:left="357" w:hanging="357"/>
      <w:jc w:val="both"/>
    </w:pPr>
    <w:rPr>
      <w:rFonts w:eastAsia="Times New Roman" w:cs="Arial"/>
      <w:sz w:val="18"/>
      <w:szCs w:val="18"/>
    </w:rPr>
  </w:style>
  <w:style w:type="character" w:customStyle="1" w:styleId="FootnoteTextChar">
    <w:name w:val="Footnote Text Char"/>
    <w:link w:val="FootnoteText"/>
    <w:uiPriority w:val="99"/>
    <w:rPr>
      <w:rFonts w:ascii="Arial" w:eastAsia="Times New Roman" w:hAnsi="Arial" w:cs="Arial"/>
      <w:sz w:val="18"/>
      <w:szCs w:val="18"/>
    </w:rPr>
  </w:style>
  <w:style w:type="paragraph" w:styleId="Header">
    <w:name w:val="header"/>
    <w:basedOn w:val="Normal"/>
    <w:link w:val="HeaderChar"/>
    <w:uiPriority w:val="99"/>
    <w:pPr>
      <w:tabs>
        <w:tab w:val="center" w:pos="4153"/>
        <w:tab w:val="right" w:pos="8306"/>
      </w:tabs>
      <w:spacing w:after="240" w:line="240" w:lineRule="auto"/>
      <w:jc w:val="both"/>
    </w:pPr>
    <w:rPr>
      <w:rFonts w:ascii="Times New Roman" w:eastAsia="Times New Roman" w:hAnsi="Times New Roman"/>
      <w:sz w:val="24"/>
    </w:r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sz w:val="24"/>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sz w:val="24"/>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sz w:val="24"/>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sz w:val="24"/>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sz w:val="24"/>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sz w:val="24"/>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sz w:val="24"/>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sz w:val="24"/>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sz w:val="24"/>
    </w:rPr>
  </w:style>
  <w:style w:type="paragraph" w:styleId="IndexHeading">
    <w:name w:val="index heading"/>
    <w:basedOn w:val="Normal"/>
    <w:next w:val="Index1"/>
    <w:semiHidden/>
    <w:pPr>
      <w:spacing w:after="240" w:line="240" w:lineRule="auto"/>
      <w:jc w:val="both"/>
    </w:pPr>
    <w:rPr>
      <w:rFonts w:eastAsia="Times New Roman"/>
      <w:b/>
      <w:sz w:val="24"/>
    </w:rPr>
  </w:style>
  <w:style w:type="paragraph" w:styleId="List">
    <w:name w:val="List"/>
    <w:basedOn w:val="Normal"/>
    <w:pPr>
      <w:spacing w:after="240" w:line="240" w:lineRule="auto"/>
      <w:ind w:left="283" w:hanging="283"/>
      <w:jc w:val="both"/>
    </w:pPr>
    <w:rPr>
      <w:rFonts w:ascii="Times New Roman" w:eastAsia="Times New Roman" w:hAnsi="Times New Roman"/>
      <w:sz w:val="24"/>
    </w:rPr>
  </w:style>
  <w:style w:type="paragraph" w:styleId="List2">
    <w:name w:val="List 2"/>
    <w:basedOn w:val="Normal"/>
    <w:pPr>
      <w:spacing w:after="240" w:line="240" w:lineRule="auto"/>
      <w:ind w:left="566" w:hanging="283"/>
      <w:jc w:val="both"/>
    </w:pPr>
    <w:rPr>
      <w:rFonts w:ascii="Times New Roman" w:eastAsia="Times New Roman" w:hAnsi="Times New Roman"/>
      <w:sz w:val="24"/>
    </w:rPr>
  </w:style>
  <w:style w:type="paragraph" w:styleId="List3">
    <w:name w:val="List 3"/>
    <w:basedOn w:val="Normal"/>
    <w:pPr>
      <w:spacing w:after="240" w:line="240" w:lineRule="auto"/>
      <w:ind w:left="849" w:hanging="283"/>
      <w:jc w:val="both"/>
    </w:pPr>
    <w:rPr>
      <w:rFonts w:ascii="Times New Roman" w:eastAsia="Times New Roman" w:hAnsi="Times New Roman"/>
      <w:sz w:val="24"/>
    </w:rPr>
  </w:style>
  <w:style w:type="paragraph" w:styleId="List4">
    <w:name w:val="List 4"/>
    <w:basedOn w:val="Normal"/>
    <w:pPr>
      <w:spacing w:after="240" w:line="240" w:lineRule="auto"/>
      <w:ind w:left="1132" w:hanging="283"/>
      <w:jc w:val="both"/>
    </w:pPr>
    <w:rPr>
      <w:rFonts w:ascii="Times New Roman" w:eastAsia="Times New Roman" w:hAnsi="Times New Roman"/>
      <w:sz w:val="24"/>
    </w:rPr>
  </w:style>
  <w:style w:type="paragraph" w:styleId="List5">
    <w:name w:val="List 5"/>
    <w:basedOn w:val="Normal"/>
    <w:pPr>
      <w:spacing w:after="240" w:line="240" w:lineRule="auto"/>
      <w:ind w:left="1415" w:hanging="283"/>
      <w:jc w:val="both"/>
    </w:pPr>
    <w:rPr>
      <w:rFonts w:ascii="Times New Roman" w:eastAsia="Times New Roman" w:hAnsi="Times New Roman"/>
      <w:sz w:val="24"/>
    </w:rPr>
  </w:style>
  <w:style w:type="paragraph" w:styleId="ListBullet">
    <w:name w:val="List Bullet"/>
    <w:basedOn w:val="Normal"/>
    <w:pPr>
      <w:numPr>
        <w:numId w:val="4"/>
      </w:numPr>
      <w:spacing w:after="240" w:line="240" w:lineRule="auto"/>
      <w:jc w:val="both"/>
    </w:pPr>
    <w:rPr>
      <w:rFonts w:ascii="Times New Roman" w:eastAsia="Times New Roman" w:hAnsi="Times New Roman"/>
      <w:sz w:val="24"/>
    </w:r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spacing w:after="240" w:line="240" w:lineRule="auto"/>
      <w:jc w:val="both"/>
    </w:pPr>
    <w:rPr>
      <w:rFonts w:ascii="Times New Roman" w:eastAsia="Times New Roman" w:hAnsi="Times New Roman"/>
      <w:sz w:val="24"/>
    </w:rPr>
  </w:style>
  <w:style w:type="paragraph" w:styleId="ListContinue">
    <w:name w:val="List Continue"/>
    <w:basedOn w:val="Normal"/>
    <w:pPr>
      <w:spacing w:after="120" w:line="240" w:lineRule="auto"/>
      <w:ind w:left="283"/>
      <w:jc w:val="both"/>
    </w:pPr>
    <w:rPr>
      <w:rFonts w:ascii="Times New Roman" w:eastAsia="Times New Roman" w:hAnsi="Times New Roman"/>
      <w:sz w:val="24"/>
    </w:rPr>
  </w:style>
  <w:style w:type="paragraph" w:styleId="ListContinue2">
    <w:name w:val="List Continue 2"/>
    <w:basedOn w:val="Normal"/>
    <w:pPr>
      <w:spacing w:after="120" w:line="240" w:lineRule="auto"/>
      <w:ind w:left="566"/>
      <w:jc w:val="both"/>
    </w:pPr>
    <w:rPr>
      <w:rFonts w:ascii="Times New Roman" w:eastAsia="Times New Roman" w:hAnsi="Times New Roman"/>
      <w:sz w:val="24"/>
    </w:rPr>
  </w:style>
  <w:style w:type="paragraph" w:styleId="ListContinue3">
    <w:name w:val="List Continue 3"/>
    <w:basedOn w:val="Normal"/>
    <w:pPr>
      <w:spacing w:after="120" w:line="240" w:lineRule="auto"/>
      <w:ind w:left="849"/>
      <w:jc w:val="both"/>
    </w:pPr>
    <w:rPr>
      <w:rFonts w:ascii="Times New Roman" w:eastAsia="Times New Roman" w:hAnsi="Times New Roman"/>
      <w:sz w:val="24"/>
    </w:rPr>
  </w:style>
  <w:style w:type="paragraph" w:styleId="ListContinue4">
    <w:name w:val="List Continue 4"/>
    <w:basedOn w:val="Normal"/>
    <w:pPr>
      <w:spacing w:after="120" w:line="240" w:lineRule="auto"/>
      <w:ind w:left="1132"/>
      <w:jc w:val="both"/>
    </w:pPr>
    <w:rPr>
      <w:rFonts w:ascii="Times New Roman" w:eastAsia="Times New Roman" w:hAnsi="Times New Roman"/>
      <w:sz w:val="24"/>
    </w:rPr>
  </w:style>
  <w:style w:type="paragraph" w:styleId="ListContinue5">
    <w:name w:val="List Continue 5"/>
    <w:basedOn w:val="Normal"/>
    <w:pPr>
      <w:spacing w:after="120" w:line="240" w:lineRule="auto"/>
      <w:ind w:left="1415"/>
      <w:jc w:val="both"/>
    </w:pPr>
    <w:rPr>
      <w:rFonts w:ascii="Times New Roman" w:eastAsia="Times New Roman" w:hAnsi="Times New Roman"/>
      <w:sz w:val="24"/>
    </w:rPr>
  </w:style>
  <w:style w:type="paragraph" w:styleId="ListNumber">
    <w:name w:val="List Number"/>
    <w:basedOn w:val="Normal"/>
    <w:pPr>
      <w:numPr>
        <w:numId w:val="14"/>
      </w:numPr>
      <w:spacing w:after="240" w:line="240" w:lineRule="auto"/>
      <w:jc w:val="both"/>
    </w:pPr>
    <w:rPr>
      <w:rFonts w:ascii="Times New Roman" w:eastAsia="Times New Roman" w:hAnsi="Times New Roman"/>
      <w:sz w:val="24"/>
    </w:r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spacing w:after="240" w:line="240" w:lineRule="auto"/>
      <w:jc w:val="both"/>
    </w:pPr>
    <w:rPr>
      <w:rFonts w:ascii="Times New Roman" w:eastAsia="Times New Roman" w:hAnsi="Times New Roman"/>
      <w:sz w:val="24"/>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u w:val="single"/>
      <w:lang w:eastAsia="en-US"/>
    </w:rPr>
  </w:style>
  <w:style w:type="character" w:customStyle="1" w:styleId="MacroTextChar">
    <w:name w:val="Macro Text Char"/>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eastAsia="Times New Roman"/>
      <w:sz w:val="24"/>
    </w:rPr>
  </w:style>
  <w:style w:type="character" w:customStyle="1" w:styleId="MessageHeaderChar">
    <w:name w:val="Message Header Char"/>
    <w:link w:val="MessageHeader"/>
    <w:rPr>
      <w:rFonts w:ascii="Arial" w:eastAsia="Times New Roman" w:hAnsi="Arial" w:cs="Times New Roman"/>
      <w:sz w:val="24"/>
      <w:szCs w:val="20"/>
      <w:shd w:val="pct20" w:color="auto" w:fill="auto"/>
    </w:rPr>
  </w:style>
  <w:style w:type="paragraph" w:styleId="NormalIndent">
    <w:name w:val="Normal Indent"/>
    <w:basedOn w:val="Normal"/>
    <w:link w:val="NormalIndentChar"/>
    <w:pPr>
      <w:spacing w:after="240" w:line="240" w:lineRule="auto"/>
      <w:ind w:left="720"/>
      <w:jc w:val="both"/>
    </w:pPr>
    <w:rPr>
      <w:rFonts w:ascii="Times New Roman" w:eastAsia="Times New Roman" w:hAnsi="Times New Roman"/>
      <w:sz w:val="24"/>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sz w:val="24"/>
    </w:rPr>
  </w:style>
  <w:style w:type="character" w:customStyle="1" w:styleId="NoteHeadingChar">
    <w:name w:val="Note Heading Char"/>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b/>
      <w:smallCaps/>
      <w:sz w:val="24"/>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b/>
      <w:sz w:val="24"/>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b/>
      <w:smallCaps/>
      <w:sz w:val="24"/>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line="240" w:lineRule="auto"/>
      <w:jc w:val="center"/>
    </w:pPr>
    <w:rPr>
      <w:rFonts w:ascii="Times New Roman" w:eastAsia="Times New Roman" w:hAnsi="Times New Roman"/>
      <w:b/>
      <w:sz w:val="36"/>
    </w:rPr>
  </w:style>
  <w:style w:type="paragraph" w:styleId="PlainText">
    <w:name w:val="Plain Text"/>
    <w:basedOn w:val="Normal"/>
    <w:link w:val="PlainTextChar"/>
    <w:pPr>
      <w:spacing w:after="240" w:line="240" w:lineRule="auto"/>
      <w:jc w:val="both"/>
    </w:pPr>
    <w:rPr>
      <w:rFonts w:ascii="Courier New" w:eastAsia="Times New Roman" w:hAnsi="Courier New"/>
    </w:rPr>
  </w:style>
  <w:style w:type="character" w:customStyle="1" w:styleId="PlainTextChar">
    <w:name w:val="Plain Text Char"/>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sz w:val="24"/>
    </w:rPr>
  </w:style>
  <w:style w:type="character" w:customStyle="1" w:styleId="SalutationChar">
    <w:name w:val="Salutation Char"/>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sz w:val="24"/>
    </w:rPr>
  </w:style>
  <w:style w:type="character" w:customStyle="1" w:styleId="SignatureChar">
    <w:name w:val="Signature Char"/>
    <w:link w:val="Signature"/>
    <w:rPr>
      <w:rFonts w:ascii="Times New Roman" w:eastAsia="Times New Roman" w:hAnsi="Times New Roman" w:cs="Times New Roman"/>
      <w:sz w:val="24"/>
      <w:szCs w:val="20"/>
    </w:rPr>
  </w:style>
  <w:style w:type="paragraph" w:styleId="Subtitle">
    <w:name w:val="Subtitle"/>
    <w:basedOn w:val="Normal"/>
    <w:link w:val="SubtitleChar"/>
    <w:pPr>
      <w:spacing w:after="60" w:line="240" w:lineRule="auto"/>
      <w:jc w:val="center"/>
      <w:outlineLvl w:val="1"/>
    </w:pPr>
    <w:rPr>
      <w:rFonts w:eastAsia="Times New Roman"/>
      <w:sz w:val="24"/>
    </w:rPr>
  </w:style>
  <w:style w:type="character" w:customStyle="1" w:styleId="SubtitleChar">
    <w:name w:val="Subtitle Char"/>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b/>
      <w:sz w:val="40"/>
    </w:rPr>
  </w:style>
  <w:style w:type="paragraph" w:customStyle="1" w:styleId="SubTitle2">
    <w:name w:val="SubTitle 2"/>
    <w:basedOn w:val="Normal"/>
    <w:pPr>
      <w:spacing w:after="240" w:line="240" w:lineRule="auto"/>
      <w:jc w:val="center"/>
    </w:pPr>
    <w:rPr>
      <w:rFonts w:ascii="Times New Roman" w:eastAsia="Times New Roman" w:hAnsi="Times New Roman"/>
      <w:b/>
      <w:sz w:val="32"/>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sz w:val="24"/>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sz w:val="24"/>
    </w:rPr>
  </w:style>
  <w:style w:type="paragraph" w:styleId="Title">
    <w:name w:val="Title"/>
    <w:basedOn w:val="Normal"/>
    <w:next w:val="SubTitle1"/>
    <w:link w:val="TitleChar"/>
    <w:pPr>
      <w:spacing w:after="480" w:line="240" w:lineRule="auto"/>
      <w:jc w:val="center"/>
    </w:pPr>
    <w:rPr>
      <w:rFonts w:ascii="Times New Roman" w:eastAsia="Times New Roman" w:hAnsi="Times New Roman"/>
      <w:b/>
      <w:kern w:val="28"/>
      <w:sz w:val="48"/>
    </w:rPr>
  </w:style>
  <w:style w:type="character" w:customStyle="1" w:styleId="TitleChar">
    <w:name w:val="Title Char"/>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after="240" w:line="240" w:lineRule="auto"/>
      <w:jc w:val="both"/>
    </w:pPr>
    <w:rPr>
      <w:rFonts w:eastAsia="Times New Roman"/>
      <w:b/>
      <w:sz w:val="24"/>
    </w:rPr>
  </w:style>
  <w:style w:type="paragraph" w:styleId="TOC1">
    <w:name w:val="toc 1"/>
    <w:basedOn w:val="Normal"/>
    <w:next w:val="Normal"/>
    <w:autoRedefine/>
    <w:uiPriority w:val="39"/>
    <w:qFormat/>
    <w:pPr>
      <w:spacing w:before="240" w:after="120" w:line="240" w:lineRule="auto"/>
    </w:pPr>
    <w:rPr>
      <w:rFonts w:eastAsia="Times New Roman"/>
      <w:b/>
      <w:bCs/>
    </w:rPr>
  </w:style>
  <w:style w:type="paragraph" w:styleId="TOC2">
    <w:name w:val="toc 2"/>
    <w:basedOn w:val="Normal"/>
    <w:next w:val="Normal"/>
    <w:autoRedefine/>
    <w:uiPriority w:val="39"/>
    <w:qFormat/>
    <w:pPr>
      <w:tabs>
        <w:tab w:val="left" w:pos="720"/>
        <w:tab w:val="right" w:leader="dot" w:pos="8873"/>
      </w:tabs>
      <w:spacing w:before="120" w:after="0" w:line="240" w:lineRule="auto"/>
      <w:ind w:left="720" w:hanging="480"/>
    </w:pPr>
    <w:rPr>
      <w:rFonts w:eastAsia="Times New Roman" w:cs="Arial"/>
      <w:bCs/>
      <w:iCs/>
      <w:noProof/>
    </w:rPr>
  </w:style>
  <w:style w:type="paragraph" w:styleId="TOC3">
    <w:name w:val="toc 3"/>
    <w:basedOn w:val="Normal"/>
    <w:next w:val="Normal"/>
    <w:uiPriority w:val="39"/>
    <w:pPr>
      <w:spacing w:after="0" w:line="240" w:lineRule="auto"/>
      <w:ind w:left="480"/>
    </w:pPr>
    <w:rPr>
      <w:rFonts w:ascii="Calibri" w:eastAsia="Times New Roman" w:hAnsi="Calibri"/>
    </w:rPr>
  </w:style>
  <w:style w:type="paragraph" w:styleId="TOC4">
    <w:name w:val="toc 4"/>
    <w:basedOn w:val="Normal"/>
    <w:next w:val="Normal"/>
    <w:semiHidden/>
    <w:pPr>
      <w:spacing w:after="0" w:line="240" w:lineRule="auto"/>
      <w:ind w:left="720"/>
    </w:pPr>
    <w:rPr>
      <w:rFonts w:ascii="Calibri" w:eastAsia="Times New Roman" w:hAnsi="Calibri"/>
    </w:rPr>
  </w:style>
  <w:style w:type="paragraph" w:styleId="TOC5">
    <w:name w:val="toc 5"/>
    <w:basedOn w:val="Normal"/>
    <w:next w:val="Normal"/>
    <w:semiHidden/>
    <w:pPr>
      <w:spacing w:after="0" w:line="240" w:lineRule="auto"/>
      <w:ind w:left="960"/>
    </w:pPr>
    <w:rPr>
      <w:rFonts w:ascii="Calibri" w:eastAsia="Times New Roman" w:hAnsi="Calibri"/>
    </w:rPr>
  </w:style>
  <w:style w:type="paragraph" w:styleId="TOC6">
    <w:name w:val="toc 6"/>
    <w:basedOn w:val="Normal"/>
    <w:next w:val="Normal"/>
    <w:autoRedefine/>
    <w:semiHidden/>
    <w:pPr>
      <w:spacing w:after="0" w:line="240" w:lineRule="auto"/>
      <w:ind w:left="1200"/>
    </w:pPr>
    <w:rPr>
      <w:rFonts w:ascii="Calibri" w:eastAsia="Times New Roman" w:hAnsi="Calibri"/>
    </w:rPr>
  </w:style>
  <w:style w:type="paragraph" w:styleId="TOC7">
    <w:name w:val="toc 7"/>
    <w:basedOn w:val="Normal"/>
    <w:next w:val="Normal"/>
    <w:autoRedefine/>
    <w:semiHidden/>
    <w:pPr>
      <w:spacing w:after="0" w:line="240" w:lineRule="auto"/>
      <w:ind w:left="1440"/>
    </w:pPr>
    <w:rPr>
      <w:rFonts w:ascii="Calibri" w:eastAsia="Times New Roman" w:hAnsi="Calibri"/>
    </w:rPr>
  </w:style>
  <w:style w:type="paragraph" w:styleId="TOC8">
    <w:name w:val="toc 8"/>
    <w:basedOn w:val="Normal"/>
    <w:next w:val="Normal"/>
    <w:autoRedefine/>
    <w:semiHidden/>
    <w:pPr>
      <w:spacing w:after="0" w:line="240" w:lineRule="auto"/>
      <w:ind w:left="1680"/>
    </w:pPr>
    <w:rPr>
      <w:rFonts w:ascii="Calibri" w:eastAsia="Times New Roman" w:hAnsi="Calibri"/>
    </w:rPr>
  </w:style>
  <w:style w:type="paragraph" w:styleId="TOC9">
    <w:name w:val="toc 9"/>
    <w:basedOn w:val="Normal"/>
    <w:next w:val="Normal"/>
    <w:autoRedefine/>
    <w:semiHidden/>
    <w:pPr>
      <w:spacing w:after="0" w:line="240" w:lineRule="auto"/>
      <w:ind w:left="1920"/>
    </w:pPr>
    <w:rPr>
      <w:rFonts w:ascii="Calibri" w:eastAsia="Times New Roman" w:hAnsi="Calibri"/>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sz w:val="24"/>
    </w:rPr>
  </w:style>
  <w:style w:type="paragraph" w:customStyle="1" w:styleId="ListBullet1">
    <w:name w:val="List Bullet 1"/>
    <w:basedOn w:val="Text1"/>
    <w:pPr>
      <w:numPr>
        <w:numId w:val="5"/>
      </w:numPr>
    </w:pPr>
  </w:style>
  <w:style w:type="paragraph" w:customStyle="1" w:styleId="ListDash">
    <w:name w:val="List Dash"/>
    <w:basedOn w:val="Normal"/>
    <w:pPr>
      <w:numPr>
        <w:numId w:val="9"/>
      </w:numPr>
      <w:spacing w:after="240" w:line="240" w:lineRule="auto"/>
      <w:jc w:val="both"/>
    </w:pPr>
    <w:rPr>
      <w:rFonts w:ascii="Times New Roman" w:eastAsia="Times New Roman" w:hAnsi="Times New Roman"/>
      <w:sz w:val="24"/>
    </w:r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spacing w:after="240" w:line="240" w:lineRule="auto"/>
      <w:jc w:val="both"/>
    </w:pPr>
    <w:rPr>
      <w:rFonts w:ascii="Times New Roman" w:eastAsia="Times New Roman" w:hAnsi="Times New Roman"/>
      <w:sz w:val="24"/>
    </w:rPr>
  </w:style>
  <w:style w:type="paragraph" w:customStyle="1" w:styleId="ListNumberLevel3">
    <w:name w:val="List Number (Level 3)"/>
    <w:basedOn w:val="Normal"/>
    <w:pPr>
      <w:numPr>
        <w:ilvl w:val="2"/>
        <w:numId w:val="14"/>
      </w:numPr>
      <w:spacing w:after="240" w:line="240" w:lineRule="auto"/>
      <w:jc w:val="both"/>
    </w:pPr>
    <w:rPr>
      <w:rFonts w:ascii="Times New Roman" w:eastAsia="Times New Roman" w:hAnsi="Times New Roman"/>
      <w:sz w:val="24"/>
    </w:rPr>
  </w:style>
  <w:style w:type="paragraph" w:customStyle="1" w:styleId="ListNumberLevel4">
    <w:name w:val="List Number (Level 4)"/>
    <w:basedOn w:val="Normal"/>
    <w:pPr>
      <w:numPr>
        <w:ilvl w:val="3"/>
        <w:numId w:val="14"/>
      </w:numPr>
      <w:spacing w:after="240" w:line="240" w:lineRule="auto"/>
      <w:jc w:val="both"/>
    </w:pPr>
    <w:rPr>
      <w:rFonts w:ascii="Times New Roman" w:eastAsia="Times New Roman" w:hAnsi="Times New Roman"/>
      <w:sz w:val="24"/>
    </w:r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after="240" w:line="240" w:lineRule="auto"/>
      <w:jc w:val="center"/>
    </w:pPr>
    <w:rPr>
      <w:rFonts w:ascii="Times New Roman" w:eastAsia="Times New Roman" w:hAnsi="Times New Roman"/>
      <w:b/>
      <w:sz w:val="24"/>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sz w:val="24"/>
    </w:rPr>
  </w:style>
  <w:style w:type="paragraph" w:customStyle="1" w:styleId="ZCom">
    <w:name w:val="Z_Com"/>
    <w:basedOn w:val="Normal"/>
    <w:next w:val="ZDGName"/>
    <w:pPr>
      <w:widowControl w:val="0"/>
      <w:autoSpaceDE w:val="0"/>
      <w:autoSpaceDN w:val="0"/>
      <w:spacing w:after="0" w:line="240" w:lineRule="auto"/>
      <w:ind w:right="85"/>
      <w:jc w:val="both"/>
    </w:pPr>
    <w:rPr>
      <w:rFonts w:eastAsia="Times New Roman" w:cs="Arial"/>
      <w:sz w:val="24"/>
      <w:szCs w:val="24"/>
      <w:lang w:eastAsia="en-GB"/>
    </w:rPr>
  </w:style>
  <w:style w:type="paragraph" w:customStyle="1" w:styleId="ZDGName">
    <w:name w:val="Z_DGName"/>
    <w:basedOn w:val="Normal"/>
    <w:pPr>
      <w:widowControl w:val="0"/>
      <w:autoSpaceDE w:val="0"/>
      <w:autoSpaceDN w:val="0"/>
      <w:spacing w:after="0" w:line="240" w:lineRule="auto"/>
      <w:ind w:right="85"/>
    </w:pPr>
    <w:rPr>
      <w:rFonts w:eastAsia="Times New Roman" w:cs="Arial"/>
      <w:sz w:val="16"/>
      <w:szCs w:val="16"/>
      <w:lang w:eastAsia="en-GB"/>
    </w:rPr>
  </w:style>
  <w:style w:type="character" w:styleId="Hyperlink">
    <w:name w:val="Hyperlink"/>
    <w:uiPriority w:val="99"/>
    <w:rPr>
      <w:color w:val="0000FF"/>
      <w:u w:val="single"/>
    </w:rPr>
  </w:style>
  <w:style w:type="character" w:styleId="FootnoteReference">
    <w:name w:val="footnote reference"/>
    <w:aliases w:val="BVI fnr,SUPERS,Footnote symbol,(Footnote Reference),Footnote,Voetnootverwijzing,Times 10 Point,Exposant 3 Point,Footnote reference number,note TESI,Odwołanie przypisu, BVI fnr,Appel note de bas de p,Nota,16 Point,Superscript 6 Point"/>
    <w:uiPriority w:val="99"/>
    <w:qFormat/>
    <w:rPr>
      <w:vertAlign w:val="superscript"/>
    </w:rPr>
  </w:style>
  <w:style w:type="table" w:styleId="ColorfulGrid-Accent3">
    <w:name w:val="Colorful Grid Accent 3"/>
    <w:basedOn w:val="TableNormal"/>
    <w:uiPriority w:val="69"/>
    <w:rPr>
      <w:rFonts w:ascii="Verdana" w:eastAsia="Times New Roman"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DocumentTitle">
    <w:name w:val="Document Title"/>
    <w:basedOn w:val="Normal"/>
    <w:link w:val="DocumentTitleChar"/>
    <w:pPr>
      <w:spacing w:after="240" w:line="240" w:lineRule="auto"/>
      <w:jc w:val="center"/>
    </w:pPr>
    <w:rPr>
      <w:rFonts w:ascii="Verdana" w:eastAsia="Times New Roman" w:hAnsi="Verdana"/>
      <w:b/>
      <w:sz w:val="52"/>
    </w:rPr>
  </w:style>
  <w:style w:type="paragraph" w:customStyle="1" w:styleId="Footerapproval">
    <w:name w:val="Footer approval"/>
    <w:basedOn w:val="Footer"/>
    <w:pPr>
      <w:tabs>
        <w:tab w:val="left" w:pos="6804"/>
      </w:tabs>
    </w:pPr>
    <w:rPr>
      <w:rFonts w:ascii="Verdana" w:hAnsi="Verdana"/>
      <w:sz w:val="13"/>
    </w:rPr>
  </w:style>
  <w:style w:type="character" w:customStyle="1" w:styleId="DocumentTitleChar">
    <w:name w:val="Document Title Char"/>
    <w:link w:val="DocumentTitle"/>
    <w:rPr>
      <w:rFonts w:ascii="Verdana" w:eastAsia="Times New Roman" w:hAnsi="Verdana" w:cs="Times New Roman"/>
      <w:b/>
      <w:sz w:val="52"/>
      <w:szCs w:val="20"/>
    </w:rPr>
  </w:style>
  <w:style w:type="paragraph" w:customStyle="1" w:styleId="FooterDate">
    <w:name w:val="Footer Date"/>
    <w:basedOn w:val="Footer"/>
    <w:link w:val="FooterDateChar"/>
    <w:pPr>
      <w:tabs>
        <w:tab w:val="right" w:pos="9240"/>
      </w:tabs>
    </w:pPr>
    <w:rPr>
      <w:rFonts w:ascii="Verdana" w:hAnsi="Verdana"/>
    </w:rPr>
  </w:style>
  <w:style w:type="character" w:customStyle="1" w:styleId="ApprovalfooterChar">
    <w:name w:val="Approval_footer Char"/>
    <w:rPr>
      <w:rFonts w:ascii="Verdana" w:eastAsia="Times New Roman" w:hAnsi="Verdana" w:cs="Times New Roman"/>
      <w:sz w:val="13"/>
      <w:szCs w:val="20"/>
      <w:lang w:val="bg-BG"/>
    </w:rPr>
  </w:style>
  <w:style w:type="paragraph" w:customStyle="1" w:styleId="PageNumber1">
    <w:name w:val="Page Number1"/>
    <w:basedOn w:val="Footer"/>
    <w:pPr>
      <w:tabs>
        <w:tab w:val="right" w:pos="9240"/>
      </w:tabs>
      <w:ind w:right="-622"/>
    </w:pPr>
    <w:rPr>
      <w:rFonts w:ascii="Verdana" w:hAnsi="Verdana"/>
    </w:rPr>
  </w:style>
  <w:style w:type="character" w:customStyle="1" w:styleId="FooterDateChar">
    <w:name w:val="Footer Date Char"/>
    <w:link w:val="FooterDate"/>
    <w:rPr>
      <w:rFonts w:ascii="Verdana" w:eastAsia="Times New Roman" w:hAnsi="Verdana" w:cs="Times New Roman"/>
      <w:sz w:val="16"/>
      <w:szCs w:val="20"/>
      <w:lang w:val="bg-BG"/>
    </w:rPr>
  </w:style>
  <w:style w:type="character" w:customStyle="1" w:styleId="PagenumberChar">
    <w:name w:val="Page number Char"/>
    <w:rPr>
      <w:rFonts w:ascii="Verdana" w:eastAsia="Times New Roman" w:hAnsi="Verdana" w:cs="Times New Roman"/>
      <w:sz w:val="16"/>
      <w:szCs w:val="20"/>
      <w:lang w:val="bg-BG"/>
    </w:rPr>
  </w:style>
  <w:style w:type="paragraph" w:customStyle="1" w:styleId="DocumentSubtitle">
    <w:name w:val="Document Subtitle"/>
    <w:basedOn w:val="DocumentTitle"/>
    <w:link w:val="DocumentSubtitleChar"/>
    <w:rPr>
      <w:b w:val="0"/>
      <w:sz w:val="32"/>
      <w:szCs w:val="36"/>
    </w:rPr>
  </w:style>
  <w:style w:type="paragraph" w:customStyle="1" w:styleId="HeaderTitle">
    <w:name w:val="Header Title"/>
    <w:basedOn w:val="Normal"/>
    <w:link w:val="HeaderTitleChar"/>
    <w:pPr>
      <w:spacing w:after="240" w:line="240" w:lineRule="auto"/>
      <w:jc w:val="center"/>
    </w:pPr>
    <w:rPr>
      <w:rFonts w:ascii="Verdana" w:eastAsia="Times New Roman" w:hAnsi="Verdana"/>
      <w:b/>
      <w:color w:val="808080"/>
      <w:sz w:val="18"/>
      <w:szCs w:val="18"/>
    </w:rPr>
  </w:style>
  <w:style w:type="character" w:customStyle="1" w:styleId="DocumentSubtitleChar">
    <w:name w:val="Document Subtitle Char"/>
    <w:link w:val="DocumentSubtitle"/>
    <w:rPr>
      <w:rFonts w:ascii="Verdana" w:eastAsia="Times New Roman" w:hAnsi="Verdana" w:cs="Times New Roman"/>
      <w:sz w:val="32"/>
      <w:szCs w:val="36"/>
    </w:rPr>
  </w:style>
  <w:style w:type="paragraph" w:customStyle="1" w:styleId="Bulletpoint1">
    <w:name w:val="Bullet point1"/>
    <w:basedOn w:val="NormalIndent"/>
    <w:link w:val="Bulletpoint1Char"/>
    <w:pPr>
      <w:numPr>
        <w:numId w:val="20"/>
      </w:numPr>
      <w:spacing w:after="120"/>
      <w:jc w:val="left"/>
    </w:pPr>
    <w:rPr>
      <w:rFonts w:ascii="Verdana" w:hAnsi="Verdana"/>
      <w:sz w:val="18"/>
    </w:rPr>
  </w:style>
  <w:style w:type="character" w:customStyle="1" w:styleId="HeaderTitleChar">
    <w:name w:val="Header Title Char"/>
    <w:link w:val="HeaderTitle"/>
    <w:rPr>
      <w:rFonts w:ascii="Verdana" w:eastAsia="Times New Roman" w:hAnsi="Verdana" w:cs="Times New Roman"/>
      <w:b/>
      <w:color w:val="808080"/>
      <w:sz w:val="18"/>
      <w:szCs w:val="18"/>
    </w:rPr>
  </w:style>
  <w:style w:type="paragraph" w:customStyle="1" w:styleId="Heading">
    <w:name w:val="Heading"/>
    <w:basedOn w:val="TOC1"/>
    <w:link w:val="HeadingChar"/>
    <w:pPr>
      <w:widowControl w:val="0"/>
      <w:autoSpaceDE w:val="0"/>
      <w:autoSpaceDN w:val="0"/>
      <w:adjustRightInd w:val="0"/>
      <w:spacing w:after="0"/>
    </w:pPr>
    <w:rPr>
      <w:b w:val="0"/>
    </w:rPr>
  </w:style>
  <w:style w:type="character" w:customStyle="1" w:styleId="NormalIndentChar">
    <w:name w:val="Normal Indent Char"/>
    <w:link w:val="NormalIndent"/>
    <w:rPr>
      <w:rFonts w:ascii="Times New Roman" w:eastAsia="Times New Roman" w:hAnsi="Times New Roman" w:cs="Times New Roman"/>
      <w:sz w:val="24"/>
      <w:szCs w:val="20"/>
    </w:rPr>
  </w:style>
  <w:style w:type="character" w:customStyle="1" w:styleId="Bulletpoint1Char">
    <w:name w:val="Bullet point1 Char"/>
    <w:link w:val="Bulletpoint1"/>
    <w:rPr>
      <w:rFonts w:ascii="Verdana" w:eastAsia="Times New Roman" w:hAnsi="Verdana" w:cs="Times New Roman"/>
      <w:sz w:val="18"/>
      <w:szCs w:val="20"/>
    </w:rPr>
  </w:style>
  <w:style w:type="paragraph" w:customStyle="1" w:styleId="BulletPoint2">
    <w:name w:val="Bullet Point 2"/>
    <w:basedOn w:val="NormalIndent"/>
    <w:link w:val="BulletPoint2Char"/>
    <w:pPr>
      <w:numPr>
        <w:numId w:val="19"/>
      </w:numPr>
      <w:spacing w:after="120"/>
      <w:ind w:left="1077" w:hanging="357"/>
      <w:jc w:val="left"/>
    </w:pPr>
    <w:rPr>
      <w:rFonts w:ascii="Verdana" w:hAnsi="Verdana"/>
      <w:sz w:val="18"/>
    </w:rPr>
  </w:style>
  <w:style w:type="character" w:customStyle="1" w:styleId="HeadingChar">
    <w:name w:val="Heading Char"/>
    <w:link w:val="Heading"/>
    <w:rPr>
      <w:rFonts w:ascii="Calibri" w:eastAsia="Times New Roman" w:hAnsi="Calibri" w:cs="Times New Roman"/>
      <w:bCs/>
      <w:sz w:val="20"/>
      <w:szCs w:val="20"/>
      <w:u w:val="single"/>
    </w:rPr>
  </w:style>
  <w:style w:type="paragraph" w:customStyle="1" w:styleId="Body">
    <w:name w:val="Body"/>
    <w:basedOn w:val="Normal"/>
    <w:link w:val="BodyChar"/>
    <w:qFormat/>
    <w:pPr>
      <w:spacing w:after="240" w:line="240" w:lineRule="auto"/>
      <w:ind w:left="357"/>
      <w:jc w:val="both"/>
    </w:pPr>
    <w:rPr>
      <w:rFonts w:eastAsia="Times New Roman" w:cs="Arial"/>
    </w:rPr>
  </w:style>
  <w:style w:type="character" w:customStyle="1" w:styleId="BulletPoint2Char">
    <w:name w:val="Bullet Point 2 Char"/>
    <w:link w:val="BulletPoint2"/>
    <w:rPr>
      <w:rFonts w:ascii="Verdana" w:eastAsia="Times New Roman" w:hAnsi="Verdana" w:cs="Times New Roman"/>
      <w:sz w:val="18"/>
      <w:szCs w:val="20"/>
    </w:rPr>
  </w:style>
  <w:style w:type="paragraph" w:customStyle="1" w:styleId="Heading20">
    <w:name w:val="Heading2"/>
    <w:basedOn w:val="Title2"/>
    <w:link w:val="Heading2Char0"/>
    <w:pPr>
      <w:numPr>
        <w:numId w:val="0"/>
      </w:numPr>
    </w:pPr>
    <w:rPr>
      <w:rFonts w:ascii="Verdana" w:hAnsi="Verdana"/>
      <w:b/>
      <w:i/>
    </w:rPr>
  </w:style>
  <w:style w:type="character" w:customStyle="1" w:styleId="BodyChar">
    <w:name w:val="Body Char"/>
    <w:link w:val="Body"/>
    <w:rPr>
      <w:rFonts w:ascii="Arial" w:eastAsia="Times New Roman" w:hAnsi="Arial" w:cs="Arial"/>
      <w:sz w:val="20"/>
      <w:szCs w:val="20"/>
    </w:rPr>
  </w:style>
  <w:style w:type="table" w:styleId="TableGrid">
    <w:name w:val="Table Grid"/>
    <w:aliases w:val="Document Table"/>
    <w:basedOn w:val="TableNormal"/>
    <w:rPr>
      <w:rFonts w:ascii="Verdana" w:eastAsia="Times New Roman"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Pr>
      <w:rFonts w:ascii="Verdana" w:eastAsia="Times New Roman" w:hAnsi="Verdana" w:cs="Times New Roman"/>
      <w:b/>
      <w:i/>
      <w:sz w:val="24"/>
      <w:szCs w:val="20"/>
    </w:rPr>
  </w:style>
  <w:style w:type="table" w:customStyle="1" w:styleId="Style1">
    <w:name w:val="Style1"/>
    <w:basedOn w:val="TableNormal"/>
    <w:rPr>
      <w:rFonts w:ascii="Times New Roman" w:eastAsia="Times New Roman" w:hAnsi="Times New Roman"/>
    </w:rPr>
    <w:tblPr/>
  </w:style>
  <w:style w:type="table" w:styleId="TableElegant">
    <w:name w:val="Table Elegant"/>
    <w:basedOn w:val="TableNormal"/>
    <w:pPr>
      <w:spacing w:after="24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rPr>
  </w:style>
  <w:style w:type="character" w:customStyle="1" w:styleId="FooterDocumentChar">
    <w:name w:val="Footer Document Char"/>
    <w:link w:val="FooterDocument"/>
    <w:rPr>
      <w:rFonts w:ascii="Arial" w:eastAsia="Times New Roman" w:hAnsi="Arial" w:cs="Arial"/>
      <w:i/>
      <w:noProof/>
      <w:sz w:val="13"/>
      <w:szCs w:val="20"/>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Cambria" w:eastAsia="MS Gothic" w:hAnsi="Cambria"/>
      <w:bCs/>
      <w:smallCaps w:val="0"/>
      <w:color w:val="435186"/>
      <w:sz w:val="28"/>
      <w:szCs w:val="28"/>
    </w:rPr>
  </w:style>
  <w:style w:type="paragraph" w:customStyle="1" w:styleId="Title2">
    <w:name w:val="Title 2"/>
    <w:basedOn w:val="Normal"/>
    <w:pPr>
      <w:numPr>
        <w:numId w:val="21"/>
      </w:numPr>
      <w:spacing w:after="240" w:line="240" w:lineRule="auto"/>
      <w:jc w:val="both"/>
    </w:pPr>
    <w:rPr>
      <w:rFonts w:ascii="Times New Roman" w:eastAsia="Times New Roman" w:hAnsi="Times New Roman"/>
      <w:sz w:val="24"/>
    </w:rPr>
  </w:style>
  <w:style w:type="paragraph" w:customStyle="1" w:styleId="Subtitle0">
    <w:name w:val="Subtitle_"/>
    <w:basedOn w:val="TOC2"/>
    <w:link w:val="SubtitleChar0"/>
    <w:pPr>
      <w:ind w:left="0"/>
    </w:pPr>
    <w:rPr>
      <w:b/>
      <w:i/>
    </w:rPr>
  </w:style>
  <w:style w:type="character" w:customStyle="1" w:styleId="SubtitleChar0">
    <w:name w:val="Subtitle_ Char"/>
    <w:link w:val="Subtitle0"/>
    <w:rPr>
      <w:rFonts w:ascii="Calibri" w:eastAsia="Times New Roman" w:hAnsi="Calibri" w:cs="Times New Roman"/>
      <w:b/>
      <w:iCs/>
      <w:sz w:val="20"/>
      <w:szCs w:val="20"/>
    </w:rPr>
  </w:style>
  <w:style w:type="paragraph" w:customStyle="1" w:styleId="HeadingBody">
    <w:name w:val="Heading Body"/>
    <w:basedOn w:val="Normal"/>
    <w:link w:val="HeadingBodyChar"/>
    <w:pPr>
      <w:spacing w:after="120" w:line="240" w:lineRule="auto"/>
      <w:jc w:val="both"/>
    </w:pPr>
    <w:rPr>
      <w:rFonts w:ascii="Verdana" w:eastAsia="Times New Roman" w:hAnsi="Verdana"/>
      <w:b/>
      <w:szCs w:val="18"/>
    </w:rPr>
  </w:style>
  <w:style w:type="paragraph" w:customStyle="1" w:styleId="Titlepublication">
    <w:name w:val="Title publication"/>
    <w:basedOn w:val="Normal"/>
    <w:link w:val="TitlepublicationChar"/>
    <w:pPr>
      <w:spacing w:after="240" w:line="240" w:lineRule="auto"/>
      <w:jc w:val="center"/>
    </w:pPr>
    <w:rPr>
      <w:rFonts w:ascii="Verdana" w:eastAsia="Times New Roman" w:hAnsi="Verdana"/>
      <w:b/>
      <w:color w:val="FF0000"/>
      <w:sz w:val="52"/>
      <w:szCs w:val="52"/>
    </w:rPr>
  </w:style>
  <w:style w:type="character" w:customStyle="1" w:styleId="HeadingBodyChar">
    <w:name w:val="Heading Body Char"/>
    <w:link w:val="HeadingBody"/>
    <w:rPr>
      <w:rFonts w:ascii="Verdana" w:eastAsia="Times New Roman" w:hAnsi="Verdana" w:cs="Times New Roman"/>
      <w:b/>
      <w:sz w:val="20"/>
      <w:szCs w:val="18"/>
    </w:rPr>
  </w:style>
  <w:style w:type="paragraph" w:customStyle="1" w:styleId="Subtitlepublication">
    <w:name w:val="Subtitle publication"/>
    <w:basedOn w:val="Normal"/>
    <w:link w:val="SubtitlepublicationChar"/>
    <w:pPr>
      <w:spacing w:after="240" w:line="240" w:lineRule="auto"/>
      <w:jc w:val="center"/>
    </w:pPr>
    <w:rPr>
      <w:rFonts w:ascii="Verdana" w:eastAsia="Times New Roman" w:hAnsi="Verdana"/>
      <w:b/>
      <w:i/>
      <w:color w:val="FF0000"/>
      <w:sz w:val="32"/>
    </w:rPr>
  </w:style>
  <w:style w:type="character" w:customStyle="1" w:styleId="TitlepublicationChar">
    <w:name w:val="Title publication Char"/>
    <w:link w:val="Titlepublication"/>
    <w:rPr>
      <w:rFonts w:ascii="Verdana" w:eastAsia="Times New Roman" w:hAnsi="Verdana" w:cs="Times New Roman"/>
      <w:b/>
      <w:color w:val="FF0000"/>
      <w:sz w:val="52"/>
      <w:szCs w:val="52"/>
    </w:rPr>
  </w:style>
  <w:style w:type="paragraph" w:customStyle="1" w:styleId="Editorname">
    <w:name w:val="Editor name"/>
    <w:basedOn w:val="Normal"/>
    <w:link w:val="EditornameChar"/>
    <w:pPr>
      <w:spacing w:after="240" w:line="240" w:lineRule="auto"/>
      <w:jc w:val="center"/>
    </w:pPr>
    <w:rPr>
      <w:rFonts w:ascii="Verdana" w:eastAsia="Times New Roman" w:hAnsi="Verdana"/>
      <w:color w:val="FF0000"/>
      <w:sz w:val="24"/>
    </w:rPr>
  </w:style>
  <w:style w:type="character" w:customStyle="1" w:styleId="SubtitlepublicationChar">
    <w:name w:val="Subtitle publication Char"/>
    <w:link w:val="Subtitlepublication"/>
    <w:rPr>
      <w:rFonts w:ascii="Verdana" w:eastAsia="Times New Roman" w:hAnsi="Verdana" w:cs="Times New Roman"/>
      <w:b/>
      <w:i/>
      <w:color w:val="FF0000"/>
      <w:sz w:val="32"/>
      <w:szCs w:val="20"/>
    </w:rPr>
  </w:style>
  <w:style w:type="paragraph" w:customStyle="1" w:styleId="Backcoversummary">
    <w:name w:val="Backcover_summary"/>
    <w:basedOn w:val="Normal"/>
    <w:link w:val="BackcoversummaryChar"/>
    <w:pPr>
      <w:spacing w:after="240" w:line="240" w:lineRule="auto"/>
      <w:jc w:val="both"/>
    </w:pPr>
    <w:rPr>
      <w:rFonts w:ascii="Verdana" w:eastAsia="Times New Roman" w:hAnsi="Verdana"/>
      <w:color w:val="FF0000"/>
      <w:sz w:val="24"/>
    </w:rPr>
  </w:style>
  <w:style w:type="character" w:customStyle="1" w:styleId="EditornameChar">
    <w:name w:val="Editor name Char"/>
    <w:link w:val="Editorname"/>
    <w:rPr>
      <w:rFonts w:ascii="Verdana" w:eastAsia="Times New Roman" w:hAnsi="Verdana" w:cs="Times New Roman"/>
      <w:color w:val="FF0000"/>
      <w:sz w:val="24"/>
      <w:szCs w:val="20"/>
    </w:rPr>
  </w:style>
  <w:style w:type="paragraph" w:customStyle="1" w:styleId="Backcovercategory">
    <w:name w:val="Backcover_category"/>
    <w:basedOn w:val="Normal"/>
    <w:link w:val="BackcovercategoryChar"/>
    <w:pPr>
      <w:spacing w:after="240" w:line="240" w:lineRule="auto"/>
      <w:ind w:right="28"/>
      <w:jc w:val="both"/>
    </w:pPr>
    <w:rPr>
      <w:rFonts w:ascii="Verdana" w:eastAsia="Times New Roman" w:hAnsi="Verdana"/>
      <w:i/>
      <w:color w:val="FF0000"/>
      <w:sz w:val="18"/>
    </w:rPr>
  </w:style>
  <w:style w:type="character" w:customStyle="1" w:styleId="BackcoversummaryChar">
    <w:name w:val="Backcover_summary Char"/>
    <w:link w:val="Backcoversummary"/>
    <w:rPr>
      <w:rFonts w:ascii="Verdana" w:eastAsia="Times New Roman" w:hAnsi="Verdana" w:cs="Times New Roman"/>
      <w:color w:val="FF0000"/>
      <w:sz w:val="24"/>
      <w:szCs w:val="20"/>
    </w:rPr>
  </w:style>
  <w:style w:type="character" w:customStyle="1" w:styleId="BackcovercategoryChar">
    <w:name w:val="Backcover_category Char"/>
    <w:link w:val="Backcovercategory"/>
    <w:rPr>
      <w:rFonts w:ascii="Verdana" w:eastAsia="Times New Roman" w:hAnsi="Verdana" w:cs="Times New Roman"/>
      <w:i/>
      <w:color w:val="FF0000"/>
      <w:sz w:val="18"/>
      <w:szCs w:val="20"/>
    </w:rPr>
  </w:style>
  <w:style w:type="paragraph" w:customStyle="1" w:styleId="kop2">
    <w:name w:val="kop 2"/>
    <w:basedOn w:val="Normal"/>
    <w:next w:val="Normal"/>
    <w:link w:val="kop2Char"/>
    <w:uiPriority w:val="1"/>
    <w:unhideWhenUsed/>
    <w:qFormat/>
    <w:pPr>
      <w:keepNext/>
      <w:keepLines/>
      <w:numPr>
        <w:numId w:val="24"/>
      </w:numPr>
      <w:spacing w:after="120" w:line="240" w:lineRule="auto"/>
      <w:jc w:val="both"/>
      <w:outlineLvl w:val="1"/>
    </w:pPr>
    <w:rPr>
      <w:rFonts w:eastAsia="MS Gothic" w:cs="Arial"/>
      <w:caps/>
      <w:color w:val="4F81BD"/>
      <w:kern w:val="20"/>
      <w:sz w:val="24"/>
      <w:szCs w:val="24"/>
    </w:rPr>
  </w:style>
  <w:style w:type="paragraph" w:customStyle="1" w:styleId="kop3">
    <w:name w:val="kop 3"/>
    <w:basedOn w:val="StyleSubtitleBoldAccent1Left1"/>
    <w:next w:val="Normal"/>
    <w:link w:val="kop3Char"/>
    <w:uiPriority w:val="1"/>
    <w:unhideWhenUsed/>
    <w:qFormat/>
    <w:pPr>
      <w:numPr>
        <w:numId w:val="25"/>
      </w:numPr>
    </w:pPr>
    <w:rPr>
      <w:b w:val="0"/>
    </w:rPr>
  </w:style>
  <w:style w:type="character" w:customStyle="1" w:styleId="kop2Char">
    <w:name w:val="kop 2 Char"/>
    <w:link w:val="kop2"/>
    <w:uiPriority w:val="1"/>
    <w:rPr>
      <w:rFonts w:ascii="Arial" w:eastAsia="MS Gothic" w:hAnsi="Arial" w:cs="Arial"/>
      <w:caps/>
      <w:color w:val="4F81BD"/>
      <w:kern w:val="20"/>
      <w:sz w:val="24"/>
      <w:szCs w:val="24"/>
    </w:rPr>
  </w:style>
  <w:style w:type="character" w:customStyle="1" w:styleId="kop3Char">
    <w:name w:val="kop 3 Char"/>
    <w:link w:val="kop3"/>
    <w:uiPriority w:val="1"/>
    <w:rPr>
      <w:rFonts w:ascii="Arial" w:eastAsia="Times New Roman" w:hAnsi="Arial" w:cs="Times New Roman"/>
      <w:bCs/>
      <w:color w:val="4F81BD"/>
      <w:sz w:val="24"/>
      <w:szCs w:val="20"/>
    </w:rPr>
  </w:style>
  <w:style w:type="paragraph" w:customStyle="1" w:styleId="Lijstje">
    <w:name w:val="Lijstje"/>
    <w:basedOn w:val="NoSpacing"/>
    <w:uiPriority w:val="1"/>
    <w:unhideWhenUsed/>
    <w:qFormat/>
    <w:locked/>
    <w:pPr>
      <w:numPr>
        <w:numId w:val="22"/>
      </w:numPr>
      <w:tabs>
        <w:tab w:val="num" w:pos="1485"/>
      </w:tabs>
      <w:spacing w:after="240"/>
      <w:ind w:left="1412" w:hanging="703"/>
      <w:jc w:val="both"/>
    </w:pPr>
    <w:rPr>
      <w:rFonts w:ascii="Verdana" w:eastAsia="Calibri" w:hAnsi="Verdana"/>
      <w:kern w:val="20"/>
      <w:lang w:eastAsia="en-US"/>
    </w:rPr>
  </w:style>
  <w:style w:type="paragraph" w:customStyle="1" w:styleId="Lijstje3">
    <w:name w:val="Lijstje 3"/>
    <w:basedOn w:val="Lijstje2"/>
    <w:uiPriority w:val="1"/>
    <w:unhideWhenUsed/>
    <w:locked/>
    <w:pPr>
      <w:numPr>
        <w:ilvl w:val="1"/>
      </w:numPr>
      <w:tabs>
        <w:tab w:val="num" w:pos="765"/>
      </w:tabs>
      <w:ind w:left="1069" w:hanging="283"/>
    </w:pPr>
  </w:style>
  <w:style w:type="paragraph" w:customStyle="1" w:styleId="Lijstje2">
    <w:name w:val="Lijstje2"/>
    <w:basedOn w:val="ListParagraph"/>
    <w:uiPriority w:val="1"/>
    <w:unhideWhenUsed/>
    <w:locked/>
    <w:pPr>
      <w:numPr>
        <w:numId w:val="23"/>
      </w:numPr>
      <w:tabs>
        <w:tab w:val="num" w:pos="765"/>
      </w:tabs>
      <w:spacing w:after="200"/>
      <w:ind w:left="1797" w:hanging="357"/>
    </w:pPr>
    <w:rPr>
      <w:rFonts w:ascii="Verdana" w:eastAsia="Calibri" w:hAnsi="Verdana"/>
      <w:kern w:val="20"/>
      <w:sz w:val="20"/>
    </w:rPr>
  </w:style>
  <w:style w:type="paragraph" w:customStyle="1" w:styleId="Koptekstmetarcering">
    <w:name w:val="Koptekst met arcering"/>
    <w:basedOn w:val="Normal"/>
    <w:uiPriority w:val="19"/>
    <w:locked/>
    <w:pPr>
      <w:pBdr>
        <w:top w:val="single" w:sz="2" w:space="2" w:color="5F70AF"/>
        <w:left w:val="single" w:sz="2" w:space="6" w:color="5F70AF"/>
        <w:bottom w:val="single" w:sz="2" w:space="2" w:color="5F70AF"/>
        <w:right w:val="single" w:sz="2" w:space="6" w:color="5F70AF"/>
      </w:pBdr>
      <w:shd w:val="clear" w:color="auto" w:fill="5F70AF"/>
      <w:spacing w:after="0" w:line="240" w:lineRule="auto"/>
      <w:ind w:left="-360" w:right="-360"/>
      <w:jc w:val="both"/>
    </w:pPr>
    <w:rPr>
      <w:rFonts w:ascii="Cambria" w:eastAsia="MS Gothic" w:hAnsi="Cambria"/>
      <w:caps/>
      <w:color w:val="FFFFFF"/>
      <w:kern w:val="20"/>
      <w:sz w:val="48"/>
    </w:rPr>
  </w:style>
  <w:style w:type="character" w:styleId="Strong">
    <w:name w:val="Strong"/>
    <w:aliases w:val="Gewoon,sub subtitle"/>
    <w:uiPriority w:val="22"/>
    <w:qFormat/>
    <w:rPr>
      <w:rFonts w:ascii="Arial" w:hAnsi="Arial" w:cs="Arial"/>
      <w:i/>
      <w:color w:val="95B3D7"/>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sz w:val="24"/>
    </w:rPr>
  </w:style>
  <w:style w:type="paragraph" w:customStyle="1" w:styleId="kop1">
    <w:name w:val="kop 1"/>
    <w:basedOn w:val="Normal"/>
    <w:next w:val="Normal"/>
    <w:link w:val="Tekensvoorkop1"/>
    <w:uiPriority w:val="1"/>
    <w:locked/>
    <w:pPr>
      <w:pageBreakBefore/>
      <w:spacing w:after="360" w:line="240" w:lineRule="auto"/>
      <w:ind w:left="-360" w:right="-360"/>
      <w:jc w:val="both"/>
      <w:outlineLvl w:val="0"/>
    </w:pPr>
    <w:rPr>
      <w:rFonts w:ascii="Calibri" w:hAnsi="Calibri"/>
      <w:kern w:val="20"/>
      <w:sz w:val="36"/>
    </w:rPr>
  </w:style>
  <w:style w:type="paragraph" w:customStyle="1" w:styleId="Geenregelafstand">
    <w:name w:val="Geen regelafstand"/>
    <w:link w:val="Tekensvoorgeenregelafstand"/>
    <w:uiPriority w:val="1"/>
    <w:locked/>
    <w:pPr>
      <w:spacing w:before="40"/>
    </w:pPr>
    <w:rPr>
      <w:rFonts w:ascii="Calibri" w:hAnsi="Calibri"/>
      <w:color w:val="595959"/>
      <w:u w:val="single"/>
      <w:lang w:eastAsia="en-US"/>
    </w:rPr>
  </w:style>
  <w:style w:type="character" w:customStyle="1" w:styleId="Tekensvoorkop1">
    <w:name w:val="Tekens voor kop 1"/>
    <w:link w:val="kop1"/>
    <w:uiPriority w:val="1"/>
    <w:rPr>
      <w:rFonts w:ascii="Calibri" w:eastAsia="Calibri" w:hAnsi="Calibri" w:cs="Times New Roman"/>
      <w:kern w:val="20"/>
      <w:sz w:val="36"/>
      <w:szCs w:val="20"/>
      <w:lang w:val="bg-BG"/>
    </w:rPr>
  </w:style>
  <w:style w:type="character" w:customStyle="1" w:styleId="Extranadruk">
    <w:name w:val="Extra nadruk"/>
    <w:uiPriority w:val="1"/>
    <w:unhideWhenUsed/>
    <w:locked/>
    <w:rPr>
      <w:b/>
      <w:bCs/>
    </w:rPr>
  </w:style>
  <w:style w:type="character" w:customStyle="1" w:styleId="Tekensvoorgeenregelafstand">
    <w:name w:val="Tekens voor geen regelafstand"/>
    <w:link w:val="Geenregelafstand"/>
    <w:uiPriority w:val="1"/>
    <w:rPr>
      <w:rFonts w:ascii="Calibri" w:eastAsia="Calibri" w:hAnsi="Calibri" w:cs="Times New Roman"/>
      <w:color w:val="595959"/>
      <w:sz w:val="20"/>
      <w:szCs w:val="20"/>
      <w:lang w:val="bg-BG"/>
    </w:rPr>
  </w:style>
  <w:style w:type="paragraph" w:customStyle="1" w:styleId="Tabeltekst">
    <w:name w:val="Tabeltekst"/>
    <w:basedOn w:val="Normal"/>
    <w:uiPriority w:val="9"/>
    <w:locked/>
    <w:pPr>
      <w:spacing w:before="60" w:after="60" w:line="240" w:lineRule="auto"/>
      <w:ind w:left="144" w:right="144"/>
      <w:jc w:val="both"/>
    </w:pPr>
    <w:rPr>
      <w:rFonts w:ascii="Calibri" w:hAnsi="Calibri"/>
      <w:kern w:val="20"/>
    </w:rPr>
  </w:style>
  <w:style w:type="paragraph" w:customStyle="1" w:styleId="Kopvooromgekeerdetabel">
    <w:name w:val="Kop voor omgekeerde tabel"/>
    <w:basedOn w:val="Normal"/>
    <w:uiPriority w:val="9"/>
    <w:locked/>
    <w:pPr>
      <w:spacing w:after="40" w:line="240" w:lineRule="auto"/>
      <w:ind w:left="144" w:right="144"/>
      <w:jc w:val="both"/>
    </w:pPr>
    <w:rPr>
      <w:rFonts w:ascii="Cambria" w:eastAsia="MS Gothic" w:hAnsi="Cambria"/>
      <w:caps/>
      <w:color w:val="FFFFFF"/>
      <w:kern w:val="20"/>
      <w:sz w:val="24"/>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eastAsia="Times New Roman" w:hAnsi="Times New Roman" w:cs="Times New Roman"/>
      <w:b/>
      <w:bCs/>
      <w:sz w:val="20"/>
      <w:szCs w:val="20"/>
    </w:rPr>
  </w:style>
  <w:style w:type="paragraph" w:styleId="Revision">
    <w:name w:val="Revision"/>
    <w:hidden/>
    <w:uiPriority w:val="99"/>
    <w:semiHidden/>
    <w:rPr>
      <w:rFonts w:ascii="Times New Roman" w:eastAsia="Times New Roman" w:hAnsi="Times New Roman"/>
      <w:sz w:val="24"/>
      <w:u w:val="single"/>
      <w:lang w:eastAsia="en-US"/>
    </w:rPr>
  </w:style>
  <w:style w:type="character" w:styleId="FollowedHyperlink">
    <w:name w:val="FollowedHyperlink"/>
    <w:semiHidden/>
    <w:unhideWhenUsed/>
    <w:rPr>
      <w:color w:val="3EBBF0"/>
      <w:u w:val="single"/>
    </w:rPr>
  </w:style>
  <w:style w:type="character" w:customStyle="1" w:styleId="affairetitle">
    <w:name w:val="affaire_title"/>
    <w:basedOn w:val="DefaultParagraphFont"/>
  </w:style>
  <w:style w:type="paragraph" w:customStyle="1" w:styleId="Kop4">
    <w:name w:val="Kop 4"/>
    <w:basedOn w:val="kop3"/>
    <w:link w:val="Kop4Char"/>
    <w:qFormat/>
    <w:pPr>
      <w:numPr>
        <w:ilvl w:val="1"/>
      </w:numPr>
    </w:pPr>
    <w:rPr>
      <w:rFonts w:cs="Arial"/>
      <w:b/>
      <w:bCs w:val="0"/>
      <w:i/>
      <w:color w:val="95B3D7"/>
    </w:rPr>
  </w:style>
  <w:style w:type="paragraph" w:customStyle="1" w:styleId="Kop5">
    <w:name w:val="Kop 5"/>
    <w:basedOn w:val="Normal"/>
    <w:link w:val="Kop5Char"/>
    <w:qFormat/>
    <w:pPr>
      <w:spacing w:after="240" w:line="240" w:lineRule="auto"/>
      <w:ind w:left="709"/>
      <w:jc w:val="both"/>
    </w:pPr>
    <w:rPr>
      <w:rFonts w:ascii="Verdana" w:eastAsia="Times New Roman" w:hAnsi="Verdana"/>
      <w:color w:val="7BCCFF"/>
      <w:sz w:val="24"/>
    </w:rPr>
  </w:style>
  <w:style w:type="character" w:customStyle="1" w:styleId="Kop4Char">
    <w:name w:val="Kop 4 Char"/>
    <w:link w:val="Kop4"/>
    <w:rPr>
      <w:rFonts w:ascii="Arial" w:eastAsia="Times New Roman" w:hAnsi="Arial" w:cs="Arial"/>
      <w:b/>
      <w:i/>
      <w:color w:val="95B3D7"/>
      <w:sz w:val="24"/>
      <w:szCs w:val="20"/>
    </w:rPr>
  </w:style>
  <w:style w:type="character" w:customStyle="1" w:styleId="Kop5Char">
    <w:name w:val="Kop 5 Char"/>
    <w:link w:val="Kop5"/>
    <w:rPr>
      <w:rFonts w:ascii="Verdana" w:eastAsia="Times New Roman" w:hAnsi="Verdana" w:cs="Times New Roman"/>
      <w:color w:val="7BCCFF"/>
      <w:sz w:val="24"/>
      <w:szCs w:val="20"/>
    </w:rPr>
  </w:style>
  <w:style w:type="paragraph" w:customStyle="1" w:styleId="MemberStateHeader">
    <w:name w:val="Member State Header"/>
    <w:basedOn w:val="Normal"/>
    <w:link w:val="MemberStateHeaderChar"/>
    <w:qFormat/>
    <w:pPr>
      <w:keepNext/>
      <w:keepLines/>
      <w:spacing w:after="0" w:line="240" w:lineRule="auto"/>
      <w:jc w:val="center"/>
      <w:outlineLvl w:val="1"/>
    </w:pPr>
    <w:rPr>
      <w:rFonts w:ascii="Verdana" w:eastAsia="MS Gothic" w:hAnsi="Verdana"/>
      <w:caps/>
      <w:color w:val="242852"/>
      <w:kern w:val="20"/>
      <w:sz w:val="28"/>
    </w:rPr>
  </w:style>
  <w:style w:type="character" w:customStyle="1" w:styleId="MemberStateHeaderChar">
    <w:name w:val="Member State Header Char"/>
    <w:link w:val="MemberStateHeader"/>
    <w:rPr>
      <w:rFonts w:ascii="Verdana" w:eastAsia="MS Gothic" w:hAnsi="Verdana" w:cs="Times New Roman"/>
      <w:caps/>
      <w:color w:val="242852"/>
      <w:kern w:val="20"/>
      <w:sz w:val="28"/>
      <w:szCs w:val="20"/>
      <w:lang w:val="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link w:val="PagedecouvertureChar"/>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u w:val="none"/>
    </w:rPr>
  </w:style>
  <w:style w:type="character" w:customStyle="1" w:styleId="FooterCoverPageChar">
    <w:name w:val="Footer Cover Page Char"/>
    <w:link w:val="FooterCoverPage"/>
    <w:rPr>
      <w:rFonts w:ascii="Times New Roman" w:hAnsi="Times New Roman"/>
      <w:sz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u w:val="none"/>
    </w:rPr>
  </w:style>
  <w:style w:type="character" w:customStyle="1" w:styleId="HeaderCoverPageChar">
    <w:name w:val="Header Cover Page Char"/>
    <w:link w:val="HeaderCoverPage"/>
    <w:rPr>
      <w:rFonts w:ascii="Times New Roman" w:hAnsi="Times New Roman"/>
      <w:sz w:val="24"/>
      <w:lang w:eastAsia="en-US"/>
    </w:rPr>
  </w:style>
  <w:style w:type="paragraph" w:customStyle="1" w:styleId="Title1">
    <w:name w:val="Title1"/>
    <w:basedOn w:val="Normal"/>
    <w:next w:val="Normal"/>
    <w:autoRedefine/>
    <w:uiPriority w:val="1"/>
    <w:unhideWhenUsed/>
    <w:pPr>
      <w:keepNext/>
      <w:keepLines/>
      <w:spacing w:after="240" w:line="240" w:lineRule="auto"/>
      <w:jc w:val="both"/>
      <w:outlineLvl w:val="1"/>
    </w:pPr>
    <w:rPr>
      <w:rFonts w:eastAsia="MS Gothic" w:cs="Arial"/>
      <w:caps/>
      <w:color w:val="4F81BD"/>
      <w:kern w:val="20"/>
      <w:sz w:val="28"/>
    </w:rPr>
  </w:style>
  <w:style w:type="character" w:customStyle="1" w:styleId="TITLEChar0">
    <w:name w:val="TITLE Char"/>
    <w:uiPriority w:val="1"/>
    <w:rPr>
      <w:rFonts w:ascii="Arial" w:eastAsia="MS Gothic" w:hAnsi="Arial" w:cs="Arial"/>
      <w:caps/>
      <w:color w:val="4F81BD"/>
      <w:kern w:val="20"/>
      <w:sz w:val="28"/>
      <w:szCs w:val="20"/>
    </w:rPr>
  </w:style>
  <w:style w:type="paragraph" w:customStyle="1" w:styleId="Stylekop2LatinArialCustomColorRGB79129189After">
    <w:name w:val="Style kop 2 + (Latin) Arial Custom Color(RGB(79129189)) After: ..."/>
    <w:basedOn w:val="kop2"/>
    <w:rPr>
      <w:rFonts w:eastAsia="Times New Roman"/>
    </w:rPr>
  </w:style>
  <w:style w:type="paragraph" w:customStyle="1" w:styleId="Style2">
    <w:name w:val="Style2"/>
    <w:basedOn w:val="kop2"/>
    <w:link w:val="Style2Char"/>
  </w:style>
  <w:style w:type="paragraph" w:customStyle="1" w:styleId="StyleSubtitleBoldAccent1Left">
    <w:name w:val="Style Subtitle + Bold Accent 1 Left"/>
    <w:basedOn w:val="Subtitle"/>
    <w:qFormat/>
    <w:pPr>
      <w:jc w:val="left"/>
    </w:pPr>
    <w:rPr>
      <w:b/>
      <w:bCs/>
      <w:color w:val="4F81BD"/>
    </w:rPr>
  </w:style>
  <w:style w:type="character" w:customStyle="1" w:styleId="Style2Char">
    <w:name w:val="Style2 Char"/>
    <w:link w:val="Style2"/>
    <w:rPr>
      <w:rFonts w:ascii="Arial" w:eastAsia="MS Gothic" w:hAnsi="Arial" w:cs="Arial"/>
      <w:caps/>
      <w:color w:val="4F81BD"/>
      <w:kern w:val="20"/>
      <w:sz w:val="24"/>
      <w:szCs w:val="24"/>
    </w:rPr>
  </w:style>
  <w:style w:type="paragraph" w:customStyle="1" w:styleId="StyleSubtitleBoldAccent1Left1">
    <w:name w:val="Style Subtitle + Bold Accent 1 Left1"/>
    <w:basedOn w:val="Subtitle"/>
    <w:qFormat/>
    <w:pPr>
      <w:jc w:val="left"/>
    </w:pPr>
    <w:rPr>
      <w:b/>
      <w:bCs/>
      <w:color w:val="4F81BD"/>
    </w:rPr>
  </w:style>
  <w:style w:type="character" w:customStyle="1" w:styleId="bluetext11">
    <w:name w:val="bluetext11"/>
    <w:basedOn w:val="DefaultParagraphFont"/>
  </w:style>
  <w:style w:type="table" w:customStyle="1" w:styleId="Style12">
    <w:name w:val="Style12"/>
    <w:basedOn w:val="TableNormal"/>
    <w:rPr>
      <w:rFonts w:ascii="Times New Roman" w:eastAsia="Times New Roman" w:hAnsi="Times New Roman"/>
    </w:rPr>
    <w:tbl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lang w:eastAsia="en-GB"/>
    </w:rPr>
  </w:style>
  <w:style w:type="character" w:customStyle="1" w:styleId="at1">
    <w:name w:val="a__t1"/>
    <w:basedOn w:val="DefaultParagraphFont"/>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u w:val="none"/>
    </w:rPr>
  </w:style>
  <w:style w:type="character" w:customStyle="1" w:styleId="PagedecouvertureChar">
    <w:name w:val="Page de couverture Char"/>
    <w:link w:val="Pagedecouverture"/>
    <w:rPr>
      <w:rFonts w:ascii="Times New Roman" w:eastAsia="Calibri" w:hAnsi="Times New Roman" w:cs="Times New Roman"/>
      <w:sz w:val="24"/>
    </w:rPr>
  </w:style>
  <w:style w:type="character" w:customStyle="1" w:styleId="FooterSensitivityChar">
    <w:name w:val="Footer Sensitivity Char"/>
    <w:link w:val="FooterSensitivity"/>
    <w:rPr>
      <w:rFonts w:ascii="Times New Roman" w:hAnsi="Times New Roman"/>
      <w:b/>
      <w:sz w:val="3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u w:val="none"/>
    </w:rPr>
  </w:style>
  <w:style w:type="character" w:customStyle="1" w:styleId="HeaderSensitivityChar">
    <w:name w:val="Header Sensitivity Char"/>
    <w:link w:val="HeaderSensitivity"/>
    <w:rPr>
      <w:rFonts w:ascii="Times New Roman" w:hAnsi="Times New Roman"/>
      <w:b/>
      <w:sz w:val="32"/>
      <w:lang w:eastAsia="en-US"/>
    </w:rPr>
  </w:style>
  <w:style w:type="character" w:customStyle="1" w:styleId="apple-converted-space">
    <w:name w:val="apple-converted-space"/>
    <w:basedOn w:val="DefaultParagraphFont"/>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styleId="Emphasis">
    <w:name w:val="Emphasis"/>
    <w:basedOn w:val="DefaultParagraphFont"/>
    <w:uiPriority w:val="20"/>
    <w:qFormat/>
    <w:rPr>
      <w:i/>
      <w:iCs/>
    </w:rPr>
  </w:style>
  <w:style w:type="character" w:styleId="SubtleEmphasis">
    <w:name w:val="Subtle Emphasis"/>
    <w:basedOn w:val="DefaultParagraphFont"/>
    <w:uiPriority w:val="19"/>
    <w:qFormat/>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9271">
      <w:bodyDiv w:val="1"/>
      <w:marLeft w:val="0"/>
      <w:marRight w:val="0"/>
      <w:marTop w:val="0"/>
      <w:marBottom w:val="0"/>
      <w:divBdr>
        <w:top w:val="none" w:sz="0" w:space="0" w:color="auto"/>
        <w:left w:val="none" w:sz="0" w:space="0" w:color="auto"/>
        <w:bottom w:val="none" w:sz="0" w:space="0" w:color="auto"/>
        <w:right w:val="none" w:sz="0" w:space="0" w:color="auto"/>
      </w:divBdr>
      <w:divsChild>
        <w:div w:id="619922827">
          <w:marLeft w:val="0"/>
          <w:marRight w:val="0"/>
          <w:marTop w:val="0"/>
          <w:marBottom w:val="0"/>
          <w:divBdr>
            <w:top w:val="none" w:sz="0" w:space="0" w:color="auto"/>
            <w:left w:val="none" w:sz="0" w:space="0" w:color="auto"/>
            <w:bottom w:val="none" w:sz="0" w:space="0" w:color="auto"/>
            <w:right w:val="none" w:sz="0" w:space="0" w:color="auto"/>
          </w:divBdr>
          <w:divsChild>
            <w:div w:id="1380743217">
              <w:marLeft w:val="0"/>
              <w:marRight w:val="0"/>
              <w:marTop w:val="0"/>
              <w:marBottom w:val="0"/>
              <w:divBdr>
                <w:top w:val="none" w:sz="0" w:space="0" w:color="auto"/>
                <w:left w:val="none" w:sz="0" w:space="0" w:color="auto"/>
                <w:bottom w:val="none" w:sz="0" w:space="0" w:color="auto"/>
                <w:right w:val="none" w:sz="0" w:space="0" w:color="auto"/>
              </w:divBdr>
              <w:divsChild>
                <w:div w:id="195756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8956">
      <w:bodyDiv w:val="1"/>
      <w:marLeft w:val="0"/>
      <w:marRight w:val="0"/>
      <w:marTop w:val="0"/>
      <w:marBottom w:val="0"/>
      <w:divBdr>
        <w:top w:val="none" w:sz="0" w:space="0" w:color="auto"/>
        <w:left w:val="none" w:sz="0" w:space="0" w:color="auto"/>
        <w:bottom w:val="none" w:sz="0" w:space="0" w:color="auto"/>
        <w:right w:val="none" w:sz="0" w:space="0" w:color="auto"/>
      </w:divBdr>
    </w:div>
    <w:div w:id="85928026">
      <w:bodyDiv w:val="1"/>
      <w:marLeft w:val="0"/>
      <w:marRight w:val="0"/>
      <w:marTop w:val="0"/>
      <w:marBottom w:val="0"/>
      <w:divBdr>
        <w:top w:val="none" w:sz="0" w:space="0" w:color="auto"/>
        <w:left w:val="none" w:sz="0" w:space="0" w:color="auto"/>
        <w:bottom w:val="none" w:sz="0" w:space="0" w:color="auto"/>
        <w:right w:val="none" w:sz="0" w:space="0" w:color="auto"/>
      </w:divBdr>
    </w:div>
    <w:div w:id="105542759">
      <w:bodyDiv w:val="1"/>
      <w:marLeft w:val="0"/>
      <w:marRight w:val="0"/>
      <w:marTop w:val="0"/>
      <w:marBottom w:val="0"/>
      <w:divBdr>
        <w:top w:val="none" w:sz="0" w:space="0" w:color="auto"/>
        <w:left w:val="none" w:sz="0" w:space="0" w:color="auto"/>
        <w:bottom w:val="none" w:sz="0" w:space="0" w:color="auto"/>
        <w:right w:val="none" w:sz="0" w:space="0" w:color="auto"/>
      </w:divBdr>
    </w:div>
    <w:div w:id="153229026">
      <w:bodyDiv w:val="1"/>
      <w:marLeft w:val="0"/>
      <w:marRight w:val="0"/>
      <w:marTop w:val="0"/>
      <w:marBottom w:val="0"/>
      <w:divBdr>
        <w:top w:val="none" w:sz="0" w:space="0" w:color="auto"/>
        <w:left w:val="none" w:sz="0" w:space="0" w:color="auto"/>
        <w:bottom w:val="none" w:sz="0" w:space="0" w:color="auto"/>
        <w:right w:val="none" w:sz="0" w:space="0" w:color="auto"/>
      </w:divBdr>
    </w:div>
    <w:div w:id="178666079">
      <w:bodyDiv w:val="1"/>
      <w:marLeft w:val="0"/>
      <w:marRight w:val="0"/>
      <w:marTop w:val="0"/>
      <w:marBottom w:val="0"/>
      <w:divBdr>
        <w:top w:val="none" w:sz="0" w:space="0" w:color="auto"/>
        <w:left w:val="none" w:sz="0" w:space="0" w:color="auto"/>
        <w:bottom w:val="none" w:sz="0" w:space="0" w:color="auto"/>
        <w:right w:val="none" w:sz="0" w:space="0" w:color="auto"/>
      </w:divBdr>
      <w:divsChild>
        <w:div w:id="908463305">
          <w:marLeft w:val="0"/>
          <w:marRight w:val="0"/>
          <w:marTop w:val="0"/>
          <w:marBottom w:val="0"/>
          <w:divBdr>
            <w:top w:val="none" w:sz="0" w:space="0" w:color="auto"/>
            <w:left w:val="none" w:sz="0" w:space="0" w:color="auto"/>
            <w:bottom w:val="none" w:sz="0" w:space="0" w:color="auto"/>
            <w:right w:val="none" w:sz="0" w:space="0" w:color="auto"/>
          </w:divBdr>
          <w:divsChild>
            <w:div w:id="1987396057">
              <w:marLeft w:val="0"/>
              <w:marRight w:val="0"/>
              <w:marTop w:val="0"/>
              <w:marBottom w:val="0"/>
              <w:divBdr>
                <w:top w:val="none" w:sz="0" w:space="0" w:color="auto"/>
                <w:left w:val="none" w:sz="0" w:space="0" w:color="auto"/>
                <w:bottom w:val="none" w:sz="0" w:space="0" w:color="auto"/>
                <w:right w:val="none" w:sz="0" w:space="0" w:color="auto"/>
              </w:divBdr>
              <w:divsChild>
                <w:div w:id="12377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30250">
      <w:bodyDiv w:val="1"/>
      <w:marLeft w:val="0"/>
      <w:marRight w:val="0"/>
      <w:marTop w:val="0"/>
      <w:marBottom w:val="0"/>
      <w:divBdr>
        <w:top w:val="none" w:sz="0" w:space="0" w:color="auto"/>
        <w:left w:val="none" w:sz="0" w:space="0" w:color="auto"/>
        <w:bottom w:val="none" w:sz="0" w:space="0" w:color="auto"/>
        <w:right w:val="none" w:sz="0" w:space="0" w:color="auto"/>
      </w:divBdr>
    </w:div>
    <w:div w:id="296107011">
      <w:bodyDiv w:val="1"/>
      <w:marLeft w:val="0"/>
      <w:marRight w:val="0"/>
      <w:marTop w:val="0"/>
      <w:marBottom w:val="0"/>
      <w:divBdr>
        <w:top w:val="none" w:sz="0" w:space="0" w:color="auto"/>
        <w:left w:val="none" w:sz="0" w:space="0" w:color="auto"/>
        <w:bottom w:val="none" w:sz="0" w:space="0" w:color="auto"/>
        <w:right w:val="none" w:sz="0" w:space="0" w:color="auto"/>
      </w:divBdr>
      <w:divsChild>
        <w:div w:id="707949360">
          <w:marLeft w:val="0"/>
          <w:marRight w:val="0"/>
          <w:marTop w:val="0"/>
          <w:marBottom w:val="0"/>
          <w:divBdr>
            <w:top w:val="none" w:sz="0" w:space="0" w:color="auto"/>
            <w:left w:val="none" w:sz="0" w:space="0" w:color="auto"/>
            <w:bottom w:val="none" w:sz="0" w:space="0" w:color="auto"/>
            <w:right w:val="none" w:sz="0" w:space="0" w:color="auto"/>
          </w:divBdr>
        </w:div>
        <w:div w:id="1458596572">
          <w:marLeft w:val="0"/>
          <w:marRight w:val="0"/>
          <w:marTop w:val="0"/>
          <w:marBottom w:val="0"/>
          <w:divBdr>
            <w:top w:val="none" w:sz="0" w:space="0" w:color="auto"/>
            <w:left w:val="none" w:sz="0" w:space="0" w:color="auto"/>
            <w:bottom w:val="none" w:sz="0" w:space="0" w:color="auto"/>
            <w:right w:val="none" w:sz="0" w:space="0" w:color="auto"/>
          </w:divBdr>
        </w:div>
      </w:divsChild>
    </w:div>
    <w:div w:id="333994518">
      <w:bodyDiv w:val="1"/>
      <w:marLeft w:val="0"/>
      <w:marRight w:val="0"/>
      <w:marTop w:val="0"/>
      <w:marBottom w:val="0"/>
      <w:divBdr>
        <w:top w:val="none" w:sz="0" w:space="0" w:color="auto"/>
        <w:left w:val="none" w:sz="0" w:space="0" w:color="auto"/>
        <w:bottom w:val="none" w:sz="0" w:space="0" w:color="auto"/>
        <w:right w:val="none" w:sz="0" w:space="0" w:color="auto"/>
      </w:divBdr>
    </w:div>
    <w:div w:id="375129667">
      <w:bodyDiv w:val="1"/>
      <w:marLeft w:val="0"/>
      <w:marRight w:val="0"/>
      <w:marTop w:val="0"/>
      <w:marBottom w:val="0"/>
      <w:divBdr>
        <w:top w:val="none" w:sz="0" w:space="0" w:color="auto"/>
        <w:left w:val="none" w:sz="0" w:space="0" w:color="auto"/>
        <w:bottom w:val="none" w:sz="0" w:space="0" w:color="auto"/>
        <w:right w:val="none" w:sz="0" w:space="0" w:color="auto"/>
      </w:divBdr>
    </w:div>
    <w:div w:id="384917119">
      <w:bodyDiv w:val="1"/>
      <w:marLeft w:val="0"/>
      <w:marRight w:val="0"/>
      <w:marTop w:val="0"/>
      <w:marBottom w:val="0"/>
      <w:divBdr>
        <w:top w:val="none" w:sz="0" w:space="0" w:color="auto"/>
        <w:left w:val="none" w:sz="0" w:space="0" w:color="auto"/>
        <w:bottom w:val="none" w:sz="0" w:space="0" w:color="auto"/>
        <w:right w:val="none" w:sz="0" w:space="0" w:color="auto"/>
      </w:divBdr>
    </w:div>
    <w:div w:id="438373628">
      <w:bodyDiv w:val="1"/>
      <w:marLeft w:val="0"/>
      <w:marRight w:val="0"/>
      <w:marTop w:val="0"/>
      <w:marBottom w:val="0"/>
      <w:divBdr>
        <w:top w:val="none" w:sz="0" w:space="0" w:color="auto"/>
        <w:left w:val="none" w:sz="0" w:space="0" w:color="auto"/>
        <w:bottom w:val="none" w:sz="0" w:space="0" w:color="auto"/>
        <w:right w:val="none" w:sz="0" w:space="0" w:color="auto"/>
      </w:divBdr>
    </w:div>
    <w:div w:id="466170429">
      <w:bodyDiv w:val="1"/>
      <w:marLeft w:val="0"/>
      <w:marRight w:val="0"/>
      <w:marTop w:val="0"/>
      <w:marBottom w:val="0"/>
      <w:divBdr>
        <w:top w:val="none" w:sz="0" w:space="0" w:color="auto"/>
        <w:left w:val="none" w:sz="0" w:space="0" w:color="auto"/>
        <w:bottom w:val="none" w:sz="0" w:space="0" w:color="auto"/>
        <w:right w:val="none" w:sz="0" w:space="0" w:color="auto"/>
      </w:divBdr>
    </w:div>
    <w:div w:id="580876016">
      <w:bodyDiv w:val="1"/>
      <w:marLeft w:val="0"/>
      <w:marRight w:val="0"/>
      <w:marTop w:val="0"/>
      <w:marBottom w:val="0"/>
      <w:divBdr>
        <w:top w:val="none" w:sz="0" w:space="0" w:color="auto"/>
        <w:left w:val="none" w:sz="0" w:space="0" w:color="auto"/>
        <w:bottom w:val="none" w:sz="0" w:space="0" w:color="auto"/>
        <w:right w:val="none" w:sz="0" w:space="0" w:color="auto"/>
      </w:divBdr>
    </w:div>
    <w:div w:id="685594810">
      <w:bodyDiv w:val="1"/>
      <w:marLeft w:val="0"/>
      <w:marRight w:val="0"/>
      <w:marTop w:val="0"/>
      <w:marBottom w:val="0"/>
      <w:divBdr>
        <w:top w:val="none" w:sz="0" w:space="0" w:color="auto"/>
        <w:left w:val="none" w:sz="0" w:space="0" w:color="auto"/>
        <w:bottom w:val="none" w:sz="0" w:space="0" w:color="auto"/>
        <w:right w:val="none" w:sz="0" w:space="0" w:color="auto"/>
      </w:divBdr>
    </w:div>
    <w:div w:id="728960971">
      <w:bodyDiv w:val="1"/>
      <w:marLeft w:val="0"/>
      <w:marRight w:val="0"/>
      <w:marTop w:val="0"/>
      <w:marBottom w:val="0"/>
      <w:divBdr>
        <w:top w:val="none" w:sz="0" w:space="0" w:color="auto"/>
        <w:left w:val="none" w:sz="0" w:space="0" w:color="auto"/>
        <w:bottom w:val="none" w:sz="0" w:space="0" w:color="auto"/>
        <w:right w:val="none" w:sz="0" w:space="0" w:color="auto"/>
      </w:divBdr>
    </w:div>
    <w:div w:id="789400513">
      <w:bodyDiv w:val="1"/>
      <w:marLeft w:val="0"/>
      <w:marRight w:val="0"/>
      <w:marTop w:val="0"/>
      <w:marBottom w:val="0"/>
      <w:divBdr>
        <w:top w:val="none" w:sz="0" w:space="0" w:color="auto"/>
        <w:left w:val="none" w:sz="0" w:space="0" w:color="auto"/>
        <w:bottom w:val="none" w:sz="0" w:space="0" w:color="auto"/>
        <w:right w:val="none" w:sz="0" w:space="0" w:color="auto"/>
      </w:divBdr>
    </w:div>
    <w:div w:id="813067644">
      <w:bodyDiv w:val="1"/>
      <w:marLeft w:val="0"/>
      <w:marRight w:val="0"/>
      <w:marTop w:val="0"/>
      <w:marBottom w:val="0"/>
      <w:divBdr>
        <w:top w:val="none" w:sz="0" w:space="0" w:color="auto"/>
        <w:left w:val="none" w:sz="0" w:space="0" w:color="auto"/>
        <w:bottom w:val="none" w:sz="0" w:space="0" w:color="auto"/>
        <w:right w:val="none" w:sz="0" w:space="0" w:color="auto"/>
      </w:divBdr>
    </w:div>
    <w:div w:id="833184855">
      <w:bodyDiv w:val="1"/>
      <w:marLeft w:val="0"/>
      <w:marRight w:val="0"/>
      <w:marTop w:val="0"/>
      <w:marBottom w:val="0"/>
      <w:divBdr>
        <w:top w:val="none" w:sz="0" w:space="0" w:color="auto"/>
        <w:left w:val="none" w:sz="0" w:space="0" w:color="auto"/>
        <w:bottom w:val="none" w:sz="0" w:space="0" w:color="auto"/>
        <w:right w:val="none" w:sz="0" w:space="0" w:color="auto"/>
      </w:divBdr>
    </w:div>
    <w:div w:id="897671428">
      <w:bodyDiv w:val="1"/>
      <w:marLeft w:val="0"/>
      <w:marRight w:val="0"/>
      <w:marTop w:val="0"/>
      <w:marBottom w:val="0"/>
      <w:divBdr>
        <w:top w:val="none" w:sz="0" w:space="0" w:color="auto"/>
        <w:left w:val="none" w:sz="0" w:space="0" w:color="auto"/>
        <w:bottom w:val="none" w:sz="0" w:space="0" w:color="auto"/>
        <w:right w:val="none" w:sz="0" w:space="0" w:color="auto"/>
      </w:divBdr>
    </w:div>
    <w:div w:id="899289766">
      <w:bodyDiv w:val="1"/>
      <w:marLeft w:val="0"/>
      <w:marRight w:val="0"/>
      <w:marTop w:val="0"/>
      <w:marBottom w:val="0"/>
      <w:divBdr>
        <w:top w:val="none" w:sz="0" w:space="0" w:color="auto"/>
        <w:left w:val="none" w:sz="0" w:space="0" w:color="auto"/>
        <w:bottom w:val="none" w:sz="0" w:space="0" w:color="auto"/>
        <w:right w:val="none" w:sz="0" w:space="0" w:color="auto"/>
      </w:divBdr>
    </w:div>
    <w:div w:id="963777478">
      <w:bodyDiv w:val="1"/>
      <w:marLeft w:val="0"/>
      <w:marRight w:val="0"/>
      <w:marTop w:val="0"/>
      <w:marBottom w:val="0"/>
      <w:divBdr>
        <w:top w:val="none" w:sz="0" w:space="0" w:color="auto"/>
        <w:left w:val="none" w:sz="0" w:space="0" w:color="auto"/>
        <w:bottom w:val="none" w:sz="0" w:space="0" w:color="auto"/>
        <w:right w:val="none" w:sz="0" w:space="0" w:color="auto"/>
      </w:divBdr>
    </w:div>
    <w:div w:id="1037395117">
      <w:bodyDiv w:val="1"/>
      <w:marLeft w:val="0"/>
      <w:marRight w:val="0"/>
      <w:marTop w:val="0"/>
      <w:marBottom w:val="0"/>
      <w:divBdr>
        <w:top w:val="none" w:sz="0" w:space="0" w:color="auto"/>
        <w:left w:val="none" w:sz="0" w:space="0" w:color="auto"/>
        <w:bottom w:val="none" w:sz="0" w:space="0" w:color="auto"/>
        <w:right w:val="none" w:sz="0" w:space="0" w:color="auto"/>
      </w:divBdr>
      <w:divsChild>
        <w:div w:id="1152024273">
          <w:marLeft w:val="0"/>
          <w:marRight w:val="0"/>
          <w:marTop w:val="0"/>
          <w:marBottom w:val="0"/>
          <w:divBdr>
            <w:top w:val="none" w:sz="0" w:space="0" w:color="auto"/>
            <w:left w:val="none" w:sz="0" w:space="0" w:color="auto"/>
            <w:bottom w:val="none" w:sz="0" w:space="0" w:color="auto"/>
            <w:right w:val="none" w:sz="0" w:space="0" w:color="auto"/>
          </w:divBdr>
        </w:div>
      </w:divsChild>
    </w:div>
    <w:div w:id="1040059610">
      <w:bodyDiv w:val="1"/>
      <w:marLeft w:val="0"/>
      <w:marRight w:val="0"/>
      <w:marTop w:val="0"/>
      <w:marBottom w:val="0"/>
      <w:divBdr>
        <w:top w:val="none" w:sz="0" w:space="0" w:color="auto"/>
        <w:left w:val="none" w:sz="0" w:space="0" w:color="auto"/>
        <w:bottom w:val="none" w:sz="0" w:space="0" w:color="auto"/>
        <w:right w:val="none" w:sz="0" w:space="0" w:color="auto"/>
      </w:divBdr>
    </w:div>
    <w:div w:id="1057973371">
      <w:bodyDiv w:val="1"/>
      <w:marLeft w:val="0"/>
      <w:marRight w:val="0"/>
      <w:marTop w:val="0"/>
      <w:marBottom w:val="0"/>
      <w:divBdr>
        <w:top w:val="none" w:sz="0" w:space="0" w:color="auto"/>
        <w:left w:val="none" w:sz="0" w:space="0" w:color="auto"/>
        <w:bottom w:val="none" w:sz="0" w:space="0" w:color="auto"/>
        <w:right w:val="none" w:sz="0" w:space="0" w:color="auto"/>
      </w:divBdr>
    </w:div>
    <w:div w:id="1065108449">
      <w:bodyDiv w:val="1"/>
      <w:marLeft w:val="0"/>
      <w:marRight w:val="0"/>
      <w:marTop w:val="0"/>
      <w:marBottom w:val="0"/>
      <w:divBdr>
        <w:top w:val="none" w:sz="0" w:space="0" w:color="auto"/>
        <w:left w:val="none" w:sz="0" w:space="0" w:color="auto"/>
        <w:bottom w:val="none" w:sz="0" w:space="0" w:color="auto"/>
        <w:right w:val="none" w:sz="0" w:space="0" w:color="auto"/>
      </w:divBdr>
    </w:div>
    <w:div w:id="1125654343">
      <w:bodyDiv w:val="1"/>
      <w:marLeft w:val="0"/>
      <w:marRight w:val="0"/>
      <w:marTop w:val="0"/>
      <w:marBottom w:val="0"/>
      <w:divBdr>
        <w:top w:val="none" w:sz="0" w:space="0" w:color="auto"/>
        <w:left w:val="none" w:sz="0" w:space="0" w:color="auto"/>
        <w:bottom w:val="none" w:sz="0" w:space="0" w:color="auto"/>
        <w:right w:val="none" w:sz="0" w:space="0" w:color="auto"/>
      </w:divBdr>
      <w:divsChild>
        <w:div w:id="1504396843">
          <w:marLeft w:val="0"/>
          <w:marRight w:val="0"/>
          <w:marTop w:val="0"/>
          <w:marBottom w:val="0"/>
          <w:divBdr>
            <w:top w:val="none" w:sz="0" w:space="0" w:color="auto"/>
            <w:left w:val="none" w:sz="0" w:space="0" w:color="auto"/>
            <w:bottom w:val="none" w:sz="0" w:space="0" w:color="auto"/>
            <w:right w:val="none" w:sz="0" w:space="0" w:color="auto"/>
          </w:divBdr>
        </w:div>
        <w:div w:id="2076471649">
          <w:marLeft w:val="0"/>
          <w:marRight w:val="0"/>
          <w:marTop w:val="0"/>
          <w:marBottom w:val="0"/>
          <w:divBdr>
            <w:top w:val="none" w:sz="0" w:space="0" w:color="auto"/>
            <w:left w:val="none" w:sz="0" w:space="0" w:color="auto"/>
            <w:bottom w:val="none" w:sz="0" w:space="0" w:color="auto"/>
            <w:right w:val="none" w:sz="0" w:space="0" w:color="auto"/>
          </w:divBdr>
        </w:div>
      </w:divsChild>
    </w:div>
    <w:div w:id="1225987807">
      <w:bodyDiv w:val="1"/>
      <w:marLeft w:val="0"/>
      <w:marRight w:val="0"/>
      <w:marTop w:val="0"/>
      <w:marBottom w:val="0"/>
      <w:divBdr>
        <w:top w:val="none" w:sz="0" w:space="0" w:color="auto"/>
        <w:left w:val="none" w:sz="0" w:space="0" w:color="auto"/>
        <w:bottom w:val="none" w:sz="0" w:space="0" w:color="auto"/>
        <w:right w:val="none" w:sz="0" w:space="0" w:color="auto"/>
      </w:divBdr>
    </w:div>
    <w:div w:id="1267275818">
      <w:bodyDiv w:val="1"/>
      <w:marLeft w:val="0"/>
      <w:marRight w:val="0"/>
      <w:marTop w:val="0"/>
      <w:marBottom w:val="0"/>
      <w:divBdr>
        <w:top w:val="none" w:sz="0" w:space="0" w:color="auto"/>
        <w:left w:val="none" w:sz="0" w:space="0" w:color="auto"/>
        <w:bottom w:val="none" w:sz="0" w:space="0" w:color="auto"/>
        <w:right w:val="none" w:sz="0" w:space="0" w:color="auto"/>
      </w:divBdr>
      <w:divsChild>
        <w:div w:id="754206681">
          <w:marLeft w:val="0"/>
          <w:marRight w:val="0"/>
          <w:marTop w:val="0"/>
          <w:marBottom w:val="0"/>
          <w:divBdr>
            <w:top w:val="none" w:sz="0" w:space="0" w:color="auto"/>
            <w:left w:val="none" w:sz="0" w:space="0" w:color="auto"/>
            <w:bottom w:val="none" w:sz="0" w:space="0" w:color="auto"/>
            <w:right w:val="none" w:sz="0" w:space="0" w:color="auto"/>
          </w:divBdr>
        </w:div>
        <w:div w:id="1537618396">
          <w:marLeft w:val="0"/>
          <w:marRight w:val="0"/>
          <w:marTop w:val="0"/>
          <w:marBottom w:val="0"/>
          <w:divBdr>
            <w:top w:val="none" w:sz="0" w:space="0" w:color="auto"/>
            <w:left w:val="none" w:sz="0" w:space="0" w:color="auto"/>
            <w:bottom w:val="none" w:sz="0" w:space="0" w:color="auto"/>
            <w:right w:val="none" w:sz="0" w:space="0" w:color="auto"/>
          </w:divBdr>
        </w:div>
      </w:divsChild>
    </w:div>
    <w:div w:id="1270501922">
      <w:bodyDiv w:val="1"/>
      <w:marLeft w:val="0"/>
      <w:marRight w:val="0"/>
      <w:marTop w:val="0"/>
      <w:marBottom w:val="0"/>
      <w:divBdr>
        <w:top w:val="none" w:sz="0" w:space="0" w:color="auto"/>
        <w:left w:val="none" w:sz="0" w:space="0" w:color="auto"/>
        <w:bottom w:val="none" w:sz="0" w:space="0" w:color="auto"/>
        <w:right w:val="none" w:sz="0" w:space="0" w:color="auto"/>
      </w:divBdr>
    </w:div>
    <w:div w:id="1282497997">
      <w:bodyDiv w:val="1"/>
      <w:marLeft w:val="0"/>
      <w:marRight w:val="0"/>
      <w:marTop w:val="0"/>
      <w:marBottom w:val="0"/>
      <w:divBdr>
        <w:top w:val="none" w:sz="0" w:space="0" w:color="auto"/>
        <w:left w:val="none" w:sz="0" w:space="0" w:color="auto"/>
        <w:bottom w:val="none" w:sz="0" w:space="0" w:color="auto"/>
        <w:right w:val="none" w:sz="0" w:space="0" w:color="auto"/>
      </w:divBdr>
    </w:div>
    <w:div w:id="1382948791">
      <w:bodyDiv w:val="1"/>
      <w:marLeft w:val="0"/>
      <w:marRight w:val="0"/>
      <w:marTop w:val="0"/>
      <w:marBottom w:val="0"/>
      <w:divBdr>
        <w:top w:val="none" w:sz="0" w:space="0" w:color="auto"/>
        <w:left w:val="none" w:sz="0" w:space="0" w:color="auto"/>
        <w:bottom w:val="none" w:sz="0" w:space="0" w:color="auto"/>
        <w:right w:val="none" w:sz="0" w:space="0" w:color="auto"/>
      </w:divBdr>
    </w:div>
    <w:div w:id="1406688865">
      <w:bodyDiv w:val="1"/>
      <w:marLeft w:val="0"/>
      <w:marRight w:val="0"/>
      <w:marTop w:val="0"/>
      <w:marBottom w:val="0"/>
      <w:divBdr>
        <w:top w:val="none" w:sz="0" w:space="0" w:color="auto"/>
        <w:left w:val="none" w:sz="0" w:space="0" w:color="auto"/>
        <w:bottom w:val="none" w:sz="0" w:space="0" w:color="auto"/>
        <w:right w:val="none" w:sz="0" w:space="0" w:color="auto"/>
      </w:divBdr>
    </w:div>
    <w:div w:id="1446847660">
      <w:bodyDiv w:val="1"/>
      <w:marLeft w:val="0"/>
      <w:marRight w:val="0"/>
      <w:marTop w:val="0"/>
      <w:marBottom w:val="0"/>
      <w:divBdr>
        <w:top w:val="none" w:sz="0" w:space="0" w:color="auto"/>
        <w:left w:val="none" w:sz="0" w:space="0" w:color="auto"/>
        <w:bottom w:val="none" w:sz="0" w:space="0" w:color="auto"/>
        <w:right w:val="none" w:sz="0" w:space="0" w:color="auto"/>
      </w:divBdr>
    </w:div>
    <w:div w:id="1459185525">
      <w:bodyDiv w:val="1"/>
      <w:marLeft w:val="0"/>
      <w:marRight w:val="0"/>
      <w:marTop w:val="0"/>
      <w:marBottom w:val="0"/>
      <w:divBdr>
        <w:top w:val="none" w:sz="0" w:space="0" w:color="auto"/>
        <w:left w:val="none" w:sz="0" w:space="0" w:color="auto"/>
        <w:bottom w:val="none" w:sz="0" w:space="0" w:color="auto"/>
        <w:right w:val="none" w:sz="0" w:space="0" w:color="auto"/>
      </w:divBdr>
    </w:div>
    <w:div w:id="1515224713">
      <w:bodyDiv w:val="1"/>
      <w:marLeft w:val="0"/>
      <w:marRight w:val="0"/>
      <w:marTop w:val="0"/>
      <w:marBottom w:val="0"/>
      <w:divBdr>
        <w:top w:val="none" w:sz="0" w:space="0" w:color="auto"/>
        <w:left w:val="none" w:sz="0" w:space="0" w:color="auto"/>
        <w:bottom w:val="none" w:sz="0" w:space="0" w:color="auto"/>
        <w:right w:val="none" w:sz="0" w:space="0" w:color="auto"/>
      </w:divBdr>
    </w:div>
    <w:div w:id="1574852249">
      <w:bodyDiv w:val="1"/>
      <w:marLeft w:val="0"/>
      <w:marRight w:val="0"/>
      <w:marTop w:val="0"/>
      <w:marBottom w:val="0"/>
      <w:divBdr>
        <w:top w:val="none" w:sz="0" w:space="0" w:color="auto"/>
        <w:left w:val="none" w:sz="0" w:space="0" w:color="auto"/>
        <w:bottom w:val="none" w:sz="0" w:space="0" w:color="auto"/>
        <w:right w:val="none" w:sz="0" w:space="0" w:color="auto"/>
      </w:divBdr>
    </w:div>
    <w:div w:id="1666326314">
      <w:bodyDiv w:val="1"/>
      <w:marLeft w:val="0"/>
      <w:marRight w:val="0"/>
      <w:marTop w:val="0"/>
      <w:marBottom w:val="0"/>
      <w:divBdr>
        <w:top w:val="none" w:sz="0" w:space="0" w:color="auto"/>
        <w:left w:val="none" w:sz="0" w:space="0" w:color="auto"/>
        <w:bottom w:val="none" w:sz="0" w:space="0" w:color="auto"/>
        <w:right w:val="none" w:sz="0" w:space="0" w:color="auto"/>
      </w:divBdr>
    </w:div>
    <w:div w:id="1672755971">
      <w:bodyDiv w:val="1"/>
      <w:marLeft w:val="0"/>
      <w:marRight w:val="0"/>
      <w:marTop w:val="0"/>
      <w:marBottom w:val="0"/>
      <w:divBdr>
        <w:top w:val="none" w:sz="0" w:space="0" w:color="auto"/>
        <w:left w:val="none" w:sz="0" w:space="0" w:color="auto"/>
        <w:bottom w:val="none" w:sz="0" w:space="0" w:color="auto"/>
        <w:right w:val="none" w:sz="0" w:space="0" w:color="auto"/>
      </w:divBdr>
    </w:div>
    <w:div w:id="1862544518">
      <w:bodyDiv w:val="1"/>
      <w:marLeft w:val="0"/>
      <w:marRight w:val="0"/>
      <w:marTop w:val="0"/>
      <w:marBottom w:val="0"/>
      <w:divBdr>
        <w:top w:val="none" w:sz="0" w:space="0" w:color="auto"/>
        <w:left w:val="none" w:sz="0" w:space="0" w:color="auto"/>
        <w:bottom w:val="none" w:sz="0" w:space="0" w:color="auto"/>
        <w:right w:val="none" w:sz="0" w:space="0" w:color="auto"/>
      </w:divBdr>
    </w:div>
    <w:div w:id="1897201935">
      <w:bodyDiv w:val="1"/>
      <w:marLeft w:val="0"/>
      <w:marRight w:val="0"/>
      <w:marTop w:val="0"/>
      <w:marBottom w:val="0"/>
      <w:divBdr>
        <w:top w:val="none" w:sz="0" w:space="0" w:color="auto"/>
        <w:left w:val="none" w:sz="0" w:space="0" w:color="auto"/>
        <w:bottom w:val="none" w:sz="0" w:space="0" w:color="auto"/>
        <w:right w:val="none" w:sz="0" w:space="0" w:color="auto"/>
      </w:divBdr>
    </w:div>
    <w:div w:id="2007971341">
      <w:bodyDiv w:val="1"/>
      <w:marLeft w:val="0"/>
      <w:marRight w:val="0"/>
      <w:marTop w:val="0"/>
      <w:marBottom w:val="0"/>
      <w:divBdr>
        <w:top w:val="none" w:sz="0" w:space="0" w:color="auto"/>
        <w:left w:val="none" w:sz="0" w:space="0" w:color="auto"/>
        <w:bottom w:val="none" w:sz="0" w:space="0" w:color="auto"/>
        <w:right w:val="none" w:sz="0" w:space="0" w:color="auto"/>
      </w:divBdr>
    </w:div>
    <w:div w:id="214495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uropa.eu/rapid/press-release_IP-18-3450_bg.htm" TargetMode="External"/><Relationship Id="rId21" Type="http://schemas.openxmlformats.org/officeDocument/2006/relationships/header" Target="header5.xml"/><Relationship Id="rId42" Type="http://schemas.openxmlformats.org/officeDocument/2006/relationships/hyperlink" Target="https://eur-lex.europa.eu/resource.html?uri=cellar:1dfc5184-c003-11e8-9893-01aa75ed71a1.0015.02/DOC_1&amp;format=PDF" TargetMode="External"/><Relationship Id="rId63" Type="http://schemas.openxmlformats.org/officeDocument/2006/relationships/hyperlink" Target="http://europa.eu/rapid/press-release_MEMO-18-4486_bg.htm" TargetMode="External"/><Relationship Id="rId84" Type="http://schemas.openxmlformats.org/officeDocument/2006/relationships/hyperlink" Target="http://europa.eu/rapid/press-release_MEMO-18-349_bg.htm" TargetMode="External"/><Relationship Id="rId138" Type="http://schemas.openxmlformats.org/officeDocument/2006/relationships/hyperlink" Target="https://www.icij.org/investigations/paradise-papers/" TargetMode="External"/><Relationship Id="rId159" Type="http://schemas.openxmlformats.org/officeDocument/2006/relationships/hyperlink" Target="https://ec.europa.eu/info/law/law-topic/consumers/consumer-protection-cooperation-regulation_bg" TargetMode="External"/><Relationship Id="rId170" Type="http://schemas.openxmlformats.org/officeDocument/2006/relationships/hyperlink" Target="http://europa.eu/rapid/press-release_MEMO-18-3446_bg.htm" TargetMode="External"/><Relationship Id="rId191" Type="http://schemas.openxmlformats.org/officeDocument/2006/relationships/hyperlink" Target="http://europa.eu/rapid/press-release_IP-18-6260_en.htm" TargetMode="External"/><Relationship Id="rId205" Type="http://schemas.openxmlformats.org/officeDocument/2006/relationships/hyperlink" Target="https://eur-lex.europa.eu/legal-content/BG/TXT/PDF/?uri=CELEX:32018H0951&amp;from=EN" TargetMode="External"/><Relationship Id="rId226" Type="http://schemas.openxmlformats.org/officeDocument/2006/relationships/hyperlink" Target="https://eur-lex.europa.eu/legal-content/BG/ALL/?uri=CELEX:32013L0032" TargetMode="External"/><Relationship Id="rId107" Type="http://schemas.openxmlformats.org/officeDocument/2006/relationships/hyperlink" Target="https://eur-lex.europa.eu/legal-content/BG/TXT/?uri=CELEX%3A32014L0104&amp;from=BG&amp;lang3=choose&amp;lang2=choose&amp;lang1=BG" TargetMode="External"/><Relationship Id="rId11" Type="http://schemas.openxmlformats.org/officeDocument/2006/relationships/footnotes" Target="footnotes.xml"/><Relationship Id="rId32" Type="http://schemas.openxmlformats.org/officeDocument/2006/relationships/hyperlink" Target="http://ec.europa.eu/environment/nature/legislation/fitness_check/index_en.htm" TargetMode="External"/><Relationship Id="rId53" Type="http://schemas.openxmlformats.org/officeDocument/2006/relationships/hyperlink" Target="https://eur-lex.europa.eu/legal-content/BG/TXT/?uri=CELEX%3A02013R1379-20150601" TargetMode="External"/><Relationship Id="rId74" Type="http://schemas.openxmlformats.org/officeDocument/2006/relationships/hyperlink" Target="https://eur-lex.europa.eu/eli/dir/2017/1564/oj?locale=bg" TargetMode="External"/><Relationship Id="rId128" Type="http://schemas.openxmlformats.org/officeDocument/2006/relationships/hyperlink" Target="http://europa.eu/rapid/press-release_IP-18-3453_en.htm" TargetMode="External"/><Relationship Id="rId149" Type="http://schemas.openxmlformats.org/officeDocument/2006/relationships/hyperlink" Target="http://europa.eu/rapid/press-release_MEMO-18-3986_bg.htm" TargetMode="External"/><Relationship Id="rId5" Type="http://schemas.openxmlformats.org/officeDocument/2006/relationships/customXml" Target="../customXml/item5.xml"/><Relationship Id="rId95" Type="http://schemas.openxmlformats.org/officeDocument/2006/relationships/image" Target="media/image12.jpeg"/><Relationship Id="rId160" Type="http://schemas.openxmlformats.org/officeDocument/2006/relationships/image" Target="media/image21.jpeg"/><Relationship Id="rId181" Type="http://schemas.openxmlformats.org/officeDocument/2006/relationships/hyperlink" Target="https://eur-lex.europa.eu/legal-content/BG/TXT/?uri=CELEX%3A32016R0068&amp;from=EN&amp;lang3=choose&amp;lang2=choose&amp;lang1=BG" TargetMode="External"/><Relationship Id="rId216" Type="http://schemas.openxmlformats.org/officeDocument/2006/relationships/hyperlink" Target="https://eur-lex.europa.eu/legal-content/BG/TXT/?uri=CELEX%3A32014L0041&amp;from=EN&amp;lang3=choose&amp;lang2=choose&amp;lang1=BG" TargetMode="External"/><Relationship Id="rId237" Type="http://schemas.openxmlformats.org/officeDocument/2006/relationships/header" Target="header9.xml"/><Relationship Id="rId22" Type="http://schemas.openxmlformats.org/officeDocument/2006/relationships/footer" Target="footer4.xml"/><Relationship Id="rId43" Type="http://schemas.openxmlformats.org/officeDocument/2006/relationships/hyperlink" Target="http://ec.europa.eu/environment/legal/pdf/COM_2018_10_F1_COMMUNICATION_FROM_COMMISSION_TO_INST_EN_V8_P1_959219.pdf" TargetMode="External"/><Relationship Id="rId64" Type="http://schemas.openxmlformats.org/officeDocument/2006/relationships/hyperlink" Target="http://europa.eu/rapid/press-release_MEMO-18-6247_bg.htm" TargetMode="External"/><Relationship Id="rId118" Type="http://schemas.openxmlformats.org/officeDocument/2006/relationships/hyperlink" Target="http://europa.eu/rapid/press-release_MEMO-18-3446_bg.htm" TargetMode="External"/><Relationship Id="rId139" Type="http://schemas.openxmlformats.org/officeDocument/2006/relationships/hyperlink" Target="http://europa.eu/rapid/press-release_IP-18-1451_en.htm" TargetMode="External"/><Relationship Id="rId80" Type="http://schemas.openxmlformats.org/officeDocument/2006/relationships/hyperlink" Target="https://eur-lex.europa.eu/legal-content/BG/TXT/?uri=CELEX%3A32018L2002&amp;from=EN&amp;lang3=choose&amp;lang2=choose&amp;lang1=BG" TargetMode="External"/><Relationship Id="rId85" Type="http://schemas.openxmlformats.org/officeDocument/2006/relationships/hyperlink" Target="https://eur-lex.europa.eu/legal-content/BG/TXT/?uri=CELEX%3A32018L0844&amp;from=EN&amp;lang3=choose&amp;lang2=choose&amp;lang1=BG" TargetMode="External"/><Relationship Id="rId150" Type="http://schemas.openxmlformats.org/officeDocument/2006/relationships/hyperlink" Target="https://eur-lex.europa.eu/legal-content/BG/TXT/?uri=CELEX%3A32016L2258&amp;from=EN&amp;lang3=choose&amp;lang2=choose&amp;lang1=BG" TargetMode="External"/><Relationship Id="rId155" Type="http://schemas.openxmlformats.org/officeDocument/2006/relationships/hyperlink" Target="http://europa.eu/rapid/press-release_MEMO-18-2821_en.htm" TargetMode="External"/><Relationship Id="rId171" Type="http://schemas.openxmlformats.org/officeDocument/2006/relationships/hyperlink" Target="https://eur-lex.europa.eu/legal-content/BG/TXT/?uri=CELEX%3A32008L0106&amp;from=EN&amp;lang3=choose&amp;lang2=choose&amp;lang1=BG" TargetMode="External"/><Relationship Id="rId176" Type="http://schemas.openxmlformats.org/officeDocument/2006/relationships/hyperlink" Target="http://europa.eu/rapid/press-release_MEMO-18-4486_bg.htm" TargetMode="External"/><Relationship Id="rId192" Type="http://schemas.openxmlformats.org/officeDocument/2006/relationships/hyperlink" Target="https://eur-lex.europa.eu/legal-content/BG/TXT/?uri=CELEX:32013L0036" TargetMode="External"/><Relationship Id="rId197" Type="http://schemas.openxmlformats.org/officeDocument/2006/relationships/image" Target="media/image25.jpeg"/><Relationship Id="rId206" Type="http://schemas.openxmlformats.org/officeDocument/2006/relationships/hyperlink" Target="http://eur-lex.europa.eu/legal-content/BG/ALL/?uri=CELEX:32000L0043" TargetMode="External"/><Relationship Id="rId227" Type="http://schemas.openxmlformats.org/officeDocument/2006/relationships/hyperlink" Target="https://eur-lex.europa.eu/legal-content/BG/TXT/?uri=CELEX:32013L0033" TargetMode="External"/><Relationship Id="rId201" Type="http://schemas.openxmlformats.org/officeDocument/2006/relationships/hyperlink" Target="https://ec.europa.eu/info/law/law-topic/data-protection_bg" TargetMode="External"/><Relationship Id="rId222" Type="http://schemas.openxmlformats.org/officeDocument/2006/relationships/hyperlink" Target="http://eur-lex.europa.eu/legal-content/bg/ALL/?uri=celex:32013L0032" TargetMode="External"/><Relationship Id="rId12" Type="http://schemas.openxmlformats.org/officeDocument/2006/relationships/endnotes" Target="endnotes.xml"/><Relationship Id="rId17" Type="http://schemas.openxmlformats.org/officeDocument/2006/relationships/footer" Target="footer2.xml"/><Relationship Id="rId33" Type="http://schemas.openxmlformats.org/officeDocument/2006/relationships/hyperlink" Target="https://eur-lex.europa.eu/legal-content/BG/TXT/PDF/?uri=CELEX:52017DC0198&amp;qid=1561189606446&amp;from=EN" TargetMode="External"/><Relationship Id="rId38" Type="http://schemas.openxmlformats.org/officeDocument/2006/relationships/hyperlink" Target="https://eur-lex.europa.eu/legal-content/BG/TXT/PDF/?uri=CELEX:52018DC0330&amp;qid=1561190590311&amp;from=BG" TargetMode="External"/><Relationship Id="rId59" Type="http://schemas.openxmlformats.org/officeDocument/2006/relationships/image" Target="media/image7.jpeg"/><Relationship Id="rId103" Type="http://schemas.openxmlformats.org/officeDocument/2006/relationships/hyperlink" Target="https://eur-lex.europa.eu/legal-content/BG/TXT/?uri=CELEX%3A52018PC0284R%2801%29&amp;from=EN&amp;lang3=choose&amp;lang2=choose&amp;lang1=BG" TargetMode="External"/><Relationship Id="rId108" Type="http://schemas.openxmlformats.org/officeDocument/2006/relationships/hyperlink" Target="http://europa.eu/rapid/press-release_MEMO-18-1444_bg.htm" TargetMode="External"/><Relationship Id="rId124" Type="http://schemas.openxmlformats.org/officeDocument/2006/relationships/hyperlink" Target="https://e-justice.europa.eu/content_find_a_company-489-bg.do" TargetMode="External"/><Relationship Id="rId129" Type="http://schemas.openxmlformats.org/officeDocument/2006/relationships/hyperlink" Target="http://europa.eu/rapid/press-release_IP-17-3497_EN.htm" TargetMode="External"/><Relationship Id="rId54" Type="http://schemas.openxmlformats.org/officeDocument/2006/relationships/hyperlink" Target="https://eur-lex.europa.eu/legal-content/BG/TXT/?qid=1521541590690&amp;uri=CELEX%3A32014L0089" TargetMode="External"/><Relationship Id="rId70" Type="http://schemas.openxmlformats.org/officeDocument/2006/relationships/hyperlink" Target="http://europa.eu/rapid/press-release_MEMO-18-4486_bg.htm" TargetMode="External"/><Relationship Id="rId75" Type="http://schemas.openxmlformats.org/officeDocument/2006/relationships/hyperlink" Target="https://eur-lex.europa.eu/eli/dir/2017/1564/oj" TargetMode="External"/><Relationship Id="rId91" Type="http://schemas.openxmlformats.org/officeDocument/2006/relationships/hyperlink" Target="https://eur-lex.europa.eu/legal-content/BG/TXT/?uri=CELEX%3A32014L0087&amp;from=EN&amp;lang3=choose&amp;lang2=choose&amp;lang1=BG" TargetMode="External"/><Relationship Id="rId96" Type="http://schemas.openxmlformats.org/officeDocument/2006/relationships/hyperlink" Target="https://ec.europa.eu/clima/policies/strategies/2030_bg" TargetMode="External"/><Relationship Id="rId140" Type="http://schemas.openxmlformats.org/officeDocument/2006/relationships/hyperlink" Target="http://europa.eu/rapid/press-release_IP-18-6265_en.htm" TargetMode="External"/><Relationship Id="rId145" Type="http://schemas.openxmlformats.org/officeDocument/2006/relationships/hyperlink" Target="http://eur-lex.europa.eu/legal-content/BG/ALL/?uri=celex:32011L0016" TargetMode="External"/><Relationship Id="rId161" Type="http://schemas.openxmlformats.org/officeDocument/2006/relationships/hyperlink" Target="https://eur-lex.europa.eu/legal-content/BG/TXT/?uri=CELEX%3A32014L0040&amp;from=EN&amp;lang3=choose&amp;lang2=choose&amp;lang1=BG" TargetMode="External"/><Relationship Id="rId166" Type="http://schemas.openxmlformats.org/officeDocument/2006/relationships/hyperlink" Target="http://europa.eu/rapid/press-release_MEMO-18-3446_bg.htm" TargetMode="External"/><Relationship Id="rId182" Type="http://schemas.openxmlformats.org/officeDocument/2006/relationships/hyperlink" Target="http://curia.europa.eu/juris/liste.jsf?oqp=&amp;for=&amp;mat=or&amp;lgrec=fr&amp;jge=&amp;td=%3BALL&amp;jur=C%2CT%2CF&amp;num=C-181%252F17&amp;page=1&amp;dates=&amp;pcs=Oor&amp;lg=&amp;pro=&amp;nat=or&amp;cit=none%252CC%252CCJ%252CR%252C2008E%252C%252C%252C%252C%252C%252C%252C%252C%252C%252Ctrue%252Cfalse%252Cfalse&amp;language=bg&amp;avg=&amp;cid=6942628" TargetMode="External"/><Relationship Id="rId187" Type="http://schemas.openxmlformats.org/officeDocument/2006/relationships/image" Target="media/image24.jpeg"/><Relationship Id="rId217" Type="http://schemas.openxmlformats.org/officeDocument/2006/relationships/hyperlink" Target="https://eur-lex.europa.eu/legal-content/BG/TXT/?uri=CELEX:32016L0681" TargetMode="External"/><Relationship Id="rId1" Type="http://schemas.openxmlformats.org/officeDocument/2006/relationships/customXml" Target="../customXml/item1.xml"/><Relationship Id="rId6" Type="http://schemas.openxmlformats.org/officeDocument/2006/relationships/numbering" Target="numbering.xml"/><Relationship Id="rId212" Type="http://schemas.openxmlformats.org/officeDocument/2006/relationships/hyperlink" Target="https://eur-lex.europa.eu/legal-content/BG/TXT/?uri=CELEX%3A32015L0849&amp;from=EN&amp;lang3=choose&amp;lang2=choose&amp;lang1=BG" TargetMode="External"/><Relationship Id="rId233" Type="http://schemas.openxmlformats.org/officeDocument/2006/relationships/header" Target="header7.xml"/><Relationship Id="rId238" Type="http://schemas.openxmlformats.org/officeDocument/2006/relationships/footer" Target="footer9.xml"/><Relationship Id="rId23" Type="http://schemas.openxmlformats.org/officeDocument/2006/relationships/footer" Target="footer5.xml"/><Relationship Id="rId28" Type="http://schemas.openxmlformats.org/officeDocument/2006/relationships/hyperlink" Target="https://eur-lex.europa.eu/legal-content/BG/TXT/?uri=CELEX%3A52017XC0524%2801%29" TargetMode="External"/><Relationship Id="rId49" Type="http://schemas.openxmlformats.org/officeDocument/2006/relationships/image" Target="media/image5.jpeg"/><Relationship Id="rId114" Type="http://schemas.openxmlformats.org/officeDocument/2006/relationships/hyperlink" Target="http://europa.eu/rapid/press-release_IP-18-1624_bg.htm" TargetMode="External"/><Relationship Id="rId119" Type="http://schemas.openxmlformats.org/officeDocument/2006/relationships/hyperlink" Target="http://europa.eu/rapid/press-release_IP-18-3459_en.htm" TargetMode="External"/><Relationship Id="rId44" Type="http://schemas.openxmlformats.org/officeDocument/2006/relationships/image" Target="media/image4.jpeg"/><Relationship Id="rId60" Type="http://schemas.openxmlformats.org/officeDocument/2006/relationships/hyperlink" Target="https://eur-lex.europa.eu/eli/dir/2017/1371/oj" TargetMode="External"/><Relationship Id="rId65" Type="http://schemas.openxmlformats.org/officeDocument/2006/relationships/hyperlink" Target="https://eur-lex.europa.eu/legal-content/BG/TXT/?uri=CELEX%3A32014L0061&amp;from=EN&amp;lang3=choose&amp;lang2=choose&amp;lang1=BG" TargetMode="External"/><Relationship Id="rId81" Type="http://schemas.openxmlformats.org/officeDocument/2006/relationships/hyperlink" Target="https://eur-lex.europa.eu/legal-content/BG/TXT/?uri=CELEX%3A32018L2001&amp;from=EN&amp;lang3=choose&amp;lang2=choose&amp;lang1=BG" TargetMode="External"/><Relationship Id="rId86" Type="http://schemas.openxmlformats.org/officeDocument/2006/relationships/hyperlink" Target="http://europa.eu/rapid/press-release_MEMO-18-6247_bg.htm" TargetMode="External"/><Relationship Id="rId130" Type="http://schemas.openxmlformats.org/officeDocument/2006/relationships/hyperlink" Target="http://eur-lex.europa.eu/legal-content/BG/TXT/?uri=celex:32014L0056" TargetMode="External"/><Relationship Id="rId135" Type="http://schemas.openxmlformats.org/officeDocument/2006/relationships/image" Target="media/image19.jpeg"/><Relationship Id="rId151" Type="http://schemas.openxmlformats.org/officeDocument/2006/relationships/hyperlink" Target="http://europa.eu/rapid/press-release_MEMO-18-3986_bg.htm" TargetMode="External"/><Relationship Id="rId156" Type="http://schemas.openxmlformats.org/officeDocument/2006/relationships/hyperlink" Target="https://ec.europa.eu/info/law/law-topic/consumers/unfair-commercial-practices-law/unfair-commercial-practices-directive_bg" TargetMode="External"/><Relationship Id="rId177" Type="http://schemas.openxmlformats.org/officeDocument/2006/relationships/hyperlink" Target="https://eur-lex.europa.eu/legal-content/BG/TXT/?uri=CELEX%3A32015R0962&amp;from=EN&amp;fromTab=ALL&amp;lang3=choose&amp;lang2=choose&amp;lang1=BG" TargetMode="External"/><Relationship Id="rId198" Type="http://schemas.openxmlformats.org/officeDocument/2006/relationships/hyperlink" Target="http://europa.eu/rapid/press-release_IP-18-5830_bg.htm" TargetMode="External"/><Relationship Id="rId172" Type="http://schemas.openxmlformats.org/officeDocument/2006/relationships/hyperlink" Target="http://europa.eu/rapid/press-release_MEMO-18-4486_bg.htm" TargetMode="External"/><Relationship Id="rId193" Type="http://schemas.openxmlformats.org/officeDocument/2006/relationships/hyperlink" Target="http://europa.eu/rapid/press-release_MEMO-18-4486_bg.htm" TargetMode="External"/><Relationship Id="rId202" Type="http://schemas.openxmlformats.org/officeDocument/2006/relationships/hyperlink" Target="https://eur-lex.europa.eu/legal-content/BG/TXT/?uri=CELEX%3A32016L0680&amp;from=EN&amp;lang3=choose&amp;lang2=choose&amp;lang1=BG" TargetMode="External"/><Relationship Id="rId207" Type="http://schemas.openxmlformats.org/officeDocument/2006/relationships/hyperlink" Target="https://ec.europa.eu/home-affairs/what-we-do/policies/european-agenda-security_en" TargetMode="External"/><Relationship Id="rId223" Type="http://schemas.openxmlformats.org/officeDocument/2006/relationships/hyperlink" Target="http://eur-lex.europa.eu/legal-content/BG/TXT/?uri=celex:32013L0033" TargetMode="External"/><Relationship Id="rId228" Type="http://schemas.openxmlformats.org/officeDocument/2006/relationships/hyperlink" Target="https://eur-lex.europa.eu/legal-content/BG/TXT/?uri=CELEX:32008L0115" TargetMode="External"/><Relationship Id="rId13" Type="http://schemas.openxmlformats.org/officeDocument/2006/relationships/image" Target="media/image1.emf"/><Relationship Id="rId18" Type="http://schemas.openxmlformats.org/officeDocument/2006/relationships/header" Target="header3.xml"/><Relationship Id="rId39" Type="http://schemas.openxmlformats.org/officeDocument/2006/relationships/hyperlink" Target="https://eur-lex.europa.eu/legal-content/BG/TXT/PDF/?uri=CELEX:52018DC0330&amp;qid=1561190590311&amp;from=BG" TargetMode="External"/><Relationship Id="rId109" Type="http://schemas.openxmlformats.org/officeDocument/2006/relationships/hyperlink" Target="http://europa.eu/rapid/press-release_IP-15-4872_EN.htm" TargetMode="External"/><Relationship Id="rId34" Type="http://schemas.openxmlformats.org/officeDocument/2006/relationships/hyperlink" Target="http://curia.europa.eu/juris/liste.jsf?oqp=&amp;for=&amp;mat=or&amp;lgrec=en&amp;jge=&amp;td=%3BALL&amp;jur=C%2CT%2CF&amp;num=C-441%252F17&amp;page=1&amp;dates=&amp;pcs=Oor&amp;lg=&amp;pro=&amp;nat=or&amp;cit=none%252CC%252CCJ%252CR%252C2008E%252C%252C%252C%252C%252C%252C%252C%252C%252C%252Ctrue%252Cfalse%252Cfalse&amp;language=bg&amp;avg=&amp;cid=10828517" TargetMode="External"/><Relationship Id="rId50" Type="http://schemas.openxmlformats.org/officeDocument/2006/relationships/hyperlink" Target="http://europa.eu/rapid/press-release_MEMO-18-3446_bg.htm" TargetMode="External"/><Relationship Id="rId55" Type="http://schemas.openxmlformats.org/officeDocument/2006/relationships/image" Target="media/image6.png"/><Relationship Id="rId76" Type="http://schemas.openxmlformats.org/officeDocument/2006/relationships/hyperlink" Target="https://ec.europa.eu/commission/priorities/energy-union-and-climate_bg" TargetMode="External"/><Relationship Id="rId97" Type="http://schemas.openxmlformats.org/officeDocument/2006/relationships/hyperlink" Target="http://europa.eu/rapid/press-release_IP-18-6543_bg.htm" TargetMode="External"/><Relationship Id="rId104" Type="http://schemas.openxmlformats.org/officeDocument/2006/relationships/hyperlink" Target="https://eur-lex.europa.eu/legal-content/BG/TXT/?uri=CELEX%3A32018R0956&amp;from=EN&amp;lang3=choose&amp;lang2=choose&amp;lang1=BG" TargetMode="External"/><Relationship Id="rId120" Type="http://schemas.openxmlformats.org/officeDocument/2006/relationships/image" Target="media/image16.jpeg"/><Relationship Id="rId125" Type="http://schemas.openxmlformats.org/officeDocument/2006/relationships/image" Target="media/image18.jpeg"/><Relationship Id="rId141" Type="http://schemas.openxmlformats.org/officeDocument/2006/relationships/hyperlink" Target="http://europa.eu/rapid/press-release_IP-18-1451_en.htm" TargetMode="External"/><Relationship Id="rId146" Type="http://schemas.openxmlformats.org/officeDocument/2006/relationships/hyperlink" Target="https://eur-lex.europa.eu/legal-content/BG/TXT/?uri=CELEX%3A32016L2258&amp;from=EN&amp;lang3=choose&amp;lang2=choose&amp;lang1=BG" TargetMode="External"/><Relationship Id="rId167" Type="http://schemas.openxmlformats.org/officeDocument/2006/relationships/hyperlink" Target="http://europa.eu/rapid/press-release_MEMO-18-6247_bg.htm" TargetMode="External"/><Relationship Id="rId188" Type="http://schemas.openxmlformats.org/officeDocument/2006/relationships/hyperlink" Target="https://eur-lex.europa.eu/legal-content/BG/TXT/?qid=1490092013635&amp;uri=CELEX:32013L0036" TargetMode="External"/><Relationship Id="rId7" Type="http://schemas.openxmlformats.org/officeDocument/2006/relationships/styles" Target="styles.xml"/><Relationship Id="rId71" Type="http://schemas.openxmlformats.org/officeDocument/2006/relationships/image" Target="media/image10.jpeg"/><Relationship Id="rId92" Type="http://schemas.openxmlformats.org/officeDocument/2006/relationships/hyperlink" Target="https://eur-lex.europa.eu/legal-content/BG/TXT/?uri=CELEX%3A32011L0070&amp;from=EN&amp;lang3=choose&amp;lang2=choose&amp;lang1=BG" TargetMode="External"/><Relationship Id="rId162" Type="http://schemas.openxmlformats.org/officeDocument/2006/relationships/hyperlink" Target="https://eur-lex.europa.eu/legal-content/BG/TXT/?uri=CELEX%3A32011L0024&amp;from=EN&amp;fromTab=ALL&amp;lang3=choose&amp;lang2=choose&amp;lang1=BG" TargetMode="External"/><Relationship Id="rId183" Type="http://schemas.openxmlformats.org/officeDocument/2006/relationships/hyperlink" Target="http://europa.eu/rapid/press-release_MEMO-18-4486_bg.htm" TargetMode="External"/><Relationship Id="rId213" Type="http://schemas.openxmlformats.org/officeDocument/2006/relationships/hyperlink" Target="http://europa.eu/rapid/press-release_IP-18-4491_en.htm" TargetMode="External"/><Relationship Id="rId218" Type="http://schemas.openxmlformats.org/officeDocument/2006/relationships/hyperlink" Target="https://eur-lex.europa.eu/legal-content/BG/TXT/?uri=CELEX%3A32017L0541&amp;from=EN&amp;lang3=choose&amp;lang2=choose&amp;lang1=BG" TargetMode="External"/><Relationship Id="rId234" Type="http://schemas.openxmlformats.org/officeDocument/2006/relationships/header" Target="header8.xml"/><Relationship Id="rId239"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eur-lex.europa.eu/legal-content/BG/TXT/?uri=COM%3A2018%3A292%3AFIN" TargetMode="External"/><Relationship Id="rId24" Type="http://schemas.openxmlformats.org/officeDocument/2006/relationships/header" Target="header6.xml"/><Relationship Id="rId40" Type="http://schemas.openxmlformats.org/officeDocument/2006/relationships/hyperlink" Target="http://europa.eu/rapid/press-release_IP-18-3450_bg.htm" TargetMode="External"/><Relationship Id="rId45" Type="http://schemas.openxmlformats.org/officeDocument/2006/relationships/hyperlink" Target="https://ec.europa.eu/agriculture/direct-support/direct-payments_bg" TargetMode="External"/><Relationship Id="rId66" Type="http://schemas.openxmlformats.org/officeDocument/2006/relationships/hyperlink" Target="https://eur-lex.europa.eu/legal-content/BG/TXT/?uri=CELEX%3A32014L0061&amp;from=EN&amp;lang3=choose&amp;lang2=choose&amp;lang1=BG" TargetMode="External"/><Relationship Id="rId87" Type="http://schemas.openxmlformats.org/officeDocument/2006/relationships/hyperlink" Target="https://eur-lex.europa.eu/legal-content/BG/TXT/?uri=CELEX%3A32012L0027&amp;from=EN&amp;fromTab=ALL&amp;lang3=choose&amp;lang2=choose&amp;lang1=BG" TargetMode="External"/><Relationship Id="rId110" Type="http://schemas.openxmlformats.org/officeDocument/2006/relationships/hyperlink" Target="http://curia.europa.eu/juris/liste.jsf?oqp=&amp;for=&amp;mat=or&amp;lgrec=en&amp;jge=&amp;td=%3BALL&amp;jur=C%2CT%2CF&amp;num=C-93%252F17&amp;page=1&amp;dates=&amp;pcs=Oor&amp;lg=&amp;pro=&amp;nat=or&amp;cit=none%252CC%252CCJ%252CR%252C2008E%252C%252C%252C%252C%252C%252C%252C%252C%252C%252Ctrue%252Cfalse%252Cfalse&amp;language=bg&amp;avg=&amp;cid=6691675" TargetMode="External"/><Relationship Id="rId115" Type="http://schemas.openxmlformats.org/officeDocument/2006/relationships/hyperlink" Target="https://ec.europa.eu/social/main.jsp?langId=en&amp;catId=89&amp;newsId=9301&amp;furtherNews=yes" TargetMode="External"/><Relationship Id="rId131" Type="http://schemas.openxmlformats.org/officeDocument/2006/relationships/hyperlink" Target="http://eur-lex.europa.eu/legal-content/bg/TXT/?uri=CELEX:32014L0092" TargetMode="External"/><Relationship Id="rId136" Type="http://schemas.openxmlformats.org/officeDocument/2006/relationships/hyperlink" Target="https://ec.europa.eu/taxation_customs/business/union-customs-code_en" TargetMode="External"/><Relationship Id="rId157" Type="http://schemas.openxmlformats.org/officeDocument/2006/relationships/hyperlink" Target="https://eur-lex.europa.eu/legal-content/BG/TXT/?uri=CELEX%3A32015L2302&amp;from=EN&amp;lang3=choose&amp;lang2=choose&amp;lang1=BG" TargetMode="External"/><Relationship Id="rId178" Type="http://schemas.openxmlformats.org/officeDocument/2006/relationships/hyperlink" Target="http://europa.eu/rapid/press-release_MEMO-18-3986_bg.htm" TargetMode="External"/><Relationship Id="rId61" Type="http://schemas.openxmlformats.org/officeDocument/2006/relationships/hyperlink" Target="http://europa.eu/rapid/press-release_MEMO-18-1444_bg.htm" TargetMode="External"/><Relationship Id="rId82" Type="http://schemas.openxmlformats.org/officeDocument/2006/relationships/hyperlink" Target="https://eur-lex.europa.eu/legal-content/BG/TXT/?uri=CELEX%3A32018R1999&amp;from=EN&amp;lang3=choose&amp;lang2=choose&amp;lang1=BG" TargetMode="External"/><Relationship Id="rId152" Type="http://schemas.openxmlformats.org/officeDocument/2006/relationships/hyperlink" Target="https://eur-lex.europa.eu/legal-content/BG/TXT/?uri=CELEX%3A32014L0107&amp;from=EN&amp;lang3=choose&amp;lang2=choose&amp;lang1=BG" TargetMode="External"/><Relationship Id="rId173" Type="http://schemas.openxmlformats.org/officeDocument/2006/relationships/hyperlink" Target="http://europa.eu/rapid/press-release_MEMO-18-3446_bg.htm" TargetMode="External"/><Relationship Id="rId194" Type="http://schemas.openxmlformats.org/officeDocument/2006/relationships/hyperlink" Target="https://ec.europa.eu/info/business-economy-euro/economic-and-fiscal-policy-coordination/eu-economic-governance-monitoring-prevention-correction/european-semester_bg" TargetMode="External"/><Relationship Id="rId199" Type="http://schemas.openxmlformats.org/officeDocument/2006/relationships/hyperlink" Target="http://europa.eu/rapid/press-release_IP-18-4522_en.htm" TargetMode="External"/><Relationship Id="rId203" Type="http://schemas.openxmlformats.org/officeDocument/2006/relationships/hyperlink" Target="https://eur-lex.europa.eu/legal-content/BG/TXT/?uri=CELEX%3A32016L0680&amp;from=EN&amp;lang3=choose&amp;lang2=choose&amp;lang1=BG" TargetMode="External"/><Relationship Id="rId208" Type="http://schemas.openxmlformats.org/officeDocument/2006/relationships/image" Target="media/image28.jpeg"/><Relationship Id="rId229" Type="http://schemas.openxmlformats.org/officeDocument/2006/relationships/hyperlink" Target="http://europa.eu/rapid/press-release_MEMO-18-6247_bg.htm" TargetMode="External"/><Relationship Id="rId19" Type="http://schemas.openxmlformats.org/officeDocument/2006/relationships/footer" Target="footer3.xml"/><Relationship Id="rId224" Type="http://schemas.openxmlformats.org/officeDocument/2006/relationships/hyperlink" Target="http://eur-lex.europa.eu/legal-content/BG/ALL/?uri=CELEX:32008L0115" TargetMode="External"/><Relationship Id="rId240" Type="http://schemas.openxmlformats.org/officeDocument/2006/relationships/theme" Target="theme/theme1.xml"/><Relationship Id="rId14" Type="http://schemas.openxmlformats.org/officeDocument/2006/relationships/header" Target="header1.xml"/><Relationship Id="rId30" Type="http://schemas.openxmlformats.org/officeDocument/2006/relationships/hyperlink" Target="https://eur-lex.europa.eu/legal-content/BG/ALL/?uri=CELEX%3A32009L0038" TargetMode="External"/><Relationship Id="rId35" Type="http://schemas.openxmlformats.org/officeDocument/2006/relationships/hyperlink" Target="http://europa.eu/rapid/press-release_MEMO-18-6247_bg.htm" TargetMode="External"/><Relationship Id="rId56" Type="http://schemas.openxmlformats.org/officeDocument/2006/relationships/hyperlink" Target="https://ec.europa.eu/info/funding-tenders/funding-opportunities/funding-programmes/overview-funding-programmes/european-structural-and-investment-funds_bg" TargetMode="External"/><Relationship Id="rId77" Type="http://schemas.openxmlformats.org/officeDocument/2006/relationships/image" Target="media/image11.emf"/><Relationship Id="rId100" Type="http://schemas.openxmlformats.org/officeDocument/2006/relationships/hyperlink" Target="https://eur-lex.europa.eu/legal-content/BG/TXT/?uri=CELEX:32014R0517" TargetMode="External"/><Relationship Id="rId105" Type="http://schemas.openxmlformats.org/officeDocument/2006/relationships/hyperlink" Target="https://ec.europa.eu/clima/news/europe-accelerates-transition-clean-mobility-co-legislators-agree-strong-rules-modernisation_bg" TargetMode="External"/><Relationship Id="rId126" Type="http://schemas.openxmlformats.org/officeDocument/2006/relationships/hyperlink" Target="https://ec.europa.eu/info/publications/insurance-distribution-directive-transposition-status_en" TargetMode="External"/><Relationship Id="rId147" Type="http://schemas.openxmlformats.org/officeDocument/2006/relationships/hyperlink" Target="https://eur-lex.europa.eu/legal-content/BG/TXT/?uri=CELEX%3A32014L0107&amp;from=EN&amp;lang3=choose&amp;lang2=choose&amp;lang1=BG" TargetMode="External"/><Relationship Id="rId168" Type="http://schemas.openxmlformats.org/officeDocument/2006/relationships/hyperlink" Target="http://europa.eu/rapid/press-release_MEMO-18-3446_bg.htm" TargetMode="External"/><Relationship Id="rId8" Type="http://schemas.microsoft.com/office/2007/relationships/stylesWithEffects" Target="stylesWithEffects.xml"/><Relationship Id="rId51" Type="http://schemas.openxmlformats.org/officeDocument/2006/relationships/hyperlink" Target="https://eur-lex.europa.eu/legal-content/BG/TXT/?qid=1521541720492&amp;uri=CELEX%3A32009R1224" TargetMode="External"/><Relationship Id="rId72" Type="http://schemas.openxmlformats.org/officeDocument/2006/relationships/hyperlink" Target="https://eur-lex.europa.eu/legal-content/BG/TXT/?uri=CELEX%3A32016L2102" TargetMode="External"/><Relationship Id="rId93" Type="http://schemas.openxmlformats.org/officeDocument/2006/relationships/hyperlink" Target="http://europa.eu/rapid/press-release_MEMO-18-3446_bg.htm" TargetMode="External"/><Relationship Id="rId98" Type="http://schemas.openxmlformats.org/officeDocument/2006/relationships/hyperlink" Target="https://ec.europa.eu/clima/policies/strategies/2020_bg" TargetMode="External"/><Relationship Id="rId121" Type="http://schemas.openxmlformats.org/officeDocument/2006/relationships/hyperlink" Target="https://eur-lex.europa.eu/legal-content/BG/TXT/?uri=CELEX%3A32005L0036&amp;from=EN&amp;lang3=choose&amp;lang2=choose&amp;lang1=BG" TargetMode="External"/><Relationship Id="rId142" Type="http://schemas.openxmlformats.org/officeDocument/2006/relationships/hyperlink" Target="http://europa.eu/rapid/press-release_IP-18-1451_en.htm" TargetMode="External"/><Relationship Id="rId163" Type="http://schemas.openxmlformats.org/officeDocument/2006/relationships/hyperlink" Target="http://ec.europa.eu/citizens-initiative/public/initiatives/successful/details/2017/000002?lg=bg" TargetMode="External"/><Relationship Id="rId184" Type="http://schemas.openxmlformats.org/officeDocument/2006/relationships/image" Target="media/image23.jpeg"/><Relationship Id="rId189" Type="http://schemas.openxmlformats.org/officeDocument/2006/relationships/hyperlink" Target="http://eur-lex.europa.eu/legal-content/BG/TXT/?qid=1490092036225&amp;uri=CELEX:32014L0049" TargetMode="External"/><Relationship Id="rId219" Type="http://schemas.openxmlformats.org/officeDocument/2006/relationships/hyperlink" Target="https://eur-lex.europa.eu/legal-content/BG/TXT/?uri=CELEX:32016L0681" TargetMode="External"/><Relationship Id="rId3" Type="http://schemas.openxmlformats.org/officeDocument/2006/relationships/customXml" Target="../customXml/item3.xml"/><Relationship Id="rId214" Type="http://schemas.openxmlformats.org/officeDocument/2006/relationships/hyperlink" Target="http://eur-lex.europa.eu/legal-content/BG/TXT/?uri=celex:32014L0041" TargetMode="External"/><Relationship Id="rId230" Type="http://schemas.openxmlformats.org/officeDocument/2006/relationships/hyperlink" Target="http://europa.eu/rapid/press-release_MEMO-18-4486_bg.htm" TargetMode="External"/><Relationship Id="rId235" Type="http://schemas.openxmlformats.org/officeDocument/2006/relationships/footer" Target="footer7.xml"/><Relationship Id="rId25" Type="http://schemas.openxmlformats.org/officeDocument/2006/relationships/footer" Target="footer6.xml"/><Relationship Id="rId46" Type="http://schemas.openxmlformats.org/officeDocument/2006/relationships/hyperlink" Target="http://europa.eu/rapid/press-release_MEMO-18-349_bg.htm" TargetMode="External"/><Relationship Id="rId67" Type="http://schemas.openxmlformats.org/officeDocument/2006/relationships/image" Target="media/image9.jpeg"/><Relationship Id="rId116" Type="http://schemas.openxmlformats.org/officeDocument/2006/relationships/image" Target="media/image15.jpeg"/><Relationship Id="rId137" Type="http://schemas.openxmlformats.org/officeDocument/2006/relationships/hyperlink" Target="https://ec.europa.eu/taxation_customs/business/union-customs-code_en" TargetMode="External"/><Relationship Id="rId158" Type="http://schemas.openxmlformats.org/officeDocument/2006/relationships/hyperlink" Target="https://ec.europa.eu/info/live-work-travel-eu/consumers/resolve-your-consumer-complaint/alternative-dispute-resolution-consumers_bg" TargetMode="External"/><Relationship Id="rId20" Type="http://schemas.openxmlformats.org/officeDocument/2006/relationships/header" Target="header4.xml"/><Relationship Id="rId41" Type="http://schemas.openxmlformats.org/officeDocument/2006/relationships/hyperlink" Target="http://curia.europa.eu/juris/liste.jsf?oqp=&amp;for=&amp;mat=or&amp;lgrec=en&amp;jge=&amp;td=%3BALL&amp;jur=C%2CT%2CF&amp;num=C-336%252F16&amp;page=1&amp;dates=&amp;pcs=Oor&amp;lg=&amp;pro=&amp;nat=or&amp;cit=none%252CC%252CCJ%252CR%252C2008E%252C%252C%252C%252C%252C%252C%252C%252C%252C%252Ctrue%252Cfalse%252Cfalse&amp;language=bg&amp;avg=&amp;cid=10834553" TargetMode="External"/><Relationship Id="rId62" Type="http://schemas.openxmlformats.org/officeDocument/2006/relationships/image" Target="media/image8.jpeg"/><Relationship Id="rId83" Type="http://schemas.openxmlformats.org/officeDocument/2006/relationships/hyperlink" Target="http://europa.eu/rapid/press-release_MEMO-18-3446_bg.htm" TargetMode="External"/><Relationship Id="rId88" Type="http://schemas.openxmlformats.org/officeDocument/2006/relationships/hyperlink" Target="http://europa.eu/rapid/press-release_MEMO-18-3986_bg.htm" TargetMode="External"/><Relationship Id="rId111" Type="http://schemas.openxmlformats.org/officeDocument/2006/relationships/image" Target="media/image14.jpeg"/><Relationship Id="rId132" Type="http://schemas.openxmlformats.org/officeDocument/2006/relationships/hyperlink" Target="http://europa.eu/rapid/press-release_IP-18-4530_EN.htm" TargetMode="External"/><Relationship Id="rId153" Type="http://schemas.openxmlformats.org/officeDocument/2006/relationships/hyperlink" Target="http://europa.eu/rapid/press-release_MEMO-18-3986_bg.htm" TargetMode="External"/><Relationship Id="rId174" Type="http://schemas.openxmlformats.org/officeDocument/2006/relationships/hyperlink" Target="http://europa.eu/rapid/press-release_MEMO-18-1444_bg.htm" TargetMode="External"/><Relationship Id="rId179" Type="http://schemas.openxmlformats.org/officeDocument/2006/relationships/hyperlink" Target="https://eur-lex.europa.eu/legal-content/BG/TXT/?uri=CELEX%3A32010L0040&amp;from=EN&amp;fromTab=ALL&amp;lang3=choose&amp;lang2=choose&amp;lang1=BG" TargetMode="External"/><Relationship Id="rId195" Type="http://schemas.openxmlformats.org/officeDocument/2006/relationships/hyperlink" Target="https://ec.europa.eu/info/policies/justice-and-fundamental-rights/effective-justice/eu-justice-scoreboard_en" TargetMode="External"/><Relationship Id="rId209" Type="http://schemas.openxmlformats.org/officeDocument/2006/relationships/hyperlink" Target="http://eur-lex.europa.eu/legal-content/BG/TXT/?uri=celex:32014L0041" TargetMode="External"/><Relationship Id="rId190" Type="http://schemas.openxmlformats.org/officeDocument/2006/relationships/hyperlink" Target="http://eur-lex.europa.eu/legal-content/BG/TXT/?qid=1490092069549&amp;uri=CELEX:32014L0059" TargetMode="External"/><Relationship Id="rId204" Type="http://schemas.openxmlformats.org/officeDocument/2006/relationships/image" Target="media/image27.jpeg"/><Relationship Id="rId220" Type="http://schemas.openxmlformats.org/officeDocument/2006/relationships/hyperlink" Target="https://eur-lex.europa.eu/legal-content/BG/TXT/?uri=CELEX%3A32017L0541&amp;from=EN&amp;lang3=choose&amp;lang2=choose&amp;lang1=BG" TargetMode="External"/><Relationship Id="rId225" Type="http://schemas.openxmlformats.org/officeDocument/2006/relationships/hyperlink" Target="http://europa.eu/rapid/press-release_IP-18-4522_en.htm" TargetMode="External"/><Relationship Id="rId15" Type="http://schemas.openxmlformats.org/officeDocument/2006/relationships/header" Target="header2.xml"/><Relationship Id="rId36" Type="http://schemas.openxmlformats.org/officeDocument/2006/relationships/hyperlink" Target="http://europa.eu/rapid/press-release_MEMO-18-1444_bg.htm" TargetMode="External"/><Relationship Id="rId57" Type="http://schemas.openxmlformats.org/officeDocument/2006/relationships/hyperlink" Target="https://ec.europa.eu/regional_policy/en/information/publications/studies/2017/the-value-added-of-ex-ante-conditionalities-in-the-european-structural-and-investment-funds-esi-funds" TargetMode="External"/><Relationship Id="rId106" Type="http://schemas.openxmlformats.org/officeDocument/2006/relationships/image" Target="media/image13.png"/><Relationship Id="rId127" Type="http://schemas.openxmlformats.org/officeDocument/2006/relationships/hyperlink" Target="https://ec.europa.eu/info/publications/payment-services-directive-transposition-status_en" TargetMode="External"/><Relationship Id="rId10" Type="http://schemas.openxmlformats.org/officeDocument/2006/relationships/webSettings" Target="webSettings.xml"/><Relationship Id="rId31" Type="http://schemas.openxmlformats.org/officeDocument/2006/relationships/image" Target="media/image3.jpeg"/><Relationship Id="rId52" Type="http://schemas.openxmlformats.org/officeDocument/2006/relationships/hyperlink" Target="http://europa.eu/rapid/press-release_MEMO-18-3446_bg.htm" TargetMode="External"/><Relationship Id="rId73" Type="http://schemas.openxmlformats.org/officeDocument/2006/relationships/hyperlink" Target="https://eur-lex.europa.eu/legal-content/BG/TXT/?uri=CELEX%3A32016L2102" TargetMode="External"/><Relationship Id="rId78" Type="http://schemas.openxmlformats.org/officeDocument/2006/relationships/hyperlink" Target="https://ec.europa.eu/energy/en/topics/energy-strategy-and-energy-union/clean-energy-all-europeans" TargetMode="External"/><Relationship Id="rId94" Type="http://schemas.openxmlformats.org/officeDocument/2006/relationships/hyperlink" Target="https://eur-lex.europa.eu/legal-content/BG/TXT/PDF/?uri=CELEX:32013L0059&amp;qid=1561212886411&amp;from=BG" TargetMode="External"/><Relationship Id="rId99" Type="http://schemas.openxmlformats.org/officeDocument/2006/relationships/hyperlink" Target="https://eur-lex.europa.eu/legal-content/BG/TXT/?uri=CELEX%3A32009L0031&amp;from=en&amp;fromTab=ALL&amp;lang3=choose&amp;lang2=choose&amp;lang1=BG" TargetMode="External"/><Relationship Id="rId101" Type="http://schemas.openxmlformats.org/officeDocument/2006/relationships/hyperlink" Target="https://eur-lex.europa.eu/legal-content/BG/TXT/?uri=CELEX%3A32015R0757&amp;from=EN&amp;lang3=choose&amp;lang2=choose&amp;lang1=BG" TargetMode="External"/><Relationship Id="rId122" Type="http://schemas.openxmlformats.org/officeDocument/2006/relationships/image" Target="media/image17.jpeg"/><Relationship Id="rId143" Type="http://schemas.openxmlformats.org/officeDocument/2006/relationships/hyperlink" Target="http://europa.eu/rapid/press-release_IP-18-6265_en.htm" TargetMode="External"/><Relationship Id="rId148" Type="http://schemas.openxmlformats.org/officeDocument/2006/relationships/hyperlink" Target="https://eur-lex.europa.eu/legal-content/BG/TXT/?uri=CELEX%3A32011L0016&amp;from=en&amp;fromTab=ALL&amp;lang3=choose&amp;lang2=choose&amp;lang1=BG" TargetMode="External"/><Relationship Id="rId164" Type="http://schemas.openxmlformats.org/officeDocument/2006/relationships/hyperlink" Target="https://eur-lex.europa.eu/legal-content/BG/TXT/PDF/?uri=CELEX:32009L0128&amp;qid=1561280257379&amp;from=BG" TargetMode="External"/><Relationship Id="rId169" Type="http://schemas.openxmlformats.org/officeDocument/2006/relationships/hyperlink" Target="http://europa.eu/rapid/press-release_MEMO-18-4486_bg.htm" TargetMode="External"/><Relationship Id="rId185" Type="http://schemas.openxmlformats.org/officeDocument/2006/relationships/hyperlink" Target="https://www.bing.com/search?q=directive+on+requirements+for+budgetary+frameworks+of+the+member+states.&amp;form=EDGEAR&amp;qs=PF&amp;cvid=fb782a0890044ab9b8405030f2b9f39d&amp;cc=BE&amp;setlang=en-US"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europa.eu/rapid/press-release_MEMO-18-4486_bg.htm" TargetMode="External"/><Relationship Id="rId210" Type="http://schemas.openxmlformats.org/officeDocument/2006/relationships/hyperlink" Target="http://eur-lex.europa.eu/legal-content/BG/TXT/?uri=celex:32015L0849" TargetMode="External"/><Relationship Id="rId215" Type="http://schemas.openxmlformats.org/officeDocument/2006/relationships/hyperlink" Target="http://europa.eu/rapid/press-release_MEMO-18-349_bg.htm" TargetMode="External"/><Relationship Id="rId236" Type="http://schemas.openxmlformats.org/officeDocument/2006/relationships/footer" Target="footer8.xml"/><Relationship Id="rId26" Type="http://schemas.openxmlformats.org/officeDocument/2006/relationships/image" Target="media/image2.jpeg"/><Relationship Id="rId231" Type="http://schemas.openxmlformats.org/officeDocument/2006/relationships/hyperlink" Target="https://eur-lex.europa.eu/legal-content/BG/TXT/?uri=CELEX%3A32016L0801&amp;from=EN&amp;lang3=choose&amp;lang2=choose&amp;lang1=BG" TargetMode="External"/><Relationship Id="rId47" Type="http://schemas.openxmlformats.org/officeDocument/2006/relationships/hyperlink" Target="http://europa.eu/rapid/press-release_MEMO-18-349_bg.htm" TargetMode="External"/><Relationship Id="rId68" Type="http://schemas.openxmlformats.org/officeDocument/2006/relationships/hyperlink" Target="https://eur-lex.europa.eu/legal-content/BG/TXT/?uri=CELEX%3A32014R0910&amp;from=BG&amp;lang3=choose&amp;lang2=choose&amp;lang1=BG" TargetMode="External"/><Relationship Id="rId89" Type="http://schemas.openxmlformats.org/officeDocument/2006/relationships/hyperlink" Target="http://europa.eu/rapid/press-release_MEMO-18-3986_bg.htm" TargetMode="External"/><Relationship Id="rId112" Type="http://schemas.openxmlformats.org/officeDocument/2006/relationships/hyperlink" Target="https://eur-lex.europa.eu/legal-content/BG/TXT/?uri=CELEX%3A32014L0050&amp;from=EN&amp;lang3=choose&amp;lang2=choose&amp;lang1=BG" TargetMode="External"/><Relationship Id="rId133" Type="http://schemas.openxmlformats.org/officeDocument/2006/relationships/hyperlink" Target="https://eur-lex.europa.eu/legal-content/BG/TXT/PDF/?uri=CELEX:31997L0009&amp;qid=1561270134500&amp;from=BG" TargetMode="External"/><Relationship Id="rId154" Type="http://schemas.openxmlformats.org/officeDocument/2006/relationships/image" Target="media/image20.jpeg"/><Relationship Id="rId175" Type="http://schemas.openxmlformats.org/officeDocument/2006/relationships/hyperlink" Target="http://europa.eu/rapid/press-release_MEMO-18-4486_bg.htm" TargetMode="External"/><Relationship Id="rId196" Type="http://schemas.openxmlformats.org/officeDocument/2006/relationships/hyperlink" Target="https://eur-lex.europa.eu/legal-content/BG/TXT/PDF/?uri=CELEX:52018PC0324&amp;qid=1561288562820&amp;from=BG" TargetMode="External"/><Relationship Id="rId200" Type="http://schemas.openxmlformats.org/officeDocument/2006/relationships/image" Target="media/image26.jpeg"/><Relationship Id="rId16" Type="http://schemas.openxmlformats.org/officeDocument/2006/relationships/footer" Target="footer1.xml"/><Relationship Id="rId221" Type="http://schemas.openxmlformats.org/officeDocument/2006/relationships/image" Target="media/image29.jpeg"/><Relationship Id="rId37" Type="http://schemas.openxmlformats.org/officeDocument/2006/relationships/hyperlink" Target="http://europa.eu/rapid/press-release_IP-18-356_en.htm" TargetMode="External"/><Relationship Id="rId58" Type="http://schemas.openxmlformats.org/officeDocument/2006/relationships/hyperlink" Target="https://ec.europa.eu/regional_policy/sources/docgener/studies/pdf/complaint_handling.pdf" TargetMode="External"/><Relationship Id="rId79" Type="http://schemas.openxmlformats.org/officeDocument/2006/relationships/hyperlink" Target="https://eur-lex.europa.eu/legal-content/BG/TXT/?uri=CELEX%3A32018L0844&amp;from=EN&amp;lang3=choose&amp;lang2=choose&amp;lang1=BG" TargetMode="External"/><Relationship Id="rId102" Type="http://schemas.openxmlformats.org/officeDocument/2006/relationships/hyperlink" Target="https://eur-lex.europa.eu/legal-content/BG/TXT/?uri=CELEX%3A32015L0652&amp;from=EN&amp;lang3=choose&amp;lang2=choose&amp;lang1=BG" TargetMode="External"/><Relationship Id="rId123" Type="http://schemas.openxmlformats.org/officeDocument/2006/relationships/hyperlink" Target="http://europa.eu/rapid/press-release_IP-17-1086_en.htm" TargetMode="External"/><Relationship Id="rId144" Type="http://schemas.openxmlformats.org/officeDocument/2006/relationships/hyperlink" Target="http://europa.eu/rapid/press-release_MEMO-18-1444_bg.htm" TargetMode="External"/><Relationship Id="rId90" Type="http://schemas.openxmlformats.org/officeDocument/2006/relationships/hyperlink" Target="http://europa.eu/rapid/press-release_MEMO-18-3986_bg.htm" TargetMode="External"/><Relationship Id="rId165" Type="http://schemas.openxmlformats.org/officeDocument/2006/relationships/image" Target="media/image22.jpeg"/><Relationship Id="rId186" Type="http://schemas.openxmlformats.org/officeDocument/2006/relationships/hyperlink" Target="https://eur-lex.europa.eu/legal-content/BG/TXT/?uri=CELEX%3A32014L0062&amp;from=EN&amp;lang3=choose&amp;lang2=choose&amp;lang1=BG" TargetMode="External"/><Relationship Id="rId211" Type="http://schemas.openxmlformats.org/officeDocument/2006/relationships/hyperlink" Target="http://europa.eu/rapid/press-release_MEMO-18-4486_bg.htm" TargetMode="External"/><Relationship Id="rId232" Type="http://schemas.openxmlformats.org/officeDocument/2006/relationships/hyperlink" Target="http://europa.eu/rapid/press-release_MEMO-18-3446_bg.htm" TargetMode="External"/><Relationship Id="rId27" Type="http://schemas.openxmlformats.org/officeDocument/2006/relationships/hyperlink" Target="https://ec.europa.eu/commission/priorities/deeper-and-fairer-economic-and-monetary-union/european-pillar-social-rights_bg" TargetMode="External"/><Relationship Id="rId48" Type="http://schemas.openxmlformats.org/officeDocument/2006/relationships/hyperlink" Target="https://eur-lex.europa.eu/legal-content/BG/TXT/?uri=CELEX%3A32015L2203&amp;from=BG&amp;lang3=choose&amp;lang2=choose&amp;lang1=BG" TargetMode="External"/><Relationship Id="rId69" Type="http://schemas.openxmlformats.org/officeDocument/2006/relationships/hyperlink" Target="https://eur-lex.europa.eu/legal-content/BG/TXT/?uri=CELEX%3A32016L1148&amp;from=EN&amp;lang3=choose&amp;lang2=choose&amp;lang1=BG" TargetMode="External"/><Relationship Id="rId113" Type="http://schemas.openxmlformats.org/officeDocument/2006/relationships/hyperlink" Target="https://eur-lex.europa.eu/legal-content/BG/TXT/?uri=CELEX%3A32014L0050&amp;from=EN&amp;lang3=choose&amp;lang2=choose&amp;lang1=BG" TargetMode="External"/><Relationship Id="rId134" Type="http://schemas.openxmlformats.org/officeDocument/2006/relationships/hyperlink" Target="http://curia.europa.eu/juris/liste.jsf?oqp=&amp;for=&amp;mat=or&amp;jge=&amp;td=;ALL&amp;jur=C,T,F&amp;num=C-284%2F16&amp;page=1&amp;dates=&amp;pcs=Oor&amp;lg=&amp;pro=&amp;nat=or&amp;cit=none%2CC%2CCJ%2CR%2C2008E%2C%2C%2C%2C%2C%2C%2C%2C%2C%2Ctrue%2Cfalse%2Cfalse&amp;language=bg&amp;avg=&amp;cid=10704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df2b43f2-b5f1-426e-8c1c-e5c5912bea7a">Not Started</EC_Collab_Status>
    <EC_Collab_Reference xmlns="df2b43f2-b5f1-426e-8c1c-e5c5912bea7a" xsi:nil="true"/>
    <EC_Collab_DocumentLanguage xmlns="df2b43f2-b5f1-426e-8c1c-e5c5912bea7a">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148F6740FA2A0343B62C3D2ED4104497" ma:contentTypeVersion="0" ma:contentTypeDescription="Create a new document in this library." ma:contentTypeScope="" ma:versionID="c515c7c4424f932fe3b075f3ae1b684d">
  <xsd:schema xmlns:xsd="http://www.w3.org/2001/XMLSchema" xmlns:xs="http://www.w3.org/2001/XMLSchema" xmlns:p="http://schemas.microsoft.com/office/2006/metadata/properties" xmlns:ns2="http://schemas.microsoft.com/sharepoint/v3/fields" xmlns:ns3="df2b43f2-b5f1-426e-8c1c-e5c5912bea7a" targetNamespace="http://schemas.microsoft.com/office/2006/metadata/properties" ma:root="true" ma:fieldsID="1798beb853f33a89e6ac721b2de1b651" ns2:_="" ns3:_="">
    <xsd:import namespace="http://schemas.microsoft.com/sharepoint/v3/fields"/>
    <xsd:import namespace="df2b43f2-b5f1-426e-8c1c-e5c5912bea7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f2b43f2-b5f1-426e-8c1c-e5c5912bea7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81C5EB-C942-410F-8A8A-629CA28F6CE1}">
  <ds:schemaRefs>
    <ds:schemaRef ds:uri="http://schemas.openxmlformats.org/package/2006/metadata/core-propertie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microsoft.com/sharepoint/v3/fields"/>
    <ds:schemaRef ds:uri="df2b43f2-b5f1-426e-8c1c-e5c5912bea7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000777F-597E-42B1-A710-EA2BC2F9A874}">
  <ds:schemaRefs>
    <ds:schemaRef ds:uri="http://schemas.microsoft.com/sharepoint/v3/contenttype/forms"/>
  </ds:schemaRefs>
</ds:datastoreItem>
</file>

<file path=customXml/itemProps4.xml><?xml version="1.0" encoding="utf-8"?>
<ds:datastoreItem xmlns:ds="http://schemas.openxmlformats.org/officeDocument/2006/customXml" ds:itemID="{D8CC7CFB-675B-4F15-A32E-F112D8C92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f2b43f2-b5f1-426e-8c1c-e5c5912be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BC71A1-39C9-41FC-BDB1-616EE2649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30</Pages>
  <Words>12153</Words>
  <Characters>72923</Characters>
  <Application>Microsoft Office Word</Application>
  <DocSecurity>0</DocSecurity>
  <Lines>1215</Lines>
  <Paragraphs>328</Paragraphs>
  <ScaleCrop>false</ScaleCrop>
  <HeadingPairs>
    <vt:vector size="2" baseType="variant">
      <vt:variant>
        <vt:lpstr>Title</vt:lpstr>
      </vt:variant>
      <vt:variant>
        <vt:i4>1</vt:i4>
      </vt:variant>
    </vt:vector>
  </HeadingPairs>
  <TitlesOfParts>
    <vt:vector size="1" baseType="lpstr">
      <vt:lpstr>Annual report                Application of European Union law</vt:lpstr>
    </vt:vector>
  </TitlesOfParts>
  <Manager/>
  <Company/>
  <LinksUpToDate>false</LinksUpToDate>
  <CharactersWithSpaces>84748</CharactersWithSpaces>
  <SharedDoc>false</SharedDoc>
  <HLinks>
    <vt:vector size="876" baseType="variant">
      <vt:variant>
        <vt:i4>3145760</vt:i4>
      </vt:variant>
      <vt:variant>
        <vt:i4>468</vt:i4>
      </vt:variant>
      <vt:variant>
        <vt:i4>0</vt:i4>
      </vt:variant>
      <vt:variant>
        <vt:i4>5</vt:i4>
      </vt:variant>
      <vt:variant>
        <vt:lpwstr>http://eur-lex.europa.eu/homepage.html</vt:lpwstr>
      </vt:variant>
      <vt:variant>
        <vt:lpwstr/>
      </vt:variant>
      <vt:variant>
        <vt:i4>80</vt:i4>
      </vt:variant>
      <vt:variant>
        <vt:i4>465</vt:i4>
      </vt:variant>
      <vt:variant>
        <vt:i4>0</vt:i4>
      </vt:variant>
      <vt:variant>
        <vt:i4>5</vt:i4>
      </vt:variant>
      <vt:variant>
        <vt:lpwstr>http://eur-lex.europa.eu/legal-content/EN/TXT/?uri=CELEX%3A32016Q0512%2801%29</vt:lpwstr>
      </vt:variant>
      <vt:variant>
        <vt:lpwstr/>
      </vt:variant>
      <vt:variant>
        <vt:i4>80</vt:i4>
      </vt:variant>
      <vt:variant>
        <vt:i4>462</vt:i4>
      </vt:variant>
      <vt:variant>
        <vt:i4>0</vt:i4>
      </vt:variant>
      <vt:variant>
        <vt:i4>5</vt:i4>
      </vt:variant>
      <vt:variant>
        <vt:lpwstr>http://eur-lex.europa.eu/legal-content/EN/TXT/?uri=CELEX%3A32016Q0512%2801%29</vt:lpwstr>
      </vt:variant>
      <vt:variant>
        <vt:lpwstr/>
      </vt:variant>
      <vt:variant>
        <vt:i4>2162742</vt:i4>
      </vt:variant>
      <vt:variant>
        <vt:i4>459</vt:i4>
      </vt:variant>
      <vt:variant>
        <vt:i4>0</vt:i4>
      </vt:variant>
      <vt:variant>
        <vt:i4>5</vt:i4>
      </vt:variant>
      <vt:variant>
        <vt:lpwstr>http://europa.eu/rapid/press-release_MEMO-17-4767_en.htm</vt:lpwstr>
      </vt:variant>
      <vt:variant>
        <vt:lpwstr/>
      </vt:variant>
      <vt:variant>
        <vt:i4>1769565</vt:i4>
      </vt:variant>
      <vt:variant>
        <vt:i4>456</vt:i4>
      </vt:variant>
      <vt:variant>
        <vt:i4>0</vt:i4>
      </vt:variant>
      <vt:variant>
        <vt:i4>5</vt:i4>
      </vt:variant>
      <vt:variant>
        <vt:lpwstr>http://eur-lex.europa.eu/legal-content/EN/TXT/?uri=celex%3A32014L0066</vt:lpwstr>
      </vt:variant>
      <vt:variant>
        <vt:lpwstr/>
      </vt:variant>
      <vt:variant>
        <vt:i4>4784200</vt:i4>
      </vt:variant>
      <vt:variant>
        <vt:i4>453</vt:i4>
      </vt:variant>
      <vt:variant>
        <vt:i4>0</vt:i4>
      </vt:variant>
      <vt:variant>
        <vt:i4>5</vt:i4>
      </vt:variant>
      <vt:variant>
        <vt:lpwstr>http://europa.eu/rapid/press-release_IP-15-6276_EN.htm</vt:lpwstr>
      </vt:variant>
      <vt:variant>
        <vt:lpwstr/>
      </vt:variant>
      <vt:variant>
        <vt:i4>5046351</vt:i4>
      </vt:variant>
      <vt:variant>
        <vt:i4>450</vt:i4>
      </vt:variant>
      <vt:variant>
        <vt:i4>0</vt:i4>
      </vt:variant>
      <vt:variant>
        <vt:i4>5</vt:i4>
      </vt:variant>
      <vt:variant>
        <vt:lpwstr>http://europa.eu/rapid/press-release_IP-17-5023_en.htm</vt:lpwstr>
      </vt:variant>
      <vt:variant>
        <vt:lpwstr/>
      </vt:variant>
      <vt:variant>
        <vt:i4>262224</vt:i4>
      </vt:variant>
      <vt:variant>
        <vt:i4>447</vt:i4>
      </vt:variant>
      <vt:variant>
        <vt:i4>0</vt:i4>
      </vt:variant>
      <vt:variant>
        <vt:i4>5</vt:i4>
      </vt:variant>
      <vt:variant>
        <vt:lpwstr>http://eur-lex.europa.eu/legal-content/EN/ALL/?uri=CELEX%3A32008L0115</vt:lpwstr>
      </vt:variant>
      <vt:variant>
        <vt:lpwstr/>
      </vt:variant>
      <vt:variant>
        <vt:i4>1638493</vt:i4>
      </vt:variant>
      <vt:variant>
        <vt:i4>444</vt:i4>
      </vt:variant>
      <vt:variant>
        <vt:i4>0</vt:i4>
      </vt:variant>
      <vt:variant>
        <vt:i4>5</vt:i4>
      </vt:variant>
      <vt:variant>
        <vt:lpwstr>http://eur-lex.europa.eu/legal-content/EN/TXT/?uri=celex%3A32013L0033</vt:lpwstr>
      </vt:variant>
      <vt:variant>
        <vt:lpwstr/>
      </vt:variant>
      <vt:variant>
        <vt:i4>852048</vt:i4>
      </vt:variant>
      <vt:variant>
        <vt:i4>441</vt:i4>
      </vt:variant>
      <vt:variant>
        <vt:i4>0</vt:i4>
      </vt:variant>
      <vt:variant>
        <vt:i4>5</vt:i4>
      </vt:variant>
      <vt:variant>
        <vt:lpwstr>http://eur-lex.europa.eu/legal-content/en/ALL/?uri=celex%3A32013L0032</vt:lpwstr>
      </vt:variant>
      <vt:variant>
        <vt:lpwstr/>
      </vt:variant>
      <vt:variant>
        <vt:i4>5177422</vt:i4>
      </vt:variant>
      <vt:variant>
        <vt:i4>438</vt:i4>
      </vt:variant>
      <vt:variant>
        <vt:i4>0</vt:i4>
      </vt:variant>
      <vt:variant>
        <vt:i4>5</vt:i4>
      </vt:variant>
      <vt:variant>
        <vt:lpwstr>http://europa.eu/rapid/press-release_IP-17-5002_en.htm</vt:lpwstr>
      </vt:variant>
      <vt:variant>
        <vt:lpwstr/>
      </vt:variant>
      <vt:variant>
        <vt:i4>2359348</vt:i4>
      </vt:variant>
      <vt:variant>
        <vt:i4>435</vt:i4>
      </vt:variant>
      <vt:variant>
        <vt:i4>0</vt:i4>
      </vt:variant>
      <vt:variant>
        <vt:i4>5</vt:i4>
      </vt:variant>
      <vt:variant>
        <vt:lpwstr>http://eur-lex.europa.eu/legal-content/EN/TXT/?uri=celex:32006R1896</vt:lpwstr>
      </vt:variant>
      <vt:variant>
        <vt:lpwstr/>
      </vt:variant>
      <vt:variant>
        <vt:i4>524362</vt:i4>
      </vt:variant>
      <vt:variant>
        <vt:i4>432</vt:i4>
      </vt:variant>
      <vt:variant>
        <vt:i4>0</vt:i4>
      </vt:variant>
      <vt:variant>
        <vt:i4>5</vt:i4>
      </vt:variant>
      <vt:variant>
        <vt:lpwstr>http://eur-lex.europa.eu/legal-content/EN/ALL/?uri=CELEX%3A32015R2421</vt:lpwstr>
      </vt:variant>
      <vt:variant>
        <vt:lpwstr/>
      </vt:variant>
      <vt:variant>
        <vt:i4>1572939</vt:i4>
      </vt:variant>
      <vt:variant>
        <vt:i4>429</vt:i4>
      </vt:variant>
      <vt:variant>
        <vt:i4>0</vt:i4>
      </vt:variant>
      <vt:variant>
        <vt:i4>5</vt:i4>
      </vt:variant>
      <vt:variant>
        <vt:lpwstr>http://eur-lex.europa.eu/legal-content/en/TXT/?uri=CELEX%3A32015R0848</vt:lpwstr>
      </vt:variant>
      <vt:variant>
        <vt:lpwstr/>
      </vt:variant>
      <vt:variant>
        <vt:i4>1572933</vt:i4>
      </vt:variant>
      <vt:variant>
        <vt:i4>426</vt:i4>
      </vt:variant>
      <vt:variant>
        <vt:i4>0</vt:i4>
      </vt:variant>
      <vt:variant>
        <vt:i4>5</vt:i4>
      </vt:variant>
      <vt:variant>
        <vt:lpwstr>http://eur-lex.europa.eu/legal-content/EN/TXT/?uri=celex%3A32014R0655</vt:lpwstr>
      </vt:variant>
      <vt:variant>
        <vt:lpwstr/>
      </vt:variant>
      <vt:variant>
        <vt:i4>2162742</vt:i4>
      </vt:variant>
      <vt:variant>
        <vt:i4>423</vt:i4>
      </vt:variant>
      <vt:variant>
        <vt:i4>0</vt:i4>
      </vt:variant>
      <vt:variant>
        <vt:i4>5</vt:i4>
      </vt:variant>
      <vt:variant>
        <vt:lpwstr>http://europa.eu/rapid/press-release_MEMO-17-4767_en.htm</vt:lpwstr>
      </vt:variant>
      <vt:variant>
        <vt:lpwstr/>
      </vt:variant>
      <vt:variant>
        <vt:i4>4718665</vt:i4>
      </vt:variant>
      <vt:variant>
        <vt:i4>420</vt:i4>
      </vt:variant>
      <vt:variant>
        <vt:i4>0</vt:i4>
      </vt:variant>
      <vt:variant>
        <vt:i4>5</vt:i4>
      </vt:variant>
      <vt:variant>
        <vt:lpwstr>http://europa.eu/rapid/press-release_IP-17-1732_en.htm</vt:lpwstr>
      </vt:variant>
      <vt:variant>
        <vt:lpwstr/>
      </vt:variant>
      <vt:variant>
        <vt:i4>1572949</vt:i4>
      </vt:variant>
      <vt:variant>
        <vt:i4>417</vt:i4>
      </vt:variant>
      <vt:variant>
        <vt:i4>0</vt:i4>
      </vt:variant>
      <vt:variant>
        <vt:i4>5</vt:i4>
      </vt:variant>
      <vt:variant>
        <vt:lpwstr>http://eur-lex.europa.eu/legal-content/EN/TXT/?uri=celex%3A32015L0849</vt:lpwstr>
      </vt:variant>
      <vt:variant>
        <vt:lpwstr/>
      </vt:variant>
      <vt:variant>
        <vt:i4>1638493</vt:i4>
      </vt:variant>
      <vt:variant>
        <vt:i4>414</vt:i4>
      </vt:variant>
      <vt:variant>
        <vt:i4>0</vt:i4>
      </vt:variant>
      <vt:variant>
        <vt:i4>5</vt:i4>
      </vt:variant>
      <vt:variant>
        <vt:lpwstr>http://eur-lex.europa.eu/legal-content/EN/TXT/?uri=celex%3A32014L0041</vt:lpwstr>
      </vt:variant>
      <vt:variant>
        <vt:lpwstr/>
      </vt:variant>
      <vt:variant>
        <vt:i4>327684</vt:i4>
      </vt:variant>
      <vt:variant>
        <vt:i4>411</vt:i4>
      </vt:variant>
      <vt:variant>
        <vt:i4>0</vt:i4>
      </vt:variant>
      <vt:variant>
        <vt:i4>5</vt:i4>
      </vt:variant>
      <vt:variant>
        <vt:lpwstr>http://europa.eu/rapid/press-release_MEMO-17-3494_en.htm?locale=FR</vt:lpwstr>
      </vt:variant>
      <vt:variant>
        <vt:lpwstr/>
      </vt:variant>
      <vt:variant>
        <vt:i4>1638446</vt:i4>
      </vt:variant>
      <vt:variant>
        <vt:i4>408</vt:i4>
      </vt:variant>
      <vt:variant>
        <vt:i4>0</vt:i4>
      </vt:variant>
      <vt:variant>
        <vt:i4>5</vt:i4>
      </vt:variant>
      <vt:variant>
        <vt:lpwstr>https://ec.europa.eu/home-affairs/what-we-do/policies/european-agenda-security_en</vt:lpwstr>
      </vt:variant>
      <vt:variant>
        <vt:lpwstr/>
      </vt:variant>
      <vt:variant>
        <vt:i4>3801135</vt:i4>
      </vt:variant>
      <vt:variant>
        <vt:i4>405</vt:i4>
      </vt:variant>
      <vt:variant>
        <vt:i4>0</vt:i4>
      </vt:variant>
      <vt:variant>
        <vt:i4>5</vt:i4>
      </vt:variant>
      <vt:variant>
        <vt:lpwstr>http://eur-lex.europa.eu/legal-content/EN/ALL/?uri=CELEX:32000L0043</vt:lpwstr>
      </vt:variant>
      <vt:variant>
        <vt:lpwstr/>
      </vt:variant>
      <vt:variant>
        <vt:i4>1179651</vt:i4>
      </vt:variant>
      <vt:variant>
        <vt:i4>402</vt:i4>
      </vt:variant>
      <vt:variant>
        <vt:i4>0</vt:i4>
      </vt:variant>
      <vt:variant>
        <vt:i4>5</vt:i4>
      </vt:variant>
      <vt:variant>
        <vt:lpwstr>http://europa.eu/rapid/press-release_MEMO-17-15_en.htm</vt:lpwstr>
      </vt:variant>
      <vt:variant>
        <vt:lpwstr/>
      </vt:variant>
      <vt:variant>
        <vt:i4>5898288</vt:i4>
      </vt:variant>
      <vt:variant>
        <vt:i4>399</vt:i4>
      </vt:variant>
      <vt:variant>
        <vt:i4>0</vt:i4>
      </vt:variant>
      <vt:variant>
        <vt:i4>5</vt:i4>
      </vt:variant>
      <vt:variant>
        <vt:lpwstr>http://eur-lex.europa.eu/legal-content/EN/TXT/?uri=uriserv%3AOJ.L_.2016.119.01.0089.01.ENG</vt:lpwstr>
      </vt:variant>
      <vt:variant>
        <vt:lpwstr/>
      </vt:variant>
      <vt:variant>
        <vt:i4>1572933</vt:i4>
      </vt:variant>
      <vt:variant>
        <vt:i4>396</vt:i4>
      </vt:variant>
      <vt:variant>
        <vt:i4>0</vt:i4>
      </vt:variant>
      <vt:variant>
        <vt:i4>5</vt:i4>
      </vt:variant>
      <vt:variant>
        <vt:lpwstr>http://eur-lex.europa.eu/legal-content/en/TXT/?uri=CELEX%3A32016R0679</vt:lpwstr>
      </vt:variant>
      <vt:variant>
        <vt:lpwstr/>
      </vt:variant>
      <vt:variant>
        <vt:i4>5177423</vt:i4>
      </vt:variant>
      <vt:variant>
        <vt:i4>393</vt:i4>
      </vt:variant>
      <vt:variant>
        <vt:i4>0</vt:i4>
      </vt:variant>
      <vt:variant>
        <vt:i4>5</vt:i4>
      </vt:variant>
      <vt:variant>
        <vt:lpwstr>http://europa.eu/rapid/press-release_IP-17-5003_en.htm</vt:lpwstr>
      </vt:variant>
      <vt:variant>
        <vt:lpwstr/>
      </vt:variant>
      <vt:variant>
        <vt:i4>4784200</vt:i4>
      </vt:variant>
      <vt:variant>
        <vt:i4>390</vt:i4>
      </vt:variant>
      <vt:variant>
        <vt:i4>0</vt:i4>
      </vt:variant>
      <vt:variant>
        <vt:i4>5</vt:i4>
      </vt:variant>
      <vt:variant>
        <vt:lpwstr>http://europa.eu/rapid/press-release_IP-17-5367_en.htm</vt:lpwstr>
      </vt:variant>
      <vt:variant>
        <vt:lpwstr/>
      </vt:variant>
      <vt:variant>
        <vt:i4>2752542</vt:i4>
      </vt:variant>
      <vt:variant>
        <vt:i4>387</vt:i4>
      </vt:variant>
      <vt:variant>
        <vt:i4>0</vt:i4>
      </vt:variant>
      <vt:variant>
        <vt:i4>5</vt:i4>
      </vt:variant>
      <vt:variant>
        <vt:lpwstr>https://ec.europa.eu/info/business-economy-euro/economic-and-fiscal-policy-coordination/eu-economic-governance-monitoring-prevention-correction/european-semester_en</vt:lpwstr>
      </vt:variant>
      <vt:variant>
        <vt:lpwstr/>
      </vt:variant>
      <vt:variant>
        <vt:i4>4390985</vt:i4>
      </vt:variant>
      <vt:variant>
        <vt:i4>384</vt:i4>
      </vt:variant>
      <vt:variant>
        <vt:i4>0</vt:i4>
      </vt:variant>
      <vt:variant>
        <vt:i4>5</vt:i4>
      </vt:variant>
      <vt:variant>
        <vt:lpwstr>http://europa.eu/rapid/press-release_IP-17-1184_en.htm</vt:lpwstr>
      </vt:variant>
      <vt:variant>
        <vt:lpwstr/>
      </vt:variant>
      <vt:variant>
        <vt:i4>917585</vt:i4>
      </vt:variant>
      <vt:variant>
        <vt:i4>381</vt:i4>
      </vt:variant>
      <vt:variant>
        <vt:i4>0</vt:i4>
      </vt:variant>
      <vt:variant>
        <vt:i4>5</vt:i4>
      </vt:variant>
      <vt:variant>
        <vt:lpwstr>http://eur-lex.europa.eu/legal-content/EN/TXT/?qid=1490092069549&amp;uri=CELEX:32014L0059</vt:lpwstr>
      </vt:variant>
      <vt:variant>
        <vt:lpwstr/>
      </vt:variant>
      <vt:variant>
        <vt:i4>65624</vt:i4>
      </vt:variant>
      <vt:variant>
        <vt:i4>378</vt:i4>
      </vt:variant>
      <vt:variant>
        <vt:i4>0</vt:i4>
      </vt:variant>
      <vt:variant>
        <vt:i4>5</vt:i4>
      </vt:variant>
      <vt:variant>
        <vt:lpwstr>http://eur-lex.europa.eu/legal-content/EN/TXT/?qid=1490092036225&amp;uri=CELEX:32014L0049</vt:lpwstr>
      </vt:variant>
      <vt:variant>
        <vt:lpwstr/>
      </vt:variant>
      <vt:variant>
        <vt:i4>458844</vt:i4>
      </vt:variant>
      <vt:variant>
        <vt:i4>375</vt:i4>
      </vt:variant>
      <vt:variant>
        <vt:i4>0</vt:i4>
      </vt:variant>
      <vt:variant>
        <vt:i4>5</vt:i4>
      </vt:variant>
      <vt:variant>
        <vt:lpwstr>http://eur-lex.europa.eu/legal-content/EN/TXT/?qid=1490092013635&amp;uri=CELEX:32013L0036</vt:lpwstr>
      </vt:variant>
      <vt:variant>
        <vt:lpwstr/>
      </vt:variant>
      <vt:variant>
        <vt:i4>4915228</vt:i4>
      </vt:variant>
      <vt:variant>
        <vt:i4>372</vt:i4>
      </vt:variant>
      <vt:variant>
        <vt:i4>0</vt:i4>
      </vt:variant>
      <vt:variant>
        <vt:i4>5</vt:i4>
      </vt:variant>
      <vt:variant>
        <vt:lpwstr>http://eur-lex.europa.eu/legal-content/EN/TXT/?uri=celex:52014DC0474</vt:lpwstr>
      </vt:variant>
      <vt:variant>
        <vt:lpwstr/>
      </vt:variant>
      <vt:variant>
        <vt:i4>6553676</vt:i4>
      </vt:variant>
      <vt:variant>
        <vt:i4>369</vt:i4>
      </vt:variant>
      <vt:variant>
        <vt:i4>0</vt:i4>
      </vt:variant>
      <vt:variant>
        <vt:i4>5</vt:i4>
      </vt:variant>
      <vt:variant>
        <vt:lpwstr>http://eur-lex.europa.eu/legal-content/EN/TXT/?uri=uriserv:OJ.L_.2011.306.01.0041.01.ENG</vt:lpwstr>
      </vt:variant>
      <vt:variant>
        <vt:lpwstr/>
      </vt:variant>
      <vt:variant>
        <vt:i4>2818153</vt:i4>
      </vt:variant>
      <vt:variant>
        <vt:i4>366</vt:i4>
      </vt:variant>
      <vt:variant>
        <vt:i4>0</vt:i4>
      </vt:variant>
      <vt:variant>
        <vt:i4>5</vt:i4>
      </vt:variant>
      <vt:variant>
        <vt:lpwstr>http://europa.eu/rapid/press-release_MEMO-13-196_en.htm</vt:lpwstr>
      </vt:variant>
      <vt:variant>
        <vt:lpwstr/>
      </vt:variant>
      <vt:variant>
        <vt:i4>3014761</vt:i4>
      </vt:variant>
      <vt:variant>
        <vt:i4>363</vt:i4>
      </vt:variant>
      <vt:variant>
        <vt:i4>0</vt:i4>
      </vt:variant>
      <vt:variant>
        <vt:i4>5</vt:i4>
      </vt:variant>
      <vt:variant>
        <vt:lpwstr>http://europa.eu/rapid/press-release_MEMO-11-898_en.htm</vt:lpwstr>
      </vt:variant>
      <vt:variant>
        <vt:lpwstr/>
      </vt:variant>
      <vt:variant>
        <vt:i4>5111808</vt:i4>
      </vt:variant>
      <vt:variant>
        <vt:i4>360</vt:i4>
      </vt:variant>
      <vt:variant>
        <vt:i4>0</vt:i4>
      </vt:variant>
      <vt:variant>
        <vt:i4>5</vt:i4>
      </vt:variant>
      <vt:variant>
        <vt:lpwstr>http://curia.europa.eu/juris/liste.jsf?language=en&amp;jur=C,T,F&amp;num=C-434/15&amp;td=ALL</vt:lpwstr>
      </vt:variant>
      <vt:variant>
        <vt:lpwstr/>
      </vt:variant>
      <vt:variant>
        <vt:i4>4718602</vt:i4>
      </vt:variant>
      <vt:variant>
        <vt:i4>357</vt:i4>
      </vt:variant>
      <vt:variant>
        <vt:i4>0</vt:i4>
      </vt:variant>
      <vt:variant>
        <vt:i4>5</vt:i4>
      </vt:variant>
      <vt:variant>
        <vt:lpwstr>http://curia.europa.eu/juris/liste.jsf?language=en&amp;jur=C,T,F&amp;num=C-482/14&amp;td=ALL</vt:lpwstr>
      </vt:variant>
      <vt:variant>
        <vt:lpwstr/>
      </vt:variant>
      <vt:variant>
        <vt:i4>6226012</vt:i4>
      </vt:variant>
      <vt:variant>
        <vt:i4>354</vt:i4>
      </vt:variant>
      <vt:variant>
        <vt:i4>0</vt:i4>
      </vt:variant>
      <vt:variant>
        <vt:i4>5</vt:i4>
      </vt:variant>
      <vt:variant>
        <vt:lpwstr>https://ec.europa.eu/transport/road_safety/events-archive/2012_07_13_press_release_en</vt:lpwstr>
      </vt:variant>
      <vt:variant>
        <vt:lpwstr/>
      </vt:variant>
      <vt:variant>
        <vt:i4>5111887</vt:i4>
      </vt:variant>
      <vt:variant>
        <vt:i4>351</vt:i4>
      </vt:variant>
      <vt:variant>
        <vt:i4>0</vt:i4>
      </vt:variant>
      <vt:variant>
        <vt:i4>5</vt:i4>
      </vt:variant>
      <vt:variant>
        <vt:lpwstr>http://europa.eu/rapid/press-release_IP-17-1053_en.htm</vt:lpwstr>
      </vt:variant>
      <vt:variant>
        <vt:lpwstr/>
      </vt:variant>
      <vt:variant>
        <vt:i4>4063244</vt:i4>
      </vt:variant>
      <vt:variant>
        <vt:i4>348</vt:i4>
      </vt:variant>
      <vt:variant>
        <vt:i4>0</vt:i4>
      </vt:variant>
      <vt:variant>
        <vt:i4>5</vt:i4>
      </vt:variant>
      <vt:variant>
        <vt:lpwstr>https://ec.europa.eu/food/animals/welfare/eu-platform-animal-welfare_en</vt:lpwstr>
      </vt:variant>
      <vt:variant>
        <vt:lpwstr/>
      </vt:variant>
      <vt:variant>
        <vt:i4>2162746</vt:i4>
      </vt:variant>
      <vt:variant>
        <vt:i4>345</vt:i4>
      </vt:variant>
      <vt:variant>
        <vt:i4>0</vt:i4>
      </vt:variant>
      <vt:variant>
        <vt:i4>5</vt:i4>
      </vt:variant>
      <vt:variant>
        <vt:lpwstr>http://europa.eu/rapid/press-release_MEMO-17-1935_en.htm</vt:lpwstr>
      </vt:variant>
      <vt:variant>
        <vt:lpwstr/>
      </vt:variant>
      <vt:variant>
        <vt:i4>917584</vt:i4>
      </vt:variant>
      <vt:variant>
        <vt:i4>342</vt:i4>
      </vt:variant>
      <vt:variant>
        <vt:i4>0</vt:i4>
      </vt:variant>
      <vt:variant>
        <vt:i4>5</vt:i4>
      </vt:variant>
      <vt:variant>
        <vt:lpwstr>http://eur-lex.europa.eu/legal-content/EN/ALL/?uri=celex%3A32011L0024</vt:lpwstr>
      </vt:variant>
      <vt:variant>
        <vt:lpwstr/>
      </vt:variant>
      <vt:variant>
        <vt:i4>327751</vt:i4>
      </vt:variant>
      <vt:variant>
        <vt:i4>339</vt:i4>
      </vt:variant>
      <vt:variant>
        <vt:i4>0</vt:i4>
      </vt:variant>
      <vt:variant>
        <vt:i4>5</vt:i4>
      </vt:variant>
      <vt:variant>
        <vt:lpwstr>http://eur-lex.europa.eu/legal-content/EN/TXT/?uri=OJ%3AJOL_2014_127_R_0001</vt:lpwstr>
      </vt:variant>
      <vt:variant>
        <vt:lpwstr/>
      </vt:variant>
      <vt:variant>
        <vt:i4>1966174</vt:i4>
      </vt:variant>
      <vt:variant>
        <vt:i4>336</vt:i4>
      </vt:variant>
      <vt:variant>
        <vt:i4>0</vt:i4>
      </vt:variant>
      <vt:variant>
        <vt:i4>5</vt:i4>
      </vt:variant>
      <vt:variant>
        <vt:lpwstr>http://eur-lex.europa.eu/legal-content/EN/TXT/?uri=CELEX%3A32015L2302</vt:lpwstr>
      </vt:variant>
      <vt:variant>
        <vt:lpwstr/>
      </vt:variant>
      <vt:variant>
        <vt:i4>2162742</vt:i4>
      </vt:variant>
      <vt:variant>
        <vt:i4>333</vt:i4>
      </vt:variant>
      <vt:variant>
        <vt:i4>0</vt:i4>
      </vt:variant>
      <vt:variant>
        <vt:i4>5</vt:i4>
      </vt:variant>
      <vt:variant>
        <vt:lpwstr>http://europa.eu/rapid/press-release_MEMO-17-4767_en.htm</vt:lpwstr>
      </vt:variant>
      <vt:variant>
        <vt:lpwstr/>
      </vt:variant>
      <vt:variant>
        <vt:i4>327684</vt:i4>
      </vt:variant>
      <vt:variant>
        <vt:i4>330</vt:i4>
      </vt:variant>
      <vt:variant>
        <vt:i4>0</vt:i4>
      </vt:variant>
      <vt:variant>
        <vt:i4>5</vt:i4>
      </vt:variant>
      <vt:variant>
        <vt:lpwstr>http://europa.eu/rapid/press-release_MEMO-17-3494_en.htm?locale=FR</vt:lpwstr>
      </vt:variant>
      <vt:variant>
        <vt:lpwstr/>
      </vt:variant>
      <vt:variant>
        <vt:i4>327684</vt:i4>
      </vt:variant>
      <vt:variant>
        <vt:i4>327</vt:i4>
      </vt:variant>
      <vt:variant>
        <vt:i4>0</vt:i4>
      </vt:variant>
      <vt:variant>
        <vt:i4>5</vt:i4>
      </vt:variant>
      <vt:variant>
        <vt:lpwstr>http://europa.eu/rapid/press-release_MEMO-17-3494_en.htm?locale=FR</vt:lpwstr>
      </vt:variant>
      <vt:variant>
        <vt:lpwstr/>
      </vt:variant>
      <vt:variant>
        <vt:i4>3080244</vt:i4>
      </vt:variant>
      <vt:variant>
        <vt:i4>324</vt:i4>
      </vt:variant>
      <vt:variant>
        <vt:i4>0</vt:i4>
      </vt:variant>
      <vt:variant>
        <vt:i4>5</vt:i4>
      </vt:variant>
      <vt:variant>
        <vt:lpwstr>http://curia.europa.eu/juris/liste.jsf?num=C-682/15</vt:lpwstr>
      </vt:variant>
      <vt:variant>
        <vt:lpwstr/>
      </vt:variant>
      <vt:variant>
        <vt:i4>1572959</vt:i4>
      </vt:variant>
      <vt:variant>
        <vt:i4>321</vt:i4>
      </vt:variant>
      <vt:variant>
        <vt:i4>0</vt:i4>
      </vt:variant>
      <vt:variant>
        <vt:i4>5</vt:i4>
      </vt:variant>
      <vt:variant>
        <vt:lpwstr>http://eur-lex.europa.eu/legal-content/en/TXT/?uri=CELEX%3A32016L2258</vt:lpwstr>
      </vt:variant>
      <vt:variant>
        <vt:lpwstr/>
      </vt:variant>
      <vt:variant>
        <vt:i4>4063278</vt:i4>
      </vt:variant>
      <vt:variant>
        <vt:i4>318</vt:i4>
      </vt:variant>
      <vt:variant>
        <vt:i4>0</vt:i4>
      </vt:variant>
      <vt:variant>
        <vt:i4>5</vt:i4>
      </vt:variant>
      <vt:variant>
        <vt:lpwstr>http://eur-lex.europa.eu/legal-content/EN/ALL/?uri=celex:32011L0016</vt:lpwstr>
      </vt:variant>
      <vt:variant>
        <vt:lpwstr/>
      </vt:variant>
      <vt:variant>
        <vt:i4>2687030</vt:i4>
      </vt:variant>
      <vt:variant>
        <vt:i4>315</vt:i4>
      </vt:variant>
      <vt:variant>
        <vt:i4>0</vt:i4>
      </vt:variant>
      <vt:variant>
        <vt:i4>5</vt:i4>
      </vt:variant>
      <vt:variant>
        <vt:lpwstr>http://europa.eu/rapid/press-release_MEMO-17-3494_EN.htm</vt:lpwstr>
      </vt:variant>
      <vt:variant>
        <vt:lpwstr/>
      </vt:variant>
      <vt:variant>
        <vt:i4>458768</vt:i4>
      </vt:variant>
      <vt:variant>
        <vt:i4>312</vt:i4>
      </vt:variant>
      <vt:variant>
        <vt:i4>0</vt:i4>
      </vt:variant>
      <vt:variant>
        <vt:i4>5</vt:i4>
      </vt:variant>
      <vt:variant>
        <vt:lpwstr>https://ec.europa.eu/taxation_customs/business/union-customs-code_en</vt:lpwstr>
      </vt:variant>
      <vt:variant>
        <vt:lpwstr/>
      </vt:variant>
      <vt:variant>
        <vt:i4>7536765</vt:i4>
      </vt:variant>
      <vt:variant>
        <vt:i4>309</vt:i4>
      </vt:variant>
      <vt:variant>
        <vt:i4>0</vt:i4>
      </vt:variant>
      <vt:variant>
        <vt:i4>5</vt:i4>
      </vt:variant>
      <vt:variant>
        <vt:lpwstr>http://curia.europa.eu/juris/liste.jsf?language=FR&amp;num=C-235/17</vt:lpwstr>
      </vt:variant>
      <vt:variant>
        <vt:lpwstr/>
      </vt:variant>
      <vt:variant>
        <vt:i4>1769565</vt:i4>
      </vt:variant>
      <vt:variant>
        <vt:i4>306</vt:i4>
      </vt:variant>
      <vt:variant>
        <vt:i4>0</vt:i4>
      </vt:variant>
      <vt:variant>
        <vt:i4>5</vt:i4>
      </vt:variant>
      <vt:variant>
        <vt:lpwstr>http://eur-lex.europa.eu/legal-content/EN/TXT/?uri=celex%3A32014L0065</vt:lpwstr>
      </vt:variant>
      <vt:variant>
        <vt:lpwstr/>
      </vt:variant>
      <vt:variant>
        <vt:i4>1310813</vt:i4>
      </vt:variant>
      <vt:variant>
        <vt:i4>303</vt:i4>
      </vt:variant>
      <vt:variant>
        <vt:i4>0</vt:i4>
      </vt:variant>
      <vt:variant>
        <vt:i4>5</vt:i4>
      </vt:variant>
      <vt:variant>
        <vt:lpwstr>http://eur-lex.europa.eu/legal-content/EN/TXT/?uri=CELEX%3A32014L0095</vt:lpwstr>
      </vt:variant>
      <vt:variant>
        <vt:lpwstr/>
      </vt:variant>
      <vt:variant>
        <vt:i4>1310813</vt:i4>
      </vt:variant>
      <vt:variant>
        <vt:i4>300</vt:i4>
      </vt:variant>
      <vt:variant>
        <vt:i4>0</vt:i4>
      </vt:variant>
      <vt:variant>
        <vt:i4>5</vt:i4>
      </vt:variant>
      <vt:variant>
        <vt:lpwstr>http://eur-lex.europa.eu/legal-content/en/TXT/?uri=CELEX%3A32014L0092</vt:lpwstr>
      </vt:variant>
      <vt:variant>
        <vt:lpwstr/>
      </vt:variant>
      <vt:variant>
        <vt:i4>524368</vt:i4>
      </vt:variant>
      <vt:variant>
        <vt:i4>297</vt:i4>
      </vt:variant>
      <vt:variant>
        <vt:i4>0</vt:i4>
      </vt:variant>
      <vt:variant>
        <vt:i4>5</vt:i4>
      </vt:variant>
      <vt:variant>
        <vt:lpwstr>http://eur-lex.europa.eu/legal-content/EN/ALL/?uri=celex%3A32014L0017</vt:lpwstr>
      </vt:variant>
      <vt:variant>
        <vt:lpwstr/>
      </vt:variant>
      <vt:variant>
        <vt:i4>1572957</vt:i4>
      </vt:variant>
      <vt:variant>
        <vt:i4>294</vt:i4>
      </vt:variant>
      <vt:variant>
        <vt:i4>0</vt:i4>
      </vt:variant>
      <vt:variant>
        <vt:i4>5</vt:i4>
      </vt:variant>
      <vt:variant>
        <vt:lpwstr>http://eur-lex.europa.eu/legal-content/EN/TXT/?uri=celex%3A32014L0056</vt:lpwstr>
      </vt:variant>
      <vt:variant>
        <vt:lpwstr/>
      </vt:variant>
      <vt:variant>
        <vt:i4>3670107</vt:i4>
      </vt:variant>
      <vt:variant>
        <vt:i4>291</vt:i4>
      </vt:variant>
      <vt:variant>
        <vt:i4>0</vt:i4>
      </vt:variant>
      <vt:variant>
        <vt:i4>5</vt:i4>
      </vt:variant>
      <vt:variant>
        <vt:lpwstr>https://e-justice.europa.eu/content_find_a_company-489-en.do</vt:lpwstr>
      </vt:variant>
      <vt:variant>
        <vt:lpwstr/>
      </vt:variant>
      <vt:variant>
        <vt:i4>4390986</vt:i4>
      </vt:variant>
      <vt:variant>
        <vt:i4>288</vt:i4>
      </vt:variant>
      <vt:variant>
        <vt:i4>0</vt:i4>
      </vt:variant>
      <vt:variant>
        <vt:i4>5</vt:i4>
      </vt:variant>
      <vt:variant>
        <vt:lpwstr>http://europa.eu/rapid/press-release_IP-17-1086_en.htm</vt:lpwstr>
      </vt:variant>
      <vt:variant>
        <vt:lpwstr/>
      </vt:variant>
      <vt:variant>
        <vt:i4>7733341</vt:i4>
      </vt:variant>
      <vt:variant>
        <vt:i4>285</vt:i4>
      </vt:variant>
      <vt:variant>
        <vt:i4>0</vt:i4>
      </vt:variant>
      <vt:variant>
        <vt:i4>5</vt:i4>
      </vt:variant>
      <vt:variant>
        <vt:lpwstr>http://ec.europa.eu/solvit/index_en.htm</vt:lpwstr>
      </vt:variant>
      <vt:variant>
        <vt:lpwstr/>
      </vt:variant>
      <vt:variant>
        <vt:i4>4390986</vt:i4>
      </vt:variant>
      <vt:variant>
        <vt:i4>282</vt:i4>
      </vt:variant>
      <vt:variant>
        <vt:i4>0</vt:i4>
      </vt:variant>
      <vt:variant>
        <vt:i4>5</vt:i4>
      </vt:variant>
      <vt:variant>
        <vt:lpwstr>http://europa.eu/rapid/press-release_IP-17-1086_en.htm</vt:lpwstr>
      </vt:variant>
      <vt:variant>
        <vt:lpwstr/>
      </vt:variant>
      <vt:variant>
        <vt:i4>5177416</vt:i4>
      </vt:variant>
      <vt:variant>
        <vt:i4>279</vt:i4>
      </vt:variant>
      <vt:variant>
        <vt:i4>0</vt:i4>
      </vt:variant>
      <vt:variant>
        <vt:i4>5</vt:i4>
      </vt:variant>
      <vt:variant>
        <vt:lpwstr>http://europa.eu/rapid/press-release_IP-17-5004_en.htm</vt:lpwstr>
      </vt:variant>
      <vt:variant>
        <vt:lpwstr/>
      </vt:variant>
      <vt:variant>
        <vt:i4>4390982</vt:i4>
      </vt:variant>
      <vt:variant>
        <vt:i4>276</vt:i4>
      </vt:variant>
      <vt:variant>
        <vt:i4>0</vt:i4>
      </vt:variant>
      <vt:variant>
        <vt:i4>5</vt:i4>
      </vt:variant>
      <vt:variant>
        <vt:lpwstr>http://europa.eu/rapid/press-release_IP-17-1288_en.htm</vt:lpwstr>
      </vt:variant>
      <vt:variant>
        <vt:lpwstr/>
      </vt:variant>
      <vt:variant>
        <vt:i4>2162746</vt:i4>
      </vt:variant>
      <vt:variant>
        <vt:i4>273</vt:i4>
      </vt:variant>
      <vt:variant>
        <vt:i4>0</vt:i4>
      </vt:variant>
      <vt:variant>
        <vt:i4>5</vt:i4>
      </vt:variant>
      <vt:variant>
        <vt:lpwstr>http://europa.eu/rapid/press-release_MEMO-17-1935_EN.htm</vt:lpwstr>
      </vt:variant>
      <vt:variant>
        <vt:lpwstr/>
      </vt:variant>
      <vt:variant>
        <vt:i4>1769565</vt:i4>
      </vt:variant>
      <vt:variant>
        <vt:i4>270</vt:i4>
      </vt:variant>
      <vt:variant>
        <vt:i4>0</vt:i4>
      </vt:variant>
      <vt:variant>
        <vt:i4>5</vt:i4>
      </vt:variant>
      <vt:variant>
        <vt:lpwstr>http://eur-lex.europa.eu/legal-content/EN/TXT/?uri=celex%3A32014L0067</vt:lpwstr>
      </vt:variant>
      <vt:variant>
        <vt:lpwstr/>
      </vt:variant>
      <vt:variant>
        <vt:i4>786512</vt:i4>
      </vt:variant>
      <vt:variant>
        <vt:i4>267</vt:i4>
      </vt:variant>
      <vt:variant>
        <vt:i4>0</vt:i4>
      </vt:variant>
      <vt:variant>
        <vt:i4>5</vt:i4>
      </vt:variant>
      <vt:variant>
        <vt:lpwstr>http://eur-lex.europa.eu/legal-content/EN/ALL/?uri=CELEX%3A32014L0054</vt:lpwstr>
      </vt:variant>
      <vt:variant>
        <vt:lpwstr/>
      </vt:variant>
      <vt:variant>
        <vt:i4>6553699</vt:i4>
      </vt:variant>
      <vt:variant>
        <vt:i4>264</vt:i4>
      </vt:variant>
      <vt:variant>
        <vt:i4>0</vt:i4>
      </vt:variant>
      <vt:variant>
        <vt:i4>5</vt:i4>
      </vt:variant>
      <vt:variant>
        <vt:lpwstr>http://curia.europa.eu/juris/liste.jsf?language=FR&amp;num=C-93/17</vt:lpwstr>
      </vt:variant>
      <vt:variant>
        <vt:lpwstr/>
      </vt:variant>
      <vt:variant>
        <vt:i4>1900636</vt:i4>
      </vt:variant>
      <vt:variant>
        <vt:i4>261</vt:i4>
      </vt:variant>
      <vt:variant>
        <vt:i4>0</vt:i4>
      </vt:variant>
      <vt:variant>
        <vt:i4>5</vt:i4>
      </vt:variant>
      <vt:variant>
        <vt:lpwstr>http://eur-lex.europa.eu/legal-content/EN/TXT/?uri=CELEX%3A32014L0104</vt:lpwstr>
      </vt:variant>
      <vt:variant>
        <vt:lpwstr/>
      </vt:variant>
      <vt:variant>
        <vt:i4>1310813</vt:i4>
      </vt:variant>
      <vt:variant>
        <vt:i4>258</vt:i4>
      </vt:variant>
      <vt:variant>
        <vt:i4>0</vt:i4>
      </vt:variant>
      <vt:variant>
        <vt:i4>5</vt:i4>
      </vt:variant>
      <vt:variant>
        <vt:lpwstr>http://eur-lex.europa.eu/legal-content/EN/TXT/?uri=celex%3A32014L0094</vt:lpwstr>
      </vt:variant>
      <vt:variant>
        <vt:lpwstr/>
      </vt:variant>
      <vt:variant>
        <vt:i4>2293815</vt:i4>
      </vt:variant>
      <vt:variant>
        <vt:i4>255</vt:i4>
      </vt:variant>
      <vt:variant>
        <vt:i4>0</vt:i4>
      </vt:variant>
      <vt:variant>
        <vt:i4>5</vt:i4>
      </vt:variant>
      <vt:variant>
        <vt:lpwstr>http://europa.eu/rapid/press-release_MEMO-17-4243_en.htm</vt:lpwstr>
      </vt:variant>
      <vt:variant>
        <vt:lpwstr/>
      </vt:variant>
      <vt:variant>
        <vt:i4>524363</vt:i4>
      </vt:variant>
      <vt:variant>
        <vt:i4>252</vt:i4>
      </vt:variant>
      <vt:variant>
        <vt:i4>0</vt:i4>
      </vt:variant>
      <vt:variant>
        <vt:i4>5</vt:i4>
      </vt:variant>
      <vt:variant>
        <vt:lpwstr>http://eur-lex.europa.eu/legal-content/EN/TXT/?qid=1515578704973&amp;uri=CELEX:32015R0757</vt:lpwstr>
      </vt:variant>
      <vt:variant>
        <vt:lpwstr/>
      </vt:variant>
      <vt:variant>
        <vt:i4>66</vt:i4>
      </vt:variant>
      <vt:variant>
        <vt:i4>249</vt:i4>
      </vt:variant>
      <vt:variant>
        <vt:i4>0</vt:i4>
      </vt:variant>
      <vt:variant>
        <vt:i4>5</vt:i4>
      </vt:variant>
      <vt:variant>
        <vt:lpwstr>http://eur-lex.europa.eu/legal-content/EN/TXT/?qid=1509698238573&amp;uri=CELEX:32014R0517</vt:lpwstr>
      </vt:variant>
      <vt:variant>
        <vt:lpwstr/>
      </vt:variant>
      <vt:variant>
        <vt:i4>3080299</vt:i4>
      </vt:variant>
      <vt:variant>
        <vt:i4>246</vt:i4>
      </vt:variant>
      <vt:variant>
        <vt:i4>0</vt:i4>
      </vt:variant>
      <vt:variant>
        <vt:i4>5</vt:i4>
      </vt:variant>
      <vt:variant>
        <vt:lpwstr>http://eur-lex.europa.eu/legal-content/EN/TXT/?qid=1509701456465&amp;uri=CELEX:02009L0031-20120217</vt:lpwstr>
      </vt:variant>
      <vt:variant>
        <vt:lpwstr/>
      </vt:variant>
      <vt:variant>
        <vt:i4>1638491</vt:i4>
      </vt:variant>
      <vt:variant>
        <vt:i4>243</vt:i4>
      </vt:variant>
      <vt:variant>
        <vt:i4>0</vt:i4>
      </vt:variant>
      <vt:variant>
        <vt:i4>5</vt:i4>
      </vt:variant>
      <vt:variant>
        <vt:lpwstr>http://eur-lex.europa.eu/legal-content/EN/TXT/?uri=CELEX%3A32015L0652</vt:lpwstr>
      </vt:variant>
      <vt:variant>
        <vt:lpwstr/>
      </vt:variant>
      <vt:variant>
        <vt:i4>7995476</vt:i4>
      </vt:variant>
      <vt:variant>
        <vt:i4>240</vt:i4>
      </vt:variant>
      <vt:variant>
        <vt:i4>0</vt:i4>
      </vt:variant>
      <vt:variant>
        <vt:i4>5</vt:i4>
      </vt:variant>
      <vt:variant>
        <vt:lpwstr>http://unfccc.int/paris_agreement/items/9485.php</vt:lpwstr>
      </vt:variant>
      <vt:variant>
        <vt:lpwstr/>
      </vt:variant>
      <vt:variant>
        <vt:i4>131179</vt:i4>
      </vt:variant>
      <vt:variant>
        <vt:i4>237</vt:i4>
      </vt:variant>
      <vt:variant>
        <vt:i4>0</vt:i4>
      </vt:variant>
      <vt:variant>
        <vt:i4>5</vt:i4>
      </vt:variant>
      <vt:variant>
        <vt:lpwstr>http://eur-lex.europa.eu/legal-content/EN/TXT/?uri=uriserv:OJ.L_.2017.280.01.0001.01.ENG&amp;toc=OJ:L:2017:280:TOC</vt:lpwstr>
      </vt:variant>
      <vt:variant>
        <vt:lpwstr/>
      </vt:variant>
      <vt:variant>
        <vt:i4>524385</vt:i4>
      </vt:variant>
      <vt:variant>
        <vt:i4>234</vt:i4>
      </vt:variant>
      <vt:variant>
        <vt:i4>0</vt:i4>
      </vt:variant>
      <vt:variant>
        <vt:i4>5</vt:i4>
      </vt:variant>
      <vt:variant>
        <vt:lpwstr>http://eur-lex.europa.eu/legal-content/EN/TXT/?uri=uriserv:OJ.L_.2017.198.01.0001.01.ENG&amp;toc=OJ:L:2017:198:TOC</vt:lpwstr>
      </vt:variant>
      <vt:variant>
        <vt:lpwstr/>
      </vt:variant>
      <vt:variant>
        <vt:i4>2162746</vt:i4>
      </vt:variant>
      <vt:variant>
        <vt:i4>231</vt:i4>
      </vt:variant>
      <vt:variant>
        <vt:i4>0</vt:i4>
      </vt:variant>
      <vt:variant>
        <vt:i4>5</vt:i4>
      </vt:variant>
      <vt:variant>
        <vt:lpwstr>http://europa.eu/rapid/press-release_MEMO-17-1935_en.htm</vt:lpwstr>
      </vt:variant>
      <vt:variant>
        <vt:lpwstr/>
      </vt:variant>
      <vt:variant>
        <vt:i4>3473525</vt:i4>
      </vt:variant>
      <vt:variant>
        <vt:i4>228</vt:i4>
      </vt:variant>
      <vt:variant>
        <vt:i4>0</vt:i4>
      </vt:variant>
      <vt:variant>
        <vt:i4>5</vt:i4>
      </vt:variant>
      <vt:variant>
        <vt:lpwstr>https://ec.europa.eu/energy/en/june-2017-commission-requests-czech-republic-and-netherlands-fully-comply-energy-performance</vt:lpwstr>
      </vt:variant>
      <vt:variant>
        <vt:lpwstr/>
      </vt:variant>
      <vt:variant>
        <vt:i4>2162742</vt:i4>
      </vt:variant>
      <vt:variant>
        <vt:i4>225</vt:i4>
      </vt:variant>
      <vt:variant>
        <vt:i4>0</vt:i4>
      </vt:variant>
      <vt:variant>
        <vt:i4>5</vt:i4>
      </vt:variant>
      <vt:variant>
        <vt:lpwstr>http://europa.eu/rapid/press-release_MEMO-17-4767_en.htm</vt:lpwstr>
      </vt:variant>
      <vt:variant>
        <vt:lpwstr/>
      </vt:variant>
      <vt:variant>
        <vt:i4>3014755</vt:i4>
      </vt:variant>
      <vt:variant>
        <vt:i4>222</vt:i4>
      </vt:variant>
      <vt:variant>
        <vt:i4>0</vt:i4>
      </vt:variant>
      <vt:variant>
        <vt:i4>5</vt:i4>
      </vt:variant>
      <vt:variant>
        <vt:lpwstr>http://europa.eu/rapid/press-release_MEMO-17-234_en.htm</vt:lpwstr>
      </vt:variant>
      <vt:variant>
        <vt:lpwstr/>
      </vt:variant>
      <vt:variant>
        <vt:i4>7798885</vt:i4>
      </vt:variant>
      <vt:variant>
        <vt:i4>219</vt:i4>
      </vt:variant>
      <vt:variant>
        <vt:i4>0</vt:i4>
      </vt:variant>
      <vt:variant>
        <vt:i4>5</vt:i4>
      </vt:variant>
      <vt:variant>
        <vt:lpwstr>https://ec.europa.eu/energy/en/october-2017-energy-efficiency-commission-calls-spain-correctly-implement-eu-rules-energy-efficiency</vt:lpwstr>
      </vt:variant>
      <vt:variant>
        <vt:lpwstr/>
      </vt:variant>
      <vt:variant>
        <vt:i4>2162742</vt:i4>
      </vt:variant>
      <vt:variant>
        <vt:i4>216</vt:i4>
      </vt:variant>
      <vt:variant>
        <vt:i4>0</vt:i4>
      </vt:variant>
      <vt:variant>
        <vt:i4>5</vt:i4>
      </vt:variant>
      <vt:variant>
        <vt:lpwstr>http://europa.eu/rapid/press-release_MEMO-17-4767_en.htm</vt:lpwstr>
      </vt:variant>
      <vt:variant>
        <vt:lpwstr/>
      </vt:variant>
      <vt:variant>
        <vt:i4>3473525</vt:i4>
      </vt:variant>
      <vt:variant>
        <vt:i4>213</vt:i4>
      </vt:variant>
      <vt:variant>
        <vt:i4>0</vt:i4>
      </vt:variant>
      <vt:variant>
        <vt:i4>5</vt:i4>
      </vt:variant>
      <vt:variant>
        <vt:lpwstr>https://ec.europa.eu/energy/en/june-2017-commission-requests-czech-republic-and-netherlands-fully-comply-energy-performance</vt:lpwstr>
      </vt:variant>
      <vt:variant>
        <vt:lpwstr/>
      </vt:variant>
      <vt:variant>
        <vt:i4>131179</vt:i4>
      </vt:variant>
      <vt:variant>
        <vt:i4>210</vt:i4>
      </vt:variant>
      <vt:variant>
        <vt:i4>0</vt:i4>
      </vt:variant>
      <vt:variant>
        <vt:i4>5</vt:i4>
      </vt:variant>
      <vt:variant>
        <vt:lpwstr>http://eur-lex.europa.eu/legal-content/EN/TXT/?uri=uriserv:OJ.L_.2017.280.01.0001.01.ENG&amp;toc=OJ:L:2017:280:TOC</vt:lpwstr>
      </vt:variant>
      <vt:variant>
        <vt:lpwstr/>
      </vt:variant>
      <vt:variant>
        <vt:i4>3473455</vt:i4>
      </vt:variant>
      <vt:variant>
        <vt:i4>207</vt:i4>
      </vt:variant>
      <vt:variant>
        <vt:i4>0</vt:i4>
      </vt:variant>
      <vt:variant>
        <vt:i4>5</vt:i4>
      </vt:variant>
      <vt:variant>
        <vt:lpwstr>http://eur-lex.europa.eu/legal-content/EN/ALL/?uri=CELEX:32009L0028</vt:lpwstr>
      </vt:variant>
      <vt:variant>
        <vt:lpwstr/>
      </vt:variant>
      <vt:variant>
        <vt:i4>3997742</vt:i4>
      </vt:variant>
      <vt:variant>
        <vt:i4>204</vt:i4>
      </vt:variant>
      <vt:variant>
        <vt:i4>0</vt:i4>
      </vt:variant>
      <vt:variant>
        <vt:i4>5</vt:i4>
      </vt:variant>
      <vt:variant>
        <vt:lpwstr>http://eur-lex.europa.eu/legal-content/EN/ALL/?uri=celex:32010L0031</vt:lpwstr>
      </vt:variant>
      <vt:variant>
        <vt:lpwstr/>
      </vt:variant>
      <vt:variant>
        <vt:i4>1638493</vt:i4>
      </vt:variant>
      <vt:variant>
        <vt:i4>201</vt:i4>
      </vt:variant>
      <vt:variant>
        <vt:i4>0</vt:i4>
      </vt:variant>
      <vt:variant>
        <vt:i4>5</vt:i4>
      </vt:variant>
      <vt:variant>
        <vt:lpwstr>http://eur-lex.europa.eu/legal-content/EN/TXT/?uri=celex%3A32012L0027</vt:lpwstr>
      </vt:variant>
      <vt:variant>
        <vt:lpwstr/>
      </vt:variant>
      <vt:variant>
        <vt:i4>1966144</vt:i4>
      </vt:variant>
      <vt:variant>
        <vt:i4>198</vt:i4>
      </vt:variant>
      <vt:variant>
        <vt:i4>0</vt:i4>
      </vt:variant>
      <vt:variant>
        <vt:i4>5</vt:i4>
      </vt:variant>
      <vt:variant>
        <vt:lpwstr>http://eur-lex.europa.eu/legal-content/EN/TXT/?uri=CELEX%3A32013R0347</vt:lpwstr>
      </vt:variant>
      <vt:variant>
        <vt:lpwstr/>
      </vt:variant>
      <vt:variant>
        <vt:i4>1769553</vt:i4>
      </vt:variant>
      <vt:variant>
        <vt:i4>195</vt:i4>
      </vt:variant>
      <vt:variant>
        <vt:i4>0</vt:i4>
      </vt:variant>
      <vt:variant>
        <vt:i4>5</vt:i4>
      </vt:variant>
      <vt:variant>
        <vt:lpwstr>http://europa.eu/rapid/press-release_MEMO-11-125_en.htm?locale=en</vt:lpwstr>
      </vt:variant>
      <vt:variant>
        <vt:lpwstr/>
      </vt:variant>
      <vt:variant>
        <vt:i4>6553694</vt:i4>
      </vt:variant>
      <vt:variant>
        <vt:i4>192</vt:i4>
      </vt:variant>
      <vt:variant>
        <vt:i4>0</vt:i4>
      </vt:variant>
      <vt:variant>
        <vt:i4>5</vt:i4>
      </vt:variant>
      <vt:variant>
        <vt:lpwstr>http://ec.europa.eu/priorities/energy-union/index_en.htm</vt:lpwstr>
      </vt:variant>
      <vt:variant>
        <vt:lpwstr/>
      </vt:variant>
      <vt:variant>
        <vt:i4>2949181</vt:i4>
      </vt:variant>
      <vt:variant>
        <vt:i4>189</vt:i4>
      </vt:variant>
      <vt:variant>
        <vt:i4>0</vt:i4>
      </vt:variant>
      <vt:variant>
        <vt:i4>5</vt:i4>
      </vt:variant>
      <vt:variant>
        <vt:lpwstr>http://curia.europa.eu/juris/liste.jsf?num=C-610/15</vt:lpwstr>
      </vt:variant>
      <vt:variant>
        <vt:lpwstr/>
      </vt:variant>
      <vt:variant>
        <vt:i4>2031709</vt:i4>
      </vt:variant>
      <vt:variant>
        <vt:i4>186</vt:i4>
      </vt:variant>
      <vt:variant>
        <vt:i4>0</vt:i4>
      </vt:variant>
      <vt:variant>
        <vt:i4>5</vt:i4>
      </vt:variant>
      <vt:variant>
        <vt:lpwstr>http://eur-lex.europa.eu/legal-content/EN/TXT/?uri=celex%3A32014L0026</vt:lpwstr>
      </vt:variant>
      <vt:variant>
        <vt:lpwstr/>
      </vt:variant>
      <vt:variant>
        <vt:i4>2162742</vt:i4>
      </vt:variant>
      <vt:variant>
        <vt:i4>183</vt:i4>
      </vt:variant>
      <vt:variant>
        <vt:i4>0</vt:i4>
      </vt:variant>
      <vt:variant>
        <vt:i4>5</vt:i4>
      </vt:variant>
      <vt:variant>
        <vt:lpwstr>http://europa.eu/rapid/press-release_MEMO-17-4767_en.htm</vt:lpwstr>
      </vt:variant>
      <vt:variant>
        <vt:lpwstr/>
      </vt:variant>
      <vt:variant>
        <vt:i4>1769565</vt:i4>
      </vt:variant>
      <vt:variant>
        <vt:i4>180</vt:i4>
      </vt:variant>
      <vt:variant>
        <vt:i4>0</vt:i4>
      </vt:variant>
      <vt:variant>
        <vt:i4>5</vt:i4>
      </vt:variant>
      <vt:variant>
        <vt:lpwstr>http://eur-lex.europa.eu/legal-content/en/TXT/?uri=celex%3A32014L0061</vt:lpwstr>
      </vt:variant>
      <vt:variant>
        <vt:lpwstr/>
      </vt:variant>
      <vt:variant>
        <vt:i4>4718658</vt:i4>
      </vt:variant>
      <vt:variant>
        <vt:i4>177</vt:i4>
      </vt:variant>
      <vt:variant>
        <vt:i4>0</vt:i4>
      </vt:variant>
      <vt:variant>
        <vt:i4>5</vt:i4>
      </vt:variant>
      <vt:variant>
        <vt:lpwstr>http://europa.eu/rapid/press-release_IP-17-1937_en.htm</vt:lpwstr>
      </vt:variant>
      <vt:variant>
        <vt:lpwstr/>
      </vt:variant>
      <vt:variant>
        <vt:i4>3997746</vt:i4>
      </vt:variant>
      <vt:variant>
        <vt:i4>174</vt:i4>
      </vt:variant>
      <vt:variant>
        <vt:i4>0</vt:i4>
      </vt:variant>
      <vt:variant>
        <vt:i4>5</vt:i4>
      </vt:variant>
      <vt:variant>
        <vt:lpwstr>http://eur-lex.europa.eu/legal-content/FR/ALL/?uri=CELEX:32013L0037</vt:lpwstr>
      </vt:variant>
      <vt:variant>
        <vt:lpwstr/>
      </vt:variant>
      <vt:variant>
        <vt:i4>8257599</vt:i4>
      </vt:variant>
      <vt:variant>
        <vt:i4>171</vt:i4>
      </vt:variant>
      <vt:variant>
        <vt:i4>0</vt:i4>
      </vt:variant>
      <vt:variant>
        <vt:i4>5</vt:i4>
      </vt:variant>
      <vt:variant>
        <vt:lpwstr>https://ec.europa.eu/digital-single-market/en/european-legislation-reuse-public-sector-information</vt:lpwstr>
      </vt:variant>
      <vt:variant>
        <vt:lpwstr/>
      </vt:variant>
      <vt:variant>
        <vt:i4>5308469</vt:i4>
      </vt:variant>
      <vt:variant>
        <vt:i4>168</vt:i4>
      </vt:variant>
      <vt:variant>
        <vt:i4>0</vt:i4>
      </vt:variant>
      <vt:variant>
        <vt:i4>5</vt:i4>
      </vt:variant>
      <vt:variant>
        <vt:lpwstr>http://eur-lex.europa.eu/legal-content/EN/TXT/?uri=uriserv%3AOJ.L_.2014.257.01.0073.01.ENG</vt:lpwstr>
      </vt:variant>
      <vt:variant>
        <vt:lpwstr/>
      </vt:variant>
      <vt:variant>
        <vt:i4>5308510</vt:i4>
      </vt:variant>
      <vt:variant>
        <vt:i4>165</vt:i4>
      </vt:variant>
      <vt:variant>
        <vt:i4>0</vt:i4>
      </vt:variant>
      <vt:variant>
        <vt:i4>5</vt:i4>
      </vt:variant>
      <vt:variant>
        <vt:lpwstr>https://ec.europa.eu/digital-single-market/en/policies/trust-services-and-eidentification</vt:lpwstr>
      </vt:variant>
      <vt:variant>
        <vt:lpwstr/>
      </vt:variant>
      <vt:variant>
        <vt:i4>1835074</vt:i4>
      </vt:variant>
      <vt:variant>
        <vt:i4>162</vt:i4>
      </vt:variant>
      <vt:variant>
        <vt:i4>0</vt:i4>
      </vt:variant>
      <vt:variant>
        <vt:i4>5</vt:i4>
      </vt:variant>
      <vt:variant>
        <vt:lpwstr>http://eur-lex.europa.eu/legal-content/EN/TXT/?uri=CELEX%3A32015R2120</vt:lpwstr>
      </vt:variant>
      <vt:variant>
        <vt:lpwstr/>
      </vt:variant>
      <vt:variant>
        <vt:i4>3997714</vt:i4>
      </vt:variant>
      <vt:variant>
        <vt:i4>159</vt:i4>
      </vt:variant>
      <vt:variant>
        <vt:i4>0</vt:i4>
      </vt:variant>
      <vt:variant>
        <vt:i4>5</vt:i4>
      </vt:variant>
      <vt:variant>
        <vt:lpwstr>https://europa.eu/youreurope/citizens/consumers/internet-telecoms/mobile-roaming-costs/index_en.htm</vt:lpwstr>
      </vt:variant>
      <vt:variant>
        <vt:lpwstr/>
      </vt:variant>
      <vt:variant>
        <vt:i4>7077933</vt:i4>
      </vt:variant>
      <vt:variant>
        <vt:i4>156</vt:i4>
      </vt:variant>
      <vt:variant>
        <vt:i4>0</vt:i4>
      </vt:variant>
      <vt:variant>
        <vt:i4>5</vt:i4>
      </vt:variant>
      <vt:variant>
        <vt:lpwstr>http://curia.europa.eu/juris/liste.jsf?pro=&amp;lgrec=fr&amp;nat=or&amp;oqp=&amp;dates=&amp;lg=&amp;language=en&amp;jur=C%2CT%2CF&amp;cit=none%252CC%252CCJ%252CR%252C2008E%252C%252C%252C%252C%252C%252C%252C%252C%252C%252Ctrue%252Cfalse%252Cfalse&amp;num=C-391%252F17&amp;td=%3BALL&amp;pcs=Oor&amp;avg=&amp;page=1&amp;mat=or&amp;jge=&amp;for=&amp;cid=453455</vt:lpwstr>
      </vt:variant>
      <vt:variant>
        <vt:lpwstr/>
      </vt:variant>
      <vt:variant>
        <vt:i4>7077929</vt:i4>
      </vt:variant>
      <vt:variant>
        <vt:i4>153</vt:i4>
      </vt:variant>
      <vt:variant>
        <vt:i4>0</vt:i4>
      </vt:variant>
      <vt:variant>
        <vt:i4>5</vt:i4>
      </vt:variant>
      <vt:variant>
        <vt:lpwstr>http://curia.europa.eu/juris/liste.jsf?pro=&amp;lgrec=fr&amp;nat=or&amp;oqp=&amp;dates=&amp;lg=&amp;language=en&amp;jur=C%2CT%2CF&amp;cit=none%252CC%252CCJ%252CR%252C2008E%252C%252C%252C%252C%252C%252C%252C%252C%252C%252Ctrue%252Cfalse%252Cfalse&amp;num=C-395%252F17&amp;td=%3BALL&amp;pcs=Oor&amp;avg=&amp;page=1&amp;mat=or&amp;jge=&amp;for=&amp;cid=453655</vt:lpwstr>
      </vt:variant>
      <vt:variant>
        <vt:lpwstr/>
      </vt:variant>
      <vt:variant>
        <vt:i4>7340048</vt:i4>
      </vt:variant>
      <vt:variant>
        <vt:i4>150</vt:i4>
      </vt:variant>
      <vt:variant>
        <vt:i4>0</vt:i4>
      </vt:variant>
      <vt:variant>
        <vt:i4>5</vt:i4>
      </vt:variant>
      <vt:variant>
        <vt:lpwstr>http://ec.europa.eu/regional_policy/en/information/publications/studies/2017/the-value-added-of-ex-ante-conditionalities-in-the-european-structural-and-investment-funds-esi-funds</vt:lpwstr>
      </vt:variant>
      <vt:variant>
        <vt:lpwstr/>
      </vt:variant>
      <vt:variant>
        <vt:i4>3407944</vt:i4>
      </vt:variant>
      <vt:variant>
        <vt:i4>147</vt:i4>
      </vt:variant>
      <vt:variant>
        <vt:i4>0</vt:i4>
      </vt:variant>
      <vt:variant>
        <vt:i4>5</vt:i4>
      </vt:variant>
      <vt:variant>
        <vt:lpwstr>https://ec.europa.eu/info/funding-tenders-0/european-structural-and-investment-funds_en</vt:lpwstr>
      </vt:variant>
      <vt:variant>
        <vt:lpwstr/>
      </vt:variant>
      <vt:variant>
        <vt:i4>1376349</vt:i4>
      </vt:variant>
      <vt:variant>
        <vt:i4>144</vt:i4>
      </vt:variant>
      <vt:variant>
        <vt:i4>0</vt:i4>
      </vt:variant>
      <vt:variant>
        <vt:i4>5</vt:i4>
      </vt:variant>
      <vt:variant>
        <vt:lpwstr>http://eur-lex.europa.eu/legal-content/EN/TXT/?uri=celex%3A32014L0089</vt:lpwstr>
      </vt:variant>
      <vt:variant>
        <vt:lpwstr/>
      </vt:variant>
      <vt:variant>
        <vt:i4>3014755</vt:i4>
      </vt:variant>
      <vt:variant>
        <vt:i4>141</vt:i4>
      </vt:variant>
      <vt:variant>
        <vt:i4>0</vt:i4>
      </vt:variant>
      <vt:variant>
        <vt:i4>5</vt:i4>
      </vt:variant>
      <vt:variant>
        <vt:lpwstr>http://europa.eu/rapid/press-release_MEMO-17-234_en.htm</vt:lpwstr>
      </vt:variant>
      <vt:variant>
        <vt:lpwstr/>
      </vt:variant>
      <vt:variant>
        <vt:i4>2162746</vt:i4>
      </vt:variant>
      <vt:variant>
        <vt:i4>138</vt:i4>
      </vt:variant>
      <vt:variant>
        <vt:i4>0</vt:i4>
      </vt:variant>
      <vt:variant>
        <vt:i4>5</vt:i4>
      </vt:variant>
      <vt:variant>
        <vt:lpwstr>http://europa.eu/rapid/press-release_MEMO-17-1935_en.htm</vt:lpwstr>
      </vt:variant>
      <vt:variant>
        <vt:lpwstr/>
      </vt:variant>
      <vt:variant>
        <vt:i4>5374004</vt:i4>
      </vt:variant>
      <vt:variant>
        <vt:i4>135</vt:i4>
      </vt:variant>
      <vt:variant>
        <vt:i4>0</vt:i4>
      </vt:variant>
      <vt:variant>
        <vt:i4>5</vt:i4>
      </vt:variant>
      <vt:variant>
        <vt:lpwstr>http://eur-lex.europa.eu/legal-content/EN/TXT/?uri=uriserv%3AOJ.L_.2015.314.01.0001.01.ENG</vt:lpwstr>
      </vt:variant>
      <vt:variant>
        <vt:lpwstr/>
      </vt:variant>
      <vt:variant>
        <vt:i4>1245220</vt:i4>
      </vt:variant>
      <vt:variant>
        <vt:i4>132</vt:i4>
      </vt:variant>
      <vt:variant>
        <vt:i4>0</vt:i4>
      </vt:variant>
      <vt:variant>
        <vt:i4>5</vt:i4>
      </vt:variant>
      <vt:variant>
        <vt:lpwstr>https://ec.europa.eu/agriculture/direct-support/direct-payments_en</vt:lpwstr>
      </vt:variant>
      <vt:variant>
        <vt:lpwstr/>
      </vt:variant>
      <vt:variant>
        <vt:i4>7405589</vt:i4>
      </vt:variant>
      <vt:variant>
        <vt:i4>129</vt:i4>
      </vt:variant>
      <vt:variant>
        <vt:i4>0</vt:i4>
      </vt:variant>
      <vt:variant>
        <vt:i4>5</vt:i4>
      </vt:variant>
      <vt:variant>
        <vt:lpwstr>http://ec.europa.eu/environment/eir/p2p/index_en.htm</vt:lpwstr>
      </vt:variant>
      <vt:variant>
        <vt:lpwstr/>
      </vt:variant>
      <vt:variant>
        <vt:i4>5898347</vt:i4>
      </vt:variant>
      <vt:variant>
        <vt:i4>126</vt:i4>
      </vt:variant>
      <vt:variant>
        <vt:i4>0</vt:i4>
      </vt:variant>
      <vt:variant>
        <vt:i4>5</vt:i4>
      </vt:variant>
      <vt:variant>
        <vt:lpwstr>http://ec.europa.eu/environment/eir/country-reports/index2_en.htm</vt:lpwstr>
      </vt:variant>
      <vt:variant>
        <vt:lpwstr/>
      </vt:variant>
      <vt:variant>
        <vt:i4>5111808</vt:i4>
      </vt:variant>
      <vt:variant>
        <vt:i4>123</vt:i4>
      </vt:variant>
      <vt:variant>
        <vt:i4>0</vt:i4>
      </vt:variant>
      <vt:variant>
        <vt:i4>5</vt:i4>
      </vt:variant>
      <vt:variant>
        <vt:lpwstr>http://curia.europa.eu/juris/liste.jsf?language=en&amp;jur=C,T,F&amp;num=C-202/16&amp;td=ALL</vt:lpwstr>
      </vt:variant>
      <vt:variant>
        <vt:lpwstr/>
      </vt:variant>
      <vt:variant>
        <vt:i4>4784131</vt:i4>
      </vt:variant>
      <vt:variant>
        <vt:i4>120</vt:i4>
      </vt:variant>
      <vt:variant>
        <vt:i4>0</vt:i4>
      </vt:variant>
      <vt:variant>
        <vt:i4>5</vt:i4>
      </vt:variant>
      <vt:variant>
        <vt:lpwstr>http://curia.europa.eu/juris/liste.jsf?language=en&amp;jur=C,T,F&amp;num=C-502/15&amp;td=ALL</vt:lpwstr>
      </vt:variant>
      <vt:variant>
        <vt:lpwstr/>
      </vt:variant>
      <vt:variant>
        <vt:i4>3407932</vt:i4>
      </vt:variant>
      <vt:variant>
        <vt:i4>117</vt:i4>
      </vt:variant>
      <vt:variant>
        <vt:i4>0</vt:i4>
      </vt:variant>
      <vt:variant>
        <vt:i4>5</vt:i4>
      </vt:variant>
      <vt:variant>
        <vt:lpwstr>http://curia.europa.eu/juris/document/document.jsf?text=&amp;docid=189624&amp;pageIndex=0&amp;doclang=EN&amp;mode=req&amp;dir=&amp;occ=first&amp;part=1</vt:lpwstr>
      </vt:variant>
      <vt:variant>
        <vt:lpwstr/>
      </vt:variant>
      <vt:variant>
        <vt:i4>6160453</vt:i4>
      </vt:variant>
      <vt:variant>
        <vt:i4>114</vt:i4>
      </vt:variant>
      <vt:variant>
        <vt:i4>0</vt:i4>
      </vt:variant>
      <vt:variant>
        <vt:i4>5</vt:i4>
      </vt:variant>
      <vt:variant>
        <vt:lpwstr>http://curia.europa.eu/juris/liste.jsf?language=en&amp;jur=C,T,F&amp;num=C-441/17%20R&amp;td=ALL</vt:lpwstr>
      </vt:variant>
      <vt:variant>
        <vt:lpwstr/>
      </vt:variant>
      <vt:variant>
        <vt:i4>5177421</vt:i4>
      </vt:variant>
      <vt:variant>
        <vt:i4>111</vt:i4>
      </vt:variant>
      <vt:variant>
        <vt:i4>0</vt:i4>
      </vt:variant>
      <vt:variant>
        <vt:i4>5</vt:i4>
      </vt:variant>
      <vt:variant>
        <vt:lpwstr>http://europa.eu/rapid/press-release_IP-17-1948_en.htm</vt:lpwstr>
      </vt:variant>
      <vt:variant>
        <vt:lpwstr/>
      </vt:variant>
      <vt:variant>
        <vt:i4>2228276</vt:i4>
      </vt:variant>
      <vt:variant>
        <vt:i4>108</vt:i4>
      </vt:variant>
      <vt:variant>
        <vt:i4>0</vt:i4>
      </vt:variant>
      <vt:variant>
        <vt:i4>5</vt:i4>
      </vt:variant>
      <vt:variant>
        <vt:lpwstr>http://curia.europa.eu/juris/liste.jsf?num=C-188/15</vt:lpwstr>
      </vt:variant>
      <vt:variant>
        <vt:lpwstr/>
      </vt:variant>
      <vt:variant>
        <vt:i4>2949177</vt:i4>
      </vt:variant>
      <vt:variant>
        <vt:i4>105</vt:i4>
      </vt:variant>
      <vt:variant>
        <vt:i4>0</vt:i4>
      </vt:variant>
      <vt:variant>
        <vt:i4>5</vt:i4>
      </vt:variant>
      <vt:variant>
        <vt:lpwstr>http://curia.europa.eu/juris/liste.jsf?num=C-157/15</vt:lpwstr>
      </vt:variant>
      <vt:variant>
        <vt:lpwstr/>
      </vt:variant>
      <vt:variant>
        <vt:i4>1638493</vt:i4>
      </vt:variant>
      <vt:variant>
        <vt:i4>102</vt:i4>
      </vt:variant>
      <vt:variant>
        <vt:i4>0</vt:i4>
      </vt:variant>
      <vt:variant>
        <vt:i4>5</vt:i4>
      </vt:variant>
      <vt:variant>
        <vt:lpwstr>http://eur-lex.europa.eu/legal-content/EN/TXT/?uri=celex%3A32013L0035</vt:lpwstr>
      </vt:variant>
      <vt:variant>
        <vt:lpwstr/>
      </vt:variant>
      <vt:variant>
        <vt:i4>5701711</vt:i4>
      </vt:variant>
      <vt:variant>
        <vt:i4>99</vt:i4>
      </vt:variant>
      <vt:variant>
        <vt:i4>0</vt:i4>
      </vt:variant>
      <vt:variant>
        <vt:i4>5</vt:i4>
      </vt:variant>
      <vt:variant>
        <vt:lpwstr>http://ec.europa.eu/social/main.jsp?catId=1314&amp;langId=en</vt:lpwstr>
      </vt:variant>
      <vt:variant>
        <vt:lpwstr/>
      </vt:variant>
      <vt:variant>
        <vt:i4>6488166</vt:i4>
      </vt:variant>
      <vt:variant>
        <vt:i4>96</vt:i4>
      </vt:variant>
      <vt:variant>
        <vt:i4>0</vt:i4>
      </vt:variant>
      <vt:variant>
        <vt:i4>5</vt:i4>
      </vt:variant>
      <vt:variant>
        <vt:lpwstr>http://eur-lex.europa.eu/legal-content/EN/TXT/?qid=1517313799574&amp;uri=CELEX:52017DC0254</vt:lpwstr>
      </vt:variant>
      <vt:variant>
        <vt:lpwstr/>
      </vt:variant>
      <vt:variant>
        <vt:i4>5701711</vt:i4>
      </vt:variant>
      <vt:variant>
        <vt:i4>93</vt:i4>
      </vt:variant>
      <vt:variant>
        <vt:i4>0</vt:i4>
      </vt:variant>
      <vt:variant>
        <vt:i4>5</vt:i4>
      </vt:variant>
      <vt:variant>
        <vt:lpwstr>http://ec.europa.eu/social/main.jsp?catId=1314&amp;langId=en</vt:lpwstr>
      </vt:variant>
      <vt:variant>
        <vt:lpwstr/>
      </vt:variant>
      <vt:variant>
        <vt:i4>5242908</vt:i4>
      </vt:variant>
      <vt:variant>
        <vt:i4>90</vt:i4>
      </vt:variant>
      <vt:variant>
        <vt:i4>0</vt:i4>
      </vt:variant>
      <vt:variant>
        <vt:i4>5</vt:i4>
      </vt:variant>
      <vt:variant>
        <vt:lpwstr>http://eur-lex.europa.eu/legal-content/EN/TXT/?uri=CELEX:52017XC0524(01)</vt:lpwstr>
      </vt:variant>
      <vt:variant>
        <vt:lpwstr/>
      </vt:variant>
      <vt:variant>
        <vt:i4>5701711</vt:i4>
      </vt:variant>
      <vt:variant>
        <vt:i4>87</vt:i4>
      </vt:variant>
      <vt:variant>
        <vt:i4>0</vt:i4>
      </vt:variant>
      <vt:variant>
        <vt:i4>5</vt:i4>
      </vt:variant>
      <vt:variant>
        <vt:lpwstr>http://ec.europa.eu/social/main.jsp?catId=1314&amp;langId=en</vt:lpwstr>
      </vt:variant>
      <vt:variant>
        <vt:lpwstr/>
      </vt:variant>
      <vt:variant>
        <vt:i4>6291529</vt:i4>
      </vt:variant>
      <vt:variant>
        <vt:i4>84</vt:i4>
      </vt:variant>
      <vt:variant>
        <vt:i4>0</vt:i4>
      </vt:variant>
      <vt:variant>
        <vt:i4>5</vt:i4>
      </vt:variant>
      <vt:variant>
        <vt:lpwstr>http://eur-lex.europa.eu/legal-content/EN/TXT/?uri=uriserv:OJ.C_.2017.018.01.0010.01.ENG</vt:lpwstr>
      </vt:variant>
      <vt:variant>
        <vt:lpwstr/>
      </vt:variant>
      <vt:variant>
        <vt:i4>6291529</vt:i4>
      </vt:variant>
      <vt:variant>
        <vt:i4>81</vt:i4>
      </vt:variant>
      <vt:variant>
        <vt:i4>0</vt:i4>
      </vt:variant>
      <vt:variant>
        <vt:i4>5</vt:i4>
      </vt:variant>
      <vt:variant>
        <vt:lpwstr>http://eur-lex.europa.eu/legal-content/EN/TXT/?uri=uriserv:OJ.C_.2017.018.01.0010.01.ENG</vt:lpwstr>
      </vt:variant>
      <vt:variant>
        <vt:lpwstr/>
      </vt:variant>
      <vt:variant>
        <vt:i4>5177412</vt:i4>
      </vt:variant>
      <vt:variant>
        <vt:i4>78</vt:i4>
      </vt:variant>
      <vt:variant>
        <vt:i4>0</vt:i4>
      </vt:variant>
      <vt:variant>
        <vt:i4>5</vt:i4>
      </vt:variant>
      <vt:variant>
        <vt:lpwstr>http://europa.eu/rapid/press-release_IP-17-5109_en.htm</vt:lpwstr>
      </vt:variant>
      <vt:variant>
        <vt:lpwstr/>
      </vt:variant>
      <vt:variant>
        <vt:i4>4784200</vt:i4>
      </vt:variant>
      <vt:variant>
        <vt:i4>75</vt:i4>
      </vt:variant>
      <vt:variant>
        <vt:i4>0</vt:i4>
      </vt:variant>
      <vt:variant>
        <vt:i4>5</vt:i4>
      </vt:variant>
      <vt:variant>
        <vt:lpwstr>http://europa.eu/rapid/press-release_IP-17-5367_en.htm</vt:lpwstr>
      </vt:variant>
      <vt:variant>
        <vt:lpwstr/>
      </vt:variant>
      <vt:variant>
        <vt:i4>6291529</vt:i4>
      </vt:variant>
      <vt:variant>
        <vt:i4>72</vt:i4>
      </vt:variant>
      <vt:variant>
        <vt:i4>0</vt:i4>
      </vt:variant>
      <vt:variant>
        <vt:i4>5</vt:i4>
      </vt:variant>
      <vt:variant>
        <vt:lpwstr>http://eur-lex.europa.eu/legal-content/EN/TXT/?uri=uriserv:OJ.C_.2017.018.01.0010.01.ENG</vt:lpwstr>
      </vt:variant>
      <vt:variant>
        <vt:lpwstr/>
      </vt:variant>
      <vt:variant>
        <vt:i4>786443</vt:i4>
      </vt:variant>
      <vt:variant>
        <vt:i4>69</vt:i4>
      </vt:variant>
      <vt:variant>
        <vt:i4>0</vt:i4>
      </vt:variant>
      <vt:variant>
        <vt:i4>5</vt:i4>
      </vt:variant>
      <vt:variant>
        <vt:lpwstr>http://eur-lex.europa.eu/legal-content/EN/TXT/?uri=COM%3A2015%3A550%3AFIN</vt:lpwstr>
      </vt:variant>
      <vt:variant>
        <vt:lpwstr/>
      </vt:variant>
      <vt:variant>
        <vt:i4>80</vt:i4>
      </vt:variant>
      <vt:variant>
        <vt:i4>66</vt:i4>
      </vt:variant>
      <vt:variant>
        <vt:i4>0</vt:i4>
      </vt:variant>
      <vt:variant>
        <vt:i4>5</vt:i4>
      </vt:variant>
      <vt:variant>
        <vt:lpwstr>http://eur-lex.europa.eu/legal-content/EN/TXT/?uri=CELEX%3A32016Q0512%2801%29</vt:lpwstr>
      </vt:variant>
      <vt:variant>
        <vt:lpwstr/>
      </vt:variant>
      <vt:variant>
        <vt:i4>6291529</vt:i4>
      </vt:variant>
      <vt:variant>
        <vt:i4>63</vt:i4>
      </vt:variant>
      <vt:variant>
        <vt:i4>0</vt:i4>
      </vt:variant>
      <vt:variant>
        <vt:i4>5</vt:i4>
      </vt:variant>
      <vt:variant>
        <vt:lpwstr>http://eur-lex.europa.eu/legal-content/EN/TXT/?uri=uriserv:OJ.C_.2017.018.01.0010.01.ENG</vt:lpwstr>
      </vt:variant>
      <vt:variant>
        <vt:lpwstr/>
      </vt:variant>
      <vt:variant>
        <vt:i4>1703989</vt:i4>
      </vt:variant>
      <vt:variant>
        <vt:i4>56</vt:i4>
      </vt:variant>
      <vt:variant>
        <vt:i4>0</vt:i4>
      </vt:variant>
      <vt:variant>
        <vt:i4>5</vt:i4>
      </vt:variant>
      <vt:variant>
        <vt:lpwstr/>
      </vt:variant>
      <vt:variant>
        <vt:lpwstr>_Toc506309674</vt:lpwstr>
      </vt:variant>
      <vt:variant>
        <vt:i4>1703989</vt:i4>
      </vt:variant>
      <vt:variant>
        <vt:i4>50</vt:i4>
      </vt:variant>
      <vt:variant>
        <vt:i4>0</vt:i4>
      </vt:variant>
      <vt:variant>
        <vt:i4>5</vt:i4>
      </vt:variant>
      <vt:variant>
        <vt:lpwstr/>
      </vt:variant>
      <vt:variant>
        <vt:lpwstr>_Toc506309673</vt:lpwstr>
      </vt:variant>
      <vt:variant>
        <vt:i4>1703989</vt:i4>
      </vt:variant>
      <vt:variant>
        <vt:i4>44</vt:i4>
      </vt:variant>
      <vt:variant>
        <vt:i4>0</vt:i4>
      </vt:variant>
      <vt:variant>
        <vt:i4>5</vt:i4>
      </vt:variant>
      <vt:variant>
        <vt:lpwstr/>
      </vt:variant>
      <vt:variant>
        <vt:lpwstr>_Toc506309672</vt:lpwstr>
      </vt:variant>
      <vt:variant>
        <vt:i4>1703989</vt:i4>
      </vt:variant>
      <vt:variant>
        <vt:i4>38</vt:i4>
      </vt:variant>
      <vt:variant>
        <vt:i4>0</vt:i4>
      </vt:variant>
      <vt:variant>
        <vt:i4>5</vt:i4>
      </vt:variant>
      <vt:variant>
        <vt:lpwstr/>
      </vt:variant>
      <vt:variant>
        <vt:lpwstr>_Toc506309671</vt:lpwstr>
      </vt:variant>
      <vt:variant>
        <vt:i4>1703989</vt:i4>
      </vt:variant>
      <vt:variant>
        <vt:i4>32</vt:i4>
      </vt:variant>
      <vt:variant>
        <vt:i4>0</vt:i4>
      </vt:variant>
      <vt:variant>
        <vt:i4>5</vt:i4>
      </vt:variant>
      <vt:variant>
        <vt:lpwstr/>
      </vt:variant>
      <vt:variant>
        <vt:lpwstr>_Toc506309670</vt:lpwstr>
      </vt:variant>
      <vt:variant>
        <vt:i4>1769525</vt:i4>
      </vt:variant>
      <vt:variant>
        <vt:i4>26</vt:i4>
      </vt:variant>
      <vt:variant>
        <vt:i4>0</vt:i4>
      </vt:variant>
      <vt:variant>
        <vt:i4>5</vt:i4>
      </vt:variant>
      <vt:variant>
        <vt:lpwstr/>
      </vt:variant>
      <vt:variant>
        <vt:lpwstr>_Toc506309669</vt:lpwstr>
      </vt:variant>
      <vt:variant>
        <vt:i4>1769525</vt:i4>
      </vt:variant>
      <vt:variant>
        <vt:i4>20</vt:i4>
      </vt:variant>
      <vt:variant>
        <vt:i4>0</vt:i4>
      </vt:variant>
      <vt:variant>
        <vt:i4>5</vt:i4>
      </vt:variant>
      <vt:variant>
        <vt:lpwstr/>
      </vt:variant>
      <vt:variant>
        <vt:lpwstr>_Toc506309668</vt:lpwstr>
      </vt:variant>
      <vt:variant>
        <vt:i4>1769525</vt:i4>
      </vt:variant>
      <vt:variant>
        <vt:i4>14</vt:i4>
      </vt:variant>
      <vt:variant>
        <vt:i4>0</vt:i4>
      </vt:variant>
      <vt:variant>
        <vt:i4>5</vt:i4>
      </vt:variant>
      <vt:variant>
        <vt:lpwstr/>
      </vt:variant>
      <vt:variant>
        <vt:lpwstr>_Toc506309667</vt:lpwstr>
      </vt:variant>
      <vt:variant>
        <vt:i4>1769525</vt:i4>
      </vt:variant>
      <vt:variant>
        <vt:i4>8</vt:i4>
      </vt:variant>
      <vt:variant>
        <vt:i4>0</vt:i4>
      </vt:variant>
      <vt:variant>
        <vt:i4>5</vt:i4>
      </vt:variant>
      <vt:variant>
        <vt:lpwstr/>
      </vt:variant>
      <vt:variant>
        <vt:lpwstr>_Toc506309666</vt:lpwstr>
      </vt:variant>
      <vt:variant>
        <vt:i4>1769525</vt:i4>
      </vt:variant>
      <vt:variant>
        <vt:i4>2</vt:i4>
      </vt:variant>
      <vt:variant>
        <vt:i4>0</vt:i4>
      </vt:variant>
      <vt:variant>
        <vt:i4>5</vt:i4>
      </vt:variant>
      <vt:variant>
        <vt:lpwstr/>
      </vt:variant>
      <vt:variant>
        <vt:lpwstr>_Toc506309665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Application of European Union law</dc:title>
  <dc:subject/>
  <dc:creator/>
  <cp:keywords/>
  <dc:description/>
  <cp:lastModifiedBy>WES PDFC Administrator</cp:lastModifiedBy>
  <cp:revision>67</cp:revision>
  <cp:lastPrinted>2019-06-03T08:27:00Z</cp:lastPrinted>
  <dcterms:created xsi:type="dcterms:W3CDTF">2019-06-13T08:38:00Z</dcterms:created>
  <dcterms:modified xsi:type="dcterms:W3CDTF">2019-07-04T05:24:00Z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0x010100258AA79CEB83498886A3A0868112325000148F6740FA2A0343B62C3D2ED4104497</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Last edited using">
    <vt:lpwstr>LW 6.0.1, Build 20180503</vt:lpwstr>
  </property>
  <property fmtid="{D5CDD505-2E9C-101B-9397-08002B2CF9AE}" pid="8" name="Created using">
    <vt:lpwstr>LW 6.0.1, Build 20180503</vt:lpwstr>
  </property>
</Properties>
</file>