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E4F9A9B-C1CA-4053-8B50-B3C2AC21C486"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На 5 юни 2019 г. в своя доклад по член 126, параграф 3 от Договора за функционирането на Европейския съюз</w:t>
      </w:r>
      <w:r>
        <w:rPr>
          <w:rStyle w:val="FootnoteReference"/>
          <w:rFonts w:ascii="Times New Roman" w:hAnsi="Times New Roman"/>
          <w:noProof/>
          <w:sz w:val="24"/>
        </w:rPr>
        <w:footnoteReference w:id="1"/>
      </w:r>
      <w:r>
        <w:rPr>
          <w:rFonts w:ascii="Times New Roman" w:hAnsi="Times New Roman"/>
          <w:noProof/>
          <w:sz w:val="24"/>
        </w:rPr>
        <w:t xml:space="preserve"> Комисията оцени, че през 2018 г. Италия не е спазила критерия за дълга, посочен в Договора, и стигна до заключението, че поради дълга има основания за процедура при прекомерен дефицит (ППД) за Италия. </w:t>
      </w:r>
    </w:p>
    <w:p>
      <w:pPr>
        <w:jc w:val="both"/>
        <w:rPr>
          <w:rFonts w:ascii="Times New Roman" w:hAnsi="Times New Roman" w:cs="Times New Roman"/>
          <w:noProof/>
          <w:sz w:val="24"/>
          <w:szCs w:val="24"/>
        </w:rPr>
      </w:pPr>
      <w:r>
        <w:rPr>
          <w:rFonts w:ascii="Times New Roman" w:hAnsi="Times New Roman"/>
          <w:noProof/>
          <w:sz w:val="24"/>
        </w:rPr>
        <w:t>Това заключение се основаваше на следните елементи:</w:t>
      </w:r>
    </w:p>
    <w:p>
      <w:pPr>
        <w:pStyle w:val="ListParagraph"/>
        <w:numPr>
          <w:ilvl w:val="0"/>
          <w:numId w:val="1"/>
        </w:numPr>
        <w:jc w:val="both"/>
        <w:rPr>
          <w:rFonts w:ascii="Times New Roman" w:hAnsi="Times New Roman" w:cs="Times New Roman"/>
          <w:noProof/>
          <w:spacing w:val="-4"/>
          <w:sz w:val="24"/>
          <w:szCs w:val="24"/>
        </w:rPr>
      </w:pPr>
      <w:r>
        <w:rPr>
          <w:rFonts w:ascii="Times New Roman" w:hAnsi="Times New Roman"/>
          <w:noProof/>
          <w:spacing w:val="-4"/>
          <w:sz w:val="24"/>
        </w:rPr>
        <w:t xml:space="preserve">окончателните данни за 2018 г. показаха, че съотношението на публичния дълг към БВП в Италия се е увеличило от 131,4 % през 2017 г. на 132,2 % през 2018 г.;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През 2018 г. структурното салдо на Италия се влоши с 0,1 % от БВП и се очакваше да продължи да се влошава с 0,2 % от БВП през 2019 г. въз основа на прогнозата на Комисията от пролетта на 2019 г. Според тази прогноза в Италия изискваната корекция според предпазната част на Пакта за стабилност и растеж изостава спрямо спазването (като цяло) с 0,4 % от БВП през 2018 г. и 0,3 % от БВП през 2019 г.;</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в прогнозата на Комисията от пролетта на 2019 г. бе посочено, че номиналният дефицит е над референтната стойност от 3 % от БВП през 2020 г., ако увеличението на ДДС, прието в законодателството от правителството като предпазна клауза, не бъде извършено или ако не бъде заменено с алтернативни мерки за финансиране.</w:t>
      </w:r>
    </w:p>
    <w:p>
      <w:pPr>
        <w:jc w:val="both"/>
        <w:rPr>
          <w:rFonts w:ascii="Times New Roman" w:hAnsi="Times New Roman" w:cs="Times New Roman"/>
          <w:noProof/>
          <w:sz w:val="24"/>
          <w:szCs w:val="24"/>
        </w:rPr>
      </w:pPr>
      <w:r>
        <w:rPr>
          <w:rFonts w:ascii="Times New Roman" w:hAnsi="Times New Roman"/>
          <w:noProof/>
          <w:sz w:val="24"/>
        </w:rPr>
        <w:t>Заключението от доклада на Комисията беше подкрепено от Икономическия и финансов комитет в становището му, прието на 11 юни 2019 г. в съответствие с член 126, параграф 4 от Договора. Икономическия и финансов комитет също така прикани Италия „да предприеме необходимите мерки, за да гарантира спазването на разпоредбите на Пакта за стабилност и растеж в съответствие с процедурата при прекомерен дефицит (ППД)“, и добави, че „Комисията и комитетът могат да вземат предвид допълнителни елементи, евентуално представени от Италия“.</w:t>
      </w:r>
    </w:p>
    <w:p>
      <w:pPr>
        <w:jc w:val="both"/>
        <w:rPr>
          <w:rFonts w:ascii="Times New Roman" w:hAnsi="Times New Roman" w:cs="Times New Roman"/>
          <w:noProof/>
          <w:sz w:val="24"/>
          <w:szCs w:val="24"/>
        </w:rPr>
      </w:pPr>
      <w:r>
        <w:rPr>
          <w:rFonts w:ascii="Times New Roman" w:hAnsi="Times New Roman"/>
          <w:noProof/>
          <w:sz w:val="24"/>
        </w:rPr>
        <w:t xml:space="preserve">На 1 юли 2019 г. чрез бюджета си за втората половина на 2019 г. италианското правителство прие фискална корекция за 2019 г. в размер на </w:t>
      </w:r>
      <w:r>
        <w:rPr>
          <w:rFonts w:ascii="Times New Roman" w:hAnsi="Times New Roman"/>
          <w:b/>
          <w:noProof/>
          <w:sz w:val="24"/>
        </w:rPr>
        <w:t>7,6 милиарда евро</w:t>
      </w:r>
      <w:r>
        <w:rPr>
          <w:rFonts w:ascii="Times New Roman" w:hAnsi="Times New Roman"/>
          <w:noProof/>
          <w:sz w:val="24"/>
        </w:rPr>
        <w:t xml:space="preserve"> или </w:t>
      </w:r>
      <w:r>
        <w:rPr>
          <w:rFonts w:ascii="Times New Roman" w:hAnsi="Times New Roman"/>
          <w:b/>
          <w:noProof/>
          <w:sz w:val="24"/>
        </w:rPr>
        <w:t>0,42 % от БВП</w:t>
      </w:r>
      <w:r>
        <w:rPr>
          <w:rFonts w:ascii="Times New Roman" w:hAnsi="Times New Roman"/>
          <w:noProof/>
          <w:sz w:val="24"/>
        </w:rPr>
        <w:t xml:space="preserve"> в номинално изражение и 8.2 милиарда евро или 0,45 % от БВП в структурно изражение</w:t>
      </w:r>
      <w:r>
        <w:rPr>
          <w:rStyle w:val="FootnoteReference"/>
          <w:rFonts w:ascii="Times New Roman" w:hAnsi="Times New Roman"/>
          <w:noProof/>
          <w:sz w:val="24"/>
        </w:rPr>
        <w:footnoteReference w:id="2"/>
      </w:r>
      <w:r>
        <w:rPr>
          <w:rFonts w:ascii="Times New Roman" w:hAnsi="Times New Roman"/>
          <w:noProof/>
          <w:sz w:val="24"/>
        </w:rPr>
        <w:t>. Тези мерки, които подобряват степента на съответствие на Италия с предпазните мерки през 2019 г., се състоят главно от по-големи от очакваните приходи</w:t>
      </w:r>
      <w:r>
        <w:rPr>
          <w:rStyle w:val="FootnoteReference"/>
          <w:rFonts w:ascii="Times New Roman" w:hAnsi="Times New Roman"/>
          <w:noProof/>
          <w:sz w:val="24"/>
        </w:rPr>
        <w:footnoteReference w:id="3"/>
      </w:r>
      <w:r>
        <w:rPr>
          <w:rFonts w:ascii="Times New Roman" w:hAnsi="Times New Roman"/>
          <w:noProof/>
          <w:sz w:val="24"/>
        </w:rPr>
        <w:t xml:space="preserve"> и по-малки от планираните публични разходи, произтичащи от изпълнението на бюджета през 2019 г., като последното ще бъде допълнително гарантирано чрез новоприета в законодателството клауза за замразяване на разходите (на стойност 1,5 милиарда евро или 0,08 % от БВП), която трябва да бъде активирана до 15 септември 2019 г. в случай на неизпълнение на новата бюджетна цел. </w:t>
      </w:r>
    </w:p>
    <w:p>
      <w:pPr>
        <w:jc w:val="both"/>
        <w:rPr>
          <w:rFonts w:ascii="Times New Roman" w:hAnsi="Times New Roman" w:cs="Times New Roman"/>
          <w:noProof/>
          <w:sz w:val="24"/>
          <w:szCs w:val="24"/>
        </w:rPr>
      </w:pPr>
      <w:r>
        <w:rPr>
          <w:rFonts w:ascii="Times New Roman" w:hAnsi="Times New Roman"/>
          <w:noProof/>
          <w:sz w:val="24"/>
        </w:rPr>
        <w:t xml:space="preserve">Като цяло корекцията на бюджета и клаузата за замразяване на нови разходи гарантират, че по-големите приходи и по-слабите разходи, които са възникнали до момента, се използват за намаляване на дефицита и дълга и не се изразходват за други мерки през останалата част на 2019 г. Преразглеждането на законодателството за прилагане на схемата „доход от гражданство“ и схемата за ранно пенсиониране, с което се отменя възможността да бъдат прехвърлени неизползваните ресурси, предназначени за тези две мерки, между двете схеми и между бюджетните години, представлява допълнителна гаранция в това отношение. </w:t>
      </w:r>
    </w:p>
    <w:p>
      <w:pPr>
        <w:jc w:val="both"/>
        <w:rPr>
          <w:rFonts w:ascii="Times New Roman" w:hAnsi="Times New Roman" w:cs="Times New Roman"/>
          <w:noProof/>
          <w:sz w:val="24"/>
          <w:szCs w:val="24"/>
        </w:rPr>
      </w:pPr>
      <w:r>
        <w:rPr>
          <w:rFonts w:ascii="Times New Roman" w:hAnsi="Times New Roman"/>
          <w:noProof/>
          <w:sz w:val="24"/>
        </w:rPr>
        <w:t xml:space="preserve">Благодарение на тези мерки се очаква номиналният дефицит на Италия да достигне </w:t>
      </w:r>
      <w:r>
        <w:rPr>
          <w:rFonts w:ascii="Times New Roman" w:hAnsi="Times New Roman"/>
          <w:b/>
          <w:noProof/>
          <w:sz w:val="24"/>
        </w:rPr>
        <w:t>2,04 % от БВП през 2019 г.</w:t>
      </w:r>
      <w:r>
        <w:rPr>
          <w:rFonts w:ascii="Times New Roman" w:hAnsi="Times New Roman"/>
          <w:noProof/>
          <w:sz w:val="24"/>
        </w:rPr>
        <w:t xml:space="preserve"> (в сравнение с 2,5 % в прогнозата на Комисията от пролетта на 2019 г.), като достигне целта за дефицита, приета от парламента през декември 2018 г. чрез бюджета за 2019 г., въпреки значителното влошаване на макроикономическите перспективи, отбелязано оттогава насам. </w:t>
      </w:r>
    </w:p>
    <w:p>
      <w:pPr>
        <w:jc w:val="both"/>
        <w:rPr>
          <w:rFonts w:ascii="Times New Roman" w:hAnsi="Times New Roman" w:cs="Times New Roman"/>
          <w:noProof/>
          <w:sz w:val="24"/>
          <w:szCs w:val="24"/>
        </w:rPr>
      </w:pPr>
      <w:r>
        <w:rPr>
          <w:rFonts w:ascii="Times New Roman" w:hAnsi="Times New Roman"/>
          <w:noProof/>
          <w:sz w:val="24"/>
        </w:rPr>
        <w:t xml:space="preserve">Това ще съответства на </w:t>
      </w:r>
      <w:r>
        <w:rPr>
          <w:rFonts w:ascii="Times New Roman" w:hAnsi="Times New Roman"/>
          <w:b/>
          <w:noProof/>
          <w:sz w:val="24"/>
        </w:rPr>
        <w:t>структурно подобрение от около 0,2 % от БВП</w:t>
      </w:r>
      <w:r>
        <w:rPr>
          <w:rFonts w:ascii="Times New Roman" w:hAnsi="Times New Roman"/>
          <w:noProof/>
          <w:sz w:val="24"/>
        </w:rPr>
        <w:t xml:space="preserve"> (</w:t>
      </w:r>
      <w:r>
        <w:rPr>
          <w:rFonts w:ascii="Times New Roman" w:hAnsi="Times New Roman"/>
          <w:b/>
          <w:noProof/>
          <w:sz w:val="24"/>
        </w:rPr>
        <w:t>спрямо влошаване от 0,2 % в прогнозата на Комисията от пролетта на 2019 г.</w:t>
      </w:r>
      <w:r>
        <w:rPr>
          <w:rFonts w:ascii="Times New Roman" w:hAnsi="Times New Roman"/>
          <w:noProof/>
          <w:sz w:val="24"/>
        </w:rPr>
        <w:t xml:space="preserve">). Поради това вече се очаква Италия в </w:t>
      </w:r>
      <w:r>
        <w:rPr>
          <w:rFonts w:ascii="Times New Roman" w:hAnsi="Times New Roman"/>
          <w:b/>
          <w:noProof/>
          <w:sz w:val="24"/>
        </w:rPr>
        <w:t>общи линии да спази</w:t>
      </w:r>
      <w:r>
        <w:rPr>
          <w:rFonts w:ascii="Times New Roman" w:hAnsi="Times New Roman"/>
          <w:noProof/>
          <w:sz w:val="24"/>
        </w:rPr>
        <w:t xml:space="preserve"> изискваната корекция съгласно предпазната част на Пакта за стабилност и растеж през 2019 г., като преодолее разликата от 0,3 % от БВП, изчислена въз основа на прогнозата на Комисията от пролетта на 2019 г. Освен това допълнителната фискална корекция, постигната от правителството за 2019 г. е такава, че тя частично компенсира също влошаването на структурното салдо през 2018 г. </w:t>
      </w:r>
    </w:p>
    <w:p>
      <w:pPr>
        <w:jc w:val="both"/>
        <w:rPr>
          <w:rFonts w:ascii="Times New Roman" w:hAnsi="Times New Roman" w:cs="Times New Roman"/>
          <w:noProof/>
          <w:sz w:val="24"/>
          <w:szCs w:val="24"/>
        </w:rPr>
      </w:pPr>
      <w:r>
        <w:rPr>
          <w:rFonts w:ascii="Times New Roman" w:hAnsi="Times New Roman"/>
          <w:noProof/>
          <w:sz w:val="24"/>
        </w:rPr>
        <w:t>Що се отнася до 2020 г., с писмо, изпратено до Комисията на 2 юли 2019 г., италианското правителство се ангажира да постигне структурно подобрение в съответствие с изискванията на ПСР, като гарантира пълно заместване на увеличението на ДДС, прието като предпазна клауза за тази година, с компенсиращи бюджетни мерки, включително преглед на разходите и преразглеждане на данъчните разходи.</w:t>
      </w:r>
    </w:p>
    <w:p>
      <w:pPr>
        <w:jc w:val="both"/>
        <w:rPr>
          <w:rFonts w:ascii="Times New Roman" w:hAnsi="Times New Roman" w:cs="Times New Roman"/>
          <w:noProof/>
          <w:sz w:val="24"/>
          <w:szCs w:val="24"/>
        </w:rPr>
      </w:pPr>
      <w:r>
        <w:rPr>
          <w:rFonts w:ascii="Times New Roman" w:hAnsi="Times New Roman"/>
          <w:noProof/>
          <w:sz w:val="24"/>
        </w:rPr>
        <w:t>Освен това в същото писмо италианското правителство поема ангажимент да извърши фискална консолидация едновременно със структурните реформи, предназначени да подобрят потенциала за растеж на италианската икономика в съответствие със специфичните за държавата препоръки, предложени от Комисията в контекста на европейския семестър на 5 юни. Правителството твърди, че тези реформи следва по-специално да са предназначени да подобряват ефективността на публичния сектор и правната система, както и да увеличат човешкия капитал и производителността.</w:t>
      </w:r>
    </w:p>
    <w:p>
      <w:pPr>
        <w:jc w:val="both"/>
        <w:rPr>
          <w:rFonts w:ascii="Times New Roman" w:hAnsi="Times New Roman" w:cs="Times New Roman"/>
          <w:b/>
          <w:noProof/>
          <w:sz w:val="24"/>
          <w:szCs w:val="24"/>
        </w:rPr>
      </w:pPr>
      <w:r>
        <w:rPr>
          <w:rFonts w:ascii="Times New Roman" w:hAnsi="Times New Roman"/>
          <w:b/>
          <w:noProof/>
          <w:sz w:val="24"/>
        </w:rPr>
        <w:t>Като цяло Комисията е на мнение, че този пакет е достатъчно съществен, за да не предложи на Съвета на този етап откриването на ППД поради неспазването от страна на Италия на критерия за дълга през 2018 г. Комисията ще продължи да следи за ефективното прилагане на този пакет: Тя ще следи отблизо изпълнението на бюджета за 2019 г. и ще оцени дали проектът на бюджетен план за 2020 г. спазва разпоредбите на Пакта за стабилност и растеж. Освен това напредък по структурните реформи, включени в специфичните за държавата препоръки ще бъде от решаващо значение за осигуряване на по-силен растеж и така ще допринесе за спад в съотношението дълг/БВП. Комисията ще оцени изпълнението на тези реформи в контекста на европейския семестър.</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106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на Комисията </w:t>
      </w:r>
      <w:r>
        <w:rPr>
          <w:rFonts w:ascii="Times New Roman" w:hAnsi="Times New Roman"/>
          <w:i/>
        </w:rPr>
        <w:t>„Италия — доклад, изготвен в съответствие с член 126, параграф 3 от Договора за функционирането на Европейския съюз“</w:t>
      </w:r>
      <w:r>
        <w:rPr>
          <w:rFonts w:ascii="Times New Roman" w:hAnsi="Times New Roman"/>
        </w:rPr>
        <w:t>, COM(2019) 532 final, Брюксел, 5.6.2019 г.</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Разликата се дължи на по-малките от очакваното еднократни приходи от данъчна амнистия (</w:t>
      </w:r>
      <w:r>
        <w:rPr>
          <w:rFonts w:ascii="Times New Roman" w:hAnsi="Times New Roman"/>
          <w:i/>
        </w:rPr>
        <w:t>„rottamazione“</w:t>
      </w:r>
      <w:r>
        <w:rPr>
          <w:rFonts w:ascii="Times New Roman" w:hAnsi="Times New Roman"/>
        </w:rPr>
        <w:t>), възлизащи на около 0,6 милиарда евро, което влошава бюджетната цел в номинално, но не и в структурно изражение. Допустимото отклонение от 0,18 % от БВП, предварително предоставено на Италия за „необичайни събития“, свързани със срутването на моста Morandi и с хидрогеоложки риск, все още не е взето предвид в тези изчисления, тъй като ще трябва да бъде потвърдено въз основа на данните за резултатите за 2019 г.</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Допълнителните приходи възлизат на около 6,2 милиарда евро, от които по-големи данъчни приходи с 2,9 милиарда евро, по-големи вноски за социално осигуряване с 0,6 милиарда евро и други приходи, включително по-големи дивиденти от Bank of Italy и Cassa Depositi e Prestiti с 2,7 милиарда евро. По-специално, по-големите данъчни приходи от 2,9 милиарда евро се дължат на: i) по-добро от очакваното развитие на данъка върху доходите на физическите лица (IRPEF) с около 0,4 милиарда евро; ii) по-големи приходи от данъка върху добавената стойност с около 0,35 милиарда евро; iii) повече постъпления от лотарии и хазартни игри с около 0,2 милиарда евро; iv) уреждане на натрупани в миналото данъчни задължения от страна на голямо италианско дружество (Kering Group — Gucci) за около 1 милиард евро; v) други приходи (например от търгове за CO2) от около 0,95 милиарда евро.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3A02"/>
    <w:multiLevelType w:val="hybridMultilevel"/>
    <w:tmpl w:val="4B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4F9A9B-C1CA-4053-8B50-B3C2AC21C486"/>
    <w:docVar w:name="LW_COVERPAGE_TYPE" w:val="1"/>
    <w:docVar w:name="LW_CROSSREFERENCE" w:val="{SWD(2019) 430 final}"/>
    <w:docVar w:name="LW_DocType" w:val="NORMAL"/>
    <w:docVar w:name="LW_EMISSION" w:val="3.7.2019"/>
    <w:docVar w:name="LW_EMISSION_ISODATE" w:val="2019-07-03"/>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7?\u1088?\u1086?\u1083?\u1077?\u1090?\u1085?\u1080?\u1103? \u1082?\u1088?\u1098?\u1075? \u1086?\u1090? 2019 \u1075?\u1086?\u1076?\u1080?\u1085?\u1072? \u1085?\u1072? \u1073?\u1102?\u1076?\u1078?\u1077?\u1090?\u1085?\u1086?\u1090?\u1086? \u1085?\u1072?\u1073?\u1083?\u1102?\u1076?\u1077?\u1085?\u1080?\u1077? \u1079?\u1072? \u1048?\u1090?\u1072?\u1083?\u1080?\u1103?"/>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C90669-9319-4C0A-A860-D52E1CCC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920</Words>
  <Characters>4850</Characters>
  <Application>Microsoft Office Word</Application>
  <DocSecurity>0</DocSecurity>
  <Lines>80</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dcterms:created xsi:type="dcterms:W3CDTF">2019-07-04T15:00:00Z</dcterms:created>
  <dcterms:modified xsi:type="dcterms:W3CDTF">2019-07-05T08:33:00Z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