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2EA9C9-3C59-4BDC-B734-F8FC5BD3ADFB" style="width:450.4pt;height:379.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Convention on the Conservation of Migratory Species of Wild Animals (CMS)</w:t>
      </w:r>
      <w:r>
        <w:t xml:space="preserve"> </w:t>
      </w:r>
      <w:r>
        <w:rPr>
          <w:rFonts w:eastAsia="Arial Unicode MS"/>
          <w:noProof/>
        </w:rPr>
        <w:t>in connection with submitting proposals for decisions of the 13</w:t>
      </w:r>
      <w:r>
        <w:rPr>
          <w:rFonts w:eastAsia="Arial Unicode MS"/>
          <w:noProof/>
          <w:vertAlign w:val="superscript"/>
        </w:rPr>
        <w:t>th</w:t>
      </w:r>
      <w:r>
        <w:rPr>
          <w:rFonts w:eastAsia="Arial Unicode MS"/>
          <w:noProof/>
        </w:rPr>
        <w:t xml:space="preserve"> meeting of the Conference of the Parties to amend the appendices of the Convention.</w:t>
      </w:r>
    </w:p>
    <w:p>
      <w:pPr>
        <w:pStyle w:val="ManualHeading1"/>
        <w:rPr>
          <w:noProof/>
        </w:rPr>
      </w:pPr>
      <w:r>
        <w:t>2.</w:t>
      </w:r>
      <w:r>
        <w:tab/>
      </w:r>
      <w:r>
        <w:rPr>
          <w:noProof/>
        </w:rPr>
        <w:t>Context of the proposal</w:t>
      </w:r>
    </w:p>
    <w:p>
      <w:pPr>
        <w:pStyle w:val="ManualHeading2"/>
        <w:rPr>
          <w:noProof/>
        </w:rPr>
      </w:pPr>
      <w:r>
        <w:t>2.1.</w:t>
      </w:r>
      <w:r>
        <w:tab/>
      </w:r>
      <w:r>
        <w:rPr>
          <w:noProof/>
        </w:rPr>
        <w:t>The Convention on the Conservation of Migratory Species of Wild Animals (CMS)</w:t>
      </w:r>
    </w:p>
    <w:p>
      <w:pPr>
        <w:rPr>
          <w:rFonts w:eastAsia="Arial Unicode MS"/>
          <w:noProof/>
        </w:rPr>
      </w:pPr>
      <w:r>
        <w:rPr>
          <w:rFonts w:eastAsia="Arial Unicode MS"/>
          <w:noProof/>
        </w:rPr>
        <w:t xml:space="preserve">The Convention on the Conservation of Migratory Species of Wild Animals (‘the Agreement’) aims to conserve terrestrial, marine and avian migratory species throughout their range.  It is an intergovernmental treaty, concluded under the aegis of the United Nations Environment Programme, concerned with the conservation of wildlife and habitats on a global scale. </w:t>
      </w:r>
      <w:r>
        <w:rPr>
          <w:noProof/>
        </w:rPr>
        <w:t xml:space="preserve">The migratory species to be conserved are </w:t>
      </w:r>
      <w:r>
        <w:rPr>
          <w:noProof/>
          <w:lang w:eastAsia="da-DK" w:bidi="da-DK"/>
        </w:rPr>
        <w:t xml:space="preserve">listed </w:t>
      </w:r>
      <w:r>
        <w:rPr>
          <w:noProof/>
        </w:rPr>
        <w:t>in Appendices I (endangered species) and II (species to be the subjects of agreements) to the Agreement.</w:t>
      </w:r>
      <w:r>
        <w:rPr>
          <w:rFonts w:eastAsia="Arial Unicode MS"/>
          <w:noProof/>
        </w:rPr>
        <w:t xml:space="preserve"> The Agreement entered into force on 1 November 1983.</w:t>
      </w:r>
    </w:p>
    <w:p>
      <w:pPr>
        <w:rPr>
          <w:rFonts w:eastAsia="Arial Unicode MS"/>
          <w:noProof/>
        </w:rPr>
      </w:pPr>
      <w:r>
        <w:rPr>
          <w:rFonts w:eastAsia="Arial Unicode MS"/>
          <w:noProof/>
        </w:rPr>
        <w:t>The European Union is a party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Conference of the Parties</w:t>
      </w:r>
    </w:p>
    <w:p>
      <w:pPr>
        <w:rPr>
          <w:noProof/>
        </w:rPr>
      </w:pPr>
      <w:r>
        <w:rPr>
          <w:rFonts w:eastAsia="Arial Unicode MS"/>
          <w:noProof/>
        </w:rPr>
        <w:t xml:space="preserve">The Conference of the Parties </w:t>
      </w:r>
      <w:r>
        <w:rPr>
          <w:noProof/>
        </w:rPr>
        <w:t xml:space="preserve">is the decision-making body of the Agreement with powers to assess </w:t>
      </w:r>
      <w:r>
        <w:rPr>
          <w:noProof/>
          <w:lang w:eastAsia="nl-NL" w:bidi="nl-NL"/>
        </w:rPr>
        <w:t xml:space="preserve">the </w:t>
      </w:r>
      <w:r>
        <w:rPr>
          <w:noProof/>
        </w:rPr>
        <w:t xml:space="preserve">conservation status of migratory </w:t>
      </w:r>
      <w:r>
        <w:rPr>
          <w:noProof/>
          <w:lang w:val="cs-CZ" w:eastAsia="cs-CZ" w:bidi="cs-CZ"/>
        </w:rPr>
        <w:t xml:space="preserve">species </w:t>
      </w:r>
      <w:r>
        <w:rPr>
          <w:noProof/>
        </w:rPr>
        <w:t xml:space="preserve">and, subsequently, to amend Appendices I and II to the Agreement. In accordance with </w:t>
      </w:r>
      <w:r>
        <w:rPr>
          <w:noProof/>
          <w:lang w:eastAsia="da-DK" w:bidi="da-DK"/>
        </w:rPr>
        <w:t xml:space="preserve">Article </w:t>
      </w:r>
      <w:r>
        <w:rPr>
          <w:noProof/>
        </w:rPr>
        <w:t xml:space="preserve">XI of the Agreement, proposals for amendment may be made by any Party, and shall be adopted by a two-thirds majority of Parties present and voting. </w:t>
      </w:r>
    </w:p>
    <w:p>
      <w:pPr>
        <w:rPr>
          <w:noProof/>
        </w:rPr>
      </w:pPr>
      <w:r>
        <w:rPr>
          <w:noProof/>
        </w:rPr>
        <w:t xml:space="preserve">The thirteenth </w:t>
      </w:r>
      <w:r>
        <w:rPr>
          <w:noProof/>
          <w:lang w:val="cs-CZ" w:eastAsia="cs-CZ" w:bidi="cs-CZ"/>
        </w:rPr>
        <w:t xml:space="preserve">meeting </w:t>
      </w:r>
      <w:r>
        <w:rPr>
          <w:noProof/>
        </w:rPr>
        <w:t xml:space="preserve">of the Conference of the </w:t>
      </w:r>
      <w:r>
        <w:rPr>
          <w:noProof/>
          <w:lang w:eastAsia="da-DK" w:bidi="da-DK"/>
        </w:rPr>
        <w:t xml:space="preserve">Parties </w:t>
      </w:r>
      <w:r>
        <w:rPr>
          <w:noProof/>
        </w:rPr>
        <w:t xml:space="preserve">will take place in Gandhinagar (India) from 15 to 22 February 2020. The deadline for submitting proposals for amendment has been fixed by the Secretariat of the Agreement, in line with Article XI (3), to be 19 September 2019. It is therefore necessary for the Council to take a decision for the purpose of establishing the position to be adopted on behalf of the Union with a </w:t>
      </w:r>
      <w:r>
        <w:rPr>
          <w:noProof/>
          <w:lang w:eastAsia="nl-NL" w:bidi="nl-NL"/>
        </w:rPr>
        <w:t xml:space="preserve">view </w:t>
      </w:r>
      <w:r>
        <w:rPr>
          <w:noProof/>
        </w:rPr>
        <w:t xml:space="preserve">to the thirteenth </w:t>
      </w:r>
      <w:r>
        <w:rPr>
          <w:noProof/>
          <w:lang w:val="cs-CZ" w:eastAsia="cs-CZ" w:bidi="cs-CZ"/>
        </w:rPr>
        <w:t xml:space="preserve">meeting </w:t>
      </w:r>
      <w:r>
        <w:rPr>
          <w:noProof/>
        </w:rPr>
        <w:t xml:space="preserve">of the Conference of the </w:t>
      </w:r>
      <w:r>
        <w:rPr>
          <w:noProof/>
          <w:lang w:eastAsia="da-DK" w:bidi="da-DK"/>
        </w:rPr>
        <w:t xml:space="preserve">Parties </w:t>
      </w:r>
      <w:r>
        <w:rPr>
          <w:noProof/>
        </w:rPr>
        <w:t>with regard to submitting proposals for amendment.</w:t>
      </w:r>
    </w:p>
    <w:p>
      <w:pPr>
        <w:rPr>
          <w:rFonts w:eastAsia="Arial Unicode MS"/>
          <w:noProof/>
        </w:rPr>
      </w:pPr>
      <w:r>
        <w:rPr>
          <w:noProof/>
        </w:rPr>
        <w:t xml:space="preserve">Before the thirteenth meeting of the Conference of the Parties, the Secretariat of the Agreement </w:t>
      </w:r>
      <w:r>
        <w:rPr>
          <w:noProof/>
          <w:lang w:val="cs-CZ" w:eastAsia="cs-CZ" w:bidi="cs-CZ"/>
        </w:rPr>
        <w:t xml:space="preserve">may </w:t>
      </w:r>
      <w:r>
        <w:rPr>
          <w:noProof/>
        </w:rPr>
        <w:t xml:space="preserve">communicate proposals made by other </w:t>
      </w:r>
      <w:r>
        <w:rPr>
          <w:noProof/>
          <w:lang w:eastAsia="da-DK" w:bidi="da-DK"/>
        </w:rPr>
        <w:t xml:space="preserve">Parties </w:t>
      </w:r>
      <w:r>
        <w:rPr>
          <w:noProof/>
        </w:rPr>
        <w:t xml:space="preserve">to amend Appendices I and II to the Agreement, which </w:t>
      </w:r>
      <w:r>
        <w:rPr>
          <w:noProof/>
          <w:lang w:val="cs-CZ" w:eastAsia="cs-CZ" w:bidi="cs-CZ"/>
        </w:rPr>
        <w:t xml:space="preserve">may </w:t>
      </w:r>
      <w:r>
        <w:rPr>
          <w:noProof/>
        </w:rPr>
        <w:t>require a further decision establishing the position to be adopted on behalf of the Union with regard to those proposals.</w:t>
      </w:r>
    </w:p>
    <w:p>
      <w:pPr>
        <w:pStyle w:val="ManualHeading2"/>
        <w:rPr>
          <w:noProof/>
        </w:rPr>
      </w:pPr>
      <w:r>
        <w:t>2.3.</w:t>
      </w:r>
      <w:r>
        <w:tab/>
      </w:r>
      <w:r>
        <w:rPr>
          <w:noProof/>
        </w:rPr>
        <w:t xml:space="preserve">The envisaged act of the Conference of the Parties </w:t>
      </w:r>
    </w:p>
    <w:p>
      <w:pPr>
        <w:rPr>
          <w:rFonts w:eastAsia="Arial Unicode MS"/>
          <w:noProof/>
        </w:rPr>
      </w:pPr>
      <w:r>
        <w:rPr>
          <w:noProof/>
        </w:rPr>
        <w:t xml:space="preserve">For the thirteenth meeting of the Conference of the </w:t>
      </w:r>
      <w:r>
        <w:rPr>
          <w:noProof/>
          <w:lang w:eastAsia="da-DK" w:bidi="da-DK"/>
        </w:rPr>
        <w:t>Parties</w:t>
      </w:r>
      <w:r>
        <w:rPr>
          <w:noProof/>
        </w:rPr>
        <w:t xml:space="preserve">, it is proposed that the </w:t>
      </w:r>
      <w:r>
        <w:rPr>
          <w:noProof/>
          <w:lang w:val="cs-CZ" w:eastAsia="cs-CZ" w:bidi="cs-CZ"/>
        </w:rPr>
        <w:t xml:space="preserve">Union </w:t>
      </w:r>
      <w:r>
        <w:rPr>
          <w:noProof/>
        </w:rPr>
        <w:t>submit proposals to amend Appendix I to the Agreement to increase the protection of one bird species (</w:t>
      </w:r>
      <w:r>
        <w:rPr>
          <w:i/>
          <w:noProof/>
          <w:sz w:val="22"/>
        </w:rPr>
        <w:t>Tetrax tetrax</w:t>
      </w:r>
      <w:r>
        <w:rPr>
          <w:noProof/>
        </w:rPr>
        <w:t>) and to amend Appendix II to the Agreement to increase the protection of the same species of bird (</w:t>
      </w:r>
      <w:r>
        <w:rPr>
          <w:i/>
          <w:noProof/>
          <w:sz w:val="22"/>
        </w:rPr>
        <w:t>Tetrax tetrax</w:t>
      </w:r>
      <w:r>
        <w:rPr>
          <w:noProof/>
        </w:rPr>
        <w:t>) and also of two species of shark (</w:t>
      </w:r>
      <w:r>
        <w:rPr>
          <w:i/>
          <w:noProof/>
          <w:sz w:val="22"/>
        </w:rPr>
        <w:t xml:space="preserve">Galeorhinus </w:t>
      </w:r>
      <w:r>
        <w:rPr>
          <w:i/>
          <w:noProof/>
        </w:rPr>
        <w:t>galeus</w:t>
      </w:r>
      <w:r>
        <w:rPr>
          <w:noProof/>
        </w:rPr>
        <w:t xml:space="preserve"> and</w:t>
      </w:r>
      <w:r>
        <w:rPr>
          <w:i/>
          <w:noProof/>
          <w:sz w:val="22"/>
        </w:rPr>
        <w:t xml:space="preserve"> Sphyrna zygaena</w:t>
      </w:r>
      <w:r>
        <w:rPr>
          <w:noProof/>
          <w:sz w:val="22"/>
        </w:rPr>
        <w:t>)</w:t>
      </w:r>
      <w:r>
        <w:rPr>
          <w:rStyle w:val="Bodytext2Italic"/>
          <w:rFonts w:eastAsiaTheme="majorEastAsia"/>
          <w:noProof/>
        </w:rPr>
        <w:t>,</w:t>
      </w:r>
      <w:r>
        <w:rPr>
          <w:noProof/>
        </w:rPr>
        <w:t xml:space="preserve"> throughout their distribution range, including outside the Union. </w:t>
      </w:r>
      <w:r>
        <w:rPr>
          <w:rFonts w:eastAsia="Arial Unicode MS"/>
          <w:noProof/>
        </w:rPr>
        <w:t xml:space="preserve"> </w:t>
      </w:r>
    </w:p>
    <w:p>
      <w:pPr>
        <w:rPr>
          <w:rFonts w:eastAsia="Arial Unicode MS"/>
          <w:noProof/>
        </w:rPr>
      </w:pPr>
      <w:r>
        <w:rPr>
          <w:rFonts w:eastAsia="Arial Unicode MS"/>
          <w:noProof/>
        </w:rPr>
        <w:t xml:space="preserve">If adopted, the envisaged act will become binding on the parties in accordance with Article </w:t>
      </w:r>
      <w:r>
        <w:rPr>
          <w:noProof/>
        </w:rPr>
        <w:t xml:space="preserve">XI </w:t>
      </w:r>
      <w:r>
        <w:rPr>
          <w:rFonts w:eastAsia="Arial Unicode MS"/>
          <w:noProof/>
        </w:rPr>
        <w:t>of the Agreement, which provides that a</w:t>
      </w:r>
      <w:r>
        <w:rPr>
          <w:noProof/>
        </w:rPr>
        <w:t xml:space="preserve">n amendment to the Appendices enters into force for all Parties ninety days after the meeting of the Conference of the </w:t>
      </w:r>
      <w:r>
        <w:rPr>
          <w:noProof/>
          <w:lang w:eastAsia="da-DK" w:bidi="da-DK"/>
        </w:rPr>
        <w:t xml:space="preserve">Parties </w:t>
      </w:r>
      <w:r>
        <w:rPr>
          <w:noProof/>
        </w:rPr>
        <w:t xml:space="preserve">at which it is adopted, except for those </w:t>
      </w:r>
      <w:r>
        <w:rPr>
          <w:noProof/>
          <w:lang w:eastAsia="da-DK" w:bidi="da-DK"/>
        </w:rPr>
        <w:t xml:space="preserve">Parties </w:t>
      </w:r>
      <w:r>
        <w:rPr>
          <w:noProof/>
        </w:rPr>
        <w:t>which make a reservation</w:t>
      </w:r>
      <w:r>
        <w:t>.</w:t>
      </w:r>
    </w:p>
    <w:p>
      <w:pPr>
        <w:pStyle w:val="ManualHeading1"/>
        <w:rPr>
          <w:noProof/>
        </w:rPr>
      </w:pPr>
      <w:r>
        <w:t>3.</w:t>
      </w:r>
      <w:r>
        <w:tab/>
      </w:r>
      <w:r>
        <w:rPr>
          <w:noProof/>
        </w:rPr>
        <w:t>Position to be taken on the Union's behalf</w:t>
      </w:r>
    </w:p>
    <w:p>
      <w:pPr>
        <w:rPr>
          <w:noProof/>
        </w:rPr>
      </w:pPr>
      <w:r>
        <w:rPr>
          <w:noProof/>
        </w:rPr>
        <w:t xml:space="preserve">The Union proposals to amend the appendices are based on the following considerations: (1) the inclusion of such species is scientifically sound; (2) such an inclusion is consistent with the </w:t>
      </w:r>
      <w:r>
        <w:rPr>
          <w:noProof/>
          <w:lang w:eastAsia="fr-FR" w:bidi="fr-FR"/>
        </w:rPr>
        <w:t xml:space="preserve">EU </w:t>
      </w:r>
      <w:r>
        <w:rPr>
          <w:noProof/>
        </w:rPr>
        <w:t>legislation; and (3) the Union is committed to international cooperation for the protection of biodiversity.</w:t>
      </w:r>
    </w:p>
    <w:p>
      <w:pPr>
        <w:rPr>
          <w:noProof/>
          <w:sz w:val="22"/>
        </w:rPr>
      </w:pPr>
      <w:r>
        <w:rPr>
          <w:noProof/>
        </w:rPr>
        <w:t>The proposal is consistent with the Seventh Environmental Action Programme</w:t>
      </w:r>
      <w:r>
        <w:rPr>
          <w:rStyle w:val="FootnoteReference"/>
          <w:noProof/>
        </w:rPr>
        <w:footnoteReference w:id="2"/>
      </w:r>
      <w:r>
        <w:rPr>
          <w:noProof/>
        </w:rPr>
        <w:t xml:space="preserve"> and the </w:t>
      </w:r>
      <w:r>
        <w:rPr>
          <w:noProof/>
          <w:lang w:eastAsia="fr-FR" w:bidi="fr-FR"/>
        </w:rPr>
        <w:t xml:space="preserve">EU </w:t>
      </w:r>
      <w:r>
        <w:rPr>
          <w:noProof/>
        </w:rPr>
        <w:t>biodiversity strategy to 2020</w:t>
      </w:r>
      <w:r>
        <w:rPr>
          <w:rStyle w:val="FootnoteReference"/>
          <w:noProof/>
        </w:rPr>
        <w:footnoteReference w:id="3"/>
      </w:r>
      <w:r>
        <w:rPr>
          <w:noProof/>
        </w:rPr>
        <w:t xml:space="preserve">, especially Target 6: help avert global biodiversity loss. </w:t>
      </w:r>
      <w:r>
        <w:rPr>
          <w:noProof/>
          <w:lang w:eastAsia="da-DK" w:bidi="da-DK"/>
        </w:rPr>
        <w:t xml:space="preserve">This </w:t>
      </w:r>
      <w:r>
        <w:rPr>
          <w:noProof/>
        </w:rPr>
        <w:t xml:space="preserve">proposal would not require any change in </w:t>
      </w:r>
      <w:r>
        <w:rPr>
          <w:noProof/>
          <w:lang w:val="cs-CZ" w:eastAsia="cs-CZ" w:bidi="cs-CZ"/>
        </w:rPr>
        <w:t xml:space="preserve">Union </w:t>
      </w:r>
      <w:r>
        <w:rPr>
          <w:noProof/>
        </w:rPr>
        <w:t xml:space="preserve">law, as it concerns species which already benefit from appropriate protection under </w:t>
      </w:r>
      <w:r>
        <w:rPr>
          <w:noProof/>
          <w:lang w:val="cs-CZ" w:eastAsia="cs-CZ" w:bidi="cs-CZ"/>
        </w:rPr>
        <w:t xml:space="preserve">Union </w:t>
      </w:r>
      <w:r>
        <w:rPr>
          <w:noProof/>
        </w:rPr>
        <w:t xml:space="preserve">law, notably </w:t>
      </w:r>
      <w:r>
        <w:rPr>
          <w:noProof/>
          <w:lang w:eastAsia="nl-NL" w:bidi="nl-NL"/>
        </w:rPr>
        <w:t xml:space="preserve">the </w:t>
      </w:r>
      <w:r>
        <w:rPr>
          <w:noProof/>
        </w:rPr>
        <w:t>Birds Directive</w:t>
      </w:r>
      <w:r>
        <w:rPr>
          <w:rStyle w:val="FootnoteReference"/>
          <w:noProof/>
        </w:rPr>
        <w:footnoteReference w:id="4"/>
      </w:r>
      <w:r>
        <w:rPr>
          <w:noProof/>
          <w:vertAlign w:val="superscript"/>
        </w:rPr>
        <w:t xml:space="preserve"> </w:t>
      </w:r>
      <w:r>
        <w:rPr>
          <w:noProof/>
        </w:rPr>
        <w:t>and the EU Common Fisheries Policy</w:t>
      </w:r>
      <w:r>
        <w:rPr>
          <w:rStyle w:val="FootnoteReference"/>
          <w:noProof/>
        </w:rPr>
        <w:footnoteReference w:id="5"/>
      </w:r>
      <w:r>
        <w:rPr>
          <w:noProof/>
        </w:rPr>
        <w:t>.</w:t>
      </w:r>
      <w:r>
        <w:rPr>
          <w:noProof/>
          <w:sz w:val="22"/>
          <w:vertAlign w:val="superscript"/>
        </w:rPr>
        <w:t xml:space="preserve"> </w:t>
      </w:r>
    </w:p>
    <w:p>
      <w:pPr>
        <w:rPr>
          <w:noProof/>
        </w:rPr>
      </w:pPr>
      <w:r>
        <w:rPr>
          <w:noProof/>
        </w:rPr>
        <w:t xml:space="preserve">The </w:t>
      </w:r>
      <w:r>
        <w:rPr>
          <w:noProof/>
          <w:lang w:eastAsia="da-DK" w:bidi="da-DK"/>
        </w:rPr>
        <w:t xml:space="preserve">proposal </w:t>
      </w:r>
      <w:r>
        <w:rPr>
          <w:noProof/>
        </w:rPr>
        <w:t xml:space="preserve">does not create any new monitoring or reporting requirements. </w:t>
      </w:r>
      <w:r>
        <w:rPr>
          <w:noProof/>
          <w:lang w:eastAsia="da-DK" w:bidi="da-DK"/>
        </w:rPr>
        <w:t xml:space="preserve">All </w:t>
      </w:r>
      <w:r>
        <w:rPr>
          <w:noProof/>
        </w:rPr>
        <w:t xml:space="preserve">implementation planning and monitoring would be part of the regular planning and reporting activities under </w:t>
      </w:r>
      <w:r>
        <w:rPr>
          <w:noProof/>
          <w:lang w:eastAsia="nl-NL" w:bidi="nl-NL"/>
        </w:rPr>
        <w:t xml:space="preserve">the </w:t>
      </w:r>
      <w:r>
        <w:rPr>
          <w:noProof/>
        </w:rPr>
        <w:t>Agreement. Furthermore, there are no budgetary implications.</w:t>
      </w:r>
    </w:p>
    <w:p>
      <w:pPr>
        <w:rPr>
          <w:noProof/>
          <w:szCs w:val="24"/>
        </w:rPr>
      </w:pPr>
      <w:r>
        <w:rPr>
          <w:noProof/>
        </w:rPr>
        <w:t>An informal exchange of preliminary views with the Member States has taken place through a written consultation of the Member State members of the Co-ordination Group for Biodiver</w:t>
      </w:r>
      <w:r>
        <w:rPr>
          <w:noProof/>
          <w:szCs w:val="24"/>
        </w:rPr>
        <w:t>sity and Nature (CGBN) and the Expert Group on the Birds and the Habitats Directives (NADEG).</w:t>
      </w:r>
    </w:p>
    <w:p>
      <w:pPr>
        <w:rPr>
          <w:noProof/>
          <w:sz w:val="22"/>
        </w:rPr>
      </w:pPr>
      <w:r>
        <w:rPr>
          <w:noProof/>
          <w:szCs w:val="24"/>
        </w:rPr>
        <w:t>The position to be taken on the Union’s behalf should therefore be to authorise the Commission to submit the above-mentioned proposals to the Secretariat of the Agreement.</w:t>
      </w:r>
      <w:r>
        <w:rPr>
          <w:noProof/>
          <w:sz w:val="22"/>
        </w:rP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noProof/>
        </w:rPr>
      </w:pPr>
      <w:r>
        <w:rPr>
          <w:noProof/>
        </w:rPr>
        <w:t xml:space="preserve">The Conference of the Parties is a body set up by an agreement, namely the </w:t>
      </w:r>
      <w:r>
        <w:rPr>
          <w:rFonts w:eastAsia="Arial Unicode MS"/>
          <w:noProof/>
        </w:rPr>
        <w:t>Convention on the Conservation of Migratory Species of Wild Animals (CMS).</w:t>
      </w:r>
    </w:p>
    <w:p>
      <w:r>
        <w:rPr>
          <w:noProof/>
        </w:rPr>
        <w:t>The act which the Conference of the Parties is called upon to adopt constitutes an act having legal effects. The envisaged act will be binding under international law in accordance with Article XI</w:t>
      </w:r>
      <w:r>
        <w:t xml:space="preserve"> </w:t>
      </w:r>
      <w:r>
        <w:rPr>
          <w:noProof/>
        </w:rPr>
        <w:t xml:space="preserve">of the </w:t>
      </w:r>
      <w:r>
        <w:rPr>
          <w:rFonts w:eastAsia="Arial Unicode MS"/>
          <w:noProof/>
        </w:rPr>
        <w:t>Convention on the Conservation of Migratory Species of Wild Animals</w:t>
      </w:r>
      <w: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environment.</w:t>
      </w:r>
    </w:p>
    <w:p>
      <w:pPr>
        <w:rPr>
          <w:noProof/>
        </w:rPr>
      </w:pPr>
      <w:r>
        <w:rPr>
          <w:noProof/>
        </w:rPr>
        <w:t>Therefore, the substantive legal basis of the proposed decision is Article 192(1).</w:t>
      </w:r>
    </w:p>
    <w:p>
      <w:pPr>
        <w:pStyle w:val="ManualHeading2"/>
        <w:rPr>
          <w:noProof/>
        </w:rPr>
      </w:pPr>
      <w:r>
        <w:t>4.3.</w:t>
      </w:r>
      <w:r>
        <w:tab/>
      </w:r>
      <w:r>
        <w:rPr>
          <w:noProof/>
        </w:rPr>
        <w:t>Conclusion</w:t>
      </w:r>
    </w:p>
    <w:p>
      <w:pPr>
        <w:rPr>
          <w:noProof/>
        </w:rPr>
      </w:pPr>
      <w:r>
        <w:rPr>
          <w:noProof/>
        </w:rPr>
        <w:t>The legal basis of the proposed decision should be Article 192(1), in conjunction with Article 218(9)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2019/0148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with regard to the submission of proposals for amendments to the Appendices to the Convention on the Conservation of Migratory Species of Wild Animals (CMS) with a view to the 13th meeting of the Conference of the Parties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the Conservation of Migratory Species of Wild Animals (‘the Agreement’) was concluded by the Union by Council Decision 82/461/EEC</w:t>
      </w:r>
      <w:r>
        <w:rPr>
          <w:rStyle w:val="FootnoteReference"/>
          <w:noProof/>
        </w:rPr>
        <w:footnoteReference w:id="7"/>
      </w:r>
      <w:r>
        <w:rPr>
          <w:noProof/>
          <w:vertAlign w:val="superscript"/>
        </w:rPr>
        <w:t xml:space="preserve"> </w:t>
      </w:r>
      <w:r>
        <w:rPr>
          <w:noProof/>
        </w:rPr>
        <w:t xml:space="preserve">and entered into force on </w:t>
      </w:r>
      <w:r>
        <w:rPr>
          <w:rFonts w:eastAsia="Arial Unicode MS"/>
          <w:noProof/>
        </w:rPr>
        <w:t>1 November 1983</w:t>
      </w:r>
      <w:r>
        <w:rPr>
          <w:noProof/>
        </w:rPr>
        <w:t xml:space="preserve">. </w:t>
      </w:r>
    </w:p>
    <w:p>
      <w:pPr>
        <w:pStyle w:val="ManualConsidrant"/>
        <w:rPr>
          <w:noProof/>
        </w:rPr>
      </w:pPr>
      <w:r>
        <w:t>(2)</w:t>
      </w:r>
      <w:r>
        <w:tab/>
      </w:r>
      <w:r>
        <w:rPr>
          <w:noProof/>
        </w:rPr>
        <w:t>Pursuant to Article XI</w:t>
      </w:r>
      <w:r>
        <w:t xml:space="preserve"> </w:t>
      </w:r>
      <w:r>
        <w:rPr>
          <w:noProof/>
        </w:rPr>
        <w:t>of the Agreement, the Conference of the Parties can adopt amendments to Appendices I and II to the Agreement</w:t>
      </w:r>
      <w:r>
        <w:t>.</w:t>
      </w:r>
    </w:p>
    <w:p>
      <w:pPr>
        <w:pStyle w:val="ManualConsidrant"/>
        <w:rPr>
          <w:noProof/>
        </w:rPr>
      </w:pPr>
      <w:r>
        <w:t>(3)</w:t>
      </w:r>
      <w:r>
        <w:tab/>
      </w:r>
      <w:r>
        <w:rPr>
          <w:noProof/>
        </w:rPr>
        <w:t xml:space="preserve">The Conference of the Parties, during its thirteenth meeting on 15 to 22 February 2020, may adopt such amendments. The Secretariat of the Convention has informed the Parties to the Convention that any proposals for amendment are to be communicated, in accordance with Article XI(3) of the Agreement, </w:t>
      </w:r>
      <w:r>
        <w:rPr>
          <w:i/>
          <w:noProof/>
        </w:rPr>
        <w:t xml:space="preserve"> </w:t>
      </w:r>
      <w:r>
        <w:rPr>
          <w:noProof/>
        </w:rPr>
        <w:t>by 19 September 2019. The Union may, as a Party to the Convention, make such proposals.</w:t>
      </w:r>
    </w:p>
    <w:p>
      <w:pPr>
        <w:pStyle w:val="ManualConsidrant"/>
        <w:rPr>
          <w:noProof/>
        </w:rPr>
      </w:pPr>
      <w:r>
        <w:t>(4)</w:t>
      </w:r>
      <w:r>
        <w:tab/>
      </w:r>
      <w:r>
        <w:rPr>
          <w:noProof/>
        </w:rPr>
        <w:t>It is appropriate to establish the position to be taken on the Union's behalf with regard to the submission of proposals to amend the Appendices to the Agreement, as such amendments will be binding on the Union.</w:t>
      </w:r>
    </w:p>
    <w:p>
      <w:pPr>
        <w:pStyle w:val="ManualConsidrant"/>
        <w:rPr>
          <w:noProof/>
        </w:rPr>
      </w:pPr>
      <w:r>
        <w:t>(5)</w:t>
      </w:r>
      <w:r>
        <w:tab/>
      </w:r>
      <w:r>
        <w:rPr>
          <w:noProof/>
        </w:rPr>
        <w:t xml:space="preserve">The inclusion of the species </w:t>
      </w:r>
      <w:r>
        <w:rPr>
          <w:i/>
          <w:noProof/>
          <w:szCs w:val="24"/>
        </w:rPr>
        <w:t>Tetrax tetrax</w:t>
      </w:r>
      <w:r>
        <w:rPr>
          <w:noProof/>
          <w:szCs w:val="24"/>
        </w:rPr>
        <w:t xml:space="preserve"> </w:t>
      </w:r>
      <w:r>
        <w:rPr>
          <w:noProof/>
        </w:rPr>
        <w:t>in Appendix I to the Agreement and the species</w:t>
      </w:r>
      <w:r>
        <w:rPr>
          <w:i/>
          <w:noProof/>
          <w:szCs w:val="24"/>
        </w:rPr>
        <w:t xml:space="preserve"> Tetrax tetrax</w:t>
      </w:r>
      <w:r>
        <w:rPr>
          <w:noProof/>
          <w:szCs w:val="24"/>
        </w:rPr>
        <w:t xml:space="preserve">, </w:t>
      </w:r>
      <w:r>
        <w:rPr>
          <w:i/>
          <w:noProof/>
          <w:szCs w:val="24"/>
        </w:rPr>
        <w:t>Galeorhinus galeus</w:t>
      </w:r>
      <w:r>
        <w:rPr>
          <w:noProof/>
          <w:szCs w:val="24"/>
        </w:rPr>
        <w:t xml:space="preserve"> and</w:t>
      </w:r>
      <w:r>
        <w:rPr>
          <w:i/>
          <w:noProof/>
          <w:szCs w:val="24"/>
        </w:rPr>
        <w:t xml:space="preserve"> Sphyrna zygaena</w:t>
      </w:r>
      <w:r>
        <w:rPr>
          <w:noProof/>
          <w:sz w:val="22"/>
        </w:rPr>
        <w:t xml:space="preserve"> </w:t>
      </w:r>
      <w:r>
        <w:rPr>
          <w:noProof/>
        </w:rPr>
        <w:t xml:space="preserve"> in Appendix II would be scientifically sound and in line with Union legislation as well as the Union's commitment to international cooperation for the protection of biodiversity. The Commission should therefore be authorised to propose amendments to that effect.</w:t>
      </w:r>
    </w:p>
    <w:p>
      <w:pPr>
        <w:pStyle w:val="ManualConsidrant"/>
        <w:rPr>
          <w:noProof/>
        </w:rPr>
      </w:pPr>
      <w:r>
        <w:t>(6)</w:t>
      </w:r>
      <w:r>
        <w:tab/>
      </w:r>
      <w:r>
        <w:rPr>
          <w:noProof/>
        </w:rPr>
        <w:t>The Commission should communicate those proposals to the Secretariat of the Agreement,</w:t>
      </w:r>
    </w:p>
    <w:p>
      <w:pPr>
        <w:pStyle w:val="Formuledadoption"/>
        <w:rPr>
          <w:noProof/>
        </w:rPr>
      </w:pPr>
      <w:r>
        <w:rPr>
          <w:noProof/>
        </w:rPr>
        <w:t>HAS ADOPTED THIS DECISION:</w:t>
      </w:r>
    </w:p>
    <w:p>
      <w:pPr>
        <w:pStyle w:val="Titrearticle"/>
        <w:rPr>
          <w:noProof/>
        </w:rPr>
      </w:pPr>
      <w:r>
        <w:rPr>
          <w:noProof/>
        </w:rPr>
        <w:t>Article 1</w:t>
      </w:r>
    </w:p>
    <w:p>
      <w:pPr>
        <w:ind w:left="720" w:hanging="720"/>
        <w:rPr>
          <w:noProof/>
        </w:rPr>
      </w:pPr>
      <w:r>
        <w:rPr>
          <w:noProof/>
        </w:rPr>
        <w:t xml:space="preserve">1. </w:t>
      </w:r>
      <w:r>
        <w:rPr>
          <w:noProof/>
        </w:rPr>
        <w:tab/>
        <w:t xml:space="preserve">With a </w:t>
      </w:r>
      <w:r>
        <w:rPr>
          <w:noProof/>
          <w:lang w:eastAsia="nl-NL" w:bidi="nl-NL"/>
        </w:rPr>
        <w:t xml:space="preserve">view </w:t>
      </w:r>
      <w:r>
        <w:rPr>
          <w:noProof/>
        </w:rPr>
        <w:t xml:space="preserve">to the thirteenth meeting of the Conference of the </w:t>
      </w:r>
      <w:r>
        <w:rPr>
          <w:noProof/>
          <w:lang w:eastAsia="da-DK" w:bidi="da-DK"/>
        </w:rPr>
        <w:t xml:space="preserve">Parties </w:t>
      </w:r>
      <w:r>
        <w:rPr>
          <w:noProof/>
        </w:rPr>
        <w:t xml:space="preserve">to </w:t>
      </w:r>
      <w:r>
        <w:rPr>
          <w:noProof/>
          <w:lang w:eastAsia="nl-NL" w:bidi="nl-NL"/>
        </w:rPr>
        <w:t xml:space="preserve">the </w:t>
      </w:r>
      <w:r>
        <w:rPr>
          <w:noProof/>
        </w:rPr>
        <w:t xml:space="preserve">Convention on the Conservation of Migratory Species of </w:t>
      </w:r>
      <w:r>
        <w:rPr>
          <w:noProof/>
          <w:lang w:eastAsia="nl-NL" w:bidi="nl-NL"/>
        </w:rPr>
        <w:t xml:space="preserve">Wild </w:t>
      </w:r>
      <w:r>
        <w:rPr>
          <w:noProof/>
        </w:rPr>
        <w:t xml:space="preserve">Animals (‘the Agreement’), the Commission is hereby authorised to submit, on behalf of the Union, a </w:t>
      </w:r>
      <w:r>
        <w:rPr>
          <w:noProof/>
          <w:lang w:eastAsia="da-DK" w:bidi="da-DK"/>
        </w:rPr>
        <w:t xml:space="preserve">proposal </w:t>
      </w:r>
      <w:r>
        <w:rPr>
          <w:noProof/>
        </w:rPr>
        <w:t>for the following amendments:</w:t>
      </w:r>
    </w:p>
    <w:p>
      <w:pPr>
        <w:ind w:left="1440" w:hanging="720"/>
        <w:rPr>
          <w:noProof/>
          <w:szCs w:val="24"/>
        </w:rPr>
      </w:pPr>
      <w:r>
        <w:rPr>
          <w:noProof/>
        </w:rPr>
        <w:t>(a)</w:t>
      </w:r>
      <w:r>
        <w:rPr>
          <w:noProof/>
        </w:rPr>
        <w:tab/>
        <w:t xml:space="preserve">an amendment to Appendix I to the Agreement to include the species </w:t>
      </w:r>
      <w:r>
        <w:rPr>
          <w:i/>
          <w:noProof/>
          <w:szCs w:val="24"/>
        </w:rPr>
        <w:t>Tetrax tetrax</w:t>
      </w:r>
      <w:r>
        <w:rPr>
          <w:noProof/>
          <w:szCs w:val="24"/>
        </w:rPr>
        <w:t>;</w:t>
      </w:r>
    </w:p>
    <w:p>
      <w:pPr>
        <w:ind w:left="1440" w:hanging="720"/>
        <w:rPr>
          <w:noProof/>
          <w:sz w:val="22"/>
        </w:rPr>
      </w:pPr>
      <w:r>
        <w:rPr>
          <w:noProof/>
          <w:szCs w:val="24"/>
        </w:rPr>
        <w:t>(b)</w:t>
      </w:r>
      <w:r>
        <w:rPr>
          <w:noProof/>
          <w:szCs w:val="24"/>
        </w:rPr>
        <w:tab/>
        <w:t>amendments to Appendix II to the Agreement to include the species</w:t>
      </w:r>
      <w:r>
        <w:rPr>
          <w:i/>
          <w:noProof/>
          <w:szCs w:val="24"/>
        </w:rPr>
        <w:t xml:space="preserve"> Tetrax tetrax</w:t>
      </w:r>
      <w:r>
        <w:rPr>
          <w:noProof/>
          <w:szCs w:val="24"/>
        </w:rPr>
        <w:t xml:space="preserve">, </w:t>
      </w:r>
      <w:r>
        <w:rPr>
          <w:i/>
          <w:noProof/>
          <w:szCs w:val="24"/>
        </w:rPr>
        <w:t>Galeorhinus galeus</w:t>
      </w:r>
      <w:r>
        <w:rPr>
          <w:noProof/>
          <w:szCs w:val="24"/>
        </w:rPr>
        <w:t xml:space="preserve"> and</w:t>
      </w:r>
      <w:r>
        <w:rPr>
          <w:i/>
          <w:noProof/>
          <w:szCs w:val="24"/>
        </w:rPr>
        <w:t xml:space="preserve"> Sphyrna zygaena</w:t>
      </w:r>
      <w:r>
        <w:rPr>
          <w:noProof/>
          <w:sz w:val="22"/>
        </w:rPr>
        <w:t>.</w:t>
      </w:r>
    </w:p>
    <w:p>
      <w:pPr>
        <w:ind w:left="720" w:hanging="720"/>
        <w:rPr>
          <w:noProof/>
          <w:lang w:val="cs-CZ"/>
        </w:rPr>
      </w:pPr>
      <w:r>
        <w:rPr>
          <w:noProof/>
        </w:rPr>
        <w:t xml:space="preserve">2. </w:t>
      </w:r>
      <w:r>
        <w:rPr>
          <w:noProof/>
        </w:rPr>
        <w:tab/>
        <w:t>The Commission shall communicate the proposals referred to in paragraph 1 to the Secretariat of the Convention.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82/461/EEC of 24 June 1982 on the conclusion of the Convention on the conservation of migratory species of wild animals, OJ L 210, 24.6.1982, p. 10.</w:t>
      </w:r>
    </w:p>
  </w:footnote>
  <w:footnote w:id="2">
    <w:p>
      <w:pPr>
        <w:pStyle w:val="FootnoteText"/>
      </w:pPr>
      <w:r>
        <w:rPr>
          <w:rStyle w:val="FootnoteReference"/>
        </w:rPr>
        <w:footnoteRef/>
      </w:r>
      <w:r>
        <w:tab/>
        <w:t>Decision No 1386/2013/EU of the European Parliament and of the Council of 20 November 2013 on a General Union Environment Action Programme to 2020 ‘Living well, within the limits of our planet’ OJ L 354, 28.12.2013, p. 171.</w:t>
      </w:r>
    </w:p>
  </w:footnote>
  <w:footnote w:id="3">
    <w:p>
      <w:pPr>
        <w:pStyle w:val="FootnoteText"/>
      </w:pPr>
      <w:r>
        <w:rPr>
          <w:rStyle w:val="FootnoteReference"/>
        </w:rPr>
        <w:footnoteRef/>
      </w:r>
      <w:r>
        <w:tab/>
        <w:t xml:space="preserve">COM(2011) 244 final “Our life insurance, our natural capital: an </w:t>
      </w:r>
      <w:r>
        <w:rPr>
          <w:lang w:eastAsia="fr-FR" w:bidi="fr-FR"/>
        </w:rPr>
        <w:t xml:space="preserve">EU </w:t>
      </w:r>
      <w:r>
        <w:t>biodiversity strategy to 2020".</w:t>
      </w:r>
    </w:p>
  </w:footnote>
  <w:footnote w:id="4">
    <w:p>
      <w:pPr>
        <w:pStyle w:val="FootnoteText"/>
      </w:pPr>
      <w:r>
        <w:rPr>
          <w:rStyle w:val="FootnoteReference"/>
        </w:rPr>
        <w:footnoteRef/>
      </w:r>
      <w:r>
        <w:tab/>
        <w:t>Council Directive 79/409/EEC of 2 April 1979 on the conservation of wild birds, OJ L 103, 25.4.1979, pg. 1.</w:t>
      </w:r>
    </w:p>
  </w:footnote>
  <w:footnote w:id="5">
    <w:p>
      <w:pPr>
        <w:spacing w:before="0" w:after="0"/>
        <w:ind w:left="720" w:hanging="720"/>
        <w:jc w:val="left"/>
        <w:rPr>
          <w:sz w:val="20"/>
          <w:szCs w:val="20"/>
        </w:rPr>
      </w:pPr>
      <w:r>
        <w:rPr>
          <w:rStyle w:val="FootnoteReference"/>
        </w:rPr>
        <w:footnoteRef/>
      </w:r>
      <w:r>
        <w:tab/>
      </w:r>
      <w:r>
        <w:rPr>
          <w:sz w:val="20"/>
          <w:szCs w:val="20"/>
        </w:rPr>
        <w:t>Regulation (EU) No 1380/2013 of the European Parliament and of the Council of 11 December 2013 on the Common Fisheries Policy, OJ L 354, 28.12.2013, p.22</w:t>
      </w:r>
    </w:p>
    <w:p>
      <w:pPr>
        <w:pStyle w:val="FootnoteText"/>
        <w:rPr>
          <w:lang w:val="en-IE"/>
        </w:rPr>
      </w:pP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t>Council Decision 82/461/EEC of 24 June 1982 on the conclusion of the Convention on the conservation of migratory species of wild animals, (OJ L 210, 24.6.1982,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84D5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B63D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F49B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6AF1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B2A6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163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760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B2AE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1"/>
  </w:num>
  <w:num w:numId="18">
    <w:abstractNumId w:val="22"/>
    <w:lvlOverride w:ilvl="0">
      <w:startOverride w:val="1"/>
    </w:lvlOverride>
  </w:num>
  <w:num w:numId="19">
    <w:abstractNumId w:val="6"/>
  </w:num>
  <w:num w:numId="20">
    <w:abstractNumId w:val="1"/>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
  </w:num>
  <w:num w:numId="38">
    <w:abstractNumId w:val="4"/>
  </w:num>
  <w:num w:numId="39">
    <w:abstractNumId w:val="3"/>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08:44: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52EA9C9-3C59-4BDC-B734-F8FC5BD3ADFB"/>
    <w:docVar w:name="LW_COVERPAGE_TYPE" w:val="1"/>
    <w:docVar w:name="LW_CROSSREFERENCE" w:val="&lt;UNUSED&gt;"/>
    <w:docVar w:name="LW_DocType" w:val="COM"/>
    <w:docVar w:name="LW_EMISSION" w:val="5.7.2019"/>
    <w:docVar w:name="LW_EMISSION_ISODATE" w:val="2019-07-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8"/>
    <w:docVar w:name="LW_REF.II.NEW.CP_YEAR" w:val="2019"/>
    <w:docVar w:name="LW_REF.INST.NEW" w:val="COM"/>
    <w:docVar w:name="LW_REF.INST.NEW_ADOPTED" w:val="final"/>
    <w:docVar w:name="LW_REF.INST.NEW_TEXT" w:val="(2019)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position to be adopted, on behalf of the European Union, with regard to the submission of proposals for amendments to the Appendices to the Convention on the Conservation of Migratory Species of Wild Animals (CMS) with a view to the 13th meeting of the Conference of the Parti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styleId="ListNumber">
    <w:name w:val="List Number"/>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6"/>
      </w:numPr>
      <w:contextualSpacing/>
    </w:pPr>
  </w:style>
  <w:style w:type="paragraph" w:styleId="ListBullet2">
    <w:name w:val="List Bullet 2"/>
    <w:basedOn w:val="Normal"/>
    <w:uiPriority w:val="99"/>
    <w:semiHidden/>
    <w:unhideWhenUsed/>
    <w:pPr>
      <w:numPr>
        <w:numId w:val="37"/>
      </w:numPr>
      <w:contextualSpacing/>
    </w:pPr>
  </w:style>
  <w:style w:type="paragraph" w:styleId="ListBullet3">
    <w:name w:val="List Bullet 3"/>
    <w:basedOn w:val="Normal"/>
    <w:uiPriority w:val="99"/>
    <w:semiHidden/>
    <w:unhideWhenUsed/>
    <w:pPr>
      <w:numPr>
        <w:numId w:val="38"/>
      </w:numPr>
      <w:contextualSpacing/>
    </w:pPr>
  </w:style>
  <w:style w:type="paragraph" w:styleId="ListBullet4">
    <w:name w:val="List Bullet 4"/>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4">
    <w:name w:val="List Number 4"/>
    <w:basedOn w:val="Normal"/>
    <w:uiPriority w:val="99"/>
    <w:semiHidden/>
    <w:unhideWhenUsed/>
    <w:pPr>
      <w:numPr>
        <w:numId w:val="4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styleId="ListNumber">
    <w:name w:val="List Number"/>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6"/>
      </w:numPr>
      <w:contextualSpacing/>
    </w:pPr>
  </w:style>
  <w:style w:type="paragraph" w:styleId="ListBullet2">
    <w:name w:val="List Bullet 2"/>
    <w:basedOn w:val="Normal"/>
    <w:uiPriority w:val="99"/>
    <w:semiHidden/>
    <w:unhideWhenUsed/>
    <w:pPr>
      <w:numPr>
        <w:numId w:val="37"/>
      </w:numPr>
      <w:contextualSpacing/>
    </w:pPr>
  </w:style>
  <w:style w:type="paragraph" w:styleId="ListBullet3">
    <w:name w:val="List Bullet 3"/>
    <w:basedOn w:val="Normal"/>
    <w:uiPriority w:val="99"/>
    <w:semiHidden/>
    <w:unhideWhenUsed/>
    <w:pPr>
      <w:numPr>
        <w:numId w:val="38"/>
      </w:numPr>
      <w:contextualSpacing/>
    </w:pPr>
  </w:style>
  <w:style w:type="paragraph" w:styleId="ListBullet4">
    <w:name w:val="List Bullet 4"/>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4">
    <w:name w:val="List Number 4"/>
    <w:basedOn w:val="Normal"/>
    <w:uiPriority w:val="99"/>
    <w:semiHidden/>
    <w:unhideWhenUsed/>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1583</Words>
  <Characters>8235</Characters>
  <Application>Microsoft Office Word</Application>
  <DocSecurity>0</DocSecurity>
  <Lines>149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2019-06-11T09:03:00Z</dcterms:created>
  <dcterms:modified xsi:type="dcterms:W3CDTF">2019-07-01T06:44:00Z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