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76B197-FDC8-44D4-929B-5033140E1E13"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lang w:val="fr-BE"/>
        </w:rPr>
      </w:pPr>
      <w:r>
        <w:rPr>
          <w:noProof/>
          <w:lang w:val="fr-BE"/>
        </w:rPr>
        <w:t>La présente proposition concerne la décision établissant la position à prendre, au nom de l'Union, au sein du comité mixte de l'agriculture institué par l'accord entre la Communauté européenne et la Confédération suisse relatif aux échanges de produits agricoles concernant la modification des annexes 1 et 2 de l'accord.</w:t>
      </w:r>
    </w:p>
    <w:p>
      <w:pPr>
        <w:pStyle w:val="ManualHeading1"/>
        <w:rPr>
          <w:noProof/>
        </w:rPr>
      </w:pPr>
      <w:r>
        <w:t>2.</w:t>
      </w:r>
      <w:r>
        <w:tab/>
      </w:r>
      <w:r>
        <w:rPr>
          <w:noProof/>
        </w:rPr>
        <w:t>Contexte de la proposition</w:t>
      </w:r>
    </w:p>
    <w:p>
      <w:pPr>
        <w:pStyle w:val="ManualHeading2"/>
        <w:rPr>
          <w:noProof/>
        </w:rPr>
      </w:pPr>
      <w:r>
        <w:t>2.1.</w:t>
      </w:r>
      <w:r>
        <w:tab/>
      </w:r>
      <w:r>
        <w:rPr>
          <w:noProof/>
        </w:rPr>
        <w:t>A</w:t>
      </w:r>
      <w:r>
        <w:rPr>
          <w:noProof/>
          <w:lang w:val="fr-BE"/>
        </w:rPr>
        <w:t>ccord entre la Communauté européenne et la Confédération suisse</w:t>
      </w:r>
    </w:p>
    <w:p>
      <w:pPr>
        <w:rPr>
          <w:noProof/>
          <w:lang w:val="fr-BE"/>
        </w:rPr>
      </w:pPr>
      <w:r>
        <w:rPr>
          <w:noProof/>
          <w:lang w:val="fr-BE"/>
        </w:rPr>
        <w:t>Echanges de produits agricoles, entré en vigueur le 1er juin 2002 (JO L 114, 30.4.2002, p. 132).</w:t>
      </w:r>
    </w:p>
    <w:p>
      <w:pPr>
        <w:pStyle w:val="ManualHeading2"/>
        <w:rPr>
          <w:noProof/>
        </w:rPr>
      </w:pPr>
      <w:r>
        <w:t>2.2.</w:t>
      </w:r>
      <w:r>
        <w:tab/>
        <w:t xml:space="preserve"> </w:t>
      </w:r>
      <w:r>
        <w:rPr>
          <w:noProof/>
          <w:lang w:val="fr-BE"/>
        </w:rPr>
        <w:t>Comité mixte de l’agriculture.</w:t>
      </w:r>
    </w:p>
    <w:p>
      <w:pPr>
        <w:rPr>
          <w:noProof/>
          <w:lang w:val="fr-BE"/>
        </w:rPr>
      </w:pPr>
      <w:r>
        <w:rPr>
          <w:noProof/>
          <w:lang w:val="fr-BE"/>
        </w:rPr>
        <w:t>Selon l’article 6 de l’accord, le Comité est chargé de la gestion de l’accord et veille à son bon fonctionnement. En vertu de l’article 11 de l’accord, le Comité peut décider de modifier les annexes de l'accord.</w:t>
      </w:r>
    </w:p>
    <w:p>
      <w:pPr>
        <w:pStyle w:val="ManualHeading2"/>
        <w:rPr>
          <w:noProof/>
          <w:lang w:val="fr-BE"/>
        </w:rPr>
      </w:pPr>
      <w:r>
        <w:t>2.3.</w:t>
      </w:r>
      <w:r>
        <w:tab/>
      </w:r>
      <w:r>
        <w:rPr>
          <w:noProof/>
          <w:lang w:val="fr-BE"/>
        </w:rPr>
        <w:t>Acte envisagé par le</w:t>
      </w:r>
      <w:r>
        <w:rPr>
          <w:noProof/>
        </w:rPr>
        <w:t xml:space="preserve"> </w:t>
      </w:r>
      <w:r>
        <w:rPr>
          <w:noProof/>
          <w:lang w:val="fr-BE"/>
        </w:rPr>
        <w:t>Comité mixte de l’agriculture</w:t>
      </w:r>
    </w:p>
    <w:p>
      <w:pPr>
        <w:rPr>
          <w:noProof/>
        </w:rPr>
      </w:pPr>
      <w:r>
        <w:rPr>
          <w:noProof/>
        </w:rPr>
        <w:t xml:space="preserve">L’acte envisagé a pour objectif de modifier les annexes 1 et 2 de l'accord concernant les concessions agricoles faites par les deux parties à l’accord. </w:t>
      </w:r>
    </w:p>
    <w:p>
      <w:pPr>
        <w:pStyle w:val="ManualHeading1"/>
        <w:rPr>
          <w:noProof/>
        </w:rPr>
      </w:pPr>
      <w:r>
        <w:t>3.</w:t>
      </w:r>
      <w:r>
        <w:tab/>
      </w:r>
      <w:r>
        <w:rPr>
          <w:noProof/>
          <w:lang w:val="fr-BE"/>
        </w:rPr>
        <w:t>Position à prendre au nom de l'Union</w:t>
      </w:r>
    </w:p>
    <w:p>
      <w:pPr>
        <w:rPr>
          <w:noProof/>
        </w:rPr>
      </w:pPr>
      <w:r>
        <w:rPr>
          <w:noProof/>
        </w:rPr>
        <w:t xml:space="preserve">L’acte envisagé a pour but de (i) mettre à jour les codes numériques de l'accord suite à la dernière révision du Système Harmonisé, (ii) corriger une erreur commise lors de la dernière adaptation de l'annexe 1 concernant la concession tarifaire pour les jambons désossés, et (iii) intégrer dans l’ annexe 1 de l’accord les concessions tarifaires octroyées par la Suisse en 1996 pour les aliments pour chiens et chats destinés à la vente. </w:t>
      </w:r>
    </w:p>
    <w:p>
      <w:pPr>
        <w:rPr>
          <w:noProof/>
        </w:rPr>
      </w:pPr>
      <w:r>
        <w:rPr>
          <w:noProof/>
        </w:rPr>
        <w:t>L’acte cherche à consolider des concessions existantes actuellement non-explicitées dans l’accord ainsi qu’à corriger des erreurs dans le texte de l’accord. Il s’agit donc d’un acte désirable.</w:t>
      </w:r>
    </w:p>
    <w:p>
      <w:pPr>
        <w:rPr>
          <w:noProof/>
        </w:rPr>
      </w:pPr>
      <w:r>
        <w:rPr>
          <w:noProof/>
        </w:rPr>
        <w:t>Le texte de la décision du comité mixte a été élaboré en collaboration avec les autorités suisses.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lang w:val="fr-BE"/>
        </w:rPr>
      </w:pPr>
      <w:r>
        <w:rPr>
          <w:noProof/>
          <w:lang w:val="fr-BE"/>
        </w:rPr>
        <w:t>L’article 218, paragraphe 9, du traité sur le fonctionnement de l'Union européenne (TFUE) prévoit des décisions établissant «</w:t>
      </w:r>
      <w:r>
        <w:rPr>
          <w:i/>
          <w:noProof/>
          <w:lang w:val="fr-BE"/>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lang w:val="fr-BE"/>
        </w:rPr>
        <w:t>».</w:t>
      </w:r>
    </w:p>
    <w:p>
      <w:pPr>
        <w:rPr>
          <w:noProof/>
          <w:lang w:val="fr-BE"/>
        </w:rPr>
      </w:pPr>
      <w:r>
        <w:rPr>
          <w:noProof/>
          <w:lang w:val="fr-BE"/>
        </w:rPr>
        <w:t>La notion d’«</w:t>
      </w:r>
      <w:r>
        <w:rPr>
          <w:i/>
          <w:noProof/>
          <w:lang w:val="fr-BE"/>
        </w:rPr>
        <w:t>actes ayant des effets juridiques</w:t>
      </w:r>
      <w:r>
        <w:rPr>
          <w:noProof/>
          <w:lang w:val="fr-BE"/>
        </w:rPr>
        <w:t xml:space="preserve">» englobe les actes ayant des effets juridiques en vertu des règles de droit international régissant l’instance en question. Elle englobe également des instruments auxquels le droit international ne confère aucun effet contraignant, mais qui </w:t>
      </w:r>
      <w:r>
        <w:rPr>
          <w:noProof/>
          <w:lang w:val="fr-BE"/>
        </w:rPr>
        <w:lastRenderedPageBreak/>
        <w:t>sont «</w:t>
      </w:r>
      <w:r>
        <w:rPr>
          <w:i/>
          <w:noProof/>
          <w:lang w:val="fr-BE"/>
        </w:rPr>
        <w:t>de nature à influencer de manière déterminante le contenu de la législation adoptée par le législateur de l’Union</w:t>
      </w:r>
      <w:r>
        <w:rPr>
          <w:noProof/>
          <w:lang w:val="fr-BE"/>
        </w:rPr>
        <w:t>»</w:t>
      </w:r>
      <w:r>
        <w:rPr>
          <w:rStyle w:val="FootnoteReference"/>
          <w:noProof/>
        </w:rPr>
        <w:footnoteReference w:id="1"/>
      </w:r>
      <w:r>
        <w:rPr>
          <w:noProof/>
          <w:lang w:val="fr-BE"/>
        </w:rPr>
        <w:t>.</w:t>
      </w:r>
    </w:p>
    <w:p>
      <w:pPr>
        <w:pStyle w:val="ManualHeading3"/>
        <w:rPr>
          <w:noProof/>
        </w:rPr>
      </w:pPr>
      <w:r>
        <w:t>4.1.2.</w:t>
      </w:r>
      <w:r>
        <w:tab/>
      </w:r>
      <w:r>
        <w:rPr>
          <w:noProof/>
        </w:rPr>
        <w:t>Application en l’espèce</w:t>
      </w:r>
    </w:p>
    <w:p>
      <w:pPr>
        <w:rPr>
          <w:noProof/>
          <w:lang w:val="fr-BE"/>
        </w:rPr>
      </w:pPr>
      <w:r>
        <w:rPr>
          <w:noProof/>
          <w:lang w:val="fr-BE"/>
        </w:rPr>
        <w:t>Le Comité mixte de l’agriculture est une instance créée par un accord, en l’occurrence par l’Accord entre la Communauté européenne et la Confédération suisse relatif aux échanges de produits agricoles</w:t>
      </w:r>
      <w:r>
        <w:t>.</w:t>
      </w:r>
    </w:p>
    <w:p>
      <w:r>
        <w:rPr>
          <w:noProof/>
          <w:lang w:val="fr-BE"/>
        </w:rPr>
        <w:t>L’acte que le</w:t>
      </w:r>
      <w:r>
        <w:rPr>
          <w:noProof/>
        </w:rPr>
        <w:t xml:space="preserve"> </w:t>
      </w:r>
      <w:r>
        <w:rPr>
          <w:noProof/>
          <w:lang w:val="fr-BE"/>
        </w:rPr>
        <w:t>Comité mixte de l’agriculture est appelé à adopter est un acte ayant des effets juridiques. L’acte envisagé sera contraignant en vertu du droit international, conformément à l’article 16</w:t>
      </w:r>
      <w:r>
        <w:t xml:space="preserve"> </w:t>
      </w:r>
      <w:r>
        <w:rPr>
          <w:noProof/>
          <w:lang w:val="fr-BE"/>
        </w:rPr>
        <w:t>de l’Accord entre la Communauté européenne et la Confédération suisse relatif aux échanges de produits agricoles.</w:t>
      </w:r>
    </w:p>
    <w:p>
      <w:pPr>
        <w:rPr>
          <w:noProof/>
          <w:lang w:val="fr-BE"/>
        </w:rPr>
      </w:pPr>
      <w:r>
        <w:rPr>
          <w:noProof/>
          <w:lang w:val="fr-BE"/>
        </w:rPr>
        <w:t>L’acte envisagé ne complète ni ne modifie le cadre institutionnel de l’accord.</w:t>
      </w:r>
    </w:p>
    <w:p>
      <w:pPr>
        <w:rPr>
          <w:noProof/>
          <w:lang w:val="fr-BE"/>
        </w:rPr>
      </w:pPr>
      <w:r>
        <w:rPr>
          <w:noProof/>
          <w:lang w:val="fr-BE"/>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lang w:val="fr-BE"/>
        </w:rPr>
      </w:pPr>
      <w:r>
        <w:rPr>
          <w:noProof/>
          <w:lang w:val="fr-BE"/>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portent principalement sur l’agriculture et la politique commerciale commune</w:t>
      </w:r>
      <w:r>
        <w:t>.</w:t>
      </w:r>
    </w:p>
    <w:p>
      <w:pPr>
        <w:rPr>
          <w:i/>
          <w:noProof/>
          <w:lang w:val="fr-BE"/>
        </w:rPr>
      </w:pPr>
      <w:r>
        <w:rPr>
          <w:noProof/>
          <w:lang w:val="fr-BE"/>
        </w:rPr>
        <w:t xml:space="preserve">En conséquence, la base juridique matérielle pour la décision proposée est </w:t>
      </w:r>
      <w:r>
        <w:rPr>
          <w:noProof/>
        </w:rPr>
        <w:t>l’article 207, paragraphe 4 du TFUE.</w:t>
      </w:r>
    </w:p>
    <w:p>
      <w:pPr>
        <w:pStyle w:val="ManualHeading2"/>
        <w:rPr>
          <w:noProof/>
        </w:rPr>
      </w:pPr>
      <w:r>
        <w:t>4.3.</w:t>
      </w:r>
      <w:r>
        <w:tab/>
      </w:r>
      <w:r>
        <w:rPr>
          <w:noProof/>
        </w:rPr>
        <w:t>Conclusion</w:t>
      </w:r>
    </w:p>
    <w:p>
      <w:pPr>
        <w:rPr>
          <w:noProof/>
          <w:lang w:val="fr-BE"/>
        </w:rPr>
      </w:pPr>
      <w:r>
        <w:rPr>
          <w:noProof/>
          <w:lang w:val="fr-BE"/>
        </w:rPr>
        <w:t>La base juridique de la décision proposée devrait être l’</w:t>
      </w:r>
      <w:r>
        <w:rPr>
          <w:noProof/>
        </w:rPr>
        <w:t>article 207, paragraphe 4,</w:t>
      </w:r>
      <w:r>
        <w:rPr>
          <w:noProof/>
          <w:lang w:val="fr-BE"/>
        </w:rPr>
        <w:t xml:space="preserve"> en liaison avec l’article 218, paragraphe 9, du TFUE.</w:t>
      </w:r>
    </w:p>
    <w:p>
      <w:pPr>
        <w:pStyle w:val="ManualHeading1"/>
        <w:rPr>
          <w:noProof/>
        </w:rPr>
      </w:pPr>
      <w:r>
        <w:t>5.</w:t>
      </w:r>
      <w:r>
        <w:tab/>
      </w:r>
      <w:r>
        <w:rPr>
          <w:noProof/>
        </w:rPr>
        <w:t>PUBLICATION DE L'ACTE ENVISAGE</w:t>
      </w:r>
    </w:p>
    <w:p>
      <w:pPr>
        <w:rPr>
          <w:noProof/>
          <w:lang w:val="fr-BE"/>
        </w:rPr>
      </w:pPr>
      <w:r>
        <w:rPr>
          <w:noProof/>
        </w:rPr>
        <w:t xml:space="preserve">Étant donné que l’acte du </w:t>
      </w:r>
      <w:r>
        <w:rPr>
          <w:noProof/>
          <w:lang w:val="fr-BE"/>
        </w:rPr>
        <w:t>Comité mixte de l’agriculture</w:t>
      </w:r>
      <w:r>
        <w:rPr>
          <w:noProof/>
        </w:rPr>
        <w:t xml:space="preserve"> modifiera l'accord entre la Communauté européenne et la Confédération suisse relatif aux échanges de produits agricoles, il y a lieu de le publier au </w:t>
      </w:r>
      <w:r>
        <w:rPr>
          <w:i/>
          <w:noProof/>
        </w:rPr>
        <w:t>Journal officiel de l’Union européenne,</w:t>
      </w:r>
      <w:r>
        <w:rPr>
          <w:noProof/>
        </w:rPr>
        <w:t xml:space="preserve"> </w:t>
      </w:r>
      <w:r>
        <w:rPr>
          <w:noProof/>
          <w:lang w:val="fr-BE"/>
        </w:rPr>
        <w:t>en tant que document joint à la Décision du Conseil.</w:t>
      </w:r>
    </w:p>
    <w:p>
      <w:pPr>
        <w:rPr>
          <w:noProof/>
          <w:lang w:val="fr-BE"/>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l'agriculture institué par l'accord entre la Communauté européenne et la Confédération suisse relatif aux échanges de produits agricoles concernant la modification des annexes 1 et 2 de l'accord</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européenne et la Confédération suisse relatif aux échanges de produits agricoles (ci-après dénommé « l'accord ») est entré en vigueur le 1er juin 2002.</w:t>
      </w:r>
    </w:p>
    <w:p>
      <w:pPr>
        <w:pStyle w:val="ManualConsidrant"/>
        <w:rPr>
          <w:noProof/>
          <w:lang w:val="fr-BE"/>
        </w:rPr>
      </w:pPr>
      <w:r>
        <w:t>(2)</w:t>
      </w:r>
      <w:r>
        <w:tab/>
      </w:r>
      <w:r>
        <w:rPr>
          <w:noProof/>
        </w:rPr>
        <w:t>L’article 6 de l’accord institue un Comité mixte de l’agriculture (ci-après dénommé « le Comité ») qui est chargé de la gestion de l’accord et qui veille à son bon fonctionnement.</w:t>
      </w:r>
    </w:p>
    <w:p>
      <w:pPr>
        <w:pStyle w:val="ManualConsidrant"/>
        <w:rPr>
          <w:noProof/>
          <w:lang w:val="fr-BE"/>
        </w:rPr>
      </w:pPr>
      <w:r>
        <w:t>(3)</w:t>
      </w:r>
      <w:r>
        <w:tab/>
      </w:r>
      <w:r>
        <w:rPr>
          <w:noProof/>
        </w:rPr>
        <w:t>En vertu de l’article 11 de l’accord, le Comité peut décider de modifier les annexes de l'accord.</w:t>
      </w:r>
    </w:p>
    <w:p>
      <w:pPr>
        <w:pStyle w:val="ManualConsidrant"/>
        <w:rPr>
          <w:noProof/>
        </w:rPr>
      </w:pPr>
      <w:r>
        <w:t>(4)</w:t>
      </w:r>
      <w:r>
        <w:tab/>
      </w:r>
      <w:r>
        <w:rPr>
          <w:noProof/>
        </w:rPr>
        <w:t>Le Comité doit adopter une décision afin de modifier les annexes 1 et 2 de l'accord pour mettre à jour les codes numériques de l'accord suite à la dernière révision du Système Harmonisé, corriger une erreur commise lors de la dernière adaptation de l'annexe 1 concernant la concession tarifaire pour les jambons désossés, et intégrer dans l’annexe 1 de l’accord les concessions tarifaires octroyées par la Suisse en 1996 pour les aliments pour chiens et chats destinés à la vente.</w:t>
      </w:r>
    </w:p>
    <w:p>
      <w:pPr>
        <w:pStyle w:val="ManualConsidrant"/>
        <w:rPr>
          <w:noProof/>
        </w:rPr>
      </w:pPr>
      <w:r>
        <w:t>(5)</w:t>
      </w:r>
      <w:r>
        <w:tab/>
      </w:r>
      <w:r>
        <w:rPr>
          <w:noProof/>
        </w:rPr>
        <w:t>Il y a lieu d’établir la position à prendre, au nom de l’Union, au sein du Comité, dès lors que la décision envisagée est contraignante pour l’Union.</w:t>
      </w:r>
    </w:p>
    <w:p>
      <w:pPr>
        <w:pStyle w:val="Formuledadoption"/>
        <w:rPr>
          <w:noProof/>
        </w:rPr>
      </w:pPr>
      <w:r>
        <w:rPr>
          <w:noProof/>
        </w:rPr>
        <w:t>A ADOPTÉ LA PRÉSENTE DÉCISION:</w:t>
      </w:r>
    </w:p>
    <w:p>
      <w:pPr>
        <w:pStyle w:val="Titrearticle"/>
        <w:rPr>
          <w:noProof/>
        </w:rPr>
      </w:pPr>
      <w:r>
        <w:rPr>
          <w:noProof/>
          <w:lang w:val="fr-BE"/>
        </w:rPr>
        <w:t>Article premier</w:t>
      </w:r>
    </w:p>
    <w:p>
      <w:pPr>
        <w:rPr>
          <w:noProof/>
        </w:rPr>
      </w:pPr>
      <w:r>
        <w:rPr>
          <w:noProof/>
        </w:rPr>
        <w:t>La position à prendre, au nom de l’Union, au sein du Comité mixte de l’agriculture institué par l’article 6 de l’accord entre la Communauté européenne et la Confédération suisse relatif aux échanges de produits agricoles se fonde sur le projet de décision du Comité mixte de l’agriculture joint à la présente décision.</w:t>
      </w:r>
    </w:p>
    <w:p>
      <w:pPr>
        <w:pStyle w:val="Titrearticle"/>
        <w:rPr>
          <w:noProof/>
        </w:rPr>
      </w:pPr>
      <w:r>
        <w:rPr>
          <w:noProof/>
          <w:lang w:val="fr-BE"/>
        </w:rPr>
        <w:lastRenderedPageBreak/>
        <w:t xml:space="preserve">Article </w:t>
      </w:r>
      <w:r>
        <w:rPr>
          <w:noProof/>
        </w:rPr>
        <w:t>2</w:t>
      </w:r>
    </w:p>
    <w:p>
      <w:pPr>
        <w:rPr>
          <w:noProof/>
        </w:rPr>
      </w:pPr>
      <w:r>
        <w:rPr>
          <w:noProof/>
        </w:rPr>
        <w:t>Une fois adoptée, la décision du comité mixte de l'agriculture est publiée au Journal officiel de l’Union européenne.</w:t>
      </w:r>
    </w:p>
    <w:p>
      <w:pPr>
        <w:pStyle w:val="Titrearticle"/>
        <w:rPr>
          <w:noProof/>
          <w:lang w:val="fr-BE"/>
        </w:rPr>
      </w:pPr>
      <w:r>
        <w:rPr>
          <w:noProof/>
          <w:lang w:val="fr-BE"/>
        </w:rPr>
        <w:t xml:space="preserve">Article </w:t>
      </w:r>
      <w:r>
        <w:rPr>
          <w:noProof/>
        </w:rPr>
        <w:t>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Allemagne/Conseil (OIV), C-399/12, ECLI:EU:C:2014:2258, points 61à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A204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429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CED2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C83E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ACC1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E9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085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4290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5:12: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76B197-FDC8-44D4-929B-5033140E1E13"/>
    <w:docVar w:name="LW_COVERPAGE_TYPE" w:val="1"/>
    <w:docVar w:name="LW_CROSSREFERENCE" w:val="&lt;UNUSED&gt;"/>
    <w:docVar w:name="LW_DocType" w:val="COM"/>
    <w:docVar w:name="LW_EMISSION" w:val="8.7.2019"/>
    <w:docVar w:name="LW_EMISSION_ISODATE" w:val="2019-07-0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9"/>
    <w:docVar w:name="LW_REF.II.NEW.CP_YEAR" w:val="2019"/>
    <w:docVar w:name="LW_REF.INST.NEW" w:val="COM"/>
    <w:docVar w:name="LW_REF.INST.NEW_ADOPTED" w:val="final"/>
    <w:docVar w:name="LW_REF.INST.NEW_TEXT" w:val="(2019)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agriculture institué par l'accord entre la Communauté européenne et la Confédération suisse relatif aux échanges de produits agricoles concernant la modification des annexes 1 et 2 de l'accord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cs="Times New Roman"/>
      <w:i/>
      <w:iCs/>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47A5-513E-4C6E-A0DB-C5EE3CA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1124</Words>
  <Characters>5963</Characters>
  <Application>Microsoft Office Word</Application>
  <DocSecurity>0</DocSecurity>
  <Lines>124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2019-06-06T14:08:00Z</dcterms:created>
  <dcterms:modified xsi:type="dcterms:W3CDTF">2019-06-28T13:12:00Z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