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0468C0-99AF-4A58-AED7-716575CCF34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Цел на предложението</w:t>
      </w:r>
    </w:p>
    <w:p>
      <w:pPr>
        <w:rPr>
          <w:rFonts w:eastAsia="Arial Unicode MS"/>
          <w:noProof/>
        </w:rPr>
      </w:pPr>
      <w:r>
        <w:rPr>
          <w:noProof/>
        </w:rPr>
        <w:t>Настоящото предложение се отнася до решението за определяне на позицията, която трябва да бъде заета от името на Европейския съюз в рамките на Смесения комитет по селското стопанство, създаден със Споразумението между Европейската общност и Конфедерация Швейцария относно търговията със селскостопански продукти, по отношение на изменението на приложения 1 и 2 към същото споразумение.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между Европейската общност и Конфедерация Швейцария</w:t>
      </w:r>
    </w:p>
    <w:p>
      <w:pPr>
        <w:rPr>
          <w:noProof/>
        </w:rPr>
      </w:pPr>
      <w:r>
        <w:rPr>
          <w:noProof/>
        </w:rPr>
        <w:t>относно търговията със селскостопански продукти, в сила от 1 юни 2002 г. (ОВ L 114, 30.4.2002 г., стр. 132).</w:t>
      </w:r>
    </w:p>
    <w:p>
      <w:pPr>
        <w:pStyle w:val="ManualHeading2"/>
        <w:rPr>
          <w:noProof/>
        </w:rPr>
      </w:pPr>
      <w:r>
        <w:t>2.2.</w:t>
      </w:r>
      <w:r>
        <w:tab/>
        <w:t xml:space="preserve"> </w:t>
      </w:r>
      <w:r>
        <w:rPr>
          <w:noProof/>
        </w:rPr>
        <w:t>Смесен комитет по селското стопанство</w:t>
      </w:r>
    </w:p>
    <w:p>
      <w:pPr>
        <w:rPr>
          <w:noProof/>
        </w:rPr>
      </w:pPr>
      <w:r>
        <w:rPr>
          <w:noProof/>
        </w:rPr>
        <w:t>Съгласно член 6 от Споразумението Комитетът отговаря за администрирането на Споразумението и осигурява правилното му прилагане. Съгласно член 11 от Споразумението Комитетът има право да реши да измени приложенията към Споразумението.</w:t>
      </w:r>
    </w:p>
    <w:p>
      <w:pPr>
        <w:pStyle w:val="ManualHeading2"/>
        <w:rPr>
          <w:noProof/>
        </w:rPr>
      </w:pPr>
      <w:r>
        <w:t>2.3.</w:t>
      </w:r>
      <w:r>
        <w:tab/>
      </w:r>
      <w:r>
        <w:rPr>
          <w:noProof/>
        </w:rPr>
        <w:t>Предвиден акт на Смесения комитет по селското стопанство</w:t>
      </w:r>
    </w:p>
    <w:p>
      <w:pPr>
        <w:rPr>
          <w:noProof/>
        </w:rPr>
      </w:pPr>
      <w:r>
        <w:rPr>
          <w:noProof/>
        </w:rPr>
        <w:t xml:space="preserve">С предвидения акт се цели изменение на приложения 1 и 2 към Споразумението относно отстъпките, които двете страни по Споразумението си предоставят една на друга по отношение на вноса на селскостопански продукти. </w:t>
      </w:r>
    </w:p>
    <w:p>
      <w:pPr>
        <w:pStyle w:val="ManualHeading1"/>
        <w:rPr>
          <w:noProof/>
        </w:rPr>
      </w:pPr>
      <w:r>
        <w:t>3.</w:t>
      </w:r>
      <w:r>
        <w:tab/>
      </w:r>
      <w:r>
        <w:rPr>
          <w:noProof/>
        </w:rPr>
        <w:t>Позиция, която трябва да бъде заета от името на Съюза</w:t>
      </w:r>
    </w:p>
    <w:p>
      <w:pPr>
        <w:rPr>
          <w:noProof/>
        </w:rPr>
      </w:pPr>
      <w:r>
        <w:rPr>
          <w:noProof/>
        </w:rPr>
        <w:t xml:space="preserve">С предвидения акт се цели: </w:t>
      </w:r>
      <w:r>
        <w:rPr>
          <w:noProof/>
        </w:rPr>
        <w:br/>
        <w:t>i) актуализирането на цифрените кодове на Споразумението след последното преразглеждане на Хармонизираната система;</w:t>
      </w:r>
      <w:r>
        <w:rPr>
          <w:noProof/>
        </w:rPr>
        <w:br/>
        <w:t>ii) коригирането на грешка, допусната при последното изменение на приложение 1 относно тарифната отстъпка за обезкостени бутове шунка, както и</w:t>
      </w:r>
      <w:r>
        <w:rPr>
          <w:noProof/>
        </w:rPr>
        <w:br/>
        <w:t xml:space="preserve">iii) включването в приложение 1 към Споразумението на тарифните отстъпки, предоставени от Швейцария през 1996 г. за предназначени за продажба храни за кучета и котки. </w:t>
      </w:r>
    </w:p>
    <w:p>
      <w:pPr>
        <w:rPr>
          <w:noProof/>
        </w:rPr>
      </w:pPr>
      <w:r>
        <w:rPr>
          <w:noProof/>
        </w:rPr>
        <w:t>С този акт се цели консолидирането на съществуващите отстъпки, които понастоящем не са включени в текста на Споразумението, както и коригирането на грешки в същия текст. Следователно приемането на въпросния акт е желателно.</w:t>
      </w:r>
    </w:p>
    <w:p>
      <w:pPr>
        <w:rPr>
          <w:noProof/>
        </w:rPr>
      </w:pPr>
      <w:r>
        <w:rPr>
          <w:noProof/>
        </w:rPr>
        <w:t>Текстът на решението на Смесения комитет е изготвен със съдействието на швейцарските органи.</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ДФЕС се предвижда приемането на решения за установяване на „</w:t>
      </w:r>
      <w:r>
        <w:rPr>
          <w:i/>
          <w:noProof/>
        </w:rPr>
        <w:t xml:space="preserve">позициите, които трябва да се заемат от името на Съюза в рамките на орган, създаден със споразумение, когато този орган има за задача да приема актове с </w:t>
      </w:r>
      <w:r>
        <w:rPr>
          <w:i/>
          <w:noProof/>
        </w:rPr>
        <w:lastRenderedPageBreak/>
        <w:t>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Смесеният комитет по земеделие е орган, създаден по силата на Споразумението между Европейската общност и Конфедерация Швейцария относно търговията със селскостопански продукти.</w:t>
      </w:r>
    </w:p>
    <w:p>
      <w:r>
        <w:rPr>
          <w:noProof/>
        </w:rPr>
        <w:t>Актът, който Смесеният комитет по селското стопанство има за задача да приеме, представлява акт с правно действие. Предвиденият акт ще бъде правнообвързващ в съответствие с международното право и съгласно член 16</w:t>
      </w:r>
      <w:r>
        <w:t xml:space="preserve"> </w:t>
      </w:r>
      <w:r>
        <w:rPr>
          <w:noProof/>
        </w:rPr>
        <w:t>от Споразумението между Европейската общност и Конфедерация Швейцария относно търговията със селскостопански продукти.</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основното съдържание на предвидения акт са свързани със селското стопанство 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Смесения комитет по селското стопанство изменя Споразумението между Европейската общност и Конфедерация Швейцария относно търговията със </w:t>
      </w:r>
      <w:r>
        <w:rPr>
          <w:noProof/>
        </w:rPr>
        <w:lastRenderedPageBreak/>
        <w:t xml:space="preserve">селскостопански продукти, е целесъобразно той да бъде публикуван в </w:t>
      </w:r>
      <w:r>
        <w:rPr>
          <w:i/>
          <w:noProof/>
        </w:rPr>
        <w:t>Официален вестник на Европейския съюз</w:t>
      </w:r>
      <w:r>
        <w:rPr>
          <w:noProof/>
        </w:rPr>
        <w:t xml:space="preserve"> като документ, приложен към решението на Съвета.</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Смесения комитет по селското стопанство, създаден със Споразумението между Европейската общност и Конфедерация Швейцария относно търговията със селскостопански продукти, по отношение на изменението на приложения 1 и 2 към същото споразумение</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Европейската общност и Конфедерация Швейцария относно търговията със селскостопански продукти (наричано по-долу „Споразумението“) влезе в сила на 1 юни 2002 г.</w:t>
      </w:r>
    </w:p>
    <w:p>
      <w:pPr>
        <w:pStyle w:val="ManualConsidrant"/>
        <w:rPr>
          <w:noProof/>
        </w:rPr>
      </w:pPr>
      <w:r>
        <w:t>(2)</w:t>
      </w:r>
      <w:r>
        <w:tab/>
      </w:r>
      <w:r>
        <w:rPr>
          <w:noProof/>
        </w:rPr>
        <w:t>С член 6 от Споразумението се създава Смесен комитет по селското стопанство (наричан по-долу „Комитетът“), който отговаря за администрирането на Споразумението и гарантира правилното му прилагане.</w:t>
      </w:r>
    </w:p>
    <w:p>
      <w:pPr>
        <w:pStyle w:val="ManualConsidrant"/>
        <w:rPr>
          <w:noProof/>
        </w:rPr>
      </w:pPr>
      <w:r>
        <w:t>(3)</w:t>
      </w:r>
      <w:r>
        <w:tab/>
      </w:r>
      <w:r>
        <w:rPr>
          <w:noProof/>
        </w:rPr>
        <w:t>Съгласно член 11 от Споразумението Комитетът има право да реши да измени приложенията към Споразумението.</w:t>
      </w:r>
    </w:p>
    <w:p>
      <w:pPr>
        <w:pStyle w:val="ManualConsidrant"/>
        <w:rPr>
          <w:noProof/>
        </w:rPr>
      </w:pPr>
      <w:r>
        <w:t>(4)</w:t>
      </w:r>
      <w:r>
        <w:tab/>
      </w:r>
      <w:r>
        <w:rPr>
          <w:noProof/>
        </w:rPr>
        <w:t>Комитетът следва да приеме решение за изменение на приложения 1 и 2 към Споразумението, с цел актуализиране на цифрените кодове в Споразумението след последното преразглеждане на Хармонизираната система, коригиране на грешка, допусната при последното изменение на приложение 1 по отношение на тарифните отстъпки за обезкостени бутове шунка и включване в приложение 1 към Споразумението на тарифните отстъпки, предоставени от Швейцария през 1996 г. за предназначени за продажба храни за кучета и котки.</w:t>
      </w:r>
    </w:p>
    <w:p>
      <w:pPr>
        <w:pStyle w:val="ManualConsidrant"/>
        <w:rPr>
          <w:noProof/>
        </w:rPr>
      </w:pPr>
      <w:r>
        <w:t>(5)</w:t>
      </w:r>
      <w:r>
        <w:tab/>
      </w:r>
      <w:r>
        <w:rPr>
          <w:noProof/>
        </w:rPr>
        <w:t>Доколкото предвиденото решение ще е правнообвързващо за Съюза, е целесъобразно да се установи позицията, която следва да бъде заета от името на Съюза в рамките на Комитета.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следва да бъде заета от името на Европейския съюз в рамките на Смесения комитет по селското стопанство, създаден с член 6 от Споразумението между Европейската общност и Конфедерация Швейцария относно търговията със селскостопански продукти, се основава на приложения към настоящото решение проект на решение на Смесения комитет по селското стопанство.</w:t>
      </w:r>
    </w:p>
    <w:p>
      <w:pPr>
        <w:pStyle w:val="Titrearticle"/>
        <w:rPr>
          <w:noProof/>
        </w:rPr>
      </w:pPr>
      <w:r>
        <w:rPr>
          <w:noProof/>
        </w:rPr>
        <w:lastRenderedPageBreak/>
        <w:t>Член 2</w:t>
      </w:r>
    </w:p>
    <w:p>
      <w:pPr>
        <w:rPr>
          <w:noProof/>
        </w:rPr>
      </w:pPr>
      <w:r>
        <w:rPr>
          <w:noProof/>
        </w:rPr>
        <w:t xml:space="preserve">След като бъде прието, решението на Смесения комитет по селското стопанство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 xml:space="preserve">Решение на Съда от 7 октомври 2014 г., Германия/Съвет (OIV), C-399/12, ECLI:EU:C:2014:2258,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A204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429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CED2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C83E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ACC1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E9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085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4290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5:15: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0468C0-99AF-4A58-AED7-716575CCF34E"/>
    <w:docVar w:name="LW_COVERPAGE_TYPE" w:val="1"/>
    <w:docVar w:name="LW_CROSSREFERENCE" w:val="&lt;UNUSED&gt;"/>
    <w:docVar w:name="LW_DocType" w:val="COM"/>
    <w:docVar w:name="LW_EMISSION" w:val="8.7.2019"/>
    <w:docVar w:name="LW_EMISSION_ISODATE" w:val="2019-07-08"/>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9"/>
    <w:docVar w:name="LW_REF.II.NEW.CP_YEAR" w:val="2019"/>
    <w:docVar w:name="LW_REF.INST.NEW" w:val="COM"/>
    <w:docVar w:name="LW_REF.INST.NEW_ADOPTED" w:val="final"/>
    <w:docVar w:name="LW_REF.INST.NEW_TEXT" w:val="(2019)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84?\u1077?\u1089?\u1077?\u1085?\u1080?\u1103? \u1082?\u1086?\u1084?\u1080?\u1090?\u1077?\u1090? \u1087?\u1086? \u1089?\u1077?\u1083?\u1089?\u1082?\u1086?\u1090?\u1086? \u1089?\u1090?\u1086?\u1087?\u1072?\u1085?\u1089?\u1090?\u1074?\u1086?, \u1089?\u1098?\u1079?\u1076?\u1072?\u1076?\u1077?\u1085? \u1089?\u1098?\u1089?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90?\u1098?\u1088?\u1075?\u1086?\u1074?\u1080?\u1103?\u1090?\u1072? \u1089?\u1098?\u1089? \u1089?\u1077?\u1083?\u1089?\u1082?\u1086?\u1089?\u1090?\u1086?\u1087?\u1072?\u1085?\u1089?\u1082?\u1080? \u1087?\u1088?\u1086?\u1076?\u1091?\u1082?\u1090?\u1080?, \u1087?\u1086? \u1086?\u1090?\u1085?\u1086?\u1096?\u1077?\u1085?\u1080?\u1077? \u1085?\u1072? \u1080?\u1079?\u1084?\u1077?\u1085?\u1077?\u1085?\u1080?\u1077?\u1090?\u1086? \u1085?\u1072? \u1087?\u1088?\u1080?\u1083?\u1086?\u1078?\u1077?\u1085?\u1080?\u1103? 1 \u1080? 2 \u1082?\u1098?\u1084? \u1089?\u1098?\u1097?\u1086?\u1090?\u1086? \u1089?\u1087?\u1086?\u1088?\u1072?\u1079?\u1091?\u1084?\u1077?\u1085?\u1080?\u1077?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2697-DF2B-4A05-BBBB-41F2BB09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1056</Words>
  <Characters>6284</Characters>
  <Application>Microsoft Office Word</Application>
  <DocSecurity>0</DocSecurity>
  <Lines>136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2019-06-11T13:25:00Z</dcterms:created>
  <dcterms:modified xsi:type="dcterms:W3CDTF">2019-06-28T13:15:00Z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