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DF21CC2-BFDC-405B-874D-D69AFF8AD015"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Western Central Atlantic Fishery Commission (WECAFC)</w:t>
      </w:r>
    </w:p>
    <w:p>
      <w:pPr>
        <w:pStyle w:val="Heading1"/>
        <w:numPr>
          <w:ilvl w:val="0"/>
          <w:numId w:val="1"/>
        </w:numPr>
        <w:rPr>
          <w:noProof/>
        </w:rPr>
      </w:pPr>
      <w:r>
        <w:rPr>
          <w:noProof/>
        </w:rPr>
        <w:t>PRINCIPLES</w:t>
      </w:r>
    </w:p>
    <w:p>
      <w:pPr>
        <w:rPr>
          <w:noProof/>
        </w:rPr>
      </w:pPr>
      <w:r>
        <w:rPr>
          <w:noProof/>
        </w:rPr>
        <w:t>In the framework of the WECAFC,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take account of the interests of consumers;</w:t>
      </w:r>
    </w:p>
    <w:p>
      <w:pPr>
        <w:pStyle w:val="Point0"/>
        <w:rPr>
          <w:noProof/>
        </w:rPr>
      </w:pPr>
      <w:r>
        <w:rPr>
          <w:noProof/>
        </w:rPr>
        <w:t xml:space="preserve">b) </w:t>
      </w:r>
      <w:r>
        <w:rPr>
          <w:noProof/>
        </w:rPr>
        <w:tab/>
        <w:t>work towards an appropriate involvement of stakeholders in the preparation phase for WECAFC resolutions and recommendations adopted within the WECAFC in accordance with its Revised Statutes;</w:t>
      </w:r>
    </w:p>
    <w:p>
      <w:pPr>
        <w:pStyle w:val="Point0"/>
        <w:rPr>
          <w:noProof/>
        </w:rPr>
      </w:pPr>
      <w:r>
        <w:rPr>
          <w:noProof/>
        </w:rPr>
        <w:t xml:space="preserve">c) </w:t>
      </w:r>
      <w:r>
        <w:rPr>
          <w:noProof/>
        </w:rPr>
        <w:tab/>
        <w:t>ensure that resolutions and recommendations adopted within the WECAFC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the 1995 Code of conduct for responsible fisheries and the 2009 Food and Agriculture Organization Port State Measures Agreement;</w:t>
      </w:r>
    </w:p>
    <w:p>
      <w:pPr>
        <w:pStyle w:val="Point0"/>
        <w:rPr>
          <w:noProof/>
        </w:rPr>
      </w:pPr>
      <w:r>
        <w:rPr>
          <w:noProof/>
        </w:rPr>
        <w:t>d)</w:t>
      </w:r>
      <w:r>
        <w:rPr>
          <w:noProof/>
        </w:rPr>
        <w:tab/>
        <w:t>promote positions consistent with the best practices of regional fisheries management organisations (RFMOs) and regional fisheries bodies (RFBs) in the same area, and ensure the promotion of coordination between RFMOs and relevant organisations such as subregional fisheries organisations and regional sea conventions (RSCs), and cooperation with global organisations, as applicable, within their mandates, where appropriate, including cooperation mechanisms amongst non-tuna RFMOs similar to the so-called Kobe process for tuna RFMOs;</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act in line with the Council Conclusions of 19 March 2012 on the Commission Communication on the external dimension of the CFP</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area under the competence of WECAFC,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act in line with the </w:t>
      </w:r>
      <w:r>
        <w:rPr>
          <w:noProof/>
        </w:rPr>
        <w:t xml:space="preserve">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measures to support and enhance the effectiveness of the WECAFC and, where relevant, improve its governance and performance, notably by supporting the reform of the WECAFC to become a fully fledged RFMO, as a contribution to the sustainable management of oceans in all its dimensions;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WECAFC:</w:t>
      </w:r>
    </w:p>
    <w:p>
      <w:pPr>
        <w:pStyle w:val="Point0"/>
        <w:rPr>
          <w:noProof/>
        </w:rPr>
      </w:pPr>
      <w:r>
        <w:rPr>
          <w:noProof/>
        </w:rPr>
        <w:t xml:space="preserve">a) </w:t>
      </w:r>
      <w:r>
        <w:rPr>
          <w:noProof/>
        </w:rPr>
        <w:tab/>
        <w:t>resolutions and recommendations for the conservation and management of living marine resources in the area under the competence of the WECAFC based on the best scientific advice available;</w:t>
      </w:r>
    </w:p>
    <w:p>
      <w:pPr>
        <w:pStyle w:val="Point0"/>
        <w:rPr>
          <w:noProof/>
        </w:rPr>
      </w:pPr>
      <w:r>
        <w:rPr>
          <w:noProof/>
        </w:rPr>
        <w:t xml:space="preserve">b) </w:t>
      </w:r>
      <w:r>
        <w:rPr>
          <w:noProof/>
        </w:rPr>
        <w:tab/>
        <w:t xml:space="preserve">resolutions and recommendations on monitoring, control and surveillance activities in the area under the competence of the WECAFC, including to prevent, deter and eliminate </w:t>
      </w:r>
      <w:r>
        <w:rPr>
          <w:noProof/>
          <w:szCs w:val="24"/>
        </w:rPr>
        <w:t>illegal, unreported and unregulated (IUU) fishing activities</w:t>
      </w:r>
      <w:r>
        <w:rPr>
          <w:noProof/>
        </w:rPr>
        <w:t>;</w:t>
      </w:r>
    </w:p>
    <w:p>
      <w:pPr>
        <w:pStyle w:val="Point0"/>
        <w:rPr>
          <w:noProof/>
        </w:rPr>
      </w:pPr>
      <w:r>
        <w:rPr>
          <w:noProof/>
        </w:rPr>
        <w:t xml:space="preserve">c) </w:t>
      </w:r>
      <w:r>
        <w:rPr>
          <w:noProof/>
        </w:rPr>
        <w:tab/>
        <w:t>resolutions and recommendations to minimise the negative impact of fishing activities and aquaculture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area under the competence of the WECAFC in line with the FAO International Guidelines for the Management of Deep-sea Fisheries in the High Seas and measures to avoid and reduce as far as possible unwanted catches, including in particular vulnerable marine species, and to gradually eliminate discards;</w:t>
      </w:r>
    </w:p>
    <w:p>
      <w:pPr>
        <w:pStyle w:val="Point0"/>
        <w:rPr>
          <w:noProof/>
        </w:rPr>
      </w:pPr>
      <w:r>
        <w:rPr>
          <w:noProof/>
        </w:rPr>
        <w:t>d)</w:t>
      </w:r>
      <w:r>
        <w:rPr>
          <w:noProof/>
        </w:rPr>
        <w:tab/>
        <w:t>resolutions and recommendations to reduce the impact of Abandoned, Lost or Otherwise Discarded Fishing Gear (ALDFG) in the ocean and to facilitate the identification and recovery of such gear;</w:t>
      </w:r>
    </w:p>
    <w:p>
      <w:pPr>
        <w:pStyle w:val="Point0"/>
        <w:rPr>
          <w:noProof/>
        </w:rPr>
      </w:pPr>
      <w:r>
        <w:rPr>
          <w:noProof/>
        </w:rPr>
        <w:t>e)</w:t>
      </w:r>
      <w:r>
        <w:rPr>
          <w:noProof/>
        </w:rPr>
        <w:tab/>
        <w:t>resolutions and recommendations aimed at the prohibition of fisheries conducted solely for the purpose of harvesting shark fins and requiring that all sharks are landed with all fins naturally attached;</w:t>
      </w:r>
    </w:p>
    <w:p>
      <w:pPr>
        <w:pStyle w:val="Point0"/>
        <w:rPr>
          <w:noProof/>
        </w:rPr>
      </w:pPr>
      <w:r>
        <w:rPr>
          <w:noProof/>
        </w:rPr>
        <w:t>f)</w:t>
      </w:r>
      <w:r>
        <w:rPr>
          <w:noProof/>
        </w:rPr>
        <w:tab/>
        <w:t>common approaches with other RFBs and RFMOs, where appropriate, in particular those involved in fisheries management in the same area;</w:t>
      </w:r>
    </w:p>
    <w:p>
      <w:pPr>
        <w:pStyle w:val="Point0"/>
        <w:rPr>
          <w:noProof/>
        </w:rPr>
      </w:pPr>
      <w:r>
        <w:rPr>
          <w:noProof/>
        </w:rPr>
        <w:t>g</w:t>
      </w:r>
      <w:r>
        <w:rPr>
          <w:noProof/>
          <w:lang w:val="en-US"/>
        </w:rPr>
        <w:t>)</w:t>
      </w:r>
      <w:r>
        <w:rPr>
          <w:noProof/>
          <w:lang w:val="en-US"/>
        </w:rPr>
        <w:tab/>
      </w:r>
      <w:r>
        <w:rPr>
          <w:noProof/>
        </w:rPr>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 xml:space="preserve">h) </w:t>
      </w:r>
      <w:r>
        <w:rPr>
          <w:noProof/>
        </w:rPr>
        <w:tab/>
        <w:t>additional technical resolutions and recommendations based on advice from the subsidiary bodies and working groups of the WECAFC.</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 II</w:t>
      </w:r>
    </w:p>
    <w:p>
      <w:pPr>
        <w:jc w:val="center"/>
        <w:rPr>
          <w:rFonts w:eastAsia="Calibri"/>
          <w:noProof/>
          <w:szCs w:val="20"/>
          <w:lang w:eastAsia="en-GB"/>
        </w:rPr>
      </w:pPr>
      <w:r>
        <w:rPr>
          <w:rFonts w:eastAsia="Calibri"/>
          <w:b/>
          <w:noProof/>
          <w:szCs w:val="20"/>
          <w:lang w:eastAsia="en-GB"/>
        </w:rPr>
        <w:t>Year to year specification of the Union’s position to be taken</w:t>
      </w:r>
      <w:r>
        <w:rPr>
          <w:rFonts w:eastAsia="Calibri"/>
          <w:b/>
          <w:noProof/>
          <w:szCs w:val="20"/>
          <w:lang w:eastAsia="en-GB"/>
        </w:rPr>
        <w:br/>
        <w:t>in sessions of the Western Central Atlantic Fishery</w:t>
      </w:r>
      <w:r>
        <w:rPr>
          <w:rFonts w:eastAsia="Calibri"/>
          <w:noProof/>
          <w:szCs w:val="20"/>
          <w:lang w:eastAsia="en-GB"/>
        </w:rPr>
        <w:t xml:space="preserve"> </w:t>
      </w:r>
      <w:r>
        <w:rPr>
          <w:rFonts w:eastAsia="Calibri"/>
          <w:b/>
          <w:noProof/>
          <w:szCs w:val="20"/>
          <w:lang w:eastAsia="en-GB"/>
        </w:rPr>
        <w:t>Commission</w:t>
      </w:r>
    </w:p>
    <w:p>
      <w:pPr>
        <w:rPr>
          <w:rFonts w:eastAsia="Calibri"/>
          <w:noProof/>
          <w:szCs w:val="20"/>
          <w:lang w:eastAsia="en-GB"/>
        </w:rPr>
      </w:pPr>
      <w:r>
        <w:rPr>
          <w:rFonts w:eastAsia="Calibri"/>
          <w:noProof/>
          <w:szCs w:val="20"/>
          <w:lang w:eastAsia="en-GB"/>
        </w:rPr>
        <w:br/>
        <w:t>Before each session of the WECAFC, when that body is called upon to adopt decisions capable of decisively influencing the content of the legislation adopted by the Union legislature,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session of the WECAFC, a written document setting out the particulars of the proposed specification of the Union’s position for discussion and endorsement of the details of the position to be expressed on the Union's behalf.</w:t>
      </w:r>
    </w:p>
    <w:p>
      <w:pPr>
        <w:rPr>
          <w:noProof/>
        </w:rPr>
      </w:pPr>
      <w:r>
        <w:rPr>
          <w:rFonts w:eastAsia="Calibri"/>
          <w:noProof/>
          <w:szCs w:val="20"/>
          <w:lang w:eastAsia="en-GB"/>
        </w:rPr>
        <w:t>If in the course of a WECAFC session it is impossible to reach an agreement, including on the spot, the matter shall be referred to the Council or its preparatory bodies, in order for the Union’s position to take account of new elements.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EA2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5CFB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4C2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082E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CA43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E61D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A2C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0:59: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BDF21CC2-BFDC-405B-874D-D69AFF8AD015"/>
    <w:docVar w:name="LW_COVERPAGE_TYPE" w:val="1"/>
    <w:docVar w:name="LW_CROSSREFERENCE" w:val="&lt;UNUSED&gt;"/>
    <w:docVar w:name="LW_DocType" w:val="ANNEX"/>
    <w:docVar w:name="LW_EMISSION" w:val="10.7.2019"/>
    <w:docVar w:name="LW_EMISSION_ISODATE" w:val="2019-07-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Western Central Atlantic Fishery Commission"/>
    <w:docVar w:name="LW_OBJETACTEPRINCIPAL.CP" w:val="concerning the position to be taken on behalf of the European Union in the Western Central Atlantic Fishery Commission"/>
    <w:docVar w:name="LW_PART_NBR" w:val="&lt;UNUSED&gt;"/>
    <w:docVar w:name="LW_PART_NBR_TOTAL" w:val="&lt;UNUSED&gt;"/>
    <w:docVar w:name="LW_REF.INST.NEW" w:val="COM"/>
    <w:docVar w:name="LW_REF.INST.NEW_ADOPTED" w:val="final"/>
    <w:docVar w:name="LW_REF.INST.NEW_TEXT" w:val="(2019)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03CDCA-CE65-495E-8838-0633C57B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1065</Words>
  <Characters>5913</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WES PDFC Administrator</cp:lastModifiedBy>
  <cp:revision>8</cp:revision>
  <dcterms:created xsi:type="dcterms:W3CDTF">2019-05-28T10:33:00Z</dcterms:created>
  <dcterms:modified xsi:type="dcterms:W3CDTF">2019-07-01T08:59:00Z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