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C38E3AA-DCC0-49DB-930B-86564F155FEA" style="width:450.4pt;height:39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позицията, която трябва да се заеме от името на Съюза на заседанията на Комитета по риболова в централната източна част на Атлантическия океан (CECAF) през периода 2019—2023 г. във връзка с планираното приемане на необвързващи наблюдения и мерки по отношение на управлението на живите морски ресурси.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Организация на ООН за прехрана и земеделие</w:t>
      </w:r>
    </w:p>
    <w:p>
      <w:pPr>
        <w:rPr>
          <w:noProof/>
        </w:rPr>
      </w:pPr>
      <w:r>
        <w:rPr>
          <w:noProof/>
        </w:rPr>
        <w:t xml:space="preserve">Комитетът по риболова в централната източна част на Атлантическия океан (CECAF) е създаден с Резолюция 1/48 на Съвета на Организацията на ООН за прехрана и земеделие (ФАО) съгласно член VI, параграф 2 от Учредителния акт на ФАО. Уставът на CECAF е обнародван от генералния директор на ФАО на 19 септември 1967 г. и е изменен за последен път през 2003 г., по-специално по отношение на </w:t>
      </w:r>
      <w:r>
        <w:rPr>
          <w:rStyle w:val="def2"/>
          <w:noProof/>
        </w:rPr>
        <w:t>целта, функциите и отговорностите</w:t>
      </w:r>
      <w:r>
        <w:rPr>
          <w:noProof/>
        </w:rPr>
        <w:t xml:space="preserve"> на CECAF. </w:t>
      </w:r>
    </w:p>
    <w:p>
      <w:r>
        <w:rPr>
          <w:noProof/>
        </w:rPr>
        <w:t xml:space="preserve">Целта на CECAF е да насърчава устойчивото използване на живите морски ресурси в рамките на своята зона на компетентност посредством правилно управление и развитие на рибарството и риболовните операции. </w:t>
      </w:r>
      <w:r>
        <w:rPr>
          <w:rStyle w:val="def2"/>
          <w:noProof/>
        </w:rPr>
        <w:t>CECAF обхваща всички живи морски ресурси в рамките на своята зона на компетентност, която се простира от нос Спартел до устието на река Конго.</w:t>
      </w:r>
      <w:r>
        <w:t xml:space="preserve"> </w:t>
      </w:r>
    </w:p>
    <w:p>
      <w:pPr>
        <w:rPr>
          <w:rFonts w:eastAsia="Arial Unicode MS"/>
          <w:noProof/>
        </w:rPr>
      </w:pPr>
      <w:r>
        <w:rPr>
          <w:noProof/>
        </w:rPr>
        <w:t>Европейският съюз е член на CECAF</w:t>
      </w:r>
      <w:r>
        <w:rPr>
          <w:rStyle w:val="FootnoteReference"/>
          <w:noProof/>
        </w:rPr>
        <w:footnoteReference w:id="1"/>
      </w:r>
      <w:r>
        <w:rPr>
          <w:noProof/>
        </w:rPr>
        <w:t>, членове са също така Гърция, Испания, Италия, Нидерландия, Полша, Румъния и Франция.</w:t>
      </w:r>
    </w:p>
    <w:p>
      <w:pPr>
        <w:pStyle w:val="ManualHeading2"/>
        <w:rPr>
          <w:noProof/>
        </w:rPr>
      </w:pPr>
      <w:r>
        <w:t>2.2.</w:t>
      </w:r>
      <w:r>
        <w:tab/>
      </w:r>
      <w:r>
        <w:rPr>
          <w:noProof/>
        </w:rPr>
        <w:t>Комитет по риболова в централната източна част на Атлантическия океан</w:t>
      </w:r>
    </w:p>
    <w:p>
      <w:pPr>
        <w:rPr>
          <w:rFonts w:eastAsia="Arial Unicode MS"/>
          <w:noProof/>
        </w:rPr>
      </w:pPr>
      <w:r>
        <w:rPr>
          <w:noProof/>
        </w:rPr>
        <w:t>CECAF е консултативен технически и регионален орган в областта на рибарството, създаден съгласно член VI, параграф 2 от Учредителния акт на ФАО. Секретариатът на CECAF се управлява и финансира от ФАО. Основните функции на CECAF включват насърчаване, координиране и улесняване на научните изследвания, управлението и дейностите, свързани с опазването и управлението на живите морски ресурси в неговата зона на компетентност. CECAF може също така да предоставя на своите членове консултации относно управлението, наблюдението, контрола и надзора на риболовните дейности. Той освен това работи за установяването на научната основа за регулаторни мерки, водещи до опазването и управлението на морските рибни ресурси, и предоставя консултации във връзка с приемането на регулаторни мерки от страна на правителствата на своите членове.</w:t>
      </w:r>
    </w:p>
    <w:p>
      <w:pPr>
        <w:rPr>
          <w:rFonts w:eastAsia="Arial Unicode MS"/>
          <w:noProof/>
        </w:rPr>
      </w:pPr>
      <w:r>
        <w:rPr>
          <w:rStyle w:val="def3"/>
          <w:noProof/>
        </w:rPr>
        <w:t xml:space="preserve">Заседанията на CECAF обикновено се провеждат на всеки две години. </w:t>
      </w:r>
      <w:r>
        <w:rPr>
          <w:noProof/>
        </w:rPr>
        <w:t>Като негов член Съюзът има право на участие и право на глас. Решенията на CECAF се вземат с мнозинство от подадените гласове, с изключение на случаите, за които в процедурния му правилник е предвидено друго.</w:t>
      </w:r>
    </w:p>
    <w:p>
      <w:pPr>
        <w:pStyle w:val="ManualHeading2"/>
        <w:rPr>
          <w:noProof/>
        </w:rPr>
      </w:pPr>
      <w:r>
        <w:lastRenderedPageBreak/>
        <w:t>2.3.</w:t>
      </w:r>
      <w:r>
        <w:tab/>
      </w:r>
      <w:r>
        <w:rPr>
          <w:noProof/>
        </w:rPr>
        <w:t>Решения, приети от Комитета по риболова в централната източна част на Атлантическия океан</w:t>
      </w:r>
    </w:p>
    <w:p>
      <w:pPr>
        <w:rPr>
          <w:rStyle w:val="def3"/>
          <w:rFonts w:eastAsia="Arial Unicode MS"/>
          <w:noProof/>
        </w:rPr>
      </w:pPr>
      <w:r>
        <w:rPr>
          <w:noProof/>
        </w:rPr>
        <w:t>Съгласно мандата, определен в неговия преработен устав, CECAF предоставя на правителствата на своите членове и на компетентните регионални организации консултации във връзка с мерките за управление („мерките“). Тъй като CECAF има консултативен статут, неговите решения не са обвързващи за членовете му.</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В съответствие с процедурите, приложими по отношение на регионалните организации за управление на рибарството (РОУР), позицията, която трябва да се заеме от името на Съюза на годишните заседания на регионалните органи в областта на рибарството, какъвто е CECAF, се установява посредством двустепенен подход. С решение на Съвета се определят ръководните принципи и насоки на позицията на Съюза на многогодишна основа, която позиция впоследствие се коригира преди всяко годишно заседание посредством неофициални документи на Комисията, предназначени за обсъждане в работната група на Съвета.</w:t>
      </w:r>
    </w:p>
    <w:p>
      <w:pPr>
        <w:rPr>
          <w:noProof/>
        </w:rPr>
      </w:pPr>
      <w:r>
        <w:rPr>
          <w:noProof/>
        </w:rPr>
        <w:t xml:space="preserve">Настоящото предложение за решение: </w:t>
      </w:r>
    </w:p>
    <w:p>
      <w:pPr>
        <w:pStyle w:val="Bullet0"/>
        <w:numPr>
          <w:ilvl w:val="0"/>
          <w:numId w:val="18"/>
        </w:numPr>
        <w:rPr>
          <w:noProof/>
        </w:rPr>
      </w:pPr>
      <w:r>
        <w:rPr>
          <w:noProof/>
        </w:rPr>
        <w:t>съдържа общи принципи и насоки, като същевременно отчита във възможно най-голяма степен специфичните характеристики на CECAF;</w:t>
      </w:r>
    </w:p>
    <w:p>
      <w:pPr>
        <w:pStyle w:val="Bullet0"/>
        <w:rPr>
          <w:noProof/>
        </w:rPr>
      </w:pPr>
      <w:r>
        <w:rPr>
          <w:noProof/>
        </w:rPr>
        <w:t>установява, в съответствие с искането на държавите членки, стандартната процедура за ежегодното определяне на позицията на Съюза;</w:t>
      </w:r>
    </w:p>
    <w:p>
      <w:pPr>
        <w:pStyle w:val="Bullet0"/>
        <w:rPr>
          <w:noProof/>
        </w:rPr>
      </w:pPr>
      <w:r>
        <w:rPr>
          <w:noProof/>
        </w:rPr>
        <w:t>включва принципите и насоките на новата обща политика в областта на рибарството, определени в Регламент (ЕС) № 1380/2013 на Европейския парламент и на Съвета</w:t>
      </w:r>
      <w:r>
        <w:rPr>
          <w:rStyle w:val="FootnoteReference"/>
          <w:noProof/>
        </w:rPr>
        <w:footnoteReference w:id="2"/>
      </w:r>
      <w:r>
        <w:rPr>
          <w:noProof/>
        </w:rPr>
        <w:t>, като е съобразено и с целите, формулирани в Съобщението на Комисията относно външното измерение на общата политика в областта на рибарството</w:t>
      </w:r>
      <w:r>
        <w:rPr>
          <w:rStyle w:val="FootnoteReference"/>
          <w:noProof/>
        </w:rPr>
        <w:footnoteReference w:id="3"/>
      </w:r>
      <w:r>
        <w:rPr>
          <w:noProof/>
        </w:rPr>
        <w:t>;</w:t>
      </w:r>
    </w:p>
    <w:p>
      <w:pPr>
        <w:pStyle w:val="Bullet0"/>
        <w:rPr>
          <w:noProof/>
        </w:rPr>
      </w:pPr>
      <w:r>
        <w:rPr>
          <w:noProof/>
        </w:rPr>
        <w:t>отчита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4"/>
      </w:r>
      <w:r>
        <w:rPr>
          <w:noProof/>
        </w:rPr>
        <w:t>, и заключенията на Съвета във връзка с това съвместно съобщение</w:t>
      </w:r>
      <w:r>
        <w:rPr>
          <w:rStyle w:val="FootnoteReference"/>
          <w:noProof/>
        </w:rPr>
        <w:footnoteReference w:id="5"/>
      </w:r>
      <w:r>
        <w:rPr>
          <w:noProof/>
        </w:rPr>
        <w:t>; и</w:t>
      </w:r>
    </w:p>
    <w:p>
      <w:pPr>
        <w:pStyle w:val="Bullet0"/>
        <w:rPr>
          <w:noProof/>
        </w:rPr>
      </w:pPr>
      <w:r>
        <w:rPr>
          <w:noProof/>
        </w:rPr>
        <w:t>отчита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6"/>
      </w:r>
      <w:r>
        <w:rPr>
          <w:noProof/>
        </w:rPr>
        <w:t>.</w:t>
      </w:r>
    </w:p>
    <w:p>
      <w:pPr>
        <w:pStyle w:val="ManualHeading1"/>
        <w:rPr>
          <w:noProof/>
        </w:rPr>
      </w:pPr>
      <w:r>
        <w:lastRenderedPageBreak/>
        <w:t>4.</w:t>
      </w:r>
      <w:r>
        <w:tab/>
      </w:r>
      <w:r>
        <w:rPr>
          <w:noProof/>
        </w:rPr>
        <w:t xml:space="preserve"> 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(„Договора“)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7"/>
      </w:r>
      <w:r>
        <w:rPr>
          <w:noProof/>
        </w:rPr>
        <w:t>.</w:t>
      </w:r>
    </w:p>
    <w:p>
      <w:pPr>
        <w:pStyle w:val="ManualHeading3"/>
        <w:rPr>
          <w:noProof/>
        </w:rPr>
      </w:pPr>
      <w:r>
        <w:t>4.1.2.</w:t>
      </w:r>
      <w:r>
        <w:tab/>
      </w:r>
      <w:r>
        <w:rPr>
          <w:noProof/>
        </w:rPr>
        <w:t>Приложение в конкретния случай</w:t>
      </w:r>
    </w:p>
    <w:p>
      <w:pPr>
        <w:rPr>
          <w:noProof/>
        </w:rPr>
      </w:pPr>
      <w:r>
        <w:rPr>
          <w:noProof/>
        </w:rPr>
        <w:t>CECAF е технически и регионален орган в областта на рибарството, създаден с Резолюция 1/48 на ФАО от 1967 г. съгласно член VI, параграф 2 от Учредителния акт на ФАО. Решенията на CECAF („мерките“) не са обвързващи за неговите членове, но актовете, които CECAF има за задача да приема, са годни да окажат съществено въздействие върху съдържанието на приеманата от законодателя на Съюза нормативна уредба.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Договора.</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Договора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Договора трябва да се основава на едно-единствено материалноправно основание, а именно на изискваното от основната цел или част.</w:t>
      </w:r>
    </w:p>
    <w:p>
      <w:pPr>
        <w:pStyle w:val="ManualHeading3"/>
        <w:rPr>
          <w:noProof/>
        </w:rPr>
      </w:pPr>
      <w:r>
        <w:t>4.2.2.</w:t>
      </w:r>
      <w:r>
        <w:tab/>
      </w:r>
      <w:r>
        <w:rPr>
          <w:noProof/>
        </w:rPr>
        <w:t>Приложение в конкретния случай</w:t>
      </w:r>
    </w:p>
    <w:p>
      <w:r>
        <w:rPr>
          <w:noProof/>
        </w:rPr>
        <w:t xml:space="preserve">Основната цел и съдържание на предвидения акт са свързани с риболова. Правното основание при определяне на принципите, които трябва да бъдат отразени в настоящата позиция, е Регламент (ЕС) № 1380/2013. </w:t>
      </w:r>
    </w:p>
    <w:p>
      <w:pPr>
        <w:rPr>
          <w:i/>
          <w:noProof/>
        </w:rPr>
      </w:pPr>
      <w:r>
        <w:rPr>
          <w:noProof/>
        </w:rPr>
        <w:t>Поради това материалноправното основание за предложеното решение е член 43, параграф 2 от Договора</w:t>
      </w:r>
      <w:r>
        <w:t>.</w:t>
      </w:r>
    </w:p>
    <w:p>
      <w:pPr>
        <w:pStyle w:val="ManualHeading2"/>
        <w:rPr>
          <w:noProof/>
        </w:rPr>
      </w:pPr>
      <w:r>
        <w:lastRenderedPageBreak/>
        <w:t>4.3.</w:t>
      </w:r>
      <w:r>
        <w:tab/>
      </w:r>
      <w:r>
        <w:rPr>
          <w:noProof/>
        </w:rPr>
        <w:t>Заключение</w:t>
      </w:r>
    </w:p>
    <w:p>
      <w:pPr>
        <w:rPr>
          <w:noProof/>
        </w:rPr>
      </w:pPr>
      <w:r>
        <w:rPr>
          <w:noProof/>
        </w:rPr>
        <w:t>Правното основание за предложеното решение следва да е член 43, параграф 2 от Договора във връзка с член 218, параграф 9 от Договора.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риболова в централната източна част на Атлантическия океан</w:t>
      </w:r>
    </w:p>
    <w:p>
      <w:pPr>
        <w:pStyle w:val="IntrtEEE"/>
        <w:rPr>
          <w:noProof/>
        </w:rPr>
      </w:pPr>
      <w:r>
        <w:rPr>
          <w:noProof/>
        </w:rPr>
        <w:t>(текст от значение за ЕИП)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(„Договора“), и по-специално член 43, параграф 2 във връзка с член 218</w:t>
      </w:r>
      <w:r>
        <w:t>,</w:t>
      </w:r>
      <w:r>
        <w:rPr>
          <w:noProof/>
        </w:rPr>
        <w:t xml:space="preserve">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Европейският съюз е член на Комитета по риболова в централната източна част на Атлантическия океан (CECAF) — регионален комитет по риболова към Организацията на ООН за прехрана и земеделие (ФАО), създаден съгласно член VI, параграф 2 от Учредителния акт на ФАО.</w:t>
      </w:r>
    </w:p>
    <w:p>
      <w:pPr>
        <w:pStyle w:val="ManualConsidrant"/>
        <w:rPr>
          <w:noProof/>
        </w:rPr>
      </w:pPr>
      <w:r>
        <w:t>(2)</w:t>
      </w:r>
      <w:r>
        <w:tab/>
      </w:r>
      <w:r>
        <w:rPr>
          <w:noProof/>
        </w:rPr>
        <w:t>Европейският съюз е член на ФАО</w:t>
      </w:r>
      <w:r>
        <w:rPr>
          <w:rStyle w:val="FootnoteReference"/>
          <w:noProof/>
        </w:rPr>
        <w:footnoteReference w:id="8"/>
      </w:r>
      <w:r>
        <w:rPr>
          <w:noProof/>
        </w:rPr>
        <w:t>.</w:t>
      </w:r>
    </w:p>
    <w:p>
      <w:pPr>
        <w:pStyle w:val="ManualConsidrant"/>
        <w:rPr>
          <w:noProof/>
        </w:rPr>
      </w:pPr>
      <w:r>
        <w:t>(3)</w:t>
      </w:r>
      <w:r>
        <w:tab/>
      </w:r>
      <w:r>
        <w:rPr>
          <w:noProof/>
        </w:rPr>
        <w:t>Съгласно мандата, определен в неговия преработен устав, CECAF предоставя консултации във връзка с мерките за управление („мерките“). Тъй като CECAF има консултативен статут, неговите решения не са обвързващи за членовете му.</w:t>
      </w:r>
    </w:p>
    <w:p>
      <w:pPr>
        <w:pStyle w:val="ManualConsidrant"/>
        <w:rPr>
          <w:noProof/>
        </w:rPr>
      </w:pPr>
      <w:r>
        <w:t>(4)</w:t>
      </w:r>
      <w:r>
        <w:tab/>
      </w:r>
      <w:r>
        <w:rPr>
          <w:noProof/>
        </w:rPr>
        <w:t>На заседанията си CECAF предоставя консултации във връзка с мерките за опазване и управление на живите морски ресурси.</w:t>
      </w:r>
    </w:p>
    <w:p>
      <w:pPr>
        <w:pStyle w:val="ManualConsidrant"/>
        <w:rPr>
          <w:noProof/>
        </w:rPr>
      </w:pPr>
      <w:r>
        <w:t>(5)</w:t>
      </w:r>
      <w:r>
        <w:tab/>
      </w:r>
      <w:r>
        <w:rPr>
          <w:noProof/>
        </w:rPr>
        <w:t>Тъй като CECAF има за задача да приема необвързващи актове, които са годни да окажат съществено въздействие върху съдържанието на приеманата от законодателя на Съюза нормативна уредба, целесъобразно е да се установи позицията, която трябва да се заеме от името на Съюза в рамките на CECAF през периода 2019—2023 г. Повечето решения на Съвета, с които се определя позицията на Съюза в рамките на регионалните организации за управление на рибарството (РОУР), в които Съюзът е договаряща страна, подлежат на преразглеждане преди годишните заседания на съответните РОУР за 2024 г. За да се съгласуват по-добре позициите на Съюза във всички регионални организации за управление на рибарството и регионални органи в областта на рибарството, както и за да се рационализира процесът на преразглеждане, настоящото решение на Съвета следва да бъде преразгледано най-късно преди CECAF да проведе свое заседание през 2024 г.</w:t>
      </w:r>
    </w:p>
    <w:p>
      <w:pPr>
        <w:pStyle w:val="ManualConsidrant"/>
        <w:rPr>
          <w:noProof/>
        </w:rPr>
      </w:pPr>
      <w:r>
        <w:t>(6)</w:t>
      </w:r>
      <w:r>
        <w:tab/>
      </w:r>
      <w:r>
        <w:rPr>
          <w:noProof/>
        </w:rPr>
        <w:t xml:space="preserve">В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w:t>
      </w:r>
      <w:r>
        <w:rPr>
          <w:noProof/>
        </w:rPr>
        <w:lastRenderedPageBreak/>
        <w:t>отговорното управление на океаните“</w:t>
      </w:r>
      <w:r>
        <w:rPr>
          <w:rStyle w:val="FootnoteReference"/>
          <w:noProof/>
        </w:rPr>
        <w:footnoteReference w:id="9"/>
      </w:r>
      <w:r>
        <w:rPr>
          <w:noProof/>
        </w:rPr>
        <w:t>, и в заключенията на Съвета във връзка с това съвместно съобщение</w:t>
      </w:r>
      <w:r>
        <w:rPr>
          <w:rStyle w:val="FootnoteReference"/>
          <w:noProof/>
        </w:rPr>
        <w:footnoteReference w:id="10"/>
      </w:r>
      <w:r>
        <w:rPr>
          <w:noProof/>
        </w:rPr>
        <w:t>, се посочва, че насърчаването на мерките за подкрепа и повишаване на ефективността на регионалните организации за управление на рибарството и, когато е уместно, за подобряване на тяхното управление и за засилване на сътрудничеството в ключови области, свързани с океана, с цел запълване на пропуските в регионалното управление, е в центъра на действието на ЕС в рамките на тези форуми.</w:t>
      </w:r>
    </w:p>
    <w:p>
      <w:pPr>
        <w:pStyle w:val="ManualConsidrant"/>
        <w:rPr>
          <w:noProof/>
        </w:rPr>
      </w:pPr>
      <w:r>
        <w:t>(7)</w:t>
      </w:r>
      <w:r>
        <w:tab/>
      </w:r>
      <w:r>
        <w:rPr>
          <w:noProof/>
        </w:rPr>
        <w:t>Както се посочва в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11"/>
      </w:r>
      <w:r>
        <w:rPr>
          <w:noProof/>
        </w:rPr>
        <w:t>, необходимо е да се предприемат конкретни мерки за намаляване на отпадъците от пластмаси и замърсяването на морската среда, както и за ограничаване на случаите на загуба или изоставяне на риболовни уреди в морето.</w:t>
      </w:r>
    </w:p>
    <w:p>
      <w:pPr>
        <w:pStyle w:val="ManualConsidrant"/>
        <w:rPr>
          <w:noProof/>
        </w:rPr>
      </w:pPr>
      <w:r>
        <w:t>(8)</w:t>
      </w:r>
      <w:r>
        <w:tab/>
      </w:r>
      <w:r>
        <w:rPr>
          <w:noProof/>
        </w:rPr>
        <w:t>Предвид изменящия се характер на рибните ресурси в зоната на CECAF и необходимостта в позицията на Съюза да бъдат взети под внимание някои нови обстоятелства, включително новата научна и друга важна информация, представена преди или по време на заседанията на CECAF, следва да бъдат установени процедури във връзка с ежегодното уточняване на позицията на Съюза през периода 2019—2023 г., които са съобразени с принципа на лоялно сътрудничество между институциите на Съюза, залегнал в член 13, параграф 2 от Договора за Европейския съюз,</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заседанията на Комитета по риболова в централната източна част на Атлантическия океан (CECAF), е определена в приложение I.</w:t>
      </w:r>
    </w:p>
    <w:p>
      <w:pPr>
        <w:pStyle w:val="Titrearticle"/>
        <w:rPr>
          <w:noProof/>
        </w:rPr>
      </w:pPr>
      <w:r>
        <w:rPr>
          <w:noProof/>
        </w:rPr>
        <w:t>Член 2</w:t>
      </w:r>
    </w:p>
    <w:p>
      <w:pPr>
        <w:rPr>
          <w:noProof/>
        </w:rPr>
      </w:pPr>
      <w:r>
        <w:rPr>
          <w:noProof/>
        </w:rPr>
        <w:t>Ежегодното уточняване на позицията на Съюза, която трябва да се заеме на заседанията на CECAF, се извършва в съответствие с приложение II.</w:t>
      </w:r>
    </w:p>
    <w:p>
      <w:pPr>
        <w:pStyle w:val="Titrearticle"/>
        <w:rPr>
          <w:noProof/>
        </w:rPr>
      </w:pPr>
      <w:r>
        <w:rPr>
          <w:noProof/>
        </w:rPr>
        <w:t>Член 3</w:t>
      </w:r>
    </w:p>
    <w:p>
      <w:pPr>
        <w:rPr>
          <w:noProof/>
        </w:rPr>
      </w:pPr>
      <w:r>
        <w:rPr>
          <w:noProof/>
        </w:rPr>
        <w:t>Позицията на Съюза, определена в приложение I, се оценява и при необходимост се преразглежда от Съвета по предложение на Комисията най-късно преди CECAF да проведе свое заседание през 2024 г.</w:t>
      </w:r>
    </w:p>
    <w:p>
      <w:pPr>
        <w:pStyle w:val="Titrearticle"/>
        <w:rPr>
          <w:noProof/>
        </w:rPr>
      </w:pPr>
      <w:r>
        <w:rPr>
          <w:noProof/>
        </w:rPr>
        <w:lastRenderedPageBreak/>
        <w:t>Член 4</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25 ноември 1991 г. за присъединяване на Европейската икономическа общност към Организацията на ООН за прехрана и земеделие (ФАО).</w:t>
      </w:r>
    </w:p>
  </w:footnote>
  <w:footnote w:id="2">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rPr>
          <w:lang w:val="pt-PT"/>
        </w:rPr>
      </w:pPr>
      <w:r>
        <w:rPr>
          <w:rStyle w:val="FootnoteReference"/>
        </w:rPr>
        <w:footnoteRef/>
      </w:r>
      <w:r>
        <w:tab/>
        <w:t>COM(2011) 424, 13.7.2011 г.</w:t>
      </w:r>
    </w:p>
  </w:footnote>
  <w:footnote w:id="4">
    <w:p>
      <w:pPr>
        <w:pStyle w:val="FootnoteText"/>
        <w:rPr>
          <w:lang w:val="pt-PT"/>
        </w:rPr>
      </w:pPr>
      <w:r>
        <w:rPr>
          <w:rStyle w:val="FootnoteReference"/>
        </w:rPr>
        <w:footnoteRef/>
      </w:r>
      <w:r>
        <w:tab/>
        <w:t>JOIN(2016) 49 final, 10.11.2016 г.</w:t>
      </w:r>
    </w:p>
  </w:footnote>
  <w:footnote w:id="5">
    <w:p>
      <w:pPr>
        <w:pStyle w:val="FootnoteText"/>
        <w:rPr>
          <w:lang w:val="pt-PT"/>
        </w:rPr>
      </w:pPr>
      <w:r>
        <w:rPr>
          <w:rStyle w:val="FootnoteReference"/>
        </w:rPr>
        <w:footnoteRef/>
      </w:r>
      <w:r>
        <w:tab/>
        <w:t>7348/1/17 REV 1, 24.3.2017 г.</w:t>
      </w:r>
    </w:p>
  </w:footnote>
  <w:footnote w:id="6">
    <w:p>
      <w:pPr>
        <w:pStyle w:val="FootnoteText"/>
      </w:pPr>
      <w:r>
        <w:rPr>
          <w:rStyle w:val="FootnoteReference"/>
        </w:rPr>
        <w:footnoteRef/>
      </w:r>
      <w:r>
        <w:tab/>
        <w:t>COM(2018) 28 final, 16.1.2018 г.</w:t>
      </w:r>
    </w:p>
  </w:footnote>
  <w:footnote w:id="7">
    <w:p>
      <w:pPr>
        <w:pStyle w:val="FootnoteText"/>
      </w:pPr>
      <w:r>
        <w:rPr>
          <w:rStyle w:val="FootnoteReference"/>
        </w:rPr>
        <w:footnoteRef/>
      </w:r>
      <w:r>
        <w:tab/>
        <w:t xml:space="preserve">Решение на Съда на Европейския съюз от 7 октомври 2014 г., </w:t>
      </w:r>
      <w:r>
        <w:rPr>
          <w:i/>
        </w:rPr>
        <w:t>Германия/Съвет</w:t>
      </w:r>
      <w:r>
        <w:t xml:space="preserve">, C-399/12, ECLI:EU:C:2014:2258, т. 61—64. </w:t>
      </w:r>
    </w:p>
  </w:footnote>
  <w:footnote w:id="8">
    <w:p>
      <w:pPr>
        <w:pStyle w:val="FootnoteText"/>
      </w:pPr>
      <w:r>
        <w:rPr>
          <w:rStyle w:val="FootnoteReference"/>
        </w:rPr>
        <w:footnoteRef/>
      </w:r>
      <w:r>
        <w:tab/>
        <w:t>Решение на Съвета от 25 ноември 1991 г. за присъединяване на Европейската икономическа общност към Организацията на ООН за прехрана и земеделие (ФАО).</w:t>
      </w:r>
    </w:p>
  </w:footnote>
  <w:footnote w:id="9">
    <w:p>
      <w:pPr>
        <w:pStyle w:val="FootnoteText"/>
      </w:pPr>
      <w:r>
        <w:rPr>
          <w:rStyle w:val="FootnoteReference"/>
        </w:rPr>
        <w:footnoteRef/>
      </w:r>
      <w:r>
        <w:tab/>
        <w:t>JOIN(2016) 49 final, 10.11.2016 г.</w:t>
      </w:r>
    </w:p>
  </w:footnote>
  <w:footnote w:id="10">
    <w:p>
      <w:pPr>
        <w:pStyle w:val="FootnoteText"/>
      </w:pPr>
      <w:r>
        <w:rPr>
          <w:rStyle w:val="FootnoteReference"/>
        </w:rPr>
        <w:footnoteRef/>
      </w:r>
      <w:r>
        <w:tab/>
        <w:t>7348/1/17 REV 1, 24.3.2017 г.</w:t>
      </w:r>
    </w:p>
  </w:footnote>
  <w:footnote w:id="11">
    <w:p>
      <w:pPr>
        <w:pStyle w:val="FootnoteText"/>
      </w:pPr>
      <w:r>
        <w:rPr>
          <w:rStyle w:val="FootnoteReference"/>
        </w:rPr>
        <w:footnoteRef/>
      </w:r>
      <w:r>
        <w:tab/>
        <w:t>COM(2018) 28 final, 16.1.2018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5: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38E3AA-DCC0-49DB-930B-86564F155FEA"/>
    <w:docVar w:name="LW_COVERPAGE_TYPE" w:val="1"/>
    <w:docVar w:name="LW_CROSSREFERENCE" w:val="&lt;UNUSED&gt;"/>
    <w:docVar w:name="LW_DocType" w:val="COM"/>
    <w:docVar w:name="LW_EMISSION" w:val="10.7.2019"/>
    <w:docVar w:name="LW_EMISSION_ISODATE" w:val="2019-07-1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8?\u1080?\u1073?\u1086?\u1083?\u1086?\u1074?\u1072? \u1074? \u1094?\u1077?\u1085?\u1090?\u1088?\u1072?\u1083?\u1085?\u1072?\u1090?\u1072? \u1080?\u1079?\u1090?\u1086?\u1095?\u1085?\u1072? \u1095?\u1072?\u1089?\u1090? \u1085?\u1072? \u1040?\u1090?\u1083?\u1072?\u1085?\u1090?\u1080?\u1095?\u1077?\u1089?\u1082?\u1080?\u1103? \u1086?\u1082?\u1077?\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799">
      <w:bodyDiv w:val="1"/>
      <w:marLeft w:val="0"/>
      <w:marRight w:val="0"/>
      <w:marTop w:val="0"/>
      <w:marBottom w:val="0"/>
      <w:divBdr>
        <w:top w:val="none" w:sz="0" w:space="0" w:color="auto"/>
        <w:left w:val="none" w:sz="0" w:space="0" w:color="auto"/>
        <w:bottom w:val="none" w:sz="0" w:space="0" w:color="auto"/>
        <w:right w:val="none" w:sz="0" w:space="0" w:color="auto"/>
      </w:divBdr>
    </w:div>
    <w:div w:id="255358719">
      <w:bodyDiv w:val="1"/>
      <w:marLeft w:val="0"/>
      <w:marRight w:val="0"/>
      <w:marTop w:val="0"/>
      <w:marBottom w:val="0"/>
      <w:divBdr>
        <w:top w:val="none" w:sz="0" w:space="0" w:color="auto"/>
        <w:left w:val="none" w:sz="0" w:space="0" w:color="auto"/>
        <w:bottom w:val="none" w:sz="0" w:space="0" w:color="auto"/>
        <w:right w:val="none" w:sz="0" w:space="0" w:color="auto"/>
      </w:divBdr>
    </w:div>
    <w:div w:id="508521585">
      <w:bodyDiv w:val="1"/>
      <w:marLeft w:val="0"/>
      <w:marRight w:val="0"/>
      <w:marTop w:val="0"/>
      <w:marBottom w:val="0"/>
      <w:divBdr>
        <w:top w:val="none" w:sz="0" w:space="0" w:color="auto"/>
        <w:left w:val="none" w:sz="0" w:space="0" w:color="auto"/>
        <w:bottom w:val="none" w:sz="0" w:space="0" w:color="auto"/>
        <w:right w:val="none" w:sz="0" w:space="0" w:color="auto"/>
      </w:divBdr>
    </w:div>
    <w:div w:id="609436219">
      <w:bodyDiv w:val="1"/>
      <w:marLeft w:val="0"/>
      <w:marRight w:val="0"/>
      <w:marTop w:val="0"/>
      <w:marBottom w:val="0"/>
      <w:divBdr>
        <w:top w:val="none" w:sz="0" w:space="0" w:color="auto"/>
        <w:left w:val="none" w:sz="0" w:space="0" w:color="auto"/>
        <w:bottom w:val="none" w:sz="0" w:space="0" w:color="auto"/>
        <w:right w:val="none" w:sz="0" w:space="0" w:color="auto"/>
      </w:divBdr>
    </w:div>
    <w:div w:id="748162930">
      <w:bodyDiv w:val="1"/>
      <w:marLeft w:val="0"/>
      <w:marRight w:val="0"/>
      <w:marTop w:val="0"/>
      <w:marBottom w:val="0"/>
      <w:divBdr>
        <w:top w:val="none" w:sz="0" w:space="0" w:color="auto"/>
        <w:left w:val="none" w:sz="0" w:space="0" w:color="auto"/>
        <w:bottom w:val="none" w:sz="0" w:space="0" w:color="auto"/>
        <w:right w:val="none" w:sz="0" w:space="0" w:color="auto"/>
      </w:divBdr>
    </w:div>
    <w:div w:id="816186323">
      <w:bodyDiv w:val="1"/>
      <w:marLeft w:val="0"/>
      <w:marRight w:val="0"/>
      <w:marTop w:val="0"/>
      <w:marBottom w:val="0"/>
      <w:divBdr>
        <w:top w:val="none" w:sz="0" w:space="0" w:color="auto"/>
        <w:left w:val="none" w:sz="0" w:space="0" w:color="auto"/>
        <w:bottom w:val="none" w:sz="0" w:space="0" w:color="auto"/>
        <w:right w:val="none" w:sz="0" w:space="0" w:color="auto"/>
      </w:divBdr>
    </w:div>
    <w:div w:id="1141072736">
      <w:bodyDiv w:val="1"/>
      <w:marLeft w:val="0"/>
      <w:marRight w:val="0"/>
      <w:marTop w:val="0"/>
      <w:marBottom w:val="0"/>
      <w:divBdr>
        <w:top w:val="none" w:sz="0" w:space="0" w:color="auto"/>
        <w:left w:val="none" w:sz="0" w:space="0" w:color="auto"/>
        <w:bottom w:val="none" w:sz="0" w:space="0" w:color="auto"/>
        <w:right w:val="none" w:sz="0" w:space="0" w:color="auto"/>
      </w:divBdr>
    </w:div>
    <w:div w:id="1289629423">
      <w:bodyDiv w:val="1"/>
      <w:marLeft w:val="0"/>
      <w:marRight w:val="0"/>
      <w:marTop w:val="0"/>
      <w:marBottom w:val="0"/>
      <w:divBdr>
        <w:top w:val="none" w:sz="0" w:space="0" w:color="auto"/>
        <w:left w:val="none" w:sz="0" w:space="0" w:color="auto"/>
        <w:bottom w:val="none" w:sz="0" w:space="0" w:color="auto"/>
        <w:right w:val="none" w:sz="0" w:space="0" w:color="auto"/>
      </w:divBdr>
    </w:div>
    <w:div w:id="1433668880">
      <w:bodyDiv w:val="1"/>
      <w:marLeft w:val="0"/>
      <w:marRight w:val="0"/>
      <w:marTop w:val="0"/>
      <w:marBottom w:val="0"/>
      <w:divBdr>
        <w:top w:val="none" w:sz="0" w:space="0" w:color="auto"/>
        <w:left w:val="none" w:sz="0" w:space="0" w:color="auto"/>
        <w:bottom w:val="none" w:sz="0" w:space="0" w:color="auto"/>
        <w:right w:val="none" w:sz="0" w:space="0" w:color="auto"/>
      </w:divBdr>
    </w:div>
    <w:div w:id="1651638696">
      <w:bodyDiv w:val="1"/>
      <w:marLeft w:val="0"/>
      <w:marRight w:val="0"/>
      <w:marTop w:val="0"/>
      <w:marBottom w:val="0"/>
      <w:divBdr>
        <w:top w:val="none" w:sz="0" w:space="0" w:color="auto"/>
        <w:left w:val="none" w:sz="0" w:space="0" w:color="auto"/>
        <w:bottom w:val="none" w:sz="0" w:space="0" w:color="auto"/>
        <w:right w:val="none" w:sz="0" w:space="0" w:color="auto"/>
      </w:divBdr>
    </w:div>
    <w:div w:id="1717240923">
      <w:bodyDiv w:val="1"/>
      <w:marLeft w:val="0"/>
      <w:marRight w:val="0"/>
      <w:marTop w:val="0"/>
      <w:marBottom w:val="0"/>
      <w:divBdr>
        <w:top w:val="none" w:sz="0" w:space="0" w:color="auto"/>
        <w:left w:val="none" w:sz="0" w:space="0" w:color="auto"/>
        <w:bottom w:val="none" w:sz="0" w:space="0" w:color="auto"/>
        <w:right w:val="none" w:sz="0" w:space="0" w:color="auto"/>
      </w:divBdr>
      <w:divsChild>
        <w:div w:id="2058428013">
          <w:marLeft w:val="0"/>
          <w:marRight w:val="0"/>
          <w:marTop w:val="0"/>
          <w:marBottom w:val="0"/>
          <w:divBdr>
            <w:top w:val="none" w:sz="0" w:space="0" w:color="auto"/>
            <w:left w:val="none" w:sz="0" w:space="0" w:color="auto"/>
            <w:bottom w:val="none" w:sz="0" w:space="0" w:color="auto"/>
            <w:right w:val="none" w:sz="0" w:space="0" w:color="auto"/>
          </w:divBdr>
        </w:div>
        <w:div w:id="1163665231">
          <w:marLeft w:val="0"/>
          <w:marRight w:val="0"/>
          <w:marTop w:val="0"/>
          <w:marBottom w:val="0"/>
          <w:divBdr>
            <w:top w:val="none" w:sz="0" w:space="0" w:color="auto"/>
            <w:left w:val="none" w:sz="0" w:space="0" w:color="auto"/>
            <w:bottom w:val="none" w:sz="0" w:space="0" w:color="auto"/>
            <w:right w:val="none" w:sz="0" w:space="0" w:color="auto"/>
          </w:divBdr>
        </w:div>
        <w:div w:id="715010588">
          <w:marLeft w:val="0"/>
          <w:marRight w:val="0"/>
          <w:marTop w:val="0"/>
          <w:marBottom w:val="0"/>
          <w:divBdr>
            <w:top w:val="none" w:sz="0" w:space="0" w:color="auto"/>
            <w:left w:val="none" w:sz="0" w:space="0" w:color="auto"/>
            <w:bottom w:val="none" w:sz="0" w:space="0" w:color="auto"/>
            <w:right w:val="none" w:sz="0" w:space="0" w:color="auto"/>
          </w:divBdr>
        </w:div>
      </w:divsChild>
    </w:div>
    <w:div w:id="1744795503">
      <w:bodyDiv w:val="1"/>
      <w:marLeft w:val="0"/>
      <w:marRight w:val="0"/>
      <w:marTop w:val="0"/>
      <w:marBottom w:val="0"/>
      <w:divBdr>
        <w:top w:val="none" w:sz="0" w:space="0" w:color="auto"/>
        <w:left w:val="none" w:sz="0" w:space="0" w:color="auto"/>
        <w:bottom w:val="none" w:sz="0" w:space="0" w:color="auto"/>
        <w:right w:val="none" w:sz="0" w:space="0" w:color="auto"/>
      </w:divBdr>
    </w:div>
    <w:div w:id="1759861863">
      <w:bodyDiv w:val="1"/>
      <w:marLeft w:val="0"/>
      <w:marRight w:val="0"/>
      <w:marTop w:val="0"/>
      <w:marBottom w:val="0"/>
      <w:divBdr>
        <w:top w:val="none" w:sz="0" w:space="0" w:color="auto"/>
        <w:left w:val="none" w:sz="0" w:space="0" w:color="auto"/>
        <w:bottom w:val="none" w:sz="0" w:space="0" w:color="auto"/>
        <w:right w:val="none" w:sz="0" w:space="0" w:color="auto"/>
      </w:divBdr>
    </w:div>
    <w:div w:id="1924990696">
      <w:bodyDiv w:val="1"/>
      <w:marLeft w:val="0"/>
      <w:marRight w:val="0"/>
      <w:marTop w:val="0"/>
      <w:marBottom w:val="0"/>
      <w:divBdr>
        <w:top w:val="none" w:sz="0" w:space="0" w:color="auto"/>
        <w:left w:val="none" w:sz="0" w:space="0" w:color="auto"/>
        <w:bottom w:val="none" w:sz="0" w:space="0" w:color="auto"/>
        <w:right w:val="none" w:sz="0" w:space="0" w:color="auto"/>
      </w:divBdr>
    </w:div>
    <w:div w:id="21362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57F72C-53C5-4892-B0B6-00B25E31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1752</Words>
  <Characters>9953</Characters>
  <Application>Microsoft Office Word</Application>
  <DocSecurity>0</DocSecurity>
  <Lines>195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2019-06-24T15:55:00Z</dcterms:created>
  <dcterms:modified xsi:type="dcterms:W3CDTF">2019-07-01T09:15:00Z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