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53AA4F4-3382-4EEA-BC42-3D9F5E26B008" style="width:450.75pt;height:410.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ПРИЛОЖЕНИЕ </w:t>
      </w:r>
    </w:p>
    <w:p>
      <w:pPr>
        <w:pStyle w:val="TOC1"/>
        <w:rPr>
          <w:rFonts w:eastAsia="Times New Roman"/>
          <w:b/>
          <w:noProof/>
          <w:szCs w:val="24"/>
        </w:rPr>
      </w:pPr>
      <w:r>
        <w:rPr>
          <w:b/>
          <w:noProof/>
          <w:szCs w:val="24"/>
        </w:rPr>
        <w:t>Съдържание</w:t>
      </w:r>
    </w:p>
    <w:p>
      <w:pPr>
        <w:pStyle w:val="TOC1"/>
        <w:rPr>
          <w:rFonts w:asciiTheme="minorHAnsi" w:eastAsiaTheme="minorEastAsia" w:hAnsiTheme="minorHAnsi" w:cstheme="minorBidi"/>
          <w:noProof/>
          <w:sz w:val="22"/>
          <w:lang w:eastAsia="en-GB"/>
        </w:rPr>
      </w:pPr>
      <w:r>
        <w:rPr>
          <w:rFonts w:eastAsia="Times New Roman"/>
          <w:caps/>
          <w:noProof/>
          <w:szCs w:val="24"/>
        </w:rPr>
        <w:fldChar w:fldCharType="begin"/>
      </w:r>
      <w:r>
        <w:rPr>
          <w:rFonts w:eastAsia="Times New Roman"/>
          <w:caps/>
          <w:noProof/>
          <w:szCs w:val="24"/>
        </w:rPr>
        <w:instrText xml:space="preserve"> TOC \o "1-1" \h \z \t "Heading 2;2;Heading 3;3;Annex Title;1" </w:instrText>
      </w:r>
      <w:r>
        <w:rPr>
          <w:rFonts w:eastAsia="Times New Roman"/>
          <w:caps/>
          <w:noProof/>
          <w:szCs w:val="24"/>
        </w:rPr>
        <w:fldChar w:fldCharType="separate"/>
      </w:r>
      <w:hyperlink w:anchor="_Toc13477359" w:history="1">
        <w:r>
          <w:rPr>
            <w:rStyle w:val="Hyperlink"/>
            <w:rFonts w:eastAsia="Times New Roman"/>
            <w:noProof/>
          </w:rPr>
          <w:t>1.</w:t>
        </w:r>
        <w:r>
          <w:rPr>
            <w:rFonts w:asciiTheme="minorHAnsi" w:eastAsiaTheme="minorEastAsia" w:hAnsiTheme="minorHAnsi" w:cstheme="minorBidi"/>
            <w:noProof/>
            <w:sz w:val="22"/>
            <w:lang w:eastAsia="en-GB"/>
          </w:rPr>
          <w:tab/>
        </w:r>
        <w:r>
          <w:rPr>
            <w:rStyle w:val="Hyperlink"/>
            <w:noProof/>
          </w:rPr>
          <w:t>Въведение</w:t>
        </w:r>
        <w:r>
          <w:rPr>
            <w:noProof/>
            <w:webHidden/>
          </w:rPr>
          <w:tab/>
        </w:r>
        <w:r>
          <w:rPr>
            <w:noProof/>
            <w:webHidden/>
          </w:rPr>
          <w:fldChar w:fldCharType="begin"/>
        </w:r>
        <w:r>
          <w:rPr>
            <w:noProof/>
            <w:webHidden/>
          </w:rPr>
          <w:instrText xml:space="preserve"> PAGEREF _Toc13477359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0" w:history="1">
        <w:r>
          <w:rPr>
            <w:rStyle w:val="Hyperlink"/>
            <w:rFonts w:eastAsia="Times New Roman"/>
            <w:noProof/>
          </w:rPr>
          <w:t>1.1.</w:t>
        </w:r>
        <w:r>
          <w:rPr>
            <w:rFonts w:asciiTheme="minorHAnsi" w:eastAsiaTheme="minorEastAsia" w:hAnsiTheme="minorHAnsi" w:cstheme="minorBidi"/>
            <w:noProof/>
            <w:sz w:val="22"/>
            <w:lang w:eastAsia="en-GB"/>
          </w:rPr>
          <w:tab/>
        </w:r>
        <w:r>
          <w:rPr>
            <w:rStyle w:val="Hyperlink"/>
            <w:noProof/>
          </w:rPr>
          <w:t>EIT: основен инструмент на ЕС в областта на иновациите</w:t>
        </w:r>
        <w:r>
          <w:rPr>
            <w:noProof/>
            <w:webHidden/>
          </w:rPr>
          <w:tab/>
        </w:r>
        <w:r>
          <w:rPr>
            <w:noProof/>
            <w:webHidden/>
          </w:rPr>
          <w:fldChar w:fldCharType="begin"/>
        </w:r>
        <w:r>
          <w:rPr>
            <w:noProof/>
            <w:webHidden/>
          </w:rPr>
          <w:instrText xml:space="preserve"> PAGEREF _Toc13477360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1" w:history="1">
        <w:r>
          <w:rPr>
            <w:rStyle w:val="Hyperlink"/>
            <w:rFonts w:eastAsia="Times New Roman"/>
            <w:noProof/>
          </w:rPr>
          <w:t>1.2.</w:t>
        </w:r>
        <w:r>
          <w:rPr>
            <w:rFonts w:asciiTheme="minorHAnsi" w:eastAsiaTheme="minorEastAsia" w:hAnsiTheme="minorHAnsi" w:cstheme="minorBidi"/>
            <w:noProof/>
            <w:sz w:val="22"/>
            <w:lang w:eastAsia="en-GB"/>
          </w:rPr>
          <w:tab/>
        </w:r>
        <w:r>
          <w:rPr>
            <w:rStyle w:val="Hyperlink"/>
            <w:noProof/>
          </w:rPr>
          <w:t>Ключови силни страни</w:t>
        </w:r>
        <w:r>
          <w:rPr>
            <w:noProof/>
            <w:webHidden/>
          </w:rPr>
          <w:tab/>
        </w:r>
        <w:r>
          <w:rPr>
            <w:noProof/>
            <w:webHidden/>
          </w:rPr>
          <w:fldChar w:fldCharType="begin"/>
        </w:r>
        <w:r>
          <w:rPr>
            <w:noProof/>
            <w:webHidden/>
          </w:rPr>
          <w:instrText xml:space="preserve"> PAGEREF _Toc13477361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2" w:history="1">
        <w:r>
          <w:rPr>
            <w:rStyle w:val="Hyperlink"/>
            <w:rFonts w:eastAsia="Times New Roman"/>
            <w:noProof/>
          </w:rPr>
          <w:t>1.3.</w:t>
        </w:r>
        <w:r>
          <w:rPr>
            <w:rFonts w:asciiTheme="minorHAnsi" w:eastAsiaTheme="minorEastAsia" w:hAnsiTheme="minorHAnsi" w:cstheme="minorBidi"/>
            <w:noProof/>
            <w:sz w:val="22"/>
            <w:lang w:eastAsia="en-GB"/>
          </w:rPr>
          <w:tab/>
        </w:r>
        <w:r>
          <w:rPr>
            <w:rStyle w:val="Hyperlink"/>
            <w:noProof/>
          </w:rPr>
          <w:t>Основни предизвикателства</w:t>
        </w:r>
        <w:r>
          <w:rPr>
            <w:noProof/>
            <w:webHidden/>
          </w:rPr>
          <w:tab/>
        </w:r>
        <w:r>
          <w:rPr>
            <w:noProof/>
            <w:webHidden/>
          </w:rPr>
          <w:fldChar w:fldCharType="begin"/>
        </w:r>
        <w:r>
          <w:rPr>
            <w:noProof/>
            <w:webHidden/>
          </w:rPr>
          <w:instrText xml:space="preserve"> PAGEREF _Toc13477362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3477363" w:history="1">
        <w:r>
          <w:rPr>
            <w:rStyle w:val="Hyperlink"/>
            <w:rFonts w:eastAsia="Times New Roman"/>
            <w:noProof/>
          </w:rPr>
          <w:t>2.</w:t>
        </w:r>
        <w:r>
          <w:rPr>
            <w:rFonts w:asciiTheme="minorHAnsi" w:eastAsiaTheme="minorEastAsia" w:hAnsiTheme="minorHAnsi" w:cstheme="minorBidi"/>
            <w:noProof/>
            <w:sz w:val="22"/>
            <w:lang w:eastAsia="en-GB"/>
          </w:rPr>
          <w:tab/>
        </w:r>
        <w:r>
          <w:rPr>
            <w:rStyle w:val="Hyperlink"/>
            <w:noProof/>
          </w:rPr>
          <w:t>Вдигане на летвата: EIT през2021—2027 г.</w:t>
        </w:r>
        <w:r>
          <w:rPr>
            <w:noProof/>
            <w:webHidden/>
          </w:rPr>
          <w:tab/>
        </w:r>
        <w:r>
          <w:rPr>
            <w:noProof/>
            <w:webHidden/>
          </w:rPr>
          <w:fldChar w:fldCharType="begin"/>
        </w:r>
        <w:r>
          <w:rPr>
            <w:noProof/>
            <w:webHidden/>
          </w:rPr>
          <w:instrText xml:space="preserve"> PAGEREF _Toc13477363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4" w:history="1">
        <w:r>
          <w:rPr>
            <w:rStyle w:val="Hyperlink"/>
            <w:rFonts w:eastAsia="Times New Roman"/>
            <w:noProof/>
          </w:rPr>
          <w:t>2.1.</w:t>
        </w:r>
        <w:r>
          <w:rPr>
            <w:rFonts w:asciiTheme="minorHAnsi" w:eastAsiaTheme="minorEastAsia" w:hAnsiTheme="minorHAnsi" w:cstheme="minorBidi"/>
            <w:noProof/>
            <w:sz w:val="22"/>
            <w:lang w:eastAsia="en-GB"/>
          </w:rPr>
          <w:tab/>
        </w:r>
        <w:r>
          <w:rPr>
            <w:rStyle w:val="Hyperlink"/>
            <w:noProof/>
          </w:rPr>
          <w:t>Цели</w:t>
        </w:r>
        <w:r>
          <w:rPr>
            <w:noProof/>
            <w:webHidden/>
          </w:rPr>
          <w:tab/>
        </w:r>
        <w:r>
          <w:rPr>
            <w:noProof/>
            <w:webHidden/>
          </w:rPr>
          <w:fldChar w:fldCharType="begin"/>
        </w:r>
        <w:r>
          <w:rPr>
            <w:noProof/>
            <w:webHidden/>
          </w:rPr>
          <w:instrText xml:space="preserve"> PAGEREF _Toc13477364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5" w:history="1">
        <w:r>
          <w:rPr>
            <w:rStyle w:val="Hyperlink"/>
            <w:rFonts w:eastAsia="Times New Roman"/>
            <w:noProof/>
          </w:rPr>
          <w:t>2.2.</w:t>
        </w:r>
        <w:r>
          <w:rPr>
            <w:rFonts w:asciiTheme="minorHAnsi" w:eastAsiaTheme="minorEastAsia" w:hAnsiTheme="minorHAnsi" w:cstheme="minorBidi"/>
            <w:noProof/>
            <w:sz w:val="22"/>
            <w:lang w:eastAsia="en-GB"/>
          </w:rPr>
          <w:tab/>
        </w:r>
        <w:r>
          <w:rPr>
            <w:rStyle w:val="Hyperlink"/>
            <w:noProof/>
          </w:rPr>
          <w:t>Място в рамките на „Хоризонт Европа“</w:t>
        </w:r>
        <w:r>
          <w:rPr>
            <w:noProof/>
            <w:webHidden/>
          </w:rPr>
          <w:tab/>
        </w:r>
        <w:r>
          <w:rPr>
            <w:noProof/>
            <w:webHidden/>
          </w:rPr>
          <w:fldChar w:fldCharType="begin"/>
        </w:r>
        <w:r>
          <w:rPr>
            <w:noProof/>
            <w:webHidden/>
          </w:rPr>
          <w:instrText xml:space="preserve"> PAGEREF _Toc13477365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3477366" w:history="1">
        <w:r>
          <w:rPr>
            <w:rStyle w:val="Hyperlink"/>
            <w:rFonts w:eastAsia="Times New Roman"/>
            <w:noProof/>
          </w:rPr>
          <w:t>3.</w:t>
        </w:r>
        <w:r>
          <w:rPr>
            <w:rFonts w:asciiTheme="minorHAnsi" w:eastAsiaTheme="minorEastAsia" w:hAnsiTheme="minorHAnsi" w:cstheme="minorBidi"/>
            <w:noProof/>
            <w:sz w:val="22"/>
            <w:lang w:eastAsia="en-GB"/>
          </w:rPr>
          <w:tab/>
        </w:r>
        <w:r>
          <w:rPr>
            <w:rStyle w:val="Hyperlink"/>
            <w:noProof/>
          </w:rPr>
          <w:t>Стимулиране на таланта и капацитета на Европа за иновации</w:t>
        </w:r>
        <w:r>
          <w:rPr>
            <w:noProof/>
            <w:webHidden/>
          </w:rPr>
          <w:tab/>
        </w:r>
        <w:r>
          <w:rPr>
            <w:noProof/>
            <w:webHidden/>
          </w:rPr>
          <w:fldChar w:fldCharType="begin"/>
        </w:r>
        <w:r>
          <w:rPr>
            <w:noProof/>
            <w:webHidden/>
          </w:rPr>
          <w:instrText xml:space="preserve"> PAGEREF _Toc13477366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7" w:history="1">
        <w:r>
          <w:rPr>
            <w:rStyle w:val="Hyperlink"/>
            <w:rFonts w:eastAsia="Times New Roman"/>
            <w:noProof/>
          </w:rPr>
          <w:t>3.1.</w:t>
        </w:r>
        <w:r>
          <w:rPr>
            <w:rFonts w:asciiTheme="minorHAnsi" w:eastAsiaTheme="minorEastAsia" w:hAnsiTheme="minorHAnsi" w:cstheme="minorBidi"/>
            <w:noProof/>
            <w:sz w:val="22"/>
            <w:lang w:eastAsia="en-GB"/>
          </w:rPr>
          <w:tab/>
        </w:r>
        <w:r>
          <w:rPr>
            <w:rStyle w:val="Hyperlink"/>
            <w:noProof/>
          </w:rPr>
          <w:t>Общности на знание и иновации</w:t>
        </w:r>
        <w:r>
          <w:rPr>
            <w:noProof/>
            <w:webHidden/>
          </w:rPr>
          <w:tab/>
        </w:r>
        <w:r>
          <w:rPr>
            <w:noProof/>
            <w:webHidden/>
          </w:rPr>
          <w:fldChar w:fldCharType="begin"/>
        </w:r>
        <w:r>
          <w:rPr>
            <w:noProof/>
            <w:webHidden/>
          </w:rPr>
          <w:instrText xml:space="preserve"> PAGEREF _Toc13477367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8" w:history="1">
        <w:r>
          <w:rPr>
            <w:rStyle w:val="Hyperlink"/>
            <w:rFonts w:eastAsia="Times New Roman"/>
            <w:noProof/>
          </w:rPr>
          <w:t>3.2.</w:t>
        </w:r>
        <w:r>
          <w:rPr>
            <w:rFonts w:asciiTheme="minorHAnsi" w:eastAsiaTheme="minorEastAsia" w:hAnsiTheme="minorHAnsi" w:cstheme="minorBidi"/>
            <w:noProof/>
            <w:sz w:val="22"/>
            <w:lang w:eastAsia="en-GB"/>
          </w:rPr>
          <w:tab/>
        </w:r>
        <w:r>
          <w:rPr>
            <w:rStyle w:val="Hyperlink"/>
            <w:noProof/>
          </w:rPr>
          <w:t>Подпомагане на капацитета за иновации на висшето образование</w:t>
        </w:r>
        <w:r>
          <w:rPr>
            <w:noProof/>
            <w:webHidden/>
          </w:rPr>
          <w:tab/>
        </w:r>
        <w:r>
          <w:rPr>
            <w:noProof/>
            <w:webHidden/>
          </w:rPr>
          <w:fldChar w:fldCharType="begin"/>
        </w:r>
        <w:r>
          <w:rPr>
            <w:noProof/>
            <w:webHidden/>
          </w:rPr>
          <w:instrText xml:space="preserve"> PAGEREF _Toc13477368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69" w:history="1">
        <w:r>
          <w:rPr>
            <w:rStyle w:val="Hyperlink"/>
            <w:rFonts w:eastAsia="Times New Roman"/>
            <w:noProof/>
          </w:rPr>
          <w:t>3.3.</w:t>
        </w:r>
        <w:r>
          <w:rPr>
            <w:rFonts w:asciiTheme="minorHAnsi" w:eastAsiaTheme="minorEastAsia" w:hAnsiTheme="minorHAnsi" w:cstheme="minorBidi"/>
            <w:noProof/>
            <w:sz w:val="22"/>
            <w:lang w:eastAsia="en-GB"/>
          </w:rPr>
          <w:tab/>
        </w:r>
        <w:r>
          <w:rPr>
            <w:rStyle w:val="Hyperlink"/>
            <w:noProof/>
          </w:rPr>
          <w:t>Междутематични дейности на EIT</w:t>
        </w:r>
        <w:r>
          <w:rPr>
            <w:noProof/>
            <w:webHidden/>
          </w:rPr>
          <w:tab/>
        </w:r>
        <w:r>
          <w:rPr>
            <w:noProof/>
            <w:webHidden/>
          </w:rPr>
          <w:fldChar w:fldCharType="begin"/>
        </w:r>
        <w:r>
          <w:rPr>
            <w:noProof/>
            <w:webHidden/>
          </w:rPr>
          <w:instrText xml:space="preserve"> PAGEREF _Toc13477369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70" w:history="1">
        <w:r>
          <w:rPr>
            <w:rStyle w:val="Hyperlink"/>
            <w:rFonts w:eastAsia="Times New Roman"/>
            <w:noProof/>
          </w:rPr>
          <w:t>3.4.</w:t>
        </w:r>
        <w:r>
          <w:rPr>
            <w:rFonts w:asciiTheme="minorHAnsi" w:eastAsiaTheme="minorEastAsia" w:hAnsiTheme="minorHAnsi" w:cstheme="minorBidi"/>
            <w:noProof/>
            <w:sz w:val="22"/>
            <w:lang w:eastAsia="en-GB"/>
          </w:rPr>
          <w:tab/>
        </w:r>
        <w:r>
          <w:rPr>
            <w:rStyle w:val="Hyperlink"/>
            <w:noProof/>
          </w:rPr>
          <w:t>Реализация</w:t>
        </w:r>
        <w:r>
          <w:rPr>
            <w:noProof/>
            <w:webHidden/>
          </w:rPr>
          <w:tab/>
        </w:r>
        <w:r>
          <w:rPr>
            <w:noProof/>
            <w:webHidden/>
          </w:rPr>
          <w:fldChar w:fldCharType="begin"/>
        </w:r>
        <w:r>
          <w:rPr>
            <w:noProof/>
            <w:webHidden/>
          </w:rPr>
          <w:instrText xml:space="preserve"> PAGEREF _Toc13477370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71" w:history="1">
        <w:r>
          <w:rPr>
            <w:rStyle w:val="Hyperlink"/>
            <w:rFonts w:eastAsia="Times New Roman"/>
            <w:noProof/>
          </w:rPr>
          <w:t>3.5.</w:t>
        </w:r>
        <w:r>
          <w:rPr>
            <w:rFonts w:asciiTheme="minorHAnsi" w:eastAsiaTheme="minorEastAsia" w:hAnsiTheme="minorHAnsi" w:cstheme="minorBidi"/>
            <w:noProof/>
            <w:sz w:val="22"/>
            <w:lang w:eastAsia="en-GB"/>
          </w:rPr>
          <w:tab/>
        </w:r>
        <w:r>
          <w:rPr>
            <w:rStyle w:val="Hyperlink"/>
            <w:noProof/>
          </w:rPr>
          <w:t>Полезни взаимодействия и допълване с други програми</w:t>
        </w:r>
        <w:r>
          <w:rPr>
            <w:noProof/>
            <w:webHidden/>
          </w:rPr>
          <w:tab/>
        </w:r>
        <w:r>
          <w:rPr>
            <w:noProof/>
            <w:webHidden/>
          </w:rPr>
          <w:fldChar w:fldCharType="begin"/>
        </w:r>
        <w:r>
          <w:rPr>
            <w:noProof/>
            <w:webHidden/>
          </w:rPr>
          <w:instrText xml:space="preserve"> PAGEREF _Toc13477371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3477372" w:history="1">
        <w:r>
          <w:rPr>
            <w:rStyle w:val="Hyperlink"/>
            <w:rFonts w:eastAsia="Times New Roman"/>
            <w:noProof/>
          </w:rPr>
          <w:t>4.</w:t>
        </w:r>
        <w:r>
          <w:rPr>
            <w:rFonts w:asciiTheme="minorHAnsi" w:eastAsiaTheme="minorEastAsia" w:hAnsiTheme="minorHAnsi" w:cstheme="minorBidi"/>
            <w:noProof/>
            <w:sz w:val="22"/>
            <w:lang w:eastAsia="en-GB"/>
          </w:rPr>
          <w:tab/>
        </w:r>
        <w:r>
          <w:rPr>
            <w:rStyle w:val="Hyperlink"/>
            <w:noProof/>
          </w:rPr>
          <w:t>Ресурси</w:t>
        </w:r>
        <w:r>
          <w:rPr>
            <w:noProof/>
            <w:webHidden/>
          </w:rPr>
          <w:tab/>
        </w:r>
        <w:r>
          <w:rPr>
            <w:noProof/>
            <w:webHidden/>
          </w:rPr>
          <w:fldChar w:fldCharType="begin"/>
        </w:r>
        <w:r>
          <w:rPr>
            <w:noProof/>
            <w:webHidden/>
          </w:rPr>
          <w:instrText xml:space="preserve"> PAGEREF _Toc13477372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73" w:history="1">
        <w:r>
          <w:rPr>
            <w:rStyle w:val="Hyperlink"/>
            <w:rFonts w:eastAsia="Times New Roman"/>
            <w:noProof/>
          </w:rPr>
          <w:t>4.1.</w:t>
        </w:r>
        <w:r>
          <w:rPr>
            <w:rFonts w:asciiTheme="minorHAnsi" w:eastAsiaTheme="minorEastAsia" w:hAnsiTheme="minorHAnsi" w:cstheme="minorBidi"/>
            <w:noProof/>
            <w:sz w:val="22"/>
            <w:lang w:eastAsia="en-GB"/>
          </w:rPr>
          <w:tab/>
        </w:r>
        <w:r>
          <w:rPr>
            <w:rStyle w:val="Hyperlink"/>
            <w:noProof/>
          </w:rPr>
          <w:t>Бюджетни нужди</w:t>
        </w:r>
        <w:r>
          <w:rPr>
            <w:noProof/>
            <w:webHidden/>
          </w:rPr>
          <w:tab/>
        </w:r>
        <w:r>
          <w:rPr>
            <w:noProof/>
            <w:webHidden/>
          </w:rPr>
          <w:fldChar w:fldCharType="begin"/>
        </w:r>
        <w:r>
          <w:rPr>
            <w:noProof/>
            <w:webHidden/>
          </w:rPr>
          <w:instrText xml:space="preserve"> PAGEREF _Toc13477373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13477374" w:history="1">
        <w:r>
          <w:rPr>
            <w:rStyle w:val="Hyperlink"/>
            <w:rFonts w:eastAsia="Times New Roman"/>
            <w:noProof/>
          </w:rPr>
          <w:t>4.2.</w:t>
        </w:r>
        <w:r>
          <w:rPr>
            <w:rFonts w:asciiTheme="minorHAnsi" w:eastAsiaTheme="minorEastAsia" w:hAnsiTheme="minorHAnsi" w:cstheme="minorBidi"/>
            <w:noProof/>
            <w:sz w:val="22"/>
            <w:lang w:eastAsia="en-GB"/>
          </w:rPr>
          <w:tab/>
        </w:r>
        <w:r>
          <w:rPr>
            <w:rStyle w:val="Hyperlink"/>
            <w:noProof/>
          </w:rPr>
          <w:t>Въздействие (наблюдение и оценка)</w:t>
        </w:r>
        <w:r>
          <w:rPr>
            <w:noProof/>
            <w:webHidden/>
          </w:rPr>
          <w:tab/>
        </w:r>
        <w:r>
          <w:rPr>
            <w:noProof/>
            <w:webHidden/>
          </w:rPr>
          <w:fldChar w:fldCharType="begin"/>
        </w:r>
        <w:r>
          <w:rPr>
            <w:noProof/>
            <w:webHidden/>
          </w:rPr>
          <w:instrText xml:space="preserve"> PAGEREF _Toc13477374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3477375" w:history="1">
        <w:r>
          <w:rPr>
            <w:rStyle w:val="Hyperlink"/>
            <w:rFonts w:eastAsia="Times New Roman"/>
            <w:noProof/>
          </w:rPr>
          <w:t>5.</w:t>
        </w:r>
        <w:r>
          <w:rPr>
            <w:rFonts w:asciiTheme="minorHAnsi" w:eastAsiaTheme="minorEastAsia" w:hAnsiTheme="minorHAnsi" w:cstheme="minorBidi"/>
            <w:noProof/>
            <w:sz w:val="22"/>
            <w:lang w:eastAsia="en-GB"/>
          </w:rPr>
          <w:tab/>
        </w:r>
        <w:r>
          <w:rPr>
            <w:rStyle w:val="Hyperlink"/>
            <w:noProof/>
          </w:rPr>
          <w:t>Приложение 1A</w:t>
        </w:r>
        <w:r>
          <w:rPr>
            <w:noProof/>
            <w:webHidden/>
          </w:rPr>
          <w:tab/>
        </w:r>
        <w:r>
          <w:rPr>
            <w:noProof/>
            <w:webHidden/>
          </w:rPr>
          <w:fldChar w:fldCharType="begin"/>
        </w:r>
        <w:r>
          <w:rPr>
            <w:noProof/>
            <w:webHidden/>
          </w:rPr>
          <w:instrText xml:space="preserve"> PAGEREF _Toc13477375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13477376" w:history="1">
        <w:r>
          <w:rPr>
            <w:rStyle w:val="Hyperlink"/>
            <w:rFonts w:eastAsia="Times New Roman"/>
            <w:noProof/>
          </w:rPr>
          <w:t>6.</w:t>
        </w:r>
        <w:r>
          <w:rPr>
            <w:rFonts w:asciiTheme="minorHAnsi" w:eastAsiaTheme="minorEastAsia" w:hAnsiTheme="minorHAnsi" w:cstheme="minorBidi"/>
            <w:noProof/>
            <w:sz w:val="22"/>
            <w:lang w:eastAsia="en-GB"/>
          </w:rPr>
          <w:tab/>
        </w:r>
        <w:r>
          <w:rPr>
            <w:rStyle w:val="Hyperlink"/>
            <w:noProof/>
          </w:rPr>
          <w:t>Приложение 1Б</w:t>
        </w:r>
        <w:r>
          <w:rPr>
            <w:noProof/>
            <w:webHidden/>
          </w:rPr>
          <w:tab/>
        </w:r>
        <w:r>
          <w:rPr>
            <w:noProof/>
            <w:webHidden/>
          </w:rPr>
          <w:fldChar w:fldCharType="begin"/>
        </w:r>
        <w:r>
          <w:rPr>
            <w:noProof/>
            <w:webHidden/>
          </w:rPr>
          <w:instrText xml:space="preserve"> PAGEREF _Toc13477376 \h </w:instrText>
        </w:r>
        <w:r>
          <w:rPr>
            <w:noProof/>
            <w:webHidden/>
          </w:rPr>
        </w:r>
        <w:r>
          <w:rPr>
            <w:noProof/>
            <w:webHidden/>
          </w:rPr>
          <w:fldChar w:fldCharType="separate"/>
        </w:r>
        <w:r>
          <w:rPr>
            <w:noProof/>
            <w:webHidden/>
          </w:rPr>
          <w:t>27</w:t>
        </w:r>
        <w:r>
          <w:rPr>
            <w:noProof/>
            <w:webHidden/>
          </w:rPr>
          <w:fldChar w:fldCharType="end"/>
        </w:r>
      </w:hyperlink>
    </w:p>
    <w:p>
      <w:pPr>
        <w:jc w:val="left"/>
        <w:rPr>
          <w:noProof/>
          <w:szCs w:val="24"/>
        </w:rPr>
      </w:pPr>
      <w:r>
        <w:rPr>
          <w:noProof/>
          <w:szCs w:val="24"/>
        </w:rPr>
        <w:fldChar w:fldCharType="end"/>
      </w:r>
      <w:r>
        <w:rPr>
          <w:noProof/>
        </w:rPr>
        <w:br w:type="page"/>
      </w:r>
    </w:p>
    <w:p>
      <w:pPr>
        <w:pStyle w:val="Heading1"/>
        <w:numPr>
          <w:ilvl w:val="0"/>
          <w:numId w:val="7"/>
        </w:numPr>
        <w:rPr>
          <w:rFonts w:eastAsia="Times New Roman"/>
          <w:noProof/>
        </w:rPr>
      </w:pPr>
      <w:bookmarkStart w:id="1" w:name="_Toc536641388"/>
      <w:bookmarkStart w:id="2" w:name="_Toc536645736"/>
      <w:bookmarkStart w:id="3" w:name="_Toc536641166"/>
      <w:bookmarkStart w:id="4" w:name="_Toc13240022"/>
      <w:bookmarkStart w:id="5" w:name="_Toc13477359"/>
      <w:r>
        <w:rPr>
          <w:noProof/>
        </w:rPr>
        <w:t>Въведение</w:t>
      </w:r>
      <w:bookmarkStart w:id="6" w:name="_Toc4069132"/>
      <w:bookmarkStart w:id="7" w:name="_Toc4077488"/>
      <w:bookmarkStart w:id="8" w:name="_Toc4083983"/>
      <w:bookmarkStart w:id="9" w:name="_Toc4159404"/>
      <w:bookmarkStart w:id="10" w:name="_Toc4159489"/>
      <w:bookmarkStart w:id="11" w:name="_Toc4159563"/>
      <w:bookmarkStart w:id="12" w:name="_Toc4159635"/>
      <w:bookmarkStart w:id="13" w:name="_Toc4159685"/>
      <w:bookmarkStart w:id="14" w:name="_Toc4069133"/>
      <w:bookmarkStart w:id="15" w:name="_Toc4077489"/>
      <w:bookmarkStart w:id="16" w:name="_Toc4083984"/>
      <w:bookmarkStart w:id="17" w:name="_Toc4159490"/>
      <w:bookmarkStart w:id="18" w:name="_Toc4159686"/>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5"/>
    </w:p>
    <w:p>
      <w:pPr>
        <w:spacing w:before="0" w:after="160" w:line="259" w:lineRule="auto"/>
        <w:rPr>
          <w:noProof/>
          <w:szCs w:val="24"/>
        </w:rPr>
      </w:pPr>
      <w:r>
        <w:rPr>
          <w:noProof/>
        </w:rPr>
        <w:t>С настоящата стратегическа иновационна програма (СИП) се определят стратегията и приоритетите на Европейския институт за иновации и технологии (EIT) за периода 2021—2027 г. Тя представлява основният документ на EIT по отношение на политиките за следващия програмен период и определя неговите цели и ключови дейности, очакваните резултати и необходимите ресурси. Чрез СИП се осигурява необходимото привеждане в съответствие на EIT с [предложението за програма „Хоризонт Европа“], която е рамковата програма на Съюза за подпомагане на научните изследвания и иновациите за периода 2021—2027 г. Освен това тя гарантира подходящи полезни взаимодействия и допълване между дейностите на EIT и други инициативи, политики и инструменти на Съюза.</w:t>
      </w:r>
    </w:p>
    <w:p>
      <w:pPr>
        <w:spacing w:before="0" w:after="160" w:line="259" w:lineRule="auto"/>
        <w:rPr>
          <w:noProof/>
          <w:szCs w:val="24"/>
        </w:rPr>
      </w:pPr>
      <w:r>
        <w:rPr>
          <w:noProof/>
        </w:rPr>
        <w:t>СИП за периода 2021—2027 г. почива на оценката на въздействието, извършена от Европейската комисия. В нея се взема под внимание проекта на СИП, изготвен от управителния съвет на EIT и представен на Европейската комисия на 20 декември 2017 г. съобразно предвиденото в Регламента за EIT</w:t>
      </w:r>
      <w:r>
        <w:rPr>
          <w:rStyle w:val="FootnoteReference"/>
          <w:noProof/>
        </w:rPr>
        <w:footnoteReference w:id="2"/>
      </w:r>
      <w:r>
        <w:rPr>
          <w:noProof/>
        </w:rPr>
        <w:t>. В нея са отразени също така новото [предложение за „Хоризонт Европа“] на Европейската комисия от юни 2018 г., и по-специално ключовата роля на EIT като част от стълб [„Иновативна Европа“] (стълб III) и неговият принос за справяне с глобалните предизвикателства, включително поставените цели във връзка с изменението на климата, и за конкурентоспособността на европейската промишленост (стълб II), както и за високите научни постижения (стълб І).</w:t>
      </w:r>
      <w:r>
        <w:rPr>
          <w:noProof/>
          <w:color w:val="000000" w:themeColor="text1"/>
          <w:szCs w:val="24"/>
        </w:rPr>
        <w:t xml:space="preserve"> </w:t>
      </w:r>
      <w:r>
        <w:rPr>
          <w:noProof/>
        </w:rPr>
        <w:t>СИП се опира на извлечените поуки от последните години от дейността на EIT и на резултатите от обширен процес на консултации с ключови заинтересовани страни.</w:t>
      </w:r>
    </w:p>
    <w:p>
      <w:pPr>
        <w:rPr>
          <w:noProof/>
          <w:szCs w:val="24"/>
        </w:rPr>
      </w:pPr>
      <w:r>
        <w:rPr>
          <w:noProof/>
        </w:rPr>
        <w:t>В СИП се взема под внимание стратегическото планиране на „Хоризонт Европа“, за да се гарантира съгласуваност с дейностите, предвидени в рамковата програма, и с други релевантни програми на Съюза, както и съвместимост с приоритетите и ангажиментите на ЕС и да се увеличат взаимното допълване и полезните взаимодействия с националните и регионалните приоритети и програми за финансиране.</w:t>
      </w:r>
    </w:p>
    <w:p>
      <w:pPr>
        <w:spacing w:before="0" w:after="200" w:line="276" w:lineRule="auto"/>
        <w:jc w:val="left"/>
        <w:rPr>
          <w:noProof/>
          <w:szCs w:val="24"/>
        </w:rPr>
      </w:pPr>
      <w:r>
        <w:rPr>
          <w:noProof/>
        </w:rPr>
        <w:br w:type="page"/>
      </w:r>
    </w:p>
    <w:p>
      <w:pPr>
        <w:pStyle w:val="Heading2"/>
        <w:rPr>
          <w:rFonts w:eastAsia="Times New Roman"/>
          <w:noProof/>
        </w:rPr>
      </w:pPr>
      <w:bookmarkStart w:id="19" w:name="_Toc536641167"/>
      <w:bookmarkStart w:id="20" w:name="_Toc536641389"/>
      <w:bookmarkStart w:id="21" w:name="_Toc536645737"/>
      <w:bookmarkStart w:id="22" w:name="_Toc13477360"/>
      <w:r>
        <w:rPr>
          <w:noProof/>
        </w:rPr>
        <w:t>EIT: основен инструмент на ЕС в областта на иновациите</w:t>
      </w:r>
      <w:bookmarkEnd w:id="19"/>
      <w:bookmarkEnd w:id="20"/>
      <w:bookmarkEnd w:id="21"/>
      <w:bookmarkEnd w:id="22"/>
    </w:p>
    <w:p>
      <w:pPr>
        <w:spacing w:before="0" w:after="160" w:line="259" w:lineRule="auto"/>
        <w:rPr>
          <w:noProof/>
          <w:szCs w:val="24"/>
        </w:rPr>
      </w:pPr>
      <w:r>
        <w:rPr>
          <w:noProof/>
        </w:rPr>
        <w:t>EIT бе създаден през 2008 г. с цел да допринася за устойчив икономически растеж и конкурентоспособност чрез засилване на иновационния капацитет на държавите членки и на Европейския съюз. Той бе пионер по отношение на интегрирането на образованието, стопанската дейност и научните изследвания (триъгълник на знанието) в обединение със силен акцент върху предприемаческия талант и иновационните умения. Междинната оценка на EIT, извършена през 2018 г., потвърди, че основната обосновка за съществуването на EIT продължава да бъде валидна и че моделът на ориентирана към иновациите интеграция на триъгълника на знанието остава актуален.</w:t>
      </w:r>
    </w:p>
    <w:p>
      <w:pPr>
        <w:spacing w:before="0" w:after="160" w:line="259" w:lineRule="auto"/>
        <w:rPr>
          <w:noProof/>
          <w:szCs w:val="24"/>
        </w:rPr>
      </w:pPr>
      <w:r>
        <w:rPr>
          <w:noProof/>
        </w:rPr>
        <w:t>За едно десетилетие от създаването на EIT темпът на иновиране нарасна драстично. Иновациите трансформират икономическите сектори, като разтърсват съществуващите предприятия и създават безпрецедентни възможности. Предвид променящия се световен икономически ред и нарастващата международна конкуренция се увеличава зависимостта на ЕС от наличието на таланти и тяхната способност да иновират. Съвместното проектиране, сътрудничеството и съвместното създаване между различни дисциплини, както и между образованието, стопанската дейност и научноизследователската дейност са по-важни от всякога днес, така че да се даде принос за справянето с глобалните предизвикателства, свързани с изменението на климата и неустойчивото използване на природните ресурси, цифровата трансформация, демографските промени или бъдещето на здравеопазването и храните.</w:t>
      </w:r>
    </w:p>
    <w:p>
      <w:pPr>
        <w:spacing w:before="0" w:after="160" w:line="259" w:lineRule="auto"/>
        <w:rPr>
          <w:noProof/>
          <w:szCs w:val="24"/>
        </w:rPr>
      </w:pPr>
      <w:r>
        <w:rPr>
          <w:noProof/>
        </w:rPr>
        <w:t>С [предложението за „Хоризонт Европа“] за нова Рамкова програма в подкрепа на научните изследвания и иновациите за периода 2021—2027 г. Европейската комисия пое твърд ангажимент да увеличи още повече потенциала за иновации на Европа, така че тя да може да отговори на предизвикателствата на бъдещето. Отличителната роля на EIT за насърчаването на иновациите чрез обединяване на усилията на бизнеса, образованието, научните изследвания, публичните органи и гражданското общество се подсилва от мястото, което му е отредено в [стълба „Иновативна Европа“] на [предложението за „Хоризонт Европа“]. [Предложението за „Хоризонт Европа“] отразява нарастващите амбиции на ЕС в областта на иновациите и необходимостта от постигане на резултати в тази насока.</w:t>
      </w:r>
    </w:p>
    <w:p>
      <w:pPr>
        <w:pStyle w:val="Heading2"/>
        <w:rPr>
          <w:rFonts w:eastAsia="Times New Roman"/>
          <w:noProof/>
        </w:rPr>
      </w:pPr>
      <w:bookmarkStart w:id="23" w:name="_Toc536645738"/>
      <w:bookmarkStart w:id="24" w:name="_Toc536641168"/>
      <w:bookmarkStart w:id="25" w:name="_Toc536641390"/>
      <w:bookmarkStart w:id="26" w:name="_Toc13477361"/>
      <w:r>
        <w:rPr>
          <w:noProof/>
        </w:rPr>
        <w:t>Ключови силни страни</w:t>
      </w:r>
      <w:bookmarkEnd w:id="23"/>
      <w:bookmarkEnd w:id="24"/>
      <w:bookmarkEnd w:id="25"/>
      <w:bookmarkEnd w:id="26"/>
    </w:p>
    <w:p>
      <w:pPr>
        <w:spacing w:before="0" w:after="160" w:line="259" w:lineRule="auto"/>
        <w:rPr>
          <w:noProof/>
          <w:szCs w:val="24"/>
        </w:rPr>
      </w:pPr>
      <w:r>
        <w:rPr>
          <w:noProof/>
        </w:rPr>
        <w:t>След създаването си EIT се наложи постепенно като ефикасен инструмент за намиране на решения на обществените предизвикателства. Той действа главно чрез общностите за знания и иновации (ОЗИ), които представляват широкомащабни европейски партньорства между образователни и учебни заведения, предприятия и научноизследователски организации. Понастоящем има осем ОЗИ, които извършват дейност в следните области: изменение на климата, цифрова трансформация, енергия, храни, здравеопазване, суровини, градска мобилност и производство с добавена стойност (вж. фигура 2).</w:t>
      </w:r>
    </w:p>
    <w:p>
      <w:pPr>
        <w:spacing w:before="0" w:after="160" w:line="259" w:lineRule="auto"/>
        <w:rPr>
          <w:noProof/>
          <w:szCs w:val="24"/>
        </w:rPr>
      </w:pPr>
      <w:r>
        <w:rPr>
          <w:noProof/>
        </w:rPr>
        <w:t>Всяка ОЗИ е организирана около пет до десет центъра за съвместно ползване (ЦСП</w:t>
      </w:r>
      <w:r>
        <w:rPr>
          <w:rStyle w:val="FootnoteReference"/>
          <w:noProof/>
          <w:szCs w:val="24"/>
        </w:rPr>
        <w:footnoteReference w:id="3"/>
      </w:r>
      <w:r>
        <w:rPr>
          <w:noProof/>
        </w:rPr>
        <w:t>), чието предназначение е да действат като географски центрове за практическото интегриране на триъгълника на знанието. Те са организирани и структурирани според съответния им национален и регионален иновационен контекст и използват паневропейска мрежа от съществуващи лаборатории, кабинети или учебни комплекси на основните партньори на ОЗИ.</w:t>
      </w:r>
    </w:p>
    <w:p>
      <w:pPr>
        <w:spacing w:before="0" w:after="160" w:line="259" w:lineRule="auto"/>
        <w:rPr>
          <w:noProof/>
          <w:szCs w:val="24"/>
        </w:rPr>
      </w:pPr>
      <w:r>
        <w:rPr>
          <w:noProof/>
        </w:rPr>
        <w:t>ОЗИ имат за цел да управляват портфейли от дейности на триъгълника на знанието, включващи:</w:t>
      </w:r>
    </w:p>
    <w:p>
      <w:pPr>
        <w:pStyle w:val="Bullet0"/>
        <w:numPr>
          <w:ilvl w:val="0"/>
          <w:numId w:val="1"/>
        </w:numPr>
        <w:rPr>
          <w:noProof/>
        </w:rPr>
      </w:pPr>
      <w:r>
        <w:rPr>
          <w:i/>
          <w:noProof/>
        </w:rPr>
        <w:t xml:space="preserve">дейности за образование и обучение </w:t>
      </w:r>
      <w:r>
        <w:rPr>
          <w:noProof/>
        </w:rPr>
        <w:t>със силни предприемачески елементи с цел обучаване на следващото поколение таланти, включително разработването и изпълнението на програми, получили обозначението на EIT</w:t>
      </w:r>
      <w:r>
        <w:rPr>
          <w:rStyle w:val="FootnoteReference"/>
          <w:noProof/>
        </w:rPr>
        <w:footnoteReference w:id="4"/>
      </w:r>
      <w:r>
        <w:rPr>
          <w:noProof/>
        </w:rPr>
        <w:t>, по-специално на магистърско и докторско равнище;</w:t>
      </w:r>
    </w:p>
    <w:p>
      <w:pPr>
        <w:pStyle w:val="Bullet0"/>
        <w:rPr>
          <w:noProof/>
        </w:rPr>
      </w:pPr>
      <w:r>
        <w:rPr>
          <w:i/>
          <w:noProof/>
        </w:rPr>
        <w:t>дейности за подкрепа на иновациите</w:t>
      </w:r>
      <w:r>
        <w:rPr>
          <w:noProof/>
        </w:rPr>
        <w:t xml:space="preserve"> с цел разработване на иновативни продукти, процеси и услуги, насочени към конкретна възможност за развиване на стопанска дейност;</w:t>
      </w:r>
    </w:p>
    <w:p>
      <w:pPr>
        <w:pStyle w:val="Bullet0"/>
        <w:rPr>
          <w:noProof/>
        </w:rPr>
      </w:pPr>
      <w:r>
        <w:rPr>
          <w:i/>
          <w:noProof/>
        </w:rPr>
        <w:t>дейности за създаване и подкрепа на предприятия</w:t>
      </w:r>
      <w:r>
        <w:rPr>
          <w:noProof/>
        </w:rPr>
        <w:t>, като например ускорителни схеми за подпомагане на предприемачите да превръщат идеите си в успешни начинания и даване тласък на процеса на растеж.</w:t>
      </w:r>
    </w:p>
    <w:p>
      <w:pPr>
        <w:spacing w:before="0" w:after="160" w:line="259" w:lineRule="auto"/>
        <w:rPr>
          <w:noProof/>
          <w:szCs w:val="24"/>
        </w:rPr>
      </w:pPr>
      <w:r>
        <w:rPr>
          <w:noProof/>
        </w:rPr>
        <w:t>ОЗИ представляват динамични екосистеми за иновации, които водят до резултати от най-различно естество (вж. фигура 1 по-долу).</w:t>
      </w:r>
    </w:p>
    <w:p>
      <w:pPr>
        <w:spacing w:before="0" w:line="259" w:lineRule="auto"/>
        <w:jc w:val="left"/>
        <w:rPr>
          <w:noProof/>
          <w:sz w:val="20"/>
          <w:szCs w:val="20"/>
        </w:rPr>
      </w:pPr>
      <w:r>
        <w:rPr>
          <w:noProof/>
          <w:lang w:val="en-GB" w:eastAsia="en-GB"/>
        </w:rPr>
        <w:drawing>
          <wp:inline distT="0" distB="0" distL="0" distR="0">
            <wp:extent cx="5761355" cy="1296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1355" cy="1296703"/>
                    </a:xfrm>
                    <a:prstGeom prst="rect">
                      <a:avLst/>
                    </a:prstGeom>
                  </pic:spPr>
                </pic:pic>
              </a:graphicData>
            </a:graphic>
          </wp:inline>
        </w:drawing>
      </w:r>
      <w:r>
        <w:rPr>
          <w:noProof/>
          <w:sz w:val="16"/>
          <w:szCs w:val="16"/>
        </w:rPr>
        <w:t>Фигура 1: резултати от дейността на EIT до настоящия момент; източник: EIT</w:t>
      </w:r>
    </w:p>
    <w:p>
      <w:pPr>
        <w:spacing w:before="0" w:after="160" w:line="259" w:lineRule="auto"/>
        <w:rPr>
          <w:noProof/>
          <w:szCs w:val="24"/>
        </w:rPr>
      </w:pPr>
      <w:r>
        <w:rPr>
          <w:noProof/>
        </w:rPr>
        <w:t>Образованието и обучението, както и развиването на талантите и уменията стоят в основата на модела на EIT. Никое друго действие на ЕС в областта на иновациите не включва висшето образование във веригата на стойност на иновациите в толкова висока степен, колкото EIT. Дейностите на EIT във връзка с образованието имат ключово значение за изграждането на високо квалифицирани иноватори, притежаващи силен предприемачески дух. До 2017 г. над 1700 души са завършили успешно магистърска и/или докторска програма, получила обозначението EIT, и хиляди са участвали в различни образователни дейности и формати в областта на предприемачеството и иновациите.</w:t>
      </w:r>
    </w:p>
    <w:p>
      <w:pPr>
        <w:spacing w:before="0" w:line="259" w:lineRule="auto"/>
        <w:rPr>
          <w:b/>
          <w:noProof/>
          <w:szCs w:val="24"/>
        </w:rPr>
      </w:pPr>
      <w:r>
        <w:rPr>
          <w:noProof/>
        </w:rPr>
        <w:t>Съсредоточаването върху глобалните предизвикателства посредством интегрирането на триъгълника на знанието отличава EIT от останалите инструменти, свързани с иновациите. Чрез предоставянето на безвъзмездни средства на ОЗИ за срок до 15 години EIT постига резултати по дългосрочната си цел — справяне с глобалните предизвикателства посредством иновативни продукти и услуги и осигуряване на конкретни ползи за обществото и гражданите ни.</w:t>
      </w:r>
      <w:r>
        <w:rPr>
          <w:b/>
          <w:noProof/>
          <w:szCs w:val="24"/>
        </w:rPr>
        <w:t xml:space="preserve"> </w:t>
      </w:r>
      <w:r>
        <w:rPr>
          <w:noProof/>
        </w:rPr>
        <w:t xml:space="preserve">Наред с това EIT е поставил за цел на ОЗИ да придобият финансова устойчивост след 15 години — уникална характеристика, която прави от тях инструмент за иновации, ориентиран към бизнеса и постигането на резултати. При тези условия ОЗИ трябва да разработват и прилагат стратегии, водещи до приходи, така че да могат да запазят екосистемата си за иновации и след срока на споразумението за отпускане на безвъзмездни средства. </w:t>
      </w:r>
    </w:p>
    <w:p>
      <w:pPr>
        <w:spacing w:before="0" w:line="259" w:lineRule="auto"/>
        <w:rPr>
          <w:noProof/>
          <w:szCs w:val="24"/>
        </w:rPr>
      </w:pPr>
      <w:r>
        <w:rPr>
          <w:noProof/>
        </w:rPr>
        <w:t>Подходът на EIT допринася както за инкременталните (постепенни), така и за подривните (революционни) иновации с цел да бъде ефикасно преодоляна неефективността на пазара и да се спомогне за преобразуването на промишлените отрасли. Той дава възможност за създаването на дългосрочни бизнес стратегии за справяне с глобалните предизвикателства и спомага за създаването на рамковите условия със съществено значение за растежа на добре функциониращите екосистеми за иновации и за процъфтяването на иновациите.</w:t>
      </w:r>
    </w:p>
    <w:p>
      <w:pPr>
        <w:spacing w:before="0" w:line="259" w:lineRule="auto"/>
        <w:rPr>
          <w:noProof/>
          <w:szCs w:val="24"/>
        </w:rPr>
      </w:pPr>
      <w:r>
        <w:rPr>
          <w:noProof/>
        </w:rPr>
        <w:t xml:space="preserve">EIT осигурява ефикасна и ефективна платформа за създаване, разрастване и управление на ОЗИ със значителни мрежови ефекти и положителни външни последици (вж. фигура 2 по-долу). Първата вълна ОЗИ (EIT — Цифрови технологии, EIT — ОЗИ „Климат“ и EIT — Иновативна енергетика), чието начало бе поставено през 2009 г., са вече добре установени и развити, като след 2024 г. техните рамкови споразумения за партньорство ще приключат в съответствие с максималния срок за отпускане на безвъзмездни средства. Второто и третото поколение ОЗИ (EIT — Здраве и EIT — Суровини (2014 г.), EIT — Храни (2016 г.) са в процес на развитие. Двете ОЗИ, създадени през декември 2018 г., EIT — Градска мобилност и EIT — Производство, ще започнат да функционират през 2019 г. </w:t>
      </w:r>
    </w:p>
    <w:p>
      <w:pPr>
        <w:tabs>
          <w:tab w:val="left" w:pos="765"/>
        </w:tabs>
        <w:spacing w:before="0" w:after="160" w:line="259" w:lineRule="auto"/>
        <w:jc w:val="left"/>
        <w:rPr>
          <w:noProof/>
          <w:sz w:val="16"/>
          <w:szCs w:val="16"/>
        </w:rPr>
      </w:pPr>
      <w:r>
        <w:rPr>
          <w:noProof/>
          <w:lang w:val="en-GB" w:eastAsia="en-GB"/>
        </w:rPr>
        <w:drawing>
          <wp:inline distT="0" distB="0" distL="0" distR="0">
            <wp:extent cx="5761355" cy="4060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1355" cy="4060389"/>
                    </a:xfrm>
                    <a:prstGeom prst="rect">
                      <a:avLst/>
                    </a:prstGeom>
                  </pic:spPr>
                </pic:pic>
              </a:graphicData>
            </a:graphic>
          </wp:inline>
        </w:drawing>
      </w:r>
      <w:r>
        <w:rPr>
          <w:noProof/>
          <w:sz w:val="16"/>
          <w:szCs w:val="16"/>
        </w:rPr>
        <w:t>Фигура 2: Общности за знания и иновации на EIT; източник: Европейска комисия</w:t>
      </w:r>
    </w:p>
    <w:p>
      <w:pPr>
        <w:spacing w:before="0" w:line="259" w:lineRule="auto"/>
        <w:rPr>
          <w:noProof/>
          <w:spacing w:val="-4"/>
          <w:szCs w:val="24"/>
        </w:rPr>
      </w:pPr>
      <w:r>
        <w:rPr>
          <w:noProof/>
          <w:spacing w:val="-4"/>
        </w:rPr>
        <w:t>Със своите осем ОЗИ с над 1000 партньори от сферата на стопанската дейност, научните изследвания и образованието EIT е най-голямата екосистема за иновации, подпомагана от ЕС. EIT е оказал подкрепа на над 1200 стартиращи и иновативни предприятия, благодарение на което тези дружества са привлекли над 890 милиона евро външно финансиране, а подпомаганите стартиращи предприятия са създали над 6000 работни места. Повече от 50 % от партньорите от ОЗИ са от стопанския сектор (промишленост, МСП и стартиращи предприятия), което е доказателство за близостта до пазара. Нарастването на броя на партньорите във всяка ОЗИ показва привлекателността и дългосрочния потенциал на модела на EIT. До 2019 г. в ОЗИ към EIT участват над 600 предприятия, 250 висши учебни заведения, 200 научноизследователски организации и над 50 организации на гражданското общество и държавни органи.</w:t>
      </w:r>
    </w:p>
    <w:p>
      <w:pPr>
        <w:spacing w:before="0" w:line="259" w:lineRule="auto"/>
        <w:rPr>
          <w:noProof/>
        </w:rPr>
      </w:pPr>
      <w:r>
        <w:rPr>
          <w:noProof/>
        </w:rPr>
        <w:t>На фона на продължаващите регионални различия в постиженията в областта на иновациите, през 2014 г. EIT постави началото на Регионална иновационна схема (РИС) с цел да разшири регионалния си обсег, така че да обхване държавите, които са скромни и умерени новатори. Чрез РИС EIT разпростря дейностите си в цяла Европа и сега предлага на регионите с ниски резултати в областта на иновациите възможност да се включат в дейности по линия на триъгълника на знанието като част от някоя от ОЗИ. Това е отразено и в процента на финансирането на EIT, отпуснато за партньорите от ЕС–13 (8,3 % в сравнение с 4,8 % при „Хоризонт 2020“, считано от 2018 г.).</w:t>
      </w:r>
    </w:p>
    <w:p>
      <w:pPr>
        <w:spacing w:before="0" w:line="259" w:lineRule="auto"/>
        <w:rPr>
          <w:noProof/>
          <w:szCs w:val="24"/>
        </w:rPr>
      </w:pPr>
      <w:r>
        <w:rPr>
          <w:noProof/>
          <w:lang w:val="en-GB" w:eastAsia="en-GB"/>
        </w:rPr>
        <w:drawing>
          <wp:inline distT="0" distB="0" distL="0" distR="0">
            <wp:extent cx="5761355" cy="315524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1355" cy="3155249"/>
                    </a:xfrm>
                    <a:prstGeom prst="rect">
                      <a:avLst/>
                    </a:prstGeom>
                  </pic:spPr>
                </pic:pic>
              </a:graphicData>
            </a:graphic>
          </wp:inline>
        </w:drawing>
      </w:r>
    </w:p>
    <w:p>
      <w:pPr>
        <w:tabs>
          <w:tab w:val="left" w:pos="765"/>
        </w:tabs>
        <w:spacing w:before="0" w:after="160" w:line="259" w:lineRule="auto"/>
        <w:jc w:val="left"/>
        <w:rPr>
          <w:noProof/>
          <w:sz w:val="16"/>
          <w:szCs w:val="16"/>
        </w:rPr>
      </w:pPr>
      <w:r>
        <w:rPr>
          <w:noProof/>
          <w:sz w:val="16"/>
          <w:szCs w:val="16"/>
        </w:rPr>
        <w:t>Фигура 3: EIT в Европа; източник: EIT, 2018 г.</w:t>
      </w:r>
    </w:p>
    <w:p>
      <w:pPr>
        <w:spacing w:before="0" w:line="259" w:lineRule="auto"/>
        <w:rPr>
          <w:b/>
          <w:noProof/>
          <w:szCs w:val="24"/>
        </w:rPr>
      </w:pPr>
      <w:r>
        <w:rPr>
          <w:noProof/>
        </w:rPr>
        <w:t>EIT успя да остане гъвкав и да разработи принципите и правилата за управление, необходими за успешното ръководство на неговите ОЗИ в общата рамка на „Хоризонт 2020“, в съответствие с Регламента за EIT. Неговата оперативна самостоятелност му позволи да изпробва и да приложи ефективно редица нововъведения в управлението на неговите бенефициери, като например механизъм за конкурентно финансиране, цели за финансова устойчивост и специфични ключови показатели за ефективност.</w:t>
      </w:r>
    </w:p>
    <w:p>
      <w:pPr>
        <w:pStyle w:val="Heading2"/>
        <w:rPr>
          <w:rFonts w:eastAsia="Times New Roman"/>
          <w:noProof/>
        </w:rPr>
      </w:pPr>
      <w:bookmarkStart w:id="27" w:name="_Toc536641391"/>
      <w:bookmarkStart w:id="28" w:name="_Toc536645739"/>
      <w:bookmarkStart w:id="29" w:name="_Toc536641169"/>
      <w:bookmarkStart w:id="30" w:name="_Toc13477362"/>
      <w:r>
        <w:rPr>
          <w:noProof/>
        </w:rPr>
        <w:t>Основни предизвикателства</w:t>
      </w:r>
      <w:bookmarkEnd w:id="27"/>
      <w:bookmarkEnd w:id="28"/>
      <w:bookmarkEnd w:id="29"/>
      <w:bookmarkEnd w:id="30"/>
    </w:p>
    <w:p>
      <w:pPr>
        <w:spacing w:before="0" w:after="160" w:line="259" w:lineRule="auto"/>
        <w:rPr>
          <w:noProof/>
          <w:spacing w:val="-4"/>
          <w:szCs w:val="24"/>
        </w:rPr>
      </w:pPr>
      <w:r>
        <w:rPr>
          <w:noProof/>
          <w:spacing w:val="-4"/>
        </w:rPr>
        <w:t>EIT е част от общата рамка на „Хоризонт Европа“, сред чиито цели са: да се постигне научно, икономическо/технологично и обществено въздействие, така че да се укрепят научната и технологичната база на Съюза; да се осъществят стратегическите приоритети на Съюза, да се насърчи неговата конкурентоспособност във всички държави членки, включително конкурентоспособността на неговата промишленост, и да се допринесе за справянето с глобалните предизвикателства, включително целите за устойчиво развитие. Ключово условие за постигането на успех в това начинание е да се отговори на постоянната необходимост от увеличаване на капацитета за иновации в целия Съюз. ЕС е изправен по-конкретно пред три предизвикателства, които ще ръководят действията на EIT през периода 2021—2027 г., като те намират отражение в общите му цели.</w:t>
      </w:r>
    </w:p>
    <w:p>
      <w:pPr>
        <w:spacing w:before="0" w:after="160" w:line="259" w:lineRule="auto"/>
        <w:rPr>
          <w:noProof/>
          <w:szCs w:val="24"/>
        </w:rPr>
      </w:pPr>
      <w:r>
        <w:rPr>
          <w:noProof/>
        </w:rPr>
        <w:t>На първо място, съвременните икономики почиват все повече на уменията и способностите на хората и организациите да превръщат идеите в продукти и услуги. В днешно време иновативните умения и предприемаческата култура имат определящо значение, най-вече в сферата на технологиите и науката, но все повече и в други дисциплини. Налице е силна нужда от допълнително увеличаване на капацитета за иновации на висшите учебни заведения в Европа. EIT е в уникална позиция да постигне резултати в това отношение в рамките на „Хоризонт Европа“.</w:t>
      </w:r>
    </w:p>
    <w:p>
      <w:pPr>
        <w:spacing w:before="0" w:after="160" w:line="259" w:lineRule="auto"/>
        <w:rPr>
          <w:noProof/>
          <w:szCs w:val="24"/>
        </w:rPr>
      </w:pPr>
      <w:r>
        <w:rPr>
          <w:noProof/>
        </w:rPr>
        <w:t>На второ място, физическата близост е ключов благоприятстващ фактор за иновациите. Инициативите, насочени към развиването на мрежи, свързани с иновациите, и към предоставянето на услуги в помощ на изграждането, споделянето и предаването на знания, играят ключова роля за насърчаване на взаимодействията между стопанския сектор, академичните среди, научноизследователските организации, правителствата и частните лица. При все това постигнатото в сферата на научните изследвания и иновациите варира значително в ЕС, както е видно от годишния сравнителен доклад на ЕС за иновациите. От решаващо значение е иновативната дейност да бъде приобщаваща и да има корени на местно равнище. Благодарение на своя ориентиран към местните условия (локализиран) подход дейностите на EIT са добре адаптирани да допринасят за укрепването на местните екосистеми за иновации.</w:t>
      </w:r>
    </w:p>
    <w:p>
      <w:pPr>
        <w:spacing w:before="0" w:after="160" w:line="259" w:lineRule="auto"/>
        <w:rPr>
          <w:noProof/>
          <w:szCs w:val="24"/>
        </w:rPr>
      </w:pPr>
      <w:r>
        <w:rPr>
          <w:noProof/>
        </w:rPr>
        <w:t>И накрая, динамичните екосистеми за иновации се нуждаят от комбинация от знания, инфраструктура и талант. За да се гарантира правилно и ефикасно инвестиране на оскъдните ресурси в научни изследвания и иновации, трябва да са налице рамкови условия за сътрудничество между европейските научни изследвания, образование и иновации, а също така и силни полезни взаимодействия. Все по-задълбоченото интегриране на триъгълника на знанието чрез съществуващите и новите ОЗИ е доказан начин да се стимулира създаването на среда, благоприятстваща иновациите, като това е водеща цел за EIT.</w:t>
      </w:r>
    </w:p>
    <w:p>
      <w:pPr>
        <w:pStyle w:val="Heading1"/>
        <w:rPr>
          <w:rFonts w:eastAsia="Times New Roman"/>
          <w:noProof/>
        </w:rPr>
      </w:pPr>
      <w:bookmarkStart w:id="31" w:name="_Toc536645740"/>
      <w:bookmarkStart w:id="32" w:name="_Toc536641392"/>
      <w:bookmarkStart w:id="33" w:name="_Toc13240023"/>
      <w:bookmarkStart w:id="34" w:name="_Toc13477363"/>
      <w:r>
        <w:rPr>
          <w:noProof/>
        </w:rPr>
        <w:t xml:space="preserve">Вдигане на летвата: </w:t>
      </w:r>
      <w:bookmarkStart w:id="35" w:name="_Toc536641170"/>
      <w:r>
        <w:rPr>
          <w:noProof/>
        </w:rPr>
        <w:t>EIT през</w:t>
      </w:r>
      <w:bookmarkEnd w:id="31"/>
      <w:bookmarkEnd w:id="32"/>
      <w:bookmarkEnd w:id="35"/>
      <w:r>
        <w:rPr>
          <w:noProof/>
        </w:rPr>
        <w:t>2021—2027 г.</w:t>
      </w:r>
      <w:bookmarkEnd w:id="33"/>
      <w:bookmarkEnd w:id="34"/>
    </w:p>
    <w:p>
      <w:pPr>
        <w:rPr>
          <w:noProof/>
          <w:szCs w:val="24"/>
        </w:rPr>
      </w:pPr>
      <w:r>
        <w:rPr>
          <w:noProof/>
        </w:rPr>
        <w:t>Като неразделна част от програмата „Хоризонт Европа“ EIT ще допринася за постигането на нейните основни цели и приоритети. ОЗИ ще бъдат част от институционализираните европейски партньорства, което означава, че ще следват набор от принципи и критерии, свързани с жизнения им цикъл, за да се гарантира по-съгласуван и открит подход, насочен към постигането на въздействие. Поради това общите цели на EIT отразяват цялостната роля на EIT в рамките на програма „Хоризонт Европа“ и мястото му в [стълба „Иновативна Европа“].</w:t>
      </w:r>
    </w:p>
    <w:p>
      <w:pPr>
        <w:pStyle w:val="Heading2"/>
        <w:rPr>
          <w:rFonts w:eastAsia="Times New Roman"/>
          <w:noProof/>
        </w:rPr>
      </w:pPr>
      <w:bookmarkStart w:id="36" w:name="_Toc536645741"/>
      <w:bookmarkStart w:id="37" w:name="_Toc536641393"/>
      <w:bookmarkStart w:id="38" w:name="_Toc536641171"/>
      <w:bookmarkStart w:id="39" w:name="_Toc13477364"/>
      <w:r>
        <w:rPr>
          <w:noProof/>
        </w:rPr>
        <w:t>Цели</w:t>
      </w:r>
      <w:bookmarkEnd w:id="36"/>
      <w:bookmarkEnd w:id="37"/>
      <w:bookmarkEnd w:id="38"/>
      <w:bookmarkEnd w:id="39"/>
    </w:p>
    <w:p>
      <w:pPr>
        <w:rPr>
          <w:noProof/>
          <w:szCs w:val="24"/>
        </w:rPr>
      </w:pPr>
      <w:r>
        <w:rPr>
          <w:noProof/>
        </w:rPr>
        <w:t>Основните области на интервенция от страна на EIT са определени в [предложението за програма „Хоризонт Европа“]. EIT ще продължи да подпомага своите общности за знания и иновации (ОЗИ), за да се укрепят екосистемите за иновации, които спомагат за справяне с глобалните предизвикателства. За тази цел EIT ще поощрява интегрирането на образованието, научните изследвания и стопанската дейност, създавайки по този начин благоприятни условия за иновации, ще насърчава и подкрепя ново поколение предприемачи и ще стимулира създаването на иновативни дружества в тясно взаимодействие и взаимно допълване с Европейския съвет по иновациите (ЕСИ). Като прави това, той по-специално:</w:t>
      </w:r>
    </w:p>
    <w:p>
      <w:pPr>
        <w:pStyle w:val="Point0number"/>
        <w:numPr>
          <w:ilvl w:val="0"/>
          <w:numId w:val="14"/>
        </w:numPr>
        <w:rPr>
          <w:noProof/>
        </w:rPr>
      </w:pPr>
      <w:r>
        <w:rPr>
          <w:noProof/>
        </w:rPr>
        <w:t>ще укрепва устойчивите екосистеми за иновации в цяла Европа;</w:t>
      </w:r>
    </w:p>
    <w:p>
      <w:pPr>
        <w:pStyle w:val="Point0number"/>
        <w:rPr>
          <w:noProof/>
        </w:rPr>
      </w:pPr>
      <w:r>
        <w:rPr>
          <w:noProof/>
        </w:rPr>
        <w:t>ще насърчава иновациите и предприемачеството чрез по-добро образование;</w:t>
      </w:r>
    </w:p>
    <w:p>
      <w:pPr>
        <w:pStyle w:val="Point0number"/>
        <w:rPr>
          <w:noProof/>
        </w:rPr>
      </w:pPr>
      <w:r>
        <w:rPr>
          <w:noProof/>
        </w:rPr>
        <w:t>ще представя на пазара нови решения на глобалните предизвикателства.</w:t>
      </w:r>
    </w:p>
    <w:p>
      <w:pPr>
        <w:rPr>
          <w:noProof/>
          <w:szCs w:val="24"/>
        </w:rPr>
      </w:pPr>
      <w:r>
        <w:rPr>
          <w:noProof/>
        </w:rPr>
        <w:t>С оглед на установените предизвикателства, пред които е изправен EIT (описани в раздел 1.3.), и с цел да се допринесе за постигането на горепосочените му основни цели, предвидени в [предложението за програма „Хоризонт Европа“], специфичните цели на EIT за периода 2021—2027 г. са:</w:t>
      </w:r>
    </w:p>
    <w:p>
      <w:pPr>
        <w:pStyle w:val="Point0"/>
        <w:rPr>
          <w:noProof/>
        </w:rPr>
      </w:pPr>
      <w:r>
        <w:rPr>
          <w:noProof/>
        </w:rPr>
        <w:t>а)</w:t>
      </w:r>
      <w:r>
        <w:rPr>
          <w:noProof/>
        </w:rPr>
        <w:tab/>
        <w:t>да засили въздействието на ОЗИ и на интегрирането на триъгълника на знанието;</w:t>
      </w:r>
    </w:p>
    <w:p>
      <w:pPr>
        <w:pStyle w:val="Point0"/>
        <w:rPr>
          <w:noProof/>
        </w:rPr>
      </w:pPr>
      <w:r>
        <w:rPr>
          <w:noProof/>
        </w:rPr>
        <w:t>б)</w:t>
      </w:r>
      <w:r>
        <w:rPr>
          <w:noProof/>
        </w:rPr>
        <w:tab/>
        <w:t>да повиши иновационния капацитет на сектора на висшето образование чрез насърчаване на институционални промени във висшите учебни заведения (ВУЗ);</w:t>
      </w:r>
    </w:p>
    <w:p>
      <w:pPr>
        <w:pStyle w:val="Point0"/>
        <w:rPr>
          <w:noProof/>
        </w:rPr>
      </w:pPr>
      <w:r>
        <w:rPr>
          <w:noProof/>
        </w:rPr>
        <w:t>в)</w:t>
      </w:r>
      <w:r>
        <w:rPr>
          <w:noProof/>
        </w:rPr>
        <w:tab/>
        <w:t>да разшири регионалния обхват на EIT с цел да се преодолеят регионалните различия в иновационния</w:t>
      </w:r>
      <w:bookmarkStart w:id="40" w:name="_Toc536641172"/>
      <w:bookmarkStart w:id="41" w:name="_Toc536641394"/>
      <w:bookmarkStart w:id="42" w:name="_Toc536645742"/>
      <w:r>
        <w:rPr>
          <w:noProof/>
        </w:rPr>
        <w:t xml:space="preserve"> капацитет в целия ЕС.</w:t>
      </w:r>
    </w:p>
    <w:p>
      <w:pPr>
        <w:pStyle w:val="Heading2"/>
        <w:rPr>
          <w:rFonts w:eastAsia="Times New Roman"/>
          <w:noProof/>
        </w:rPr>
      </w:pPr>
      <w:bookmarkStart w:id="43" w:name="_Toc13477365"/>
      <w:r>
        <w:rPr>
          <w:noProof/>
        </w:rPr>
        <w:t>Място в рамките на „Хоризонт Европа“</w:t>
      </w:r>
      <w:bookmarkEnd w:id="40"/>
      <w:bookmarkEnd w:id="41"/>
      <w:bookmarkEnd w:id="42"/>
      <w:bookmarkEnd w:id="43"/>
    </w:p>
    <w:p>
      <w:pPr>
        <w:spacing w:before="0" w:after="160" w:line="259" w:lineRule="auto"/>
        <w:rPr>
          <w:noProof/>
          <w:szCs w:val="24"/>
        </w:rPr>
      </w:pPr>
      <w:r>
        <w:rPr>
          <w:noProof/>
        </w:rPr>
        <w:t>Чрез постигането на поставените цели EIT ще допринесе за цялостното научно, икономическо/технологично и обществено въздействие на „Хоризонт Европа“. Той ще продължи да укрепва екосистемите за иновации, които спомагат за справянето с глобалните предизвикателства, като насърчава интегрирането на триъгълника на знанието в областите на дейност на ОЗИ. Чрез процеса на стратегическо планиране на „Хоризонт Европа“ ще се осигури по-добро хармонизиране на дейностите на EIT с останалата част от „Хоризонт Европа“. Със своите доказани резултати EIT ще играе важна роля в рамките на стълб „Иновативна Европа“.</w:t>
      </w:r>
    </w:p>
    <w:p>
      <w:pPr>
        <w:spacing w:before="0" w:after="160" w:line="259" w:lineRule="auto"/>
        <w:rPr>
          <w:noProof/>
          <w:spacing w:val="-2"/>
          <w:szCs w:val="24"/>
        </w:rPr>
      </w:pPr>
      <w:r>
        <w:rPr>
          <w:noProof/>
          <w:spacing w:val="-2"/>
        </w:rPr>
        <w:t xml:space="preserve">Наличието на силни полезни взаимодействия между EIT и Европейския съвет по иновациите ще е от ключово значение за въздействието на </w:t>
      </w:r>
      <w:r>
        <w:rPr>
          <w:b/>
          <w:noProof/>
          <w:spacing w:val="-2"/>
          <w:szCs w:val="24"/>
        </w:rPr>
        <w:t>стълб</w:t>
      </w:r>
      <w:r>
        <w:rPr>
          <w:noProof/>
          <w:spacing w:val="-2"/>
        </w:rPr>
        <w:t xml:space="preserve"> [</w:t>
      </w:r>
      <w:r>
        <w:rPr>
          <w:b/>
          <w:noProof/>
          <w:spacing w:val="-2"/>
          <w:szCs w:val="24"/>
        </w:rPr>
        <w:t>Иновативна Европа</w:t>
      </w:r>
      <w:r>
        <w:rPr>
          <w:noProof/>
          <w:spacing w:val="-2"/>
        </w:rPr>
        <w:t>]. EIT и ЕСИ ще провеждат взаимнодопълващи се дейности с цел рационализиране на подкрепата, предоставяна на иновативните предприятия. Опирайки се на експертния опит на своите ОЗИ, EIT ще предоставя на бенефициерите, получаващи финансиране по линия на ЕСИ, услуги за ускоряване на бизнеса и обучения.</w:t>
      </w:r>
    </w:p>
    <w:p>
      <w:pPr>
        <w:spacing w:before="0" w:after="160" w:line="259" w:lineRule="auto"/>
        <w:rPr>
          <w:noProof/>
          <w:szCs w:val="24"/>
        </w:rPr>
      </w:pPr>
      <w:r>
        <w:rPr>
          <w:noProof/>
        </w:rPr>
        <w:t>Освен това EIT ще улеснява достъпа на бенефициерите на ЕСИ до екосистемите за иновации на ОЗИ и до съответните участници в триъгълника на знанието. По този начин бенефициерите на ЕСИ ще могат да участват активно в дейностите на ОЗИ, както и да се възползват от услугите на ОЗИ. Едновременно с това бенефициерите на EIT ще могат да кандидатстват за инструментите на ЕСИ, когато не е възможно да получат подкрепа от ОЗИ на EIT. ЕСИ може да помага на подкрепяни от ОЗИ стартиращи предприятия с висок потенциал за растеж да се разрастват бързо. По-специално, ако бъдат избрани от ЕСИ, най-иновативните предприятия, подкрепяни от ОЗИ, ще могат да се възползват от смесената финансова подкрепа, предоставяна от инструмента „Ускорител“ на ЕСИ, и/или от финансовата подкрепа, предоставяна от инструментите на InvestEU.</w:t>
      </w:r>
    </w:p>
    <w:p>
      <w:pPr>
        <w:spacing w:before="0" w:after="160" w:line="259" w:lineRule="auto"/>
        <w:rPr>
          <w:noProof/>
          <w:spacing w:val="-4"/>
          <w:szCs w:val="24"/>
        </w:rPr>
      </w:pPr>
      <w:r>
        <w:rPr>
          <w:noProof/>
          <w:spacing w:val="-4"/>
        </w:rPr>
        <w:t xml:space="preserve">EIT ще гарантира по-солидни полезни взаимодействия и с програмите и инициативите, обхванати от </w:t>
      </w:r>
      <w:r>
        <w:rPr>
          <w:b/>
          <w:noProof/>
          <w:spacing w:val="-4"/>
        </w:rPr>
        <w:t>стълб</w:t>
      </w:r>
      <w:r>
        <w:rPr>
          <w:noProof/>
          <w:spacing w:val="-4"/>
        </w:rPr>
        <w:t xml:space="preserve"> </w:t>
      </w:r>
      <w:r>
        <w:rPr>
          <w:b/>
          <w:noProof/>
          <w:spacing w:val="-4"/>
          <w:szCs w:val="24"/>
        </w:rPr>
        <w:t>[„Високи постижения в научната област“]</w:t>
      </w:r>
      <w:r>
        <w:rPr>
          <w:noProof/>
          <w:spacing w:val="-4"/>
        </w:rPr>
        <w:t>, за да се ускори трансфера на знания, придобити вследствие на фундаментални научни изследвания, в конкретни приложения, които са от полза за обществото. Що се отнася по-специално до действията „Мария Склодовска-Кюри“ (ДМСК), EIT ще оказва съдействие за развиването на иновационните и предприемаческите умения на стипендиантите на ДМСК.</w:t>
      </w:r>
    </w:p>
    <w:p>
      <w:pPr>
        <w:spacing w:before="0" w:after="160" w:line="259" w:lineRule="auto"/>
        <w:rPr>
          <w:noProof/>
          <w:szCs w:val="24"/>
        </w:rPr>
      </w:pPr>
      <w:r>
        <w:rPr>
          <w:noProof/>
        </w:rPr>
        <w:t xml:space="preserve">EIT ще допринася за </w:t>
      </w:r>
      <w:r>
        <w:rPr>
          <w:b/>
          <w:noProof/>
          <w:szCs w:val="24"/>
        </w:rPr>
        <w:t>стълб [„Глобални предизвикателства и конкурентоспособност на промишлеността“]</w:t>
      </w:r>
      <w:r>
        <w:rPr>
          <w:noProof/>
        </w:rPr>
        <w:t xml:space="preserve"> и ще допълва съответните дейности за справяне с глобалните предизвикателства и повишаване на конкурентоспособността на ЕС в световен мащаб. По-специално, чрез своите ОЗИ EIT ще се стреми да допринася за съответните мисии и тематични клъстери и други европейски партньорства, в частност като оказва подкрепа за мерките в областта на търсенето и като предоставя услуги по използване на резултатите с цел насърчаване на трансфера на технологии и ускоряване на търговската реализация на постигнатите резултати.</w:t>
      </w:r>
    </w:p>
    <w:p>
      <w:pPr>
        <w:spacing w:before="0" w:after="160" w:line="259" w:lineRule="auto"/>
        <w:rPr>
          <w:noProof/>
          <w:szCs w:val="24"/>
        </w:rPr>
      </w:pPr>
      <w:r>
        <w:rPr>
          <w:noProof/>
        </w:rPr>
        <w:t>EIT ще осигури съгласуваност с направлението „Европейски екосистеми за иновации“ на програма „Хоризонт Европа“. По-специално EIT ще участва активно в дейностите на форума на ЕСИ и ще установи връзки между общността на ЕИТ и съответните дейности в подкрепа на екосистемите за иновации, за да се избегне дублирането и да се гарантират съгласуваност и взаимно допълване на действията.</w:t>
      </w:r>
    </w:p>
    <w:p>
      <w:pPr>
        <w:spacing w:before="0" w:after="160" w:line="259" w:lineRule="auto"/>
        <w:rPr>
          <w:noProof/>
          <w:szCs w:val="24"/>
        </w:rPr>
      </w:pPr>
      <w:r>
        <w:rPr>
          <w:noProof/>
        </w:rPr>
        <w:t>Освен това ще бъдат проучени възможностите за полезни взаимодействия между частта „Обмен на високи постижения“ на програма „Хоризонт Европа“ и дейностите за популяризиране, подкрепяни от EIT. По-специално, като целева група, към която са ориентирани дейностите на EIT за популяризиране, държавите, към които е ориентирана част „Обмен на високи постижения“ на програма „Хоризонт Европа“, ще могат да се възползват от експертния опит и подкрепата на EIT, за да развиват дейности надолу по веригата (т.е. близо до пазара).</w:t>
      </w:r>
    </w:p>
    <w:p>
      <w:pPr>
        <w:pStyle w:val="Heading1"/>
        <w:rPr>
          <w:rFonts w:eastAsia="Times New Roman"/>
          <w:noProof/>
        </w:rPr>
      </w:pPr>
      <w:bookmarkStart w:id="44" w:name="_Toc536641396"/>
      <w:bookmarkStart w:id="45" w:name="_Toc536645744"/>
      <w:bookmarkStart w:id="46" w:name="_Toc536641174"/>
      <w:bookmarkStart w:id="47" w:name="_Toc13240024"/>
      <w:bookmarkStart w:id="48" w:name="_Toc13477366"/>
      <w:r>
        <w:rPr>
          <w:noProof/>
        </w:rPr>
        <w:t>Стимулиране на таланта и капацитета на Европа за иновации</w:t>
      </w:r>
      <w:bookmarkEnd w:id="44"/>
      <w:bookmarkEnd w:id="45"/>
      <w:bookmarkEnd w:id="46"/>
      <w:bookmarkEnd w:id="47"/>
      <w:bookmarkEnd w:id="48"/>
    </w:p>
    <w:p>
      <w:pPr>
        <w:spacing w:before="0" w:after="160" w:line="259" w:lineRule="auto"/>
        <w:rPr>
          <w:noProof/>
          <w:szCs w:val="24"/>
        </w:rPr>
      </w:pPr>
      <w:r>
        <w:rPr>
          <w:noProof/>
        </w:rPr>
        <w:t>Стратегията на EIT за периода 2021—2027 г. ще се ръководи от идеята за засилване на ролята на EIT чрез поставяне на акцент върху действия, с които той ще придаде стойност на равнището на ЕС и ще допринесе за постигането на целите на „Хоризонт Европа“. На първо място, EIT ще продължи да подпомага капацитета и екосистемите за иновации както посредством по-нататъшно развиване и разширяване на ОЗИ, така и чрез създаването на нови ОЗИ. На второ място, въз основа на собствения си опит от интегрирането на триъгълника на знанието EIT ще оказва пряка подкрепа за развиването на предприемаческия и иновационния капацитет в сферата на висшето образование. И накрая, като си служи с по-ефективни междусекторни мерки, EIT ще гарантира увеличаване на своето въздействие на равнището на ЕС. Освен това EIT ще подобри действията си в редица области с цел да повиши тяхната ефективност, ефикасност и въздействие.</w:t>
      </w:r>
    </w:p>
    <w:p>
      <w:pPr>
        <w:pStyle w:val="Heading2"/>
        <w:rPr>
          <w:rFonts w:eastAsia="Times New Roman"/>
          <w:noProof/>
        </w:rPr>
      </w:pPr>
      <w:bookmarkStart w:id="49" w:name="_Toc13477367"/>
      <w:r>
        <w:rPr>
          <w:noProof/>
        </w:rPr>
        <w:t>Общности на знание и иновации</w:t>
      </w:r>
      <w:bookmarkEnd w:id="49"/>
    </w:p>
    <w:p>
      <w:pPr>
        <w:pStyle w:val="Point0number"/>
        <w:numPr>
          <w:ilvl w:val="0"/>
          <w:numId w:val="3"/>
        </w:numPr>
        <w:rPr>
          <w:i/>
          <w:noProof/>
        </w:rPr>
      </w:pPr>
      <w:r>
        <w:rPr>
          <w:i/>
          <w:noProof/>
        </w:rPr>
        <w:t>Подкрепа за съществуващите ОЗИ</w:t>
      </w:r>
    </w:p>
    <w:p>
      <w:pPr>
        <w:spacing w:before="0" w:after="160" w:line="259" w:lineRule="auto"/>
        <w:rPr>
          <w:noProof/>
          <w:szCs w:val="24"/>
        </w:rPr>
      </w:pPr>
      <w:r>
        <w:rPr>
          <w:noProof/>
        </w:rPr>
        <w:t>Интегрирането на триъгълника на знанието от EIT и ОЗИ на равнището на ЕС, на държавите членки и на регионално и местно равнище ще се запази като основна задача с цел да се укрепят екосистемите за иновации, така че те да станат устойчиви, и да се разработят нови решения на глобалните предизвикателства. EIT ще продължи да оказва подкрепа за група ОЗИ (вж. фигура 2) и допълнително ще усъвършенства предлаганата от него успешна платформа за тяхното създаване, развиване и управление. ОЗИ ще продължат да функционират чрез центрове за съвместно ползване (ЦСП). ОЗИ ще продължат да работят за постигане на финансова стабилност, така че да достигнат в дългосрочен план финансова независимост от безвъзмездните средства, предоставяни от EIT (най-късно след 15 години), чрез привличане на публични и частни инвестиции.</w:t>
      </w:r>
    </w:p>
    <w:p>
      <w:pPr>
        <w:rPr>
          <w:noProof/>
          <w:spacing w:val="-4"/>
          <w:szCs w:val="24"/>
        </w:rPr>
      </w:pPr>
      <w:r>
        <w:rPr>
          <w:noProof/>
          <w:spacing w:val="-4"/>
        </w:rPr>
        <w:t>EIT ще задели голяма част от бюджета си за оказване на подкрепа на ОЗИ. Той ще наблюдава и анализира постиганите от тях резултати и ще гарантира, че те работят за изпълнението на целите на EIT и на програмата „Хоризонт Европа“. Освен финансовата подкрепа, като се опира на натрупания опит, EIT ще упражнява стратегически надзор върху ОЗИ и ще дава насоки по хоризонтални и специфични въпроси, включително относно установяването на полезни взаимодействия в рамките на „Хоризонт Европа“ и с други инициативи на ЕС. По-специално EIT ще оказва подкрепа на ОЗИ в създаването на взаимовръзки и насърчаването на съвместни дейности със съответните европейски партньорства и с други релевантни инициативи и програми на Съюза.</w:t>
      </w:r>
    </w:p>
    <w:p>
      <w:pPr>
        <w:spacing w:before="0" w:after="160" w:line="259" w:lineRule="auto"/>
        <w:rPr>
          <w:noProof/>
          <w:szCs w:val="24"/>
        </w:rPr>
      </w:pPr>
      <w:r>
        <w:rPr>
          <w:noProof/>
        </w:rPr>
        <w:t>Освен това той ще наблюдава предоставянето на обозначението на EIT на програми за образование и обучение на ОЗИ и ще търси по-ефективен механизъм за гарантиране на качеството, включително чрез външно признаване и акредитация на обозначението на ЕИТ.</w:t>
      </w:r>
    </w:p>
    <w:p>
      <w:pPr>
        <w:spacing w:before="0" w:after="160" w:line="259" w:lineRule="auto"/>
        <w:rPr>
          <w:noProof/>
          <w:spacing w:val="-4"/>
          <w:szCs w:val="24"/>
        </w:rPr>
      </w:pPr>
      <w:r>
        <w:rPr>
          <w:noProof/>
          <w:spacing w:val="-4"/>
        </w:rPr>
        <w:t>EIT ще улеснява споделените услуги за ОЗИ и обмена на опит и добри практики между ОЗИ и ще насърчава сътрудничеството помежду им (съвместни дейности на различни ОЗИ) както по тематични, така и по хоризонтални въпроси. Потенциалът на съвместните дейности на различни ОЗИ е най-голям, когато няколко ОЗИ работят по общи приоритети на политиката на ЕС, за които не съществуват специални ОЗИ. Обединяването на усилията на различните ОЗИ в рамките на специфични съвместни действия, които са от взаимна полза, има голям потенциал за полезни взаимодействия и EIT ще стимулира такива дейности и ще взема активно участие при определянето на съдържанието и структурата на съвместните дейности на различни ОЗИ. Той ще наблюдава изпълнението на съвместните дейности на различни ОЗИ, както и постигнатите резултати с цел да направи тези дейности неразделна част от стратегиите на ОЗИ.</w:t>
      </w:r>
    </w:p>
    <w:p>
      <w:pPr>
        <w:pStyle w:val="Point0number"/>
        <w:numPr>
          <w:ilvl w:val="0"/>
          <w:numId w:val="3"/>
        </w:numPr>
        <w:rPr>
          <w:i/>
          <w:noProof/>
        </w:rPr>
      </w:pPr>
      <w:r>
        <w:rPr>
          <w:i/>
          <w:noProof/>
        </w:rPr>
        <w:t>Увеличаване на регионалното въздействие на ОЗИ</w:t>
      </w:r>
    </w:p>
    <w:p>
      <w:pPr>
        <w:tabs>
          <w:tab w:val="left" w:pos="765"/>
        </w:tabs>
        <w:spacing w:before="0" w:after="160" w:line="259" w:lineRule="auto"/>
        <w:rPr>
          <w:noProof/>
          <w:szCs w:val="24"/>
        </w:rPr>
      </w:pPr>
      <w:r>
        <w:rPr>
          <w:noProof/>
        </w:rPr>
        <w:t xml:space="preserve">EIT ще увеличи още повече регионално си въздействие чрез по-голяма </w:t>
      </w:r>
      <w:r>
        <w:rPr>
          <w:b/>
          <w:noProof/>
          <w:szCs w:val="24"/>
        </w:rPr>
        <w:t>отвореност</w:t>
      </w:r>
      <w:r>
        <w:rPr>
          <w:noProof/>
        </w:rPr>
        <w:t xml:space="preserve"> към потенциални партньори и заинтересовани лица и по-ясно структурирана </w:t>
      </w:r>
      <w:r>
        <w:rPr>
          <w:b/>
          <w:noProof/>
          <w:szCs w:val="24"/>
        </w:rPr>
        <w:t>регионална стратегия</w:t>
      </w:r>
      <w:r>
        <w:rPr>
          <w:noProof/>
        </w:rPr>
        <w:t xml:space="preserve"> на ОЗИ, включително посредством връзки към съответните стратегии за интелигентно специализиране.</w:t>
      </w:r>
    </w:p>
    <w:p>
      <w:pPr>
        <w:rPr>
          <w:noProof/>
        </w:rPr>
      </w:pPr>
      <w:r>
        <w:rPr>
          <w:noProof/>
        </w:rPr>
        <w:t>Регионалната иновационна схема на EIT, ръководена от EIT и изпълнявана от ОЗИ, функционираше до настоящия момент на доброволна основа. От 2021 г. нататък РИС на EIT ще стане неразделна част от многогодишната стратегия на ОЗИ. EIT ще продължи да дава насоки и да оказва подкрепа на ОЗИ при изготвянето на многогодишните стратегии за РИС на EIT и тяхното изпълнение. Дейностите по РИС на EIT ще продължат да се осъществяват с повишена подкрепа за капацитета за иновации на държавите и регионите, показващи недостатъчни резултати в сферата на иновациите. Бюджетът на EIT, предвиден за изпълнението на дейностите по РИС на EIT, ще представлява поне 10% от общото финансиране, предоставяно от EIT в подкрепа на ОЗИ, с което ще се увеличи броят на партньорите на ОЗИ от целевите региони. Дейностите, подкрепяни чрез РИС, ще имат за цел:</w:t>
      </w:r>
    </w:p>
    <w:p>
      <w:pPr>
        <w:pStyle w:val="Bullet0"/>
        <w:rPr>
          <w:noProof/>
        </w:rPr>
      </w:pPr>
      <w:r>
        <w:rPr>
          <w:noProof/>
        </w:rPr>
        <w:t>да повишават капацитета за иновации на местната екосистема посредством дейности по изграждане на капацитет и по-тясно взаимодействие между местните участници в процеса на иновации (клъстери, мрежи, регионални органи, висши учебни заведения, научноизследователски организации, институции за ПОО);</w:t>
      </w:r>
    </w:p>
    <w:p>
      <w:pPr>
        <w:pStyle w:val="Bullet0"/>
        <w:rPr>
          <w:noProof/>
          <w:spacing w:val="-4"/>
        </w:rPr>
      </w:pPr>
      <w:r>
        <w:rPr>
          <w:noProof/>
          <w:spacing w:val="-4"/>
        </w:rPr>
        <w:t>да изграждат връзки между местните и паневропейските екосистеми за иновации чрез сътрудничество с ОЗИ на EIT и техните центрове за съвместно ползване.</w:t>
      </w:r>
    </w:p>
    <w:p>
      <w:pPr>
        <w:rPr>
          <w:noProof/>
          <w:szCs w:val="24"/>
        </w:rPr>
      </w:pPr>
      <w:r>
        <w:rPr>
          <w:noProof/>
        </w:rPr>
        <w:t>Наред с това, за да се гарантира по-задълбочено интегриране на ОЗИ в местните екосистеми за иновации, от всяка ОЗИ ще се изисква да разработи и приложи стратегия, насочена към укрепване на отношенията с регионалните и местните участници в процеса на иновации, като EIT ще наблюдава активно прилагането на стратегията. В многогодишната стратегия и бизнес плана на ОЗИ следва да бъде интегриран ориентиран към местните условия подход към иновациите, който да се опира на ЦСП (и РИС) на ОЗИ и по този начин да се използва ролята им на портал за достъп до дадена общност за знания и иновации и за взаимодействие с партньорите в ЦСП. ОЗИ следва да покажат, че са свързани с местните стратегии за интелигентно специализиране и с дейностите на съответни тематични платформи и междурегионални инициативи, в това число и управляващите органи на ЕСИ фондове. EIT ще извършва наблюдение и върху начина на функциониране на ЦСП и как те се интегрират в местните екосистеми за иновации.</w:t>
      </w:r>
    </w:p>
    <w:p>
      <w:pPr>
        <w:pStyle w:val="Point0number"/>
        <w:numPr>
          <w:ilvl w:val="0"/>
          <w:numId w:val="3"/>
        </w:numPr>
        <w:rPr>
          <w:i/>
          <w:noProof/>
        </w:rPr>
      </w:pPr>
      <w:r>
        <w:rPr>
          <w:i/>
          <w:noProof/>
        </w:rPr>
        <w:t>Поставяне на началото на нови ОЗИ</w:t>
      </w:r>
    </w:p>
    <w:p>
      <w:pPr>
        <w:spacing w:before="0" w:after="160" w:line="259" w:lineRule="auto"/>
        <w:rPr>
          <w:noProof/>
          <w:spacing w:val="-4"/>
        </w:rPr>
      </w:pPr>
      <w:r>
        <w:rPr>
          <w:noProof/>
          <w:spacing w:val="-4"/>
        </w:rPr>
        <w:t>С цел да допринесе за справяне с новите и нововъзникващите глобални предизвикателства EIT ще постави началото на нови ОЗИ в приоритетни области, подбрани въз основа на критерии, чрез които ще се оценяват, наред с други аспекти, релевантността им за приоритетите на политиките на програма „Хоризонт Европа“ и техният потенциал и добавена стойност, които да бъдат реализирани чрез модела на EIT. При стартирането на нови ОЗИ ще се вземат под внимание стратегическото планиране на „Хоризонт Европа“ и отпуснатия за EIT бюджет за периода 2021—2027 г. Приложимите критерии за подбора на европейски партньорства, установени в приложение III към [Регламента за програма „Хоризонт Европа“], ще бъдат включени в поканата за представяне на предложения за ОЗИ и спазването им ще бъде преценено при оценяването.</w:t>
      </w:r>
    </w:p>
    <w:p>
      <w:pPr>
        <w:spacing w:before="0" w:after="160" w:line="259" w:lineRule="auto"/>
        <w:rPr>
          <w:noProof/>
          <w:szCs w:val="24"/>
        </w:rPr>
      </w:pPr>
      <w:r>
        <w:rPr>
          <w:noProof/>
        </w:rPr>
        <w:t>Списъкът на приоритетните области за бъдещите ОЗИ се съдържа в приложение 1А към настоящата СИП.</w:t>
      </w:r>
    </w:p>
    <w:p>
      <w:pPr>
        <w:spacing w:before="0" w:after="160" w:line="259" w:lineRule="auto"/>
        <w:rPr>
          <w:noProof/>
          <w:szCs w:val="24"/>
        </w:rPr>
      </w:pPr>
      <w:r>
        <w:rPr>
          <w:noProof/>
        </w:rPr>
        <w:t>Въз основа на предложение на управителния съвет на EIT и на неговия анализ се предлага през 2022 г. да бъде поставено началото на ОЗИ в областта на културните и творческите индустрии (КТИ), като за целта през 2021 г. ще бъде публикувана покана за представяне на предложения. Тази приоритетна област се допълва в най-голяма степен с осемте ОЗИ, които EIT вече е създал, както и с потенциалните приоритетни области за другите европейски партньорства, които ще бъдат започнати в рамките на „Хоризонт Европа“. КТИ са сектор с голям потенциал за растеж, много инициативи по места и силен интерес на гражданите. Те са силно интегрирани в местните и регионалните си екосистеми. Този сектор обаче е все още силно разпокъсан и новаторите и създателите на предприятия нямат необходимите предприемачески и новаторски умения. Чрез своя подход за интегриране на триъгълника на знанието, дългосрочна перспектива и ориентиран към местните условия подход евентуална ОЗИ би била най-доброто средство за преодоляване на тези препятствия. В приложение 1Б към настоящата СИП се съдържа информационен документ, обобщаващ предизвикателствата в сектора на КТИ и очакваното въздействие от бъдещата ОЗИ.</w:t>
      </w:r>
    </w:p>
    <w:p>
      <w:pPr>
        <w:spacing w:before="0" w:after="160" w:line="259" w:lineRule="auto"/>
        <w:rPr>
          <w:noProof/>
          <w:szCs w:val="24"/>
        </w:rPr>
      </w:pPr>
      <w:r>
        <w:rPr>
          <w:noProof/>
        </w:rPr>
        <w:t>Като се има предвид предложеният бюджет за EIT, през 2025 г. би могло да се постави началото на втора нова ОЗИ, като поканата за представяне на предложения за нея ще се публикува през 2024 г., след изменение на приложение 1А, за да се добави нова(и) приоритетна(и) област(и). Приоритетната(ите) област(и) ще бъде(ат) подбрани, като се вземат под внимание предложенията на управителния съвет на EIT. В тези предложения ще се вземат предвид приоритетните области, които ще бъдат посочени в стратегическия план за научни изследвания и иновации на „Хоризонт Европа“, и критериите за подбор на европейските партньорства, и по-специално отвореност, прозрачност, добавена стойност от ЕС, съгласуваност и полезни взаимодействия. Критериите за подбор на новите ОЗИ ще бъдат приведени в съответствие с тези в „Хоризонт Европа“. Те ще имат за цел също така да помагат за изпълнението на приоритетите на политиките на ЕС, като например мисии и цели за устойчиво развитие. Възможно е да бъдат подбрани и други нови ОЗИ, ако към бюджета, предвиден за EIT, бъдат предоставени допълнителни средства.</w:t>
      </w:r>
    </w:p>
    <w:p>
      <w:pPr>
        <w:spacing w:before="0" w:after="160" w:line="259" w:lineRule="auto"/>
        <w:rPr>
          <w:noProof/>
          <w:color w:val="000000" w:themeColor="text1"/>
          <w:szCs w:val="24"/>
        </w:rPr>
      </w:pP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highlight w:val="yellow"/>
              </w:rPr>
            </w:pPr>
            <w:r>
              <w:rPr>
                <w:noProof/>
              </w:rPr>
              <w:t>EIT:</w:t>
            </w:r>
          </w:p>
          <w:p>
            <w:pPr>
              <w:pStyle w:val="ListParagraph"/>
              <w:numPr>
                <w:ilvl w:val="0"/>
                <w:numId w:val="2"/>
              </w:numPr>
              <w:spacing w:before="0" w:after="160" w:line="259" w:lineRule="auto"/>
              <w:rPr>
                <w:rFonts w:eastAsiaTheme="minorEastAsia"/>
                <w:i/>
                <w:noProof/>
                <w:szCs w:val="24"/>
              </w:rPr>
            </w:pPr>
            <w:r>
              <w:rPr>
                <w:noProof/>
              </w:rPr>
              <w:t>ще укрепва екосистемите за иновации, като продължава да оказва подкрепа на съществуващите ОЗИ по отношение на глобалните предизвикателства посредством интегриране на триъгълника на знанието;</w:t>
            </w:r>
          </w:p>
          <w:p>
            <w:pPr>
              <w:pStyle w:val="ListParagraph"/>
              <w:numPr>
                <w:ilvl w:val="0"/>
                <w:numId w:val="2"/>
              </w:numPr>
              <w:spacing w:before="0" w:after="160" w:line="259" w:lineRule="auto"/>
              <w:rPr>
                <w:rFonts w:eastAsiaTheme="minorEastAsia"/>
                <w:noProof/>
                <w:szCs w:val="24"/>
              </w:rPr>
            </w:pPr>
            <w:r>
              <w:rPr>
                <w:noProof/>
              </w:rPr>
              <w:t>ще определи области за сътрудничество между различните ОЗИ по теми от стратегическо и политическо значение и ще насърчава засилването на това сътрудничество;</w:t>
            </w:r>
          </w:p>
          <w:p>
            <w:pPr>
              <w:pStyle w:val="ListParagraph"/>
              <w:numPr>
                <w:ilvl w:val="0"/>
                <w:numId w:val="2"/>
              </w:numPr>
              <w:spacing w:before="0" w:after="160" w:line="259" w:lineRule="auto"/>
              <w:rPr>
                <w:noProof/>
              </w:rPr>
            </w:pPr>
            <w:r>
              <w:rPr>
                <w:noProof/>
              </w:rPr>
              <w:t>ще гарантира разработването и изпълнението от ОЗИ на стратегия за установяване на сътрудничество и полезни взаимодействия със съответните европейски партньорства и с други релевантни инициативи и програми на Съюза;</w:t>
            </w:r>
          </w:p>
          <w:p>
            <w:pPr>
              <w:pStyle w:val="ListParagraph"/>
              <w:numPr>
                <w:ilvl w:val="0"/>
                <w:numId w:val="2"/>
              </w:numPr>
              <w:spacing w:before="0" w:after="160" w:line="259" w:lineRule="auto"/>
              <w:rPr>
                <w:rFonts w:eastAsiaTheme="minorEastAsia"/>
                <w:noProof/>
                <w:szCs w:val="24"/>
              </w:rPr>
            </w:pPr>
            <w:r>
              <w:rPr>
                <w:noProof/>
              </w:rPr>
              <w:t>ще гарантира, че ОЗИ прилагат приобщаващ подход, насочен към укрепване на техните взаимоотношения с националните, регионалните и местните участници в процеса на иновации;</w:t>
            </w:r>
          </w:p>
          <w:p>
            <w:pPr>
              <w:pStyle w:val="ListParagraph"/>
              <w:numPr>
                <w:ilvl w:val="0"/>
                <w:numId w:val="2"/>
              </w:numPr>
              <w:spacing w:before="0" w:after="160" w:line="259" w:lineRule="auto"/>
              <w:rPr>
                <w:rFonts w:eastAsiaTheme="minorEastAsia"/>
                <w:noProof/>
                <w:szCs w:val="24"/>
              </w:rPr>
            </w:pPr>
            <w:r>
              <w:rPr>
                <w:noProof/>
              </w:rPr>
              <w:t>ще гарантира по-широко регионално въздействие в резултат от дейностите по РИС на EIT, както и тяхното пълно интегриране в многогодишните стратегии на ОЗИ;</w:t>
            </w:r>
          </w:p>
          <w:p>
            <w:pPr>
              <w:pStyle w:val="ListParagraph"/>
              <w:numPr>
                <w:ilvl w:val="0"/>
                <w:numId w:val="2"/>
              </w:numPr>
              <w:spacing w:before="0" w:after="160" w:line="259" w:lineRule="auto"/>
              <w:rPr>
                <w:rFonts w:eastAsiaTheme="minorEastAsia"/>
                <w:noProof/>
                <w:szCs w:val="24"/>
              </w:rPr>
            </w:pPr>
            <w:r>
              <w:rPr>
                <w:noProof/>
              </w:rPr>
              <w:t>ще постави началото на нови ОЗИ в подбрани тематични области от стратегическо значение, като започне с ОЗИ в областта на културните и творческите индустрии, която ще стартира през 2022 г.</w:t>
            </w:r>
          </w:p>
        </w:tc>
      </w:tr>
    </w:tbl>
    <w:p>
      <w:pPr>
        <w:pStyle w:val="Heading2"/>
        <w:rPr>
          <w:rFonts w:eastAsia="Times New Roman"/>
          <w:noProof/>
        </w:rPr>
      </w:pPr>
      <w:bookmarkStart w:id="50" w:name="_Toc13477368"/>
      <w:r>
        <w:rPr>
          <w:noProof/>
        </w:rPr>
        <w:t>Подпомагане на капацитета за иновации на висшето образование</w:t>
      </w:r>
      <w:bookmarkEnd w:id="50"/>
    </w:p>
    <w:p>
      <w:pPr>
        <w:spacing w:before="0" w:after="160" w:line="259" w:lineRule="auto"/>
        <w:rPr>
          <w:noProof/>
          <w:szCs w:val="24"/>
        </w:rPr>
      </w:pPr>
      <w:r>
        <w:rPr>
          <w:noProof/>
        </w:rPr>
        <w:t xml:space="preserve">Посредством модела за интегриране на триъгълника на знанието EIT спомогна за преодоляване на трайното разделение между висшето образование, научноизследователската дейност и иновациите. По-специално EIT е ключов инструмент за развиването на човешкия капитал, благодарение на ясния акцент, който поставя върху образованието, насочено към предприемачеството. Въздействието на EIT обаче остава ограничено до партньорите на ОЗИ. </w:t>
      </w:r>
    </w:p>
    <w:p>
      <w:pPr>
        <w:spacing w:before="0" w:after="160" w:line="259" w:lineRule="auto"/>
        <w:rPr>
          <w:noProof/>
          <w:szCs w:val="24"/>
        </w:rPr>
      </w:pPr>
      <w:r>
        <w:rPr>
          <w:noProof/>
        </w:rPr>
        <w:t>За да подпомогнат в по-широка степен иновациите, висшите учебни заведения в Европа трябва да бъдат иновативни и предприемчиви в подхода си към образованието, научните изследвания и ангажимента към бизнеса, както и към местните екосистеми за иновации в широк смисъл, включително гражданското общество.</w:t>
      </w:r>
    </w:p>
    <w:p>
      <w:pPr>
        <w:spacing w:before="0" w:after="160" w:line="259" w:lineRule="auto"/>
        <w:rPr>
          <w:noProof/>
          <w:szCs w:val="24"/>
        </w:rPr>
      </w:pPr>
      <w:r>
        <w:rPr>
          <w:noProof/>
        </w:rPr>
        <w:t>Превръщането на висшите учебни заведения в по-иновативни и предприемчиви организации изисква ясна стратегия, методологическа рамка и заделяне на ресурси. Благодарение на своя опит EIT е в изключително добра позиция да оказва подкрепа за развиването на предприемачески капацитет и капацитет за иновации от ВУЗ в рамките на „Хоризонт Европа“.</w:t>
      </w:r>
    </w:p>
    <w:p>
      <w:pPr>
        <w:spacing w:before="0" w:after="160" w:line="259" w:lineRule="auto"/>
        <w:rPr>
          <w:noProof/>
          <w:szCs w:val="24"/>
        </w:rPr>
      </w:pPr>
      <w:r>
        <w:rPr>
          <w:noProof/>
        </w:rPr>
        <w:t xml:space="preserve">Дейностите ще се изпълняват от EIT чрез ОЗИ, като това ще става по открит и целенасочен начин, който ще има за цел да се повиши капацитета за иновации във висшето образование, за да може по-голям брой висши учебни заведения да се включат във веригите за създаване на стойност и екосистемите за иновации. Тези дейности ще допълват интервенциите на EIT в областта на образованието и ще бъдат неразделна част от дейностите по интегриране на триъгълника на знанието на ОЗИ, по-специално като ги правят по-отворени и по-достъпни и за други освен партньорите на ОЗИ. Въздействието на EIT ще надхвърли ОЗИ и ще допринесе за основната мисия на EIT — да насърчава устойчивия икономически растеж и конкурентоспособността чрез увеличаване на капацитета за иновации на държавите членки, в съответствие с целите на програма „Хоризонт Европа“ за насърчаване на предприемаческите и иновационните умения в перспективата на учене през целия живот, включително увеличаване на капацитета на ВУЗ в цяла Европа. </w:t>
      </w:r>
    </w:p>
    <w:p>
      <w:pPr>
        <w:spacing w:before="0" w:after="160" w:line="259" w:lineRule="auto"/>
        <w:rPr>
          <w:noProof/>
          <w:szCs w:val="24"/>
        </w:rPr>
      </w:pPr>
      <w:r>
        <w:rPr>
          <w:noProof/>
        </w:rPr>
        <w:t>Подкрепата, оказвана от EIT, ще се опира на инициативи на политиката, като рамките HEInnovate (иновации във висшето образование)</w:t>
      </w:r>
      <w:r>
        <w:rPr>
          <w:rStyle w:val="FootnoteReference"/>
          <w:noProof/>
        </w:rPr>
        <w:footnoteReference w:id="5"/>
      </w:r>
      <w:r>
        <w:rPr>
          <w:noProof/>
        </w:rPr>
        <w:t xml:space="preserve"> и RIIA</w:t>
      </w:r>
      <w:r>
        <w:rPr>
          <w:rStyle w:val="FootnoteReference"/>
          <w:noProof/>
          <w:szCs w:val="24"/>
        </w:rPr>
        <w:footnoteReference w:id="6"/>
      </w:r>
      <w:r>
        <w:rPr>
          <w:noProof/>
        </w:rPr>
        <w:t xml:space="preserve">, които са доказали значимостта си в редица ВУЗ-ове и държави членки в целия ЕС. EIT ще разработи спомагателните дейности в тясно сътрудничество с Комисията и ще гарантира съгласуваност и допълване със съответните дейности по програма „Хоризонт Европа“, „Еразъм“ и други програми. Конкретните подробности във връзка с процеса на изпълнение и постигане на поставените цели ще бъдат доразвити и уточнени през първите три години, като по време на тази пилотна фаза ще бъдат предмет на наблюдение и оценка, преди да бъдат приложени в по-широк мащаб. </w:t>
      </w:r>
    </w:p>
    <w:p>
      <w:pPr>
        <w:spacing w:before="0" w:after="160" w:line="259" w:lineRule="auto"/>
        <w:rPr>
          <w:noProof/>
          <w:szCs w:val="24"/>
        </w:rPr>
      </w:pPr>
      <w:r>
        <w:rPr>
          <w:noProof/>
        </w:rPr>
        <w:t>EIT ще има ръководна и координационна роля при изпълнението и наблюдението на дейностите, които ще се осъществяват от ОЗИ. Особено внимание ще се отделя за осигуряването на: приобщаващ подход с цел привличането на ВУЗ-ове извън партньорите на ОЗИ; интердисциплинарен и междусекторен подход; и връзка със стратегията за интелигентно специализиране на Европейската комисия, както и със съответни тематични платформи и РИС на EIT.</w:t>
      </w:r>
    </w:p>
    <w:p>
      <w:pPr>
        <w:spacing w:before="0" w:after="160" w:line="259" w:lineRule="auto"/>
        <w:rPr>
          <w:noProof/>
          <w:szCs w:val="24"/>
        </w:rPr>
      </w:pPr>
      <w:r>
        <w:rPr>
          <w:noProof/>
        </w:rPr>
        <w:t xml:space="preserve">EIT ще обвърже подкрепата си за развиването на капацитет за иновации във висшето образование с обозначението на EIT, което понастоящем се присъжда на образователните програми на ОЗИ. По-специално участващите висши учебни заведения ще могат да се включат в използването на обозначението на ЕИТ. Наред с това EIT ще разшири приложението на обозначението на EIT, така че то да се прилага и за дейности за учене през целия живот, включващи и достигащи до по-широка целева група от студенти, по-възрастни учащи лица и институции (включително институции за ПОО), които са извън ОЗИ. Прилагането на обозначението извън общността на EIT ще има по-силно структурно въздействие на всички равнища (индивид, програма и институция). </w:t>
      </w:r>
    </w:p>
    <w:p>
      <w:pPr>
        <w:spacing w:before="0" w:after="160" w:line="259" w:lineRule="auto"/>
        <w:rPr>
          <w:noProof/>
          <w:szCs w:val="24"/>
        </w:rPr>
      </w:pPr>
      <w:r>
        <w:rPr>
          <w:noProof/>
        </w:rPr>
        <w:t>EIT ще се насочи по-специално към ВУЗ-ове от държави с умерени и скромни резултати в областта на иновациите и към други слабо представящи се региони, които желаят да постигнат по-сериозни резултати в сферата на иновациите и да подобрят стратегиите си за интелигентно специализиране. EIT ще задели за тази мярка поне 25% от общия бюджет, предназначен за тези дейности.</w:t>
      </w:r>
    </w:p>
    <w:tbl>
      <w:tblPr>
        <w:tblStyle w:val="TableGrid"/>
        <w:tblW w:w="8854" w:type="dxa"/>
        <w:tblLayout w:type="fixed"/>
        <w:tblLook w:val="04A0" w:firstRow="1" w:lastRow="0" w:firstColumn="1" w:lastColumn="0" w:noHBand="0" w:noVBand="1"/>
      </w:tblPr>
      <w:tblGrid>
        <w:gridCol w:w="8854"/>
      </w:tblGrid>
      <w:tr>
        <w:trPr>
          <w:trHeight w:val="2707"/>
        </w:trPr>
        <w:tc>
          <w:tcPr>
            <w:tcW w:w="8854" w:type="dxa"/>
          </w:tcPr>
          <w:p>
            <w:pPr>
              <w:spacing w:before="0" w:after="160" w:line="259" w:lineRule="auto"/>
              <w:rPr>
                <w:noProof/>
                <w:szCs w:val="24"/>
              </w:rPr>
            </w:pPr>
            <w:r>
              <w:rPr>
                <w:noProof/>
              </w:rPr>
              <w:t>EIT:</w:t>
            </w:r>
          </w:p>
          <w:p>
            <w:pPr>
              <w:pStyle w:val="ListParagraph"/>
              <w:numPr>
                <w:ilvl w:val="0"/>
                <w:numId w:val="4"/>
              </w:numPr>
              <w:rPr>
                <w:rFonts w:eastAsiaTheme="minorEastAsia"/>
                <w:noProof/>
                <w:szCs w:val="24"/>
              </w:rPr>
            </w:pPr>
            <w:r>
              <w:rPr>
                <w:noProof/>
              </w:rPr>
              <w:t>в сътрудничество с Комисията ще проектира и даде ход на дейности за подпомагане на развиването на капацитет за иновации във висшето образование, които ще се осъществяват чрез ОЗИ от 2021 г. нататък;</w:t>
            </w:r>
          </w:p>
          <w:p>
            <w:pPr>
              <w:numPr>
                <w:ilvl w:val="0"/>
                <w:numId w:val="4"/>
              </w:numPr>
              <w:spacing w:before="0" w:after="160" w:line="259" w:lineRule="auto"/>
              <w:contextualSpacing/>
              <w:rPr>
                <w:rFonts w:eastAsiaTheme="minorEastAsia"/>
                <w:noProof/>
                <w:szCs w:val="24"/>
              </w:rPr>
            </w:pPr>
            <w:r>
              <w:rPr>
                <w:noProof/>
              </w:rPr>
              <w:t>ще въведе информационна схема, за да стимулира ВУЗ-ове от държави с умерени и скромни резултати в сферата на иновациите да развиват капацитета си за иновации;</w:t>
            </w:r>
          </w:p>
          <w:p>
            <w:pPr>
              <w:numPr>
                <w:ilvl w:val="0"/>
                <w:numId w:val="4"/>
              </w:numPr>
              <w:spacing w:before="0" w:after="160" w:line="259" w:lineRule="auto"/>
              <w:contextualSpacing/>
              <w:rPr>
                <w:rFonts w:eastAsiaTheme="minorEastAsia"/>
                <w:noProof/>
                <w:szCs w:val="24"/>
              </w:rPr>
            </w:pPr>
            <w:r>
              <w:rPr>
                <w:noProof/>
              </w:rPr>
              <w:t>ще предостави конкретни насоки, експертен опит и наставничество за участващите висши учебни заведения;</w:t>
            </w:r>
          </w:p>
          <w:p>
            <w:pPr>
              <w:numPr>
                <w:ilvl w:val="0"/>
                <w:numId w:val="4"/>
              </w:numPr>
              <w:spacing w:before="0" w:after="160" w:line="259" w:lineRule="auto"/>
              <w:contextualSpacing/>
              <w:rPr>
                <w:rFonts w:eastAsiaTheme="minorEastAsia"/>
                <w:noProof/>
                <w:szCs w:val="24"/>
              </w:rPr>
            </w:pPr>
            <w:r>
              <w:rPr>
                <w:noProof/>
              </w:rPr>
              <w:t>ще укрепи статута и ще разшири приложното поле на обозначението на EIT отвъд ОЗИ, за да се включат и ВУЗ-овете, участващи в действието.</w:t>
            </w:r>
          </w:p>
        </w:tc>
      </w:tr>
    </w:tbl>
    <w:p>
      <w:pPr>
        <w:pStyle w:val="Heading2"/>
        <w:rPr>
          <w:rFonts w:eastAsia="Times New Roman"/>
          <w:noProof/>
        </w:rPr>
      </w:pPr>
      <w:bookmarkStart w:id="51" w:name="_Toc13477369"/>
      <w:r>
        <w:rPr>
          <w:noProof/>
        </w:rPr>
        <w:t>Междутематични дейности на EIT</w:t>
      </w:r>
      <w:bookmarkEnd w:id="51"/>
    </w:p>
    <w:p>
      <w:pPr>
        <w:pStyle w:val="Point0number"/>
        <w:numPr>
          <w:ilvl w:val="0"/>
          <w:numId w:val="5"/>
        </w:numPr>
        <w:rPr>
          <w:i/>
          <w:noProof/>
        </w:rPr>
      </w:pPr>
      <w:r>
        <w:rPr>
          <w:i/>
          <w:noProof/>
        </w:rPr>
        <w:t>Комуникация</w:t>
      </w:r>
    </w:p>
    <w:p>
      <w:pPr>
        <w:rPr>
          <w:noProof/>
        </w:rPr>
      </w:pPr>
      <w:r>
        <w:rPr>
          <w:noProof/>
        </w:rPr>
        <w:t>EIT ще подобри комуникацията и видимостта си. С все по-големия си брой ОЗИ и ново действие в подкрепа на развитието на предприемачеството на ВУЗ, EIT ще засили усилията си да получи по-широко признание като марка за качество за иновациите. Това управление на марката, както и по-добрата комуникация са от решаващо значение, особено по отношение на гражданите, тъй като иновациите, произтичащи от работата на EIT, спомагат да се докаже конкретното въздействие на инвестициите на ЕС чрез Европейската рамкова програма за научни изследвания и иновации. EIT ще прилага подобрена брандинг стратегия спрямо основните си заинтересовани участници (ВУЗ, научноизследователски организации, предприятия и др.) във всички държави членки и извън тях в съответствие с подхода за комуникация, предвиден в „Хоризонт Европа“.</w:t>
      </w:r>
    </w:p>
    <w:p>
      <w:pPr>
        <w:spacing w:before="0" w:after="160" w:line="259" w:lineRule="auto"/>
        <w:rPr>
          <w:noProof/>
          <w:szCs w:val="24"/>
        </w:rPr>
      </w:pPr>
      <w:r>
        <w:rPr>
          <w:noProof/>
        </w:rPr>
        <w:t>За да се осигури по-широко разпространение и по-добро разбиране на възможностите, предлагани от EIT, институтът ще проучи възможността за предоставяне на повече насоки и помощ по аспекти, свързани с участието в ОЗИ към EIT в цяла Европа чрез надграждане върху съществуващите информационни мрежи в цяла Европа.</w:t>
      </w:r>
    </w:p>
    <w:p>
      <w:pPr>
        <w:rPr>
          <w:noProof/>
        </w:rPr>
      </w:pPr>
      <w:r>
        <w:rPr>
          <w:noProof/>
        </w:rPr>
        <w:t>С цел да се гарантира, че голям брой заинтересовани страни от триъгълника на знанието на европейско, национално, регионално и местно равнище са осведомени за всички покани за предложения и финансирани проекти на EIT (и ОЗИ), поканите и проектите ще се публикуват и на европейския портал, посветен на възможностите за финансиране и за участие в търгове (</w:t>
      </w:r>
      <w:r>
        <w:rPr>
          <w:i/>
          <w:noProof/>
        </w:rPr>
        <w:t>Funding and Tender Opportunities</w:t>
      </w:r>
      <w:r>
        <w:rPr>
          <w:noProof/>
        </w:rPr>
        <w:t>), под рубриката „Хоризонт Европа“.</w:t>
      </w:r>
    </w:p>
    <w:p>
      <w:pPr>
        <w:spacing w:before="0" w:after="160" w:line="259" w:lineRule="auto"/>
        <w:rPr>
          <w:noProof/>
          <w:szCs w:val="24"/>
        </w:rPr>
      </w:pPr>
      <w:r>
        <w:rPr>
          <w:noProof/>
        </w:rPr>
        <w:t>EIT ще организира редовни срещи на групата на представителите на държавите членки и на съответните служби на Комисията поне два пъти годишно, за да осигури подходяща комуникация и поток на информация към държавите членки и на равнище ЕС, а също и за да ги информира редовно за резултатите и постиженията на дейностите, финансирани от EIT. Групата на представителите на държавите членки също ще осигурява подходяща подкрепа за изграждане на връзки между подпомаганите от EIT дейности и националните програми и инициативи, включително с евентуално национално съфинансиране на тези дейности.</w:t>
      </w:r>
    </w:p>
    <w:p>
      <w:pPr>
        <w:spacing w:before="0" w:after="160" w:line="259" w:lineRule="auto"/>
        <w:rPr>
          <w:noProof/>
          <w:szCs w:val="24"/>
        </w:rPr>
      </w:pPr>
      <w:r>
        <w:rPr>
          <w:noProof/>
        </w:rPr>
        <w:t>EIT ще продължи да организира форума на заинтересованите страни на EIT и наградите на EIT с цел насърчаването на отношенията с европейските участници в триъгълника на знанието и отдаването на признание на най-обещаващите предприемачи и новатори в Европа.</w:t>
      </w:r>
    </w:p>
    <w:p>
      <w:pPr>
        <w:spacing w:before="0" w:after="160" w:line="259" w:lineRule="auto"/>
        <w:rPr>
          <w:noProof/>
          <w:szCs w:val="24"/>
        </w:rPr>
      </w:pPr>
      <w:r>
        <w:rPr>
          <w:noProof/>
        </w:rPr>
        <w:t xml:space="preserve">EIT ще продължи да направлява и да предоставя стратегически насоки на Общността на бившите възпитаници на EIT — </w:t>
      </w:r>
      <w:r>
        <w:rPr>
          <w:i/>
          <w:noProof/>
        </w:rPr>
        <w:t>EIT Alumni Community</w:t>
      </w:r>
      <w:r>
        <w:rPr>
          <w:rStyle w:val="FootnoteReference"/>
          <w:noProof/>
        </w:rPr>
        <w:footnoteReference w:id="7"/>
      </w:r>
      <w:r>
        <w:rPr>
          <w:noProof/>
        </w:rPr>
        <w:t xml:space="preserve"> (в сътрудничество с управителния съвет на бившите възпитаници на EIT), за да оптимизира нейното въздействие върху предприемачите и обществото и да благоприятства трайното участие на нейните членове в дейностите, подкрепяни от EIT. През периода 2021—2027 г. тази общност ще продължи да се разраства, като към нея ще се добавят и бившите възпитаници, участващи в дейностите в подкрепа на капацитета за иновации на висшите учебни заведения.</w:t>
      </w:r>
    </w:p>
    <w:p>
      <w:pPr>
        <w:pStyle w:val="Point0number"/>
        <w:numPr>
          <w:ilvl w:val="0"/>
          <w:numId w:val="5"/>
        </w:numPr>
        <w:rPr>
          <w:i/>
          <w:noProof/>
        </w:rPr>
      </w:pPr>
      <w:r>
        <w:rPr>
          <w:i/>
          <w:noProof/>
        </w:rPr>
        <w:t>Набелязване и обмен на добри практики със заинтересованите страни</w:t>
      </w:r>
    </w:p>
    <w:p>
      <w:pPr>
        <w:spacing w:before="0" w:after="160" w:line="259" w:lineRule="auto"/>
        <w:rPr>
          <w:noProof/>
          <w:szCs w:val="24"/>
        </w:rPr>
      </w:pPr>
      <w:r>
        <w:rPr>
          <w:noProof/>
        </w:rPr>
        <w:t>EIT играе ключова роля в разпространяването на добри практики и извлечени поуки. ОЗИ и проектите в подкрепа на иновационния и предприемаческия капацитет на ВУЗ са ценен източник на данни и на експериментални познания за създателите на политики, като предлагат примери за добри практики и подкрепа в разработването и осъществяването на политиката на ЕС в съответните им тематични области.</w:t>
      </w:r>
    </w:p>
    <w:p>
      <w:pPr>
        <w:spacing w:before="0" w:after="160" w:line="259" w:lineRule="auto"/>
        <w:rPr>
          <w:noProof/>
          <w:spacing w:val="-4"/>
          <w:szCs w:val="24"/>
        </w:rPr>
      </w:pPr>
      <w:r>
        <w:rPr>
          <w:noProof/>
          <w:spacing w:val="-4"/>
        </w:rPr>
        <w:t xml:space="preserve">До момента добрите практики и поуките, извлечени от работата на ОЗИ, не са систематизирани в достатъчна степен и не са разпространявани ефективно. В качеството си на партньор на създателите на политики и на цялата общност в сферата на иновациите, предоставящ им подкрепа в областта на познанията, EIT ще развива в още по-голяма степен ролята си на институт в сферата на иновациите, способен да открива, анализира, систематизира, споделя и осигурява използването на иновационните практики, поуки и резултати от дейностите, финансирани от EIT (образование и обучение, подкрепа за иновациите, подкрепа за предприемачеството) в по-широк мащаб. Тази дейност ще се опира на връзките и полезните взаимодействия с другите инициативи, включени в [стълб „Иновативна Европа“] на [предложението за „Хоризонт Европа“]. </w:t>
      </w:r>
    </w:p>
    <w:p>
      <w:pPr>
        <w:pStyle w:val="Point0number"/>
        <w:numPr>
          <w:ilvl w:val="0"/>
          <w:numId w:val="3"/>
        </w:numPr>
        <w:rPr>
          <w:i/>
          <w:noProof/>
        </w:rPr>
      </w:pPr>
      <w:r>
        <w:rPr>
          <w:i/>
          <w:noProof/>
        </w:rPr>
        <w:t>Международно сътрудничество</w:t>
      </w:r>
    </w:p>
    <w:p>
      <w:pPr>
        <w:spacing w:before="0" w:after="160" w:line="259" w:lineRule="auto"/>
        <w:rPr>
          <w:noProof/>
          <w:szCs w:val="24"/>
        </w:rPr>
      </w:pPr>
      <w:r>
        <w:rPr>
          <w:noProof/>
        </w:rPr>
        <w:t>В рамките на приложното поле на Регламента за EIT Институтът ще се стреми да разширява въздействието на своите дейности чрез международно сътрудничество и ще координира международните дейности на ОЗИ, финансирани от EIT. Ориентацията му ще бъде тясно свързана със съответните цели на индустриалната политика на Европейския съюз, както и с неговите приоритети в областта на научните изследвания и иновациите, като същевременно ще се осигурява европейска добавена стойност.</w:t>
      </w:r>
    </w:p>
    <w:p>
      <w:pPr>
        <w:spacing w:before="0" w:after="160" w:line="259" w:lineRule="auto"/>
        <w:rPr>
          <w:noProof/>
          <w:szCs w:val="24"/>
        </w:rPr>
      </w:pPr>
      <w:r>
        <w:rPr>
          <w:noProof/>
        </w:rPr>
        <w:t>При осъществяването на международно сътрудничество EIT, след консултиране с Комисията, ще насочва действията си към ефективното справяне с глобалните обществени предизвикателства посредством принос за съответните международни инициативи и за целите за устойчиво развитие, а така също чрез осигуряване на достъп до талантите и засилено предлагане и търсене на иновативни решения. EIT и ОЗИ ще планират и осъществяват своите международни дейности в тясно сътрудничество с Комисията, като съблюдават подхода на „Хоризонт Европа“ и други относими политики на ЕС и работят под надзора на управителния съвет на EIT.</w:t>
      </w:r>
    </w:p>
    <w:tbl>
      <w:tblPr>
        <w:tblW w:w="87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trPr>
          <w:trHeight w:val="1124"/>
        </w:trPr>
        <w:tc>
          <w:tcPr>
            <w:tcW w:w="8764" w:type="dxa"/>
          </w:tcPr>
          <w:p>
            <w:pPr>
              <w:spacing w:before="0" w:after="160" w:line="259" w:lineRule="auto"/>
              <w:ind w:left="176"/>
              <w:rPr>
                <w:i/>
                <w:noProof/>
                <w:szCs w:val="24"/>
              </w:rPr>
            </w:pPr>
            <w:r>
              <w:rPr>
                <w:noProof/>
              </w:rPr>
              <w:t>EIT:</w:t>
            </w:r>
          </w:p>
          <w:p>
            <w:pPr>
              <w:numPr>
                <w:ilvl w:val="0"/>
                <w:numId w:val="6"/>
              </w:numPr>
              <w:spacing w:before="0" w:after="160" w:line="259" w:lineRule="auto"/>
              <w:contextualSpacing/>
              <w:rPr>
                <w:rFonts w:eastAsiaTheme="minorEastAsia"/>
                <w:noProof/>
                <w:szCs w:val="24"/>
              </w:rPr>
            </w:pPr>
            <w:r>
              <w:rPr>
                <w:noProof/>
              </w:rPr>
              <w:t>ще повиши видимостта си чрез по-добра брандинг стратегия по отношение на основните заинтересовани страни в държавите членки;</w:t>
            </w:r>
          </w:p>
          <w:p>
            <w:pPr>
              <w:numPr>
                <w:ilvl w:val="0"/>
                <w:numId w:val="6"/>
              </w:numPr>
              <w:spacing w:before="0" w:after="160" w:line="259" w:lineRule="auto"/>
              <w:contextualSpacing/>
              <w:rPr>
                <w:rFonts w:eastAsiaTheme="minorEastAsia"/>
                <w:noProof/>
                <w:szCs w:val="24"/>
              </w:rPr>
            </w:pPr>
            <w:r>
              <w:rPr>
                <w:noProof/>
              </w:rPr>
              <w:t>ще осигури видимост на подкрепата, оказвана от Европейския съюз;</w:t>
            </w:r>
          </w:p>
          <w:p>
            <w:pPr>
              <w:numPr>
                <w:ilvl w:val="0"/>
                <w:numId w:val="6"/>
              </w:numPr>
              <w:spacing w:before="0" w:after="160" w:line="259" w:lineRule="auto"/>
              <w:contextualSpacing/>
              <w:rPr>
                <w:rFonts w:eastAsiaTheme="minorEastAsia"/>
                <w:noProof/>
                <w:szCs w:val="24"/>
              </w:rPr>
            </w:pPr>
            <w:r>
              <w:rPr>
                <w:noProof/>
              </w:rPr>
              <w:t>ще проучи възможностите за използване на съществуващите информационни мрежи на ЕС и за осигуряване на координация на дейностите им, за да предоставя по-добри съвети и насоки на потенциалните партньори на ОЗИ към EIT;</w:t>
            </w:r>
          </w:p>
          <w:p>
            <w:pPr>
              <w:numPr>
                <w:ilvl w:val="0"/>
                <w:numId w:val="6"/>
              </w:numPr>
              <w:spacing w:before="0" w:after="160" w:line="259" w:lineRule="auto"/>
              <w:contextualSpacing/>
              <w:rPr>
                <w:rFonts w:eastAsiaTheme="minorEastAsia"/>
                <w:noProof/>
                <w:szCs w:val="24"/>
              </w:rPr>
            </w:pPr>
            <w:r>
              <w:rPr>
                <w:noProof/>
              </w:rPr>
              <w:t>ще организира редовни срещи на групата на представителите на държавите членки, за да осигури ефективна комуникация и обмен на информация с държавите членки;</w:t>
            </w:r>
          </w:p>
          <w:p>
            <w:pPr>
              <w:numPr>
                <w:ilvl w:val="0"/>
                <w:numId w:val="6"/>
              </w:numPr>
              <w:spacing w:before="0" w:after="160" w:line="259" w:lineRule="auto"/>
              <w:contextualSpacing/>
              <w:rPr>
                <w:rFonts w:eastAsiaTheme="minorEastAsia"/>
                <w:noProof/>
                <w:szCs w:val="24"/>
              </w:rPr>
            </w:pPr>
            <w:r>
              <w:rPr>
                <w:noProof/>
              </w:rPr>
              <w:t>ще повиши видимостта на действията си за гражданите и своята общност от заинтересовани страни посредством Форума на заинтересованите страни, наградите на EIT и Общността на бившите възпитаници на EIT;</w:t>
            </w:r>
          </w:p>
          <w:p>
            <w:pPr>
              <w:numPr>
                <w:ilvl w:val="0"/>
                <w:numId w:val="6"/>
              </w:numPr>
              <w:spacing w:before="0" w:after="160" w:line="259" w:lineRule="auto"/>
              <w:contextualSpacing/>
              <w:rPr>
                <w:rFonts w:eastAsiaTheme="minorEastAsia"/>
                <w:noProof/>
                <w:szCs w:val="24"/>
              </w:rPr>
            </w:pPr>
            <w:r>
              <w:rPr>
                <w:noProof/>
              </w:rPr>
              <w:t>ще набелязва, систематизира и ефективно ще споделя поуките и добрите практики, произтичащи от дейностите, финансирани от EIT; ще осъществява контакти с органите на държавите — членки на ЕС, както на национално, така и на регионално равнище, като установява структуриран диалог и координира усилията с цел да се набележат, споделят и разпространят добрите практики и извлечените поуки;</w:t>
            </w:r>
          </w:p>
          <w:p>
            <w:pPr>
              <w:numPr>
                <w:ilvl w:val="0"/>
                <w:numId w:val="6"/>
              </w:numPr>
              <w:spacing w:before="0" w:after="160" w:line="259" w:lineRule="auto"/>
              <w:contextualSpacing/>
              <w:rPr>
                <w:rFonts w:eastAsiaTheme="minorEastAsia"/>
                <w:noProof/>
                <w:szCs w:val="24"/>
              </w:rPr>
            </w:pPr>
            <w:r>
              <w:rPr>
                <w:noProof/>
              </w:rPr>
              <w:t>ще определя общата насоченост на международното сътрудничество на EIT и ОЗИ под надзора на управителния съвет на EIT при съблюдаване на стратегията на Комисията за международното сътрудничество в областта на научните изследвания и иновациите и като се консултира със съответните служби на Комисията.</w:t>
            </w:r>
          </w:p>
        </w:tc>
      </w:tr>
    </w:tbl>
    <w:p>
      <w:pPr>
        <w:pStyle w:val="Heading2"/>
        <w:rPr>
          <w:rFonts w:eastAsia="Times New Roman"/>
          <w:noProof/>
        </w:rPr>
      </w:pPr>
      <w:bookmarkStart w:id="52" w:name="_Toc536641176"/>
      <w:bookmarkStart w:id="53" w:name="_Toc536641398"/>
      <w:bookmarkStart w:id="54" w:name="_Toc536645746"/>
      <w:bookmarkStart w:id="55" w:name="_Toc13477370"/>
      <w:r>
        <w:rPr>
          <w:noProof/>
        </w:rPr>
        <w:t>Реализация</w:t>
      </w:r>
      <w:bookmarkEnd w:id="52"/>
      <w:bookmarkEnd w:id="53"/>
      <w:bookmarkEnd w:id="54"/>
      <w:bookmarkEnd w:id="55"/>
    </w:p>
    <w:p>
      <w:pPr>
        <w:spacing w:before="0" w:after="160" w:line="259" w:lineRule="auto"/>
        <w:rPr>
          <w:noProof/>
          <w:szCs w:val="24"/>
        </w:rPr>
      </w:pPr>
      <w:r>
        <w:rPr>
          <w:noProof/>
        </w:rPr>
        <w:t>В този раздел са включени редица мерки, с които се цели да се адаптира и подобри настоящото функциониране на EIT и ОЗИ. Изпълнението на тези мерки на равнището на EIT ще се наблюдава от ефективен и стратегически управителен съвет на EIT, който ще осигурява необходимите стимули и контрол, включително чрез процеса на разпределяне на средствата, за да се гарантира изпълнението на мерките от ОЗИ.</w:t>
      </w:r>
    </w:p>
    <w:p>
      <w:pPr>
        <w:pStyle w:val="Point0number"/>
        <w:numPr>
          <w:ilvl w:val="0"/>
          <w:numId w:val="3"/>
        </w:numPr>
        <w:rPr>
          <w:i/>
          <w:noProof/>
        </w:rPr>
      </w:pPr>
      <w:r>
        <w:rPr>
          <w:i/>
          <w:noProof/>
        </w:rPr>
        <w:t>Оперативен модел на ОЗИ</w:t>
      </w:r>
    </w:p>
    <w:p>
      <w:pPr>
        <w:spacing w:before="0" w:after="0"/>
        <w:rPr>
          <w:noProof/>
          <w:sz w:val="22"/>
        </w:rPr>
      </w:pPr>
      <w:r>
        <w:rPr>
          <w:noProof/>
        </w:rPr>
        <w:t>EIT ще дава оперативни насоки и ще осъществява наблюдение върху ОЗИ във връзка със спазването на принципите на добро управление, на принципите и критериите, определени за европейските партньорства в Регламента за „Хоризонт Европа“, и привеждането в съответствие с приоритетите на „Хоризонт Европа“ с цел оптимизиране на тяхната ефективност и въздействие.</w:t>
      </w:r>
    </w:p>
    <w:p>
      <w:pPr>
        <w:rPr>
          <w:noProof/>
          <w:szCs w:val="24"/>
        </w:rPr>
      </w:pPr>
      <w:r>
        <w:rPr>
          <w:noProof/>
        </w:rPr>
        <w:t>Мерките за осигуряване на трайна отвореност на ОЗИ и прозрачност по време на изпълнението ще бъдат подобрени, по-специално чрез включване на общи разпоредби относно новите членове, придаващи стойност на партньорствата.</w:t>
      </w:r>
      <w:r>
        <w:rPr>
          <w:noProof/>
          <w:color w:val="000000"/>
          <w:szCs w:val="24"/>
        </w:rPr>
        <w:t xml:space="preserve"> </w:t>
      </w:r>
      <w:r>
        <w:rPr>
          <w:noProof/>
        </w:rPr>
        <w:t>Наред с това ОЗИ ще осъществяват дейностите си при пълна прозрачност. ОЗИ ще продължат да бъдат динамични партньорства, към които новите партньори, включително все по-голям брой МСП, ще могат да се присъединяват на базата на високи постижения и стратегическо съответствие. С цел да се ограничи концентрацията на финансиране и да се гарантира, че дейностите на ОЗИ се възползват от широка мрежа от партньори, процедурата по изготвяне на бизнес плана (включително определянето на приоритетите, подбора на дейностите и разпределението на средствата) ще бъде направена по-прозрачна и приобщаваща. На последно място, ОЗИ ще увеличат дела на поканите за представяне на предложения, особено за иновационните проекти, които са отворени за трети страни. Всички тези мерки ще увеличат броя на участващите субекти, свързани с дейностите на ОЗИ. И накрая, в редовните си доклади ОЗИ ще следва да докладват за участието на нови партньори.</w:t>
      </w:r>
    </w:p>
    <w:p>
      <w:pPr>
        <w:tabs>
          <w:tab w:val="left" w:pos="765"/>
        </w:tabs>
        <w:spacing w:before="0" w:after="160" w:line="259" w:lineRule="auto"/>
        <w:rPr>
          <w:noProof/>
          <w:spacing w:val="-4"/>
        </w:rPr>
      </w:pPr>
      <w:r>
        <w:rPr>
          <w:noProof/>
          <w:spacing w:val="-4"/>
        </w:rPr>
        <w:t>Като се има предвид, че ОЗИ работят по цялата верига на стойността на иновациите, те ще трябва да гарантират в своя бизнес план подходящ баланс на дейностите в областта на образованието, предприемачеството и иновациите. Дейностите на ОЗИ ще се осъществяват чрез стройна, ефикасна и икономически ефективна структура, която ще свежда до минимум административните и режийните разходи. EIT ще гарантира, че ОЗИ постигат очакваното въздействие посредством широк спектър от дейности, определени в бизнес плановете на ОЗИ и спомагащи ефективно за изпълнението на набелязаните цели.</w:t>
      </w:r>
    </w:p>
    <w:p>
      <w:pPr>
        <w:pStyle w:val="NormalWeb"/>
        <w:numPr>
          <w:ilvl w:val="0"/>
          <w:numId w:val="0"/>
        </w:numPr>
        <w:jc w:val="both"/>
        <w:rPr>
          <w:noProof/>
        </w:rPr>
      </w:pPr>
      <w:r>
        <w:rPr>
          <w:noProof/>
        </w:rPr>
        <w:t>Изпълнението на поетите ангажименти от всеки от партньорите в ОЗИ по време на договорния срок на инициативата ще се гарантира чрез редовно съпоставяне на действителния принос на партньорите спрямо поетите ангажименти. EIT ще гарантира, че ОЗИ са въвели система за управление на риска за случаите, когато някои партньори не са в състояние да изпълнят първоначалните си ангажименти.</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rPr>
              <w:t>EIT:</w:t>
            </w:r>
          </w:p>
          <w:p>
            <w:pPr>
              <w:numPr>
                <w:ilvl w:val="0"/>
                <w:numId w:val="9"/>
              </w:numPr>
              <w:spacing w:before="0" w:after="160" w:line="259" w:lineRule="auto"/>
              <w:contextualSpacing/>
              <w:rPr>
                <w:rFonts w:eastAsiaTheme="minorEastAsia"/>
                <w:noProof/>
                <w:szCs w:val="24"/>
              </w:rPr>
            </w:pPr>
            <w:r>
              <w:rPr>
                <w:noProof/>
              </w:rPr>
              <w:t>ще гарантира, че ОЗИ прилагат строги принципи на отвореност и прозрачност, по-специално по отношение на подбора на нови партньори и процедурата по изготвянето на бизнес плановете;</w:t>
            </w:r>
          </w:p>
          <w:p>
            <w:pPr>
              <w:pStyle w:val="ListParagraph"/>
              <w:numPr>
                <w:ilvl w:val="0"/>
                <w:numId w:val="9"/>
              </w:numPr>
              <w:spacing w:before="0" w:after="160" w:line="259" w:lineRule="auto"/>
              <w:rPr>
                <w:noProof/>
                <w:spacing w:val="-4"/>
              </w:rPr>
            </w:pPr>
            <w:r>
              <w:rPr>
                <w:noProof/>
                <w:spacing w:val="-4"/>
              </w:rPr>
              <w:t>ще гарантира, че действията за изпълнение на ОЗИ са в пълно съответствие със съответните изисквания, произтичащи от Регламента за „Хоризонт Европа“;</w:t>
            </w:r>
          </w:p>
          <w:p>
            <w:pPr>
              <w:numPr>
                <w:ilvl w:val="0"/>
                <w:numId w:val="9"/>
              </w:numPr>
              <w:spacing w:before="0" w:after="160" w:line="259" w:lineRule="auto"/>
              <w:contextualSpacing/>
              <w:rPr>
                <w:rFonts w:eastAsiaTheme="minorEastAsia"/>
                <w:noProof/>
                <w:szCs w:val="24"/>
              </w:rPr>
            </w:pPr>
            <w:r>
              <w:rPr>
                <w:noProof/>
              </w:rPr>
              <w:t>ще следи за подходящия баланс в бизнес плановете между дейностите на триъгълника на знанието;</w:t>
            </w:r>
          </w:p>
          <w:p>
            <w:pPr>
              <w:numPr>
                <w:ilvl w:val="0"/>
                <w:numId w:val="9"/>
              </w:numPr>
              <w:spacing w:before="0" w:after="160" w:line="259" w:lineRule="auto"/>
              <w:contextualSpacing/>
              <w:rPr>
                <w:rFonts w:eastAsiaTheme="minorEastAsia"/>
                <w:noProof/>
                <w:szCs w:val="24"/>
              </w:rPr>
            </w:pPr>
            <w:r>
              <w:rPr>
                <w:noProof/>
              </w:rPr>
              <w:t>ще следи ОЗИ да свеждат до минимум административните си разходи;</w:t>
            </w:r>
          </w:p>
          <w:p>
            <w:pPr>
              <w:numPr>
                <w:ilvl w:val="0"/>
                <w:numId w:val="9"/>
              </w:numPr>
              <w:spacing w:before="0" w:after="160" w:line="259" w:lineRule="auto"/>
              <w:contextualSpacing/>
              <w:rPr>
                <w:rFonts w:eastAsiaTheme="minorEastAsia"/>
                <w:noProof/>
                <w:szCs w:val="24"/>
              </w:rPr>
            </w:pPr>
            <w:r>
              <w:rPr>
                <w:noProof/>
              </w:rPr>
              <w:t>ще осигури адаптацията на съществуващите осем ОЗИ, така че да бъдат спазени новите критерии за изпълнение на програма „Хоризонт Европа“ за европейските партньорства.</w:t>
            </w:r>
          </w:p>
        </w:tc>
      </w:tr>
    </w:tbl>
    <w:p>
      <w:pPr>
        <w:pStyle w:val="Point0number"/>
        <w:numPr>
          <w:ilvl w:val="0"/>
          <w:numId w:val="3"/>
        </w:numPr>
        <w:rPr>
          <w:i/>
          <w:noProof/>
        </w:rPr>
      </w:pPr>
      <w:r>
        <w:rPr>
          <w:i/>
          <w:noProof/>
        </w:rPr>
        <w:t>Модел за финансиране на ОЗИ</w:t>
      </w:r>
    </w:p>
    <w:p>
      <w:pPr>
        <w:tabs>
          <w:tab w:val="left" w:pos="765"/>
        </w:tabs>
        <w:spacing w:before="0" w:after="160" w:line="259" w:lineRule="auto"/>
        <w:rPr>
          <w:noProof/>
          <w:spacing w:val="-4"/>
          <w:szCs w:val="24"/>
        </w:rPr>
      </w:pPr>
      <w:r>
        <w:rPr>
          <w:noProof/>
          <w:spacing w:val="-4"/>
        </w:rPr>
        <w:t>Благодарение на олекотен и опростен модел на финансиране EIT ще засили въздействието и приноса на ОЗИ за постигането на целите на програма „Хоризонт Европа“. За да увеличи добавената стойност на оказваната от него подкрепа, EIT ще адаптира модела си на финансиране. Има четири основни области, в които EIT ще въведе подобрения.</w:t>
      </w:r>
    </w:p>
    <w:p>
      <w:pPr>
        <w:tabs>
          <w:tab w:val="left" w:pos="765"/>
        </w:tabs>
        <w:spacing w:before="0" w:after="160" w:line="259" w:lineRule="auto"/>
        <w:rPr>
          <w:noProof/>
          <w:szCs w:val="24"/>
        </w:rPr>
      </w:pPr>
      <w:r>
        <w:rPr>
          <w:noProof/>
        </w:rPr>
        <w:t>Първо, EIT ще въведе процент на съфинансиране, за да се увеличат равнищата на частните и публичните инвестиции. Адаптирането на модела на финансиране ще улесни прехода на ОЗИ към състояние на финансова устойчивост. По този начин те ще бъдат стимулирани да намаляват постепенно, по време на срока на действие на рамковите споразумения за партньорство, дела на финансирането от EIT в своя бизнес план, като същевременно увеличават нивото на съвместните инвестиции от източници извън EIT. През всички фази от жизнения цикъл на ОЗИ (стартиране, набиране на сили, зрелост, излизане от схемата за безвъзмездни средства от EIT) ще се прилагат фиксирани намаляващи коефициенти на съфинансиране, както е посочено по-долу.</w:t>
      </w:r>
    </w:p>
    <w:tbl>
      <w:tblPr>
        <w:tblStyle w:val="GridTable1Light-Accent11"/>
        <w:tblW w:w="8598" w:type="dxa"/>
        <w:tblLayout w:type="fixed"/>
        <w:tblLook w:val="04A0" w:firstRow="1" w:lastRow="0" w:firstColumn="1" w:lastColumn="0" w:noHBand="0" w:noVBand="1"/>
      </w:tblPr>
      <w:tblGrid>
        <w:gridCol w:w="1526"/>
        <w:gridCol w:w="1564"/>
        <w:gridCol w:w="1601"/>
        <w:gridCol w:w="1987"/>
        <w:gridCol w:w="1920"/>
      </w:tblGrid>
      <w:tr>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26" w:type="dxa"/>
            <w:shd w:val="clear" w:color="auto" w:fill="DBE5F1" w:themeFill="accent1" w:themeFillTint="33"/>
            <w:vAlign w:val="center"/>
          </w:tcPr>
          <w:p>
            <w:pPr>
              <w:spacing w:before="0" w:after="160" w:line="259" w:lineRule="auto"/>
              <w:jc w:val="left"/>
              <w:rPr>
                <w:noProof/>
                <w:szCs w:val="24"/>
              </w:rPr>
            </w:pPr>
          </w:p>
        </w:tc>
        <w:tc>
          <w:tcPr>
            <w:tcW w:w="1564"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rPr>
              <w:t>Стартиране</w:t>
            </w:r>
          </w:p>
        </w:tc>
        <w:tc>
          <w:tcPr>
            <w:tcW w:w="1601"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rPr>
              <w:t>Набиране на сили</w:t>
            </w:r>
          </w:p>
        </w:tc>
        <w:tc>
          <w:tcPr>
            <w:tcW w:w="1987"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rPr>
              <w:t>Зрелост</w:t>
            </w:r>
          </w:p>
        </w:tc>
        <w:tc>
          <w:tcPr>
            <w:tcW w:w="1920" w:type="dxa"/>
            <w:shd w:val="clear" w:color="auto" w:fill="DBE5F1" w:themeFill="accent1" w:themeFillTint="33"/>
            <w:vAlign w:val="center"/>
          </w:tcPr>
          <w:p>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noProof/>
                <w:szCs w:val="24"/>
              </w:rPr>
            </w:pPr>
            <w:r>
              <w:rPr>
                <w:noProof/>
              </w:rPr>
              <w:t>Излизане от схемата за безвъзмездни средства от EIT</w:t>
            </w:r>
          </w:p>
        </w:tc>
      </w:tr>
      <w:tr>
        <w:trPr>
          <w:trHeight w:val="328"/>
        </w:trPr>
        <w:tc>
          <w:tcPr>
            <w:cnfStyle w:val="001000000000" w:firstRow="0" w:lastRow="0" w:firstColumn="1" w:lastColumn="0" w:oddVBand="0" w:evenVBand="0" w:oddHBand="0" w:evenHBand="0" w:firstRowFirstColumn="0" w:firstRowLastColumn="0" w:lastRowFirstColumn="0" w:lastRowLastColumn="0"/>
            <w:tcW w:w="1526" w:type="dxa"/>
            <w:shd w:val="clear" w:color="auto" w:fill="FBD4B4" w:themeFill="accent6" w:themeFillTint="66"/>
            <w:vAlign w:val="center"/>
          </w:tcPr>
          <w:p>
            <w:pPr>
              <w:spacing w:before="0" w:after="160" w:line="259" w:lineRule="auto"/>
              <w:jc w:val="left"/>
              <w:rPr>
                <w:noProof/>
                <w:szCs w:val="24"/>
              </w:rPr>
            </w:pPr>
            <w:r>
              <w:rPr>
                <w:noProof/>
              </w:rPr>
              <w:t>Години</w:t>
            </w:r>
          </w:p>
        </w:tc>
        <w:tc>
          <w:tcPr>
            <w:tcW w:w="1564"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1 – 4</w:t>
            </w:r>
          </w:p>
        </w:tc>
        <w:tc>
          <w:tcPr>
            <w:tcW w:w="1601"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5 – 7 </w:t>
            </w:r>
          </w:p>
        </w:tc>
        <w:tc>
          <w:tcPr>
            <w:tcW w:w="1987"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8 – 11 </w:t>
            </w:r>
          </w:p>
        </w:tc>
        <w:tc>
          <w:tcPr>
            <w:tcW w:w="19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12 - 15</w:t>
            </w:r>
          </w:p>
        </w:tc>
      </w:tr>
      <w:tr>
        <w:trPr>
          <w:trHeight w:val="547"/>
        </w:trPr>
        <w:tc>
          <w:tcPr>
            <w:cnfStyle w:val="001000000000" w:firstRow="0" w:lastRow="0" w:firstColumn="1" w:lastColumn="0" w:oddVBand="0" w:evenVBand="0" w:oddHBand="0" w:evenHBand="0" w:firstRowFirstColumn="0" w:firstRowLastColumn="0" w:lastRowFirstColumn="0" w:lastRowLastColumn="0"/>
            <w:tcW w:w="1526" w:type="dxa"/>
            <w:shd w:val="clear" w:color="auto" w:fill="FBD4B4" w:themeFill="accent6" w:themeFillTint="66"/>
            <w:vAlign w:val="center"/>
          </w:tcPr>
          <w:p>
            <w:pPr>
              <w:spacing w:before="0" w:after="160" w:line="259" w:lineRule="auto"/>
              <w:jc w:val="left"/>
              <w:rPr>
                <w:noProof/>
                <w:szCs w:val="24"/>
              </w:rPr>
            </w:pPr>
            <w:r>
              <w:rPr>
                <w:noProof/>
              </w:rPr>
              <w:t>Процент на съфинанси-ране от EIT</w:t>
            </w:r>
          </w:p>
        </w:tc>
        <w:tc>
          <w:tcPr>
            <w:tcW w:w="1564"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До 100% </w:t>
            </w:r>
          </w:p>
        </w:tc>
        <w:tc>
          <w:tcPr>
            <w:tcW w:w="1601"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 xml:space="preserve">До 80% </w:t>
            </w:r>
          </w:p>
        </w:tc>
        <w:tc>
          <w:tcPr>
            <w:tcW w:w="1987"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До 70%</w:t>
            </w:r>
          </w:p>
        </w:tc>
        <w:tc>
          <w:tcPr>
            <w:tcW w:w="1920" w:type="dxa"/>
            <w:shd w:val="clear" w:color="auto" w:fill="FBD4B4" w:themeFill="accent6" w:themeFillTint="66"/>
            <w:vAlign w:val="center"/>
          </w:tcPr>
          <w:p>
            <w:pPr>
              <w:spacing w:before="0" w:after="160" w:line="259" w:lineRule="auto"/>
              <w:jc w:val="center"/>
              <w:cnfStyle w:val="000000000000" w:firstRow="0" w:lastRow="0" w:firstColumn="0" w:lastColumn="0" w:oddVBand="0" w:evenVBand="0" w:oddHBand="0" w:evenHBand="0" w:firstRowFirstColumn="0" w:firstRowLastColumn="0" w:lastRowFirstColumn="0" w:lastRowLastColumn="0"/>
              <w:rPr>
                <w:noProof/>
                <w:szCs w:val="24"/>
              </w:rPr>
            </w:pPr>
            <w:r>
              <w:rPr>
                <w:noProof/>
              </w:rPr>
              <w:t>50% през година 12, намаляващи с 10% годишно</w:t>
            </w:r>
          </w:p>
        </w:tc>
      </w:tr>
    </w:tbl>
    <w:p>
      <w:pPr>
        <w:tabs>
          <w:tab w:val="left" w:pos="765"/>
        </w:tabs>
        <w:spacing w:before="0" w:after="160" w:line="259" w:lineRule="auto"/>
        <w:jc w:val="left"/>
        <w:rPr>
          <w:noProof/>
          <w:sz w:val="16"/>
          <w:szCs w:val="16"/>
        </w:rPr>
      </w:pPr>
      <w:r>
        <w:rPr>
          <w:noProof/>
          <w:sz w:val="16"/>
          <w:szCs w:val="16"/>
        </w:rPr>
        <w:t>Фигура 4: Проценти на съфинансиране от EIT за периода 2021—2027 г.</w:t>
      </w:r>
    </w:p>
    <w:p>
      <w:pPr>
        <w:tabs>
          <w:tab w:val="left" w:pos="765"/>
        </w:tabs>
        <w:spacing w:before="0" w:after="160" w:line="259" w:lineRule="auto"/>
        <w:rPr>
          <w:noProof/>
          <w:spacing w:val="-4"/>
          <w:szCs w:val="24"/>
        </w:rPr>
      </w:pPr>
      <w:r>
        <w:rPr>
          <w:noProof/>
          <w:spacing w:val="-4"/>
        </w:rPr>
        <w:t>Второ, използваният понастоящем процес за предоставяне на безвъзмездни средства ще бъде насочен в по-голяма степен към постигането на конкурентоспособни постижения и резултати и към използването на многогодишни договори за отпускане на безвъзмездни средства. Управителният съвет на EIT ще дава по-големи стимули на ОЗИ, базирани по-специално на техните индивидуални постижения, за да се гарантира най-високо равнище на въздействие. Следователно EIT ще измени разпоредбите си относно конкурентното финансиране, за да подобри своето въздействие като част от „Хоризонт Европа“.</w:t>
      </w:r>
    </w:p>
    <w:p>
      <w:pPr>
        <w:tabs>
          <w:tab w:val="left" w:pos="765"/>
        </w:tabs>
        <w:spacing w:before="0" w:after="160" w:line="259" w:lineRule="auto"/>
        <w:rPr>
          <w:noProof/>
          <w:szCs w:val="24"/>
        </w:rPr>
      </w:pPr>
      <w:r>
        <w:rPr>
          <w:noProof/>
        </w:rPr>
        <w:t>Трето, EIT ще прилага строги правила за укрепване на механизма за преразглеждане преди изтичането на първоначалния период от 7 години от започването на дейността на ОЗИ. Този междинен преглед трябва да бъде извършван с помощта на външни експерти и следва да бъде съобразен с най-добрите международни практики и с критериите на „Хоризонт Европа“ за наблюдение и оценка на европейските партньорства. Той следва да се извършва преди изтичането на първоначалния седемгодишен период. Въз основа на прегледа управителният съвет ще взема решение дали да продължи предоставянето на финансовия принос за ОЗИ, или да го преустанови (и съответно да не удължи срока на действие на рамковото споразумение за партньорство с тази ОЗИ) и да преразпредели ресурсите за дейности, чрез които се постигат по-добри резултати.</w:t>
      </w:r>
    </w:p>
    <w:p>
      <w:pPr>
        <w:tabs>
          <w:tab w:val="left" w:pos="765"/>
        </w:tabs>
        <w:spacing w:before="0" w:after="160" w:line="259" w:lineRule="auto"/>
        <w:rPr>
          <w:noProof/>
          <w:szCs w:val="24"/>
        </w:rPr>
      </w:pPr>
      <w:r>
        <w:rPr>
          <w:noProof/>
        </w:rPr>
        <w:t>И накрая, EIT ще продължи да полага усилия за опростяване, за да се облекчи ненужната административна тежест</w:t>
      </w:r>
      <w:r>
        <w:rPr>
          <w:rStyle w:val="FootnoteReference"/>
          <w:noProof/>
        </w:rPr>
        <w:footnoteReference w:id="8"/>
      </w:r>
      <w:r>
        <w:rPr>
          <w:noProof/>
        </w:rPr>
        <w:t xml:space="preserve"> за ОЗИ, с което ще им позволи да изпълнят годишния си бизнес план и многогодишната си стратегия по гъвкав и ефикасен начин. За тази цел ще се предвиди и използването на еднократни суми или единични разходи за съответните дейности на ОЗИ. Освен това, за да се осигури по-добро планиране на ресурсите, по-специално за иновационните дейности, и да се улеснят поемането на по-сериозни ангажименти и дългосрочните инвестиции от партньорите, участващи в дейности на ОЗИ, EIT ще подписва с ОЗИ, когато е целесъобразно, многогодишни споразумения за отпускане на безвъзмездни средства в рамките на съответните рамкови споразумения за партньорство. Тези многогодишни споразумения за отпускане на безвъзмездни средства следва да имат срок на действие, който не надвишава 3 години.</w:t>
      </w:r>
    </w:p>
    <w:tbl>
      <w:tblPr>
        <w:tblStyle w:val="TableGrid"/>
        <w:tblW w:w="8834" w:type="dxa"/>
        <w:tblLayout w:type="fixed"/>
        <w:tblLook w:val="04A0" w:firstRow="1" w:lastRow="0" w:firstColumn="1" w:lastColumn="0" w:noHBand="0" w:noVBand="1"/>
      </w:tblPr>
      <w:tblGrid>
        <w:gridCol w:w="8834"/>
      </w:tblGrid>
      <w:tr>
        <w:tc>
          <w:tcPr>
            <w:tcW w:w="8834" w:type="dxa"/>
          </w:tcPr>
          <w:p>
            <w:pPr>
              <w:tabs>
                <w:tab w:val="left" w:pos="765"/>
              </w:tabs>
              <w:spacing w:before="0" w:after="160" w:line="259" w:lineRule="auto"/>
              <w:rPr>
                <w:noProof/>
                <w:szCs w:val="24"/>
              </w:rPr>
            </w:pPr>
            <w:r>
              <w:rPr>
                <w:noProof/>
              </w:rPr>
              <w:t>EIT:</w:t>
            </w:r>
          </w:p>
          <w:p>
            <w:pPr>
              <w:pStyle w:val="ListParagraph"/>
              <w:numPr>
                <w:ilvl w:val="0"/>
                <w:numId w:val="10"/>
              </w:numPr>
              <w:tabs>
                <w:tab w:val="left" w:pos="765"/>
              </w:tabs>
              <w:spacing w:before="0" w:after="160" w:line="259" w:lineRule="auto"/>
              <w:rPr>
                <w:noProof/>
                <w:szCs w:val="24"/>
              </w:rPr>
            </w:pPr>
            <w:r>
              <w:rPr>
                <w:noProof/>
              </w:rPr>
              <w:t>ще прилага нов модел на финансиране, предназначен да стимулира ангажираността на партньорите на ОЗИ;</w:t>
            </w:r>
          </w:p>
          <w:p>
            <w:pPr>
              <w:pStyle w:val="ListParagraph"/>
              <w:numPr>
                <w:ilvl w:val="0"/>
                <w:numId w:val="10"/>
              </w:numPr>
              <w:tabs>
                <w:tab w:val="left" w:pos="765"/>
              </w:tabs>
              <w:spacing w:before="0" w:after="160" w:line="259" w:lineRule="auto"/>
              <w:rPr>
                <w:noProof/>
                <w:szCs w:val="24"/>
              </w:rPr>
            </w:pPr>
            <w:r>
              <w:rPr>
                <w:noProof/>
              </w:rPr>
              <w:t>ще подобрява постоянно модела на финансиране чрез опростяване на практиките за докладване от страна на ОЗИ и, когато се счита за целесъобразно, ще подписва с ОЗИ многогодишни споразумения за отпускане на безвъзмездни средства съгласно условията на съответните рамкови споразумения за партньорство;</w:t>
            </w:r>
          </w:p>
          <w:p>
            <w:pPr>
              <w:pStyle w:val="ListParagraph"/>
              <w:numPr>
                <w:ilvl w:val="0"/>
                <w:numId w:val="10"/>
              </w:numPr>
              <w:tabs>
                <w:tab w:val="left" w:pos="765"/>
              </w:tabs>
              <w:spacing w:before="0" w:after="160" w:line="259" w:lineRule="auto"/>
              <w:rPr>
                <w:noProof/>
                <w:szCs w:val="24"/>
              </w:rPr>
            </w:pPr>
            <w:r>
              <w:rPr>
                <w:noProof/>
              </w:rPr>
              <w:t>ще адаптира процеса за конкурентно предоставяне на безвъзмездните средства, за да се възнаграждават постиженията и резултатите;</w:t>
            </w:r>
          </w:p>
          <w:p>
            <w:pPr>
              <w:pStyle w:val="ListParagraph"/>
              <w:numPr>
                <w:ilvl w:val="0"/>
                <w:numId w:val="10"/>
              </w:numPr>
              <w:tabs>
                <w:tab w:val="left" w:pos="765"/>
              </w:tabs>
              <w:spacing w:before="0" w:after="160" w:line="259" w:lineRule="auto"/>
              <w:rPr>
                <w:noProof/>
                <w:szCs w:val="24"/>
              </w:rPr>
            </w:pPr>
            <w:r>
              <w:rPr>
                <w:noProof/>
              </w:rPr>
              <w:t>ще направи по-строг цялостния преглед на работата на всяка ОЗИ преди изтичането на 7-та година от започването на дейността ѝ, за да спомогне за вземането на решение от управителния съвет за продължаване или прекратяване на финансовата подкрепа за съответната ОЗИ, при спазване на предвидените в рамката на „Хоризонт Европа“ условия за европейските партньорства.</w:t>
            </w:r>
          </w:p>
        </w:tc>
      </w:tr>
    </w:tbl>
    <w:p>
      <w:pPr>
        <w:pStyle w:val="Point0number"/>
        <w:numPr>
          <w:ilvl w:val="0"/>
          <w:numId w:val="3"/>
        </w:numPr>
        <w:rPr>
          <w:i/>
          <w:noProof/>
        </w:rPr>
      </w:pPr>
      <w:r>
        <w:rPr>
          <w:i/>
          <w:noProof/>
        </w:rPr>
        <w:t>Отношения на EIT с ОЗИ след прекратяване на рамковото споразумение за партньорство</w:t>
      </w:r>
    </w:p>
    <w:p>
      <w:pPr>
        <w:spacing w:before="0" w:after="160" w:line="259" w:lineRule="auto"/>
        <w:rPr>
          <w:noProof/>
          <w:szCs w:val="24"/>
        </w:rPr>
      </w:pPr>
      <w:r>
        <w:rPr>
          <w:noProof/>
        </w:rPr>
        <w:t>След задълбочено независимо проучване, проведено в тясно сътрудничество с Комисията, до края на 2023 г. EIT ще определи какви отношения ще поддържа с онези ОЗИ, които ще спрат да получават безвъзмездни средства за подкрепа през програмния период 2021—2027 г. При положителен резултат от окончателния преглед EIT ще може да сключи „Меморандум за сътрудничество“ с всяка ОЗИ, като това има за цел да се поддържа сътрудничеството с ОЗИ след прекратяването на рамковото споразумение за партньорство. Меморандумът следва да включва наред с другото правата и задълженията, свързани с:</w:t>
      </w:r>
    </w:p>
    <w:p>
      <w:pPr>
        <w:pStyle w:val="Bullet0"/>
        <w:rPr>
          <w:noProof/>
        </w:rPr>
      </w:pPr>
      <w:r>
        <w:rPr>
          <w:noProof/>
        </w:rPr>
        <w:t>използването на марката EIT, участието в наградите на EIT и в други инициативи, организирани от EIT;</w:t>
      </w:r>
    </w:p>
    <w:p>
      <w:pPr>
        <w:pStyle w:val="Bullet0"/>
        <w:rPr>
          <w:noProof/>
          <w:spacing w:val="-4"/>
        </w:rPr>
      </w:pPr>
      <w:r>
        <w:rPr>
          <w:noProof/>
          <w:spacing w:val="-4"/>
        </w:rPr>
        <w:t>използването на обозначението на EIT за програмите за образование и обучение;</w:t>
      </w:r>
    </w:p>
    <w:p>
      <w:pPr>
        <w:pStyle w:val="Bullet0"/>
        <w:rPr>
          <w:noProof/>
        </w:rPr>
      </w:pPr>
      <w:r>
        <w:rPr>
          <w:noProof/>
        </w:rPr>
        <w:t>участието в публикувани от EIT конкурентни покани за представяне на предложения за съвместни дейности на различни ОЗИ и споделени услуги;</w:t>
      </w:r>
    </w:p>
    <w:p>
      <w:pPr>
        <w:pStyle w:val="Bullet0"/>
        <w:rPr>
          <w:noProof/>
        </w:rPr>
      </w:pPr>
      <w:r>
        <w:rPr>
          <w:noProof/>
        </w:rPr>
        <w:t>отношенията с Общността на бившите възпитаници на EIT.</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rPr>
              <w:t xml:space="preserve">EIT: </w:t>
            </w:r>
          </w:p>
          <w:p>
            <w:pPr>
              <w:numPr>
                <w:ilvl w:val="0"/>
                <w:numId w:val="11"/>
              </w:numPr>
              <w:spacing w:before="0" w:after="160" w:line="259" w:lineRule="auto"/>
              <w:contextualSpacing/>
              <w:rPr>
                <w:rFonts w:eastAsiaTheme="minorEastAsia"/>
                <w:noProof/>
                <w:szCs w:val="24"/>
              </w:rPr>
            </w:pPr>
            <w:r>
              <w:rPr>
                <w:noProof/>
              </w:rPr>
              <w:t>ще разработи общите принципи за отношенията с ОЗИ след прекратяването на рамковото споразумение за партньорство, при спазване на рамката на „Хоризонт Европа“ за европейските партньорства;</w:t>
            </w:r>
          </w:p>
          <w:p>
            <w:pPr>
              <w:numPr>
                <w:ilvl w:val="0"/>
                <w:numId w:val="11"/>
              </w:numPr>
              <w:spacing w:before="0" w:after="160" w:line="259" w:lineRule="auto"/>
              <w:contextualSpacing/>
              <w:rPr>
                <w:rFonts w:eastAsiaTheme="minorEastAsia"/>
                <w:noProof/>
                <w:szCs w:val="24"/>
              </w:rPr>
            </w:pPr>
            <w:r>
              <w:rPr>
                <w:noProof/>
              </w:rPr>
              <w:t>ако окончателният преглед е положителен и управителният съвет на EIT вземе съответното решение, ще сключва меморандуми за сътрудничество с ОЗИ, за да ги запази като активни членове на Общността на EIT.</w:t>
            </w:r>
          </w:p>
        </w:tc>
      </w:tr>
    </w:tbl>
    <w:p>
      <w:pPr>
        <w:pStyle w:val="Heading2"/>
        <w:rPr>
          <w:rFonts w:eastAsia="Times New Roman"/>
          <w:noProof/>
        </w:rPr>
      </w:pPr>
      <w:bookmarkStart w:id="56" w:name="_Toc13477371"/>
      <w:r>
        <w:rPr>
          <w:noProof/>
        </w:rPr>
        <w:t>Полезни взаимодействия и допълване с други програми</w:t>
      </w:r>
      <w:bookmarkEnd w:id="56"/>
    </w:p>
    <w:p>
      <w:pPr>
        <w:spacing w:before="0" w:after="160" w:line="259" w:lineRule="auto"/>
        <w:rPr>
          <w:i/>
          <w:noProof/>
          <w:szCs w:val="24"/>
        </w:rPr>
      </w:pPr>
      <w:r>
        <w:rPr>
          <w:noProof/>
        </w:rPr>
        <w:t>Въз основа на широкия си обхват на действие и своята отличителна роля EIT е в състояние да създаде полезни взаимодействия и да осигури взаимно допълване с други програми или инструменти на ЕС, включително чрез засилване на своята подкрепа за ОЗИ при техните дейности по планиране и изпълнение. Списъкът по-долу предлага конкретни примери за случаите, в които EIT ще допринесе за полезни взаимодействия в средносрочен и дългосрочен план отвъд рамките на „Хоризонт Европа“.</w:t>
      </w:r>
    </w:p>
    <w:p>
      <w:pPr>
        <w:spacing w:before="0" w:after="160" w:line="259" w:lineRule="auto"/>
        <w:rPr>
          <w:i/>
          <w:noProof/>
          <w:szCs w:val="24"/>
        </w:rPr>
      </w:pPr>
      <w:r>
        <w:rPr>
          <w:i/>
          <w:noProof/>
          <w:szCs w:val="24"/>
        </w:rPr>
        <w:t>Програма „Еразъм“</w:t>
      </w:r>
    </w:p>
    <w:p>
      <w:pPr>
        <w:pStyle w:val="Bullet0"/>
        <w:numPr>
          <w:ilvl w:val="0"/>
          <w:numId w:val="1"/>
        </w:numPr>
        <w:rPr>
          <w:noProof/>
        </w:rPr>
      </w:pPr>
      <w:r>
        <w:rPr>
          <w:noProof/>
        </w:rPr>
        <w:t>Програмата „Еразъм“ и EIT ще създадат полезни взаимодействия между съответните си общности. Сътрудничеството ще бъде насочено към предоставянето на учащите по „Еразъм“, записани в партниращи си с ОЗИ висши учебни заведения, на достъп до летни училища или други съответни дейности на ОЗИ за обучение (например в областта на предприемачеството и управлението на иновациите) и възможност за установяване на контакти с мрежата на бившите възпитаници на ОЗИ.</w:t>
      </w:r>
    </w:p>
    <w:p>
      <w:pPr>
        <w:pStyle w:val="Bullet0"/>
        <w:numPr>
          <w:ilvl w:val="0"/>
          <w:numId w:val="1"/>
        </w:numPr>
        <w:rPr>
          <w:noProof/>
        </w:rPr>
      </w:pPr>
      <w:r>
        <w:rPr>
          <w:noProof/>
        </w:rPr>
        <w:t>Дейностите за сътрудничество могат да включват също така обучение от EIT/ОЗИ на академичен персонал (от всички висши учебни заведения, включително извън ОЗИ) за учебните програми, включващи изучаване на предмети, свързани с предприемачеството и иновациите, както и изпитване, възприемане и прилагане в по-голям мащаб на иновативни практики, разработени в рамките на мрежите по програма „Еразъм“ (като например алиансите на познанията между висшите учебни заведения и предприятията) от ОЗИ и обратно.</w:t>
      </w:r>
    </w:p>
    <w:p>
      <w:pPr>
        <w:pStyle w:val="Bullet0"/>
        <w:numPr>
          <w:ilvl w:val="0"/>
          <w:numId w:val="1"/>
        </w:numPr>
        <w:rPr>
          <w:i/>
          <w:noProof/>
        </w:rPr>
      </w:pPr>
      <w:r>
        <w:rPr>
          <w:noProof/>
        </w:rPr>
        <w:t>При възможност ще бъдат създадени полезни взаимодействия с инициативата за европейските университети, които биха могли да спомогнат за интегриране на образователните дейности на EIT, така че да се постигне системно въздействие.</w:t>
      </w:r>
    </w:p>
    <w:p>
      <w:pPr>
        <w:spacing w:before="0" w:after="160" w:line="259" w:lineRule="auto"/>
        <w:rPr>
          <w:i/>
          <w:noProof/>
          <w:szCs w:val="24"/>
        </w:rPr>
      </w:pPr>
      <w:r>
        <w:rPr>
          <w:i/>
          <w:noProof/>
          <w:szCs w:val="24"/>
        </w:rPr>
        <w:t>Програма „Цифрова Европа“</w:t>
      </w:r>
    </w:p>
    <w:p>
      <w:pPr>
        <w:pStyle w:val="Bullet0"/>
        <w:rPr>
          <w:noProof/>
        </w:rPr>
      </w:pPr>
      <w:r>
        <w:rPr>
          <w:noProof/>
        </w:rPr>
        <w:t>Центровете за съвместно ползване към ОЗИ ще си сътрудничат с европейските цифрови иновационни центрове с цел подпомагане на цифровата трансформация на промишлеността и организациите от публичния сектор.</w:t>
      </w:r>
    </w:p>
    <w:p>
      <w:pPr>
        <w:pStyle w:val="Bullet0"/>
        <w:rPr>
          <w:noProof/>
        </w:rPr>
      </w:pPr>
      <w:r>
        <w:rPr>
          <w:noProof/>
        </w:rPr>
        <w:t>Ще бъде проучена възможността за използване от ОЗИ на инфраструктури и капацитет, разработени в рамките на програма „Цифрова Европа“ (напр. източници на данни и библиотеки на алгоритми за изкуствен интелект; специализирани експертни центрове по високопроизводителни изчислителни технологии в държавите членки), за целите на образованието и обучението, както и за изпитвания и демонстрационни цели в проекти за иновации.</w:t>
      </w:r>
    </w:p>
    <w:p>
      <w:pPr>
        <w:spacing w:before="0" w:after="160" w:line="259" w:lineRule="auto"/>
        <w:rPr>
          <w:i/>
          <w:noProof/>
          <w:szCs w:val="24"/>
        </w:rPr>
      </w:pPr>
      <w:r>
        <w:rPr>
          <w:i/>
          <w:noProof/>
          <w:szCs w:val="24"/>
        </w:rPr>
        <w:t>Фондове в областта на политиката на сближаване (по-специално Европейския фонд за регионално развитие и Европейския социален фонд)</w:t>
      </w:r>
    </w:p>
    <w:p>
      <w:pPr>
        <w:pStyle w:val="Bullet0"/>
        <w:rPr>
          <w:noProof/>
        </w:rPr>
      </w:pPr>
      <w:r>
        <w:rPr>
          <w:noProof/>
        </w:rPr>
        <w:t>Чрез своите центрове за съвместно ползване и структури на РИС, ОЗИ на EIT ще насърчават регионалното и междурегионалното сътрудничество между участниците в триъгълника на знанието (образование, научни изследвания, бизнес) и ръководните органи, прилагайки полезни взаимодействия с междурегионалното сътрудничество и инвестициите по целите вериги за създаване на стойност в свързаните приоритетни области, отнасящи се до интелигентното специализиране, както и с работата на тематичните платформи за интелигентно специализиране. EIT ще проучи и възможностите да допринесе за инициативите за развиване на уменията, осъществявани по линия на фондовете в областта на политиката на сближаване, чрез обмен на най-добри практики.</w:t>
      </w:r>
    </w:p>
    <w:p>
      <w:pPr>
        <w:pStyle w:val="Bullet0"/>
        <w:rPr>
          <w:noProof/>
        </w:rPr>
      </w:pPr>
      <w:r>
        <w:rPr>
          <w:noProof/>
        </w:rPr>
        <w:t>ОЗИ към EIT ще насърчават сътрудничеството с платформите за интелигентно специализиране, и особено с проектите, които имат опит в работата с ръководните органи на фондовете в областта на политиката на сближаване, с цел улесняване на полезните взаимодействия между ресурсите на EIT, фондовете в областта на политиката на сближаване и другите европейски, национални и/или регионални програми.</w:t>
      </w:r>
    </w:p>
    <w:p>
      <w:pPr>
        <w:spacing w:before="0" w:after="160" w:line="259" w:lineRule="auto"/>
        <w:rPr>
          <w:i/>
          <w:noProof/>
          <w:szCs w:val="24"/>
        </w:rPr>
      </w:pPr>
      <w:r>
        <w:rPr>
          <w:i/>
          <w:noProof/>
          <w:szCs w:val="24"/>
        </w:rPr>
        <w:t>InvestEU</w:t>
      </w:r>
    </w:p>
    <w:p>
      <w:pPr>
        <w:pStyle w:val="Bullet0"/>
        <w:rPr>
          <w:noProof/>
        </w:rPr>
      </w:pPr>
      <w:r>
        <w:rPr>
          <w:noProof/>
        </w:rPr>
        <w:t>ОЗИ към EIT ще търсят съдействието на консултантския център на InvestEU за предоставянето на техническа подкрепа и помощ за поддържани от ОЗИ предприятия при изготвянето, разработването и изпълнението на проекти.</w:t>
      </w:r>
    </w:p>
    <w:p>
      <w:pPr>
        <w:pStyle w:val="Bullet0"/>
        <w:rPr>
          <w:noProof/>
        </w:rPr>
      </w:pPr>
      <w:r>
        <w:rPr>
          <w:noProof/>
        </w:rPr>
        <w:t>ОЗИ към EIT ще допринасят за захранването на портала InvestEU с цел да доближат инвеститорите до поддържаните от ОЗИ предприятия, в тясно сътрудничество със службите на Комисията.</w:t>
      </w:r>
    </w:p>
    <w:p>
      <w:pPr>
        <w:spacing w:before="0" w:after="160" w:line="259" w:lineRule="auto"/>
        <w:rPr>
          <w:i/>
          <w:noProof/>
          <w:szCs w:val="24"/>
        </w:rPr>
      </w:pPr>
      <w:r>
        <w:rPr>
          <w:i/>
          <w:noProof/>
          <w:szCs w:val="24"/>
        </w:rPr>
        <w:t>„Творческа Европа“</w:t>
      </w:r>
    </w:p>
    <w:p>
      <w:pPr>
        <w:pStyle w:val="Bullet0"/>
        <w:rPr>
          <w:rFonts w:eastAsiaTheme="minorEastAsia"/>
          <w:noProof/>
        </w:rPr>
      </w:pPr>
      <w:r>
        <w:rPr>
          <w:noProof/>
        </w:rPr>
        <w:t>Новата програма „Творческа Европа“ ще бъде от особено значение за дейностите на евентуална бъдеща ОЗИ с насоченост към секторите на културата и творчеството. Ще бъдат развити силни полезни взаимодействия и взаимно допълване с програмата в области, като например творческите умения, работните места и бизнес моделите.</w:t>
      </w:r>
    </w:p>
    <w:p>
      <w:pPr>
        <w:rPr>
          <w:i/>
          <w:noProof/>
          <w:szCs w:val="24"/>
        </w:rPr>
      </w:pPr>
      <w:r>
        <w:rPr>
          <w:i/>
          <w:noProof/>
          <w:szCs w:val="24"/>
        </w:rPr>
        <w:t>Програма „Единен пазар“ (COSME)</w:t>
      </w:r>
    </w:p>
    <w:p>
      <w:pPr>
        <w:pStyle w:val="Bullet0"/>
        <w:rPr>
          <w:rFonts w:eastAsiaTheme="minorEastAsia" w:cstheme="minorBidi"/>
          <w:noProof/>
        </w:rPr>
      </w:pPr>
      <w:r>
        <w:rPr>
          <w:noProof/>
        </w:rPr>
        <w:t>ОЗИ ще се стремят към сътрудничество с мрежата Enterprise Europe и нейните секторни групи, за да улеснят сътрудничеството по модела „дружество–дружество“, трансфера на технологии и партньорствата за иновации за предприемачите, желаещи да развиват дейността си в целия ЕС и извън него. Организациите в мрежата Enterprise Europe ще популяризират дейностите на ОЗИ към EIT сред МСП, които са техни клиенти. EIT ще проучи възможностите за сътрудничество с програмите за мобилност за нови предприемачи с цел подобряване на техните предприемачески умения.</w:t>
      </w:r>
    </w:p>
    <w:p>
      <w:pPr>
        <w:pStyle w:val="Heading1"/>
        <w:rPr>
          <w:rFonts w:eastAsia="Times New Roman"/>
          <w:noProof/>
        </w:rPr>
      </w:pPr>
      <w:bookmarkStart w:id="57" w:name="_Toc13240025"/>
      <w:bookmarkStart w:id="58" w:name="_Toc13477372"/>
      <w:r>
        <w:rPr>
          <w:noProof/>
        </w:rPr>
        <w:t>Ресурси</w:t>
      </w:r>
      <w:bookmarkEnd w:id="57"/>
      <w:bookmarkEnd w:id="58"/>
    </w:p>
    <w:p>
      <w:pPr>
        <w:pStyle w:val="Heading2"/>
        <w:rPr>
          <w:rFonts w:eastAsia="Times New Roman"/>
          <w:noProof/>
        </w:rPr>
      </w:pPr>
      <w:bookmarkStart w:id="59" w:name="_Toc536641400"/>
      <w:bookmarkStart w:id="60" w:name="_Toc536641178"/>
      <w:bookmarkStart w:id="61" w:name="_Toc536645748"/>
      <w:bookmarkStart w:id="62" w:name="_Toc13477373"/>
      <w:r>
        <w:rPr>
          <w:noProof/>
        </w:rPr>
        <w:t>Бюджетни нужди</w:t>
      </w:r>
      <w:bookmarkEnd w:id="59"/>
      <w:bookmarkEnd w:id="60"/>
      <w:bookmarkEnd w:id="61"/>
      <w:bookmarkEnd w:id="62"/>
    </w:p>
    <w:p>
      <w:pPr>
        <w:spacing w:before="0" w:after="160" w:line="259" w:lineRule="auto"/>
        <w:rPr>
          <w:rFonts w:eastAsia="Times New Roman"/>
          <w:noProof/>
          <w:szCs w:val="24"/>
        </w:rPr>
      </w:pPr>
      <w:r>
        <w:rPr>
          <w:noProof/>
        </w:rPr>
        <w:t>Бюджетните нужди на EIT за периода 2021—2027 г. възлизат на [3000] млн. евро и са свързани с три основни компонента: 1) разходите за съществуващите осем ОЗИ (като е взето под внимание, че за три от тях сроковете на рамковите споразумения за партньорство ще изтекат до 2024 г.) и стартирането на две нови ОЗИ (през 2022 и 2025 г.); 2) започването на ново действие на EIT за подкрепа и координация; и 3) административни разходи.</w:t>
      </w:r>
    </w:p>
    <w:p>
      <w:pPr>
        <w:spacing w:before="0" w:after="160" w:line="259" w:lineRule="auto"/>
        <w:rPr>
          <w:rFonts w:eastAsia="Times New Roman"/>
          <w:noProof/>
          <w:szCs w:val="24"/>
        </w:rPr>
      </w:pPr>
      <w:r>
        <w:rPr>
          <w:noProof/>
        </w:rPr>
        <w:t>Около [2500] млн. евро (83,3 % от общия бюджет на EIT) са предвидени за финансиране на съществуващите и новите ОЗИ, като тази сума включва [200] млн. евро за Регионалната иновационна схема. Чрез въвеждането на процент на съфинансиране се очаква ОЗИ да мобилизират допълнителни [1500] млн. евро от други публични и частни източници. Бюджетът за стартирането на две нови ОЗИ (съответно през 2022 г. и 2025 г.) ще бъде около [300] млн. евро. Ако към бюджета на EIT стане наличен и допълнителен бюджет, EIT би могъл да постави началото и на допълнителни ОЗИ.</w:t>
      </w:r>
    </w:p>
    <w:p>
      <w:pPr>
        <w:spacing w:before="0" w:after="160" w:line="259" w:lineRule="auto"/>
        <w:rPr>
          <w:rFonts w:eastAsia="Times New Roman"/>
          <w:noProof/>
          <w:szCs w:val="24"/>
        </w:rPr>
      </w:pPr>
      <w:r>
        <w:rPr>
          <w:noProof/>
        </w:rPr>
        <w:t>EIT ще стартира ново действие за оказване на подкрепа с цел да спомогне за развиването на предприемаческия и иновационния капацитет на висшите учебни заведения. За това действие ще са необходими услуги за хоризонтално управление на проекти и наблюдение. За изпълнението на тези дейности са необходими около [400] млн. евро от бюджета на EIT (максимум 14 %), като [120] млн. евро ще бъдат предназначени за началната фаза (първите 3 години), а останалата част — за фазата на разрастване (последните 4 години).</w:t>
      </w:r>
    </w:p>
    <w:p>
      <w:pPr>
        <w:spacing w:before="0" w:after="160" w:line="259" w:lineRule="auto"/>
        <w:rPr>
          <w:rFonts w:eastAsia="Times New Roman"/>
          <w:noProof/>
          <w:szCs w:val="24"/>
        </w:rPr>
      </w:pPr>
      <w:r>
        <w:rPr>
          <w:noProof/>
        </w:rPr>
        <w:t>EIT ще продължи да бъде стройна и динамична организация. Разходите за административни разходи, покриващи необходимите разходи за персонал, административните, инфраструктурните и оперативните разходи, ще се увеличат, но средно няма да надхвърлят 3 % от бюджета на EIT. Част от административните разходи се покриват от Унгария чрез предоставяне на безплатно офис пространство до края на 2029 г. Въз основа на това административните разходи ще възлизат приблизително на 73 млн. евро за периода 2021—2027 г. Разбивката на бюджета е представена по-долу:</w:t>
      </w:r>
    </w:p>
    <w:p>
      <w:pPr>
        <w:spacing w:before="0" w:after="160" w:line="259" w:lineRule="auto"/>
        <w:rPr>
          <w:rFonts w:eastAsia="Times New Roman"/>
          <w:noProof/>
          <w:szCs w:val="24"/>
        </w:rPr>
      </w:pPr>
      <w:r>
        <w:rPr>
          <w:rFonts w:eastAsia="Times New Roman"/>
          <w:noProof/>
          <w:szCs w:val="24"/>
          <w:lang w:val="en-GB" w:eastAsia="en-GB"/>
        </w:rPr>
        <w:drawing>
          <wp:inline distT="0" distB="0" distL="0" distR="0">
            <wp:extent cx="5472430" cy="3192145"/>
            <wp:effectExtent l="0" t="0" r="13970" b="2730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Heading2"/>
        <w:rPr>
          <w:rFonts w:eastAsia="Times New Roman"/>
          <w:noProof/>
        </w:rPr>
      </w:pPr>
      <w:bookmarkStart w:id="63" w:name="_Toc536641179"/>
      <w:bookmarkStart w:id="64" w:name="_Toc536645749"/>
      <w:bookmarkStart w:id="65" w:name="_Toc536641401"/>
      <w:bookmarkStart w:id="66" w:name="_Toc13477374"/>
      <w:r>
        <w:rPr>
          <w:noProof/>
        </w:rPr>
        <w:t>Въздействие (наблюдение и оценка)</w:t>
      </w:r>
      <w:bookmarkEnd w:id="63"/>
      <w:bookmarkEnd w:id="64"/>
      <w:bookmarkEnd w:id="65"/>
      <w:bookmarkEnd w:id="66"/>
    </w:p>
    <w:p>
      <w:pPr>
        <w:spacing w:before="0" w:after="160" w:line="259" w:lineRule="auto"/>
        <w:rPr>
          <w:rFonts w:eastAsia="Times New Roman"/>
          <w:noProof/>
          <w:szCs w:val="24"/>
        </w:rPr>
      </w:pPr>
      <w:r>
        <w:rPr>
          <w:noProof/>
        </w:rPr>
        <w:t>Измерването на оказваното от EIT въздействие ще се подобрява непрекъснато през следващия програмен период като се вземат под внимание извлечените поуки и натрупания до момента опит. EIT ще прилага рамка за оценяване, докладване и наблюдение, с която се гарантира съгласуваност с цялостния подход, възприет по отношение на „Хоризонт Европа“, като същевременно ще следи за осигуряването на гъвкавост. По-специално ще бъдат подобрени веригите за обратна информация между Комисията, EIT и ОЗИ, така че целите да се преследват по последователен, съгласуван и ефективен начин.</w:t>
      </w:r>
    </w:p>
    <w:p>
      <w:pPr>
        <w:spacing w:before="0" w:after="180" w:line="259" w:lineRule="auto"/>
        <w:rPr>
          <w:rFonts w:eastAsia="Times New Roman"/>
          <w:i/>
          <w:noProof/>
          <w:szCs w:val="24"/>
        </w:rPr>
      </w:pPr>
      <w:r>
        <w:rPr>
          <w:i/>
          <w:noProof/>
          <w:szCs w:val="24"/>
        </w:rPr>
        <w:t>Оценка</w:t>
      </w:r>
    </w:p>
    <w:p>
      <w:pPr>
        <w:spacing w:before="0" w:after="180" w:line="259" w:lineRule="auto"/>
        <w:rPr>
          <w:rFonts w:eastAsia="Times New Roman"/>
          <w:noProof/>
          <w:szCs w:val="24"/>
        </w:rPr>
      </w:pPr>
      <w:r>
        <w:rPr>
          <w:noProof/>
        </w:rPr>
        <w:t>Периодичните оценки на дейностите на ЕИТ, включително тези, управлявани посредством ОЗИ, ще се извършват от Комисията при спазване на разпоредбите на Регламента за EIT и Регламента относно „Хоризонт Европа“. В тях ще се оценяват ефективността, ефикасността, значимостта, съгласуваността и европейската добавена стойност на дейностите на EIT, включително тези на ОЗИ. Оценяването ще се базира на независими външни оценки и ще бъде вземано под внимание при изготвянето на общите средносрочни и последващи оценки на „Хоризонт Европа“. Освен това всяка ОЗИ ще бъде подложена на задълбочен преглед от EIT преди края на 7-та и 14-та година от прилагането на рамковите споразумения за партньорство.</w:t>
      </w:r>
    </w:p>
    <w:p>
      <w:pPr>
        <w:spacing w:before="0" w:after="180" w:line="259" w:lineRule="auto"/>
        <w:rPr>
          <w:rFonts w:eastAsia="Times New Roman"/>
          <w:i/>
          <w:noProof/>
          <w:szCs w:val="24"/>
        </w:rPr>
      </w:pPr>
      <w:r>
        <w:rPr>
          <w:i/>
          <w:noProof/>
          <w:szCs w:val="24"/>
        </w:rPr>
        <w:t>Докладване и наблюдение</w:t>
      </w:r>
    </w:p>
    <w:p>
      <w:pPr>
        <w:widowControl w:val="0"/>
        <w:adjustRightInd w:val="0"/>
        <w:spacing w:before="0" w:after="180" w:line="259" w:lineRule="auto"/>
        <w:textAlignment w:val="baseline"/>
        <w:rPr>
          <w:rFonts w:eastAsia="Times New Roman"/>
          <w:noProof/>
          <w:szCs w:val="24"/>
        </w:rPr>
      </w:pPr>
      <w:r>
        <w:rPr>
          <w:noProof/>
        </w:rPr>
        <w:t xml:space="preserve">Докладването и наблюдението на оперативната дейност на ОЗИ и постиганите от тях резултати ще бъдат основна задача за EIT и ще се извършват в сътрудничество с общите корпоративни служби, работещи по програма „Хоризонт Европа“. Системата за докладване и наблюдение, приложима за ОЗИ, ще бъде интегрирана в общата система за наблюдение на „Хоризонт Европа“, по-специално чрез въвеждането на общи модели за данните, включително събирането на данни. Комисията ще вземе участие в съвместното проектиране на всички релевантни показатели и инструменти за въздействие и наблюдение, разработвани или прилагани от EIT, за да се гарантира съвместимост и съгласуваност с цялостната система за наблюдение на „Хоризонт Европа“, включително ключовите пътища на въздействие, рамката на критериите за европейските партньорства и процеса на стратегическото планиране. Освен това EIT ще взема под внимание прилагането на методиката на радарите за иновации в „Хоризонт Европа“ и ще проучи как ОЗИ биха могли да използват радарите за иновации за подобряване на дейностите си по наблюдение. </w:t>
      </w:r>
    </w:p>
    <w:p>
      <w:pPr>
        <w:spacing w:before="0" w:after="180" w:line="259" w:lineRule="auto"/>
        <w:rPr>
          <w:noProof/>
          <w:szCs w:val="24"/>
        </w:rPr>
      </w:pPr>
      <w:r>
        <w:rPr>
          <w:noProof/>
        </w:rPr>
        <w:t>Като цяло EIT ще носи отговорността да извършва редовно наблюдение на оперативната дейност на ОЗИ и да адаптира непрекъснато системите си за наблюдение в съответствие с рамката на „Хоризонт Европа“ за наблюдение и докладване, приложима за европейските партньорства, като за целта си сътрудничи с общите корпоративни служби на „Хоризонт Европа“. Резултатите от това наблюдение ще бъдат включени в процесите на планиране на дейността на ОЗИ, както и в процеса на вземане на решения от EIT относно разпределението на бюджета и подготовката на рамковите споразумения за партньорство с ОЗИ като бенефициери.</w:t>
      </w:r>
    </w:p>
    <w:p>
      <w:pPr>
        <w:spacing w:before="0" w:after="0"/>
        <w:rPr>
          <w:noProof/>
          <w:szCs w:val="24"/>
        </w:rPr>
      </w:pPr>
      <w:r>
        <w:rPr>
          <w:noProof/>
        </w:rPr>
        <w:t xml:space="preserve">Очаква се дейностите по линия на EIT, включително тези, управлявани чрез ОЗИ, да имат </w:t>
      </w:r>
    </w:p>
    <w:p>
      <w:pPr>
        <w:pStyle w:val="Point1number"/>
        <w:numPr>
          <w:ilvl w:val="2"/>
          <w:numId w:val="3"/>
        </w:numPr>
        <w:rPr>
          <w:noProof/>
        </w:rPr>
      </w:pPr>
      <w:r>
        <w:rPr>
          <w:i/>
          <w:noProof/>
        </w:rPr>
        <w:t>икономическо/иновационно въздействие</w:t>
      </w:r>
      <w:r>
        <w:rPr>
          <w:noProof/>
        </w:rPr>
        <w:t> — посредством оказване на влияние върху създаването и растежа на дружествата и върху създаването на нови иновативни решения за справяне с глобалните предизвикателства, както и посредством създаване на преки и непреки работни места и мобилизиране на други публични и частни инвестиции;</w:t>
      </w:r>
    </w:p>
    <w:p>
      <w:pPr>
        <w:pStyle w:val="Point1number"/>
        <w:numPr>
          <w:ilvl w:val="2"/>
          <w:numId w:val="3"/>
        </w:numPr>
        <w:rPr>
          <w:noProof/>
        </w:rPr>
      </w:pPr>
      <w:r>
        <w:rPr>
          <w:i/>
          <w:noProof/>
        </w:rPr>
        <w:t>научно и образователно въздействие</w:t>
      </w:r>
      <w:r>
        <w:rPr>
          <w:noProof/>
        </w:rPr>
        <w:t> — посредством укрепване на човешкия капитал в областта на научните изследвания и иновациите, насърчаване на иновативните и предприемачески умения както на индивидуално, така и на организационно равнище, и насърчаване на откритото разпространение на знания и иновации в обществото;</w:t>
      </w:r>
    </w:p>
    <w:p>
      <w:pPr>
        <w:pStyle w:val="Point1number"/>
        <w:numPr>
          <w:ilvl w:val="2"/>
          <w:numId w:val="3"/>
        </w:numPr>
        <w:rPr>
          <w:i/>
          <w:noProof/>
        </w:rPr>
      </w:pPr>
      <w:r>
        <w:rPr>
          <w:i/>
          <w:noProof/>
        </w:rPr>
        <w:t>обществено въздействие</w:t>
      </w:r>
      <w:r>
        <w:rPr>
          <w:noProof/>
        </w:rPr>
        <w:t> — посредством работа по приоритетите на политиката на ЕС в областта на изменението на климата, енергетиката, суровините, здравеопазването или храните чрез възприемане на иновативни решения, ангажираност спрямо гражданите и крайните потребители и чрез по-голямо възприемане от обществото на новаторски решения в тези области.</w:t>
      </w:r>
    </w:p>
    <w:p>
      <w:pPr>
        <w:rPr>
          <w:noProof/>
        </w:rPr>
      </w:pPr>
      <w:r>
        <w:rPr>
          <w:noProof/>
        </w:rPr>
        <w:t>В таблицата по-долу е представен неизчерпателен списък на показателите за управлението и техните целеви нива, които ще бъдат наблюдавани от EIT през периода 2021—2027 г. Тези показатели дават основните насоки от гледна точка на приноса и резултатите във връзка с наблюдението върху изпълнението на ключовите цели на EIT за периода 2021—2027 г., като например насърчаване на иновациите и предприемачеството чрез по-добро образование, увеличаване на регионалното въздействие и отвореност за потенциални партньори и заинтересовани страни и въвеждане на пазара на нови иновативни решения за глобалните предизвикателства.</w:t>
      </w:r>
    </w:p>
    <w:p>
      <w:pPr>
        <w:rPr>
          <w:noProof/>
        </w:rPr>
      </w:pPr>
      <w:r>
        <w:rPr>
          <w:noProof/>
        </w:rPr>
        <w:t xml:space="preserve">EIT ще разработи съвместно с Комисията допълнителни показатели, включително показатели за въздействието върху обществото в областите на дейност на ОЗИ, като те ще бъдат съобразени с разработването на рамката от показатели на програма „Хоризонт Европа“ и ще отразяват цялостния подход, приложим за европейските партньорства, за принос към научното, икономическото и общественото въздействие. Като цяло привеждането на показателите за въздействието в съответствие с „Хоризонт Европа“ ще има за цел да се следи постигания с течение на времето напредък по набелязаните цели. Това ще позволи да се състави база от сравнителни данни за резултатите и въздействието, постигнати от ОЗИ, спрямо останалата част от програмата. Освен това EIT ще гарантира, че системата за наблюдение ще отчита напредъка по специфични за конкретния модел на ОЗИ дейности, като например интегрирането на триъгълника на знанието и предприемаческите умения. Тези допълнителни показатели са насочени към извършването на наблюдение на напредъка и оказваното въздействие с течение на времето. Така например показателите за дейностите на EIT, свързани с образованието (включително тези, спомагащи за повишаване на капацитета на висшите учебни заведения), ще проследяват придобиването на умения в областта на човешкия капитал (в краткосрочен план), професионалното развитие (в средносрочен план) и условията на труд (в дългосрочен план), ангажираността на ВУЗ и повишаването на капацитета (в краткосрочен план) или ролята и постиженията на ВУЗ в местните екосистеми за иновации (в средносрочен и дългосрочен план). </w:t>
      </w:r>
    </w:p>
    <w:tbl>
      <w:tblPr>
        <w:tblStyle w:val="TableGrid"/>
        <w:tblW w:w="0" w:type="auto"/>
        <w:jc w:val="center"/>
        <w:tblInd w:w="-598" w:type="dxa"/>
        <w:tblLook w:val="04A0" w:firstRow="1" w:lastRow="0" w:firstColumn="1" w:lastColumn="0" w:noHBand="0" w:noVBand="1"/>
      </w:tblPr>
      <w:tblGrid>
        <w:gridCol w:w="3194"/>
        <w:gridCol w:w="2219"/>
        <w:gridCol w:w="2643"/>
      </w:tblGrid>
      <w:tr>
        <w:trPr>
          <w:jc w:val="center"/>
        </w:trPr>
        <w:tc>
          <w:tcPr>
            <w:tcW w:w="3194" w:type="dxa"/>
            <w:shd w:val="clear" w:color="auto" w:fill="8DB3E2" w:themeFill="text2" w:themeFillTint="66"/>
          </w:tcPr>
          <w:p>
            <w:pPr>
              <w:jc w:val="center"/>
              <w:rPr>
                <w:b/>
                <w:noProof/>
                <w:sz w:val="20"/>
              </w:rPr>
            </w:pPr>
            <w:r>
              <w:rPr>
                <w:b/>
                <w:noProof/>
                <w:sz w:val="20"/>
              </w:rPr>
              <w:t>Показатели за управление на EIT</w:t>
            </w:r>
          </w:p>
        </w:tc>
        <w:tc>
          <w:tcPr>
            <w:tcW w:w="2219" w:type="dxa"/>
            <w:shd w:val="clear" w:color="auto" w:fill="8DB3E2" w:themeFill="text2" w:themeFillTint="66"/>
          </w:tcPr>
          <w:p>
            <w:pPr>
              <w:spacing w:after="0"/>
              <w:jc w:val="center"/>
              <w:rPr>
                <w:b/>
                <w:noProof/>
                <w:sz w:val="20"/>
              </w:rPr>
            </w:pPr>
            <w:r>
              <w:rPr>
                <w:b/>
                <w:noProof/>
                <w:sz w:val="20"/>
              </w:rPr>
              <w:t xml:space="preserve">Целева стойност за 2023 г. </w:t>
            </w:r>
          </w:p>
          <w:p>
            <w:pPr>
              <w:spacing w:after="0"/>
              <w:jc w:val="center"/>
              <w:rPr>
                <w:b/>
                <w:noProof/>
                <w:sz w:val="20"/>
              </w:rPr>
            </w:pPr>
            <w:r>
              <w:rPr>
                <w:b/>
                <w:noProof/>
                <w:sz w:val="20"/>
              </w:rPr>
              <w:t>(базов вариант 2020 г.)</w:t>
            </w:r>
          </w:p>
        </w:tc>
        <w:tc>
          <w:tcPr>
            <w:tcW w:w="2643" w:type="dxa"/>
            <w:shd w:val="clear" w:color="auto" w:fill="8DB3E2" w:themeFill="text2" w:themeFillTint="66"/>
          </w:tcPr>
          <w:p>
            <w:pPr>
              <w:spacing w:after="0"/>
              <w:jc w:val="center"/>
              <w:rPr>
                <w:b/>
                <w:noProof/>
                <w:sz w:val="20"/>
              </w:rPr>
            </w:pPr>
            <w:r>
              <w:rPr>
                <w:b/>
                <w:noProof/>
                <w:sz w:val="20"/>
              </w:rPr>
              <w:t xml:space="preserve">Целева стойност за 2027 г. </w:t>
            </w:r>
          </w:p>
          <w:p>
            <w:pPr>
              <w:spacing w:after="0"/>
              <w:jc w:val="center"/>
              <w:rPr>
                <w:b/>
                <w:noProof/>
                <w:sz w:val="20"/>
              </w:rPr>
            </w:pPr>
            <w:r>
              <w:rPr>
                <w:b/>
                <w:noProof/>
                <w:sz w:val="20"/>
              </w:rPr>
              <w:t>(базов вариант 2020 г.)</w:t>
            </w:r>
          </w:p>
        </w:tc>
      </w:tr>
      <w:tr>
        <w:trPr>
          <w:jc w:val="center"/>
        </w:trPr>
        <w:tc>
          <w:tcPr>
            <w:tcW w:w="3194" w:type="dxa"/>
          </w:tcPr>
          <w:p>
            <w:pPr>
              <w:rPr>
                <w:noProof/>
                <w:sz w:val="20"/>
              </w:rPr>
            </w:pPr>
            <w:r>
              <w:rPr>
                <w:noProof/>
                <w:sz w:val="20"/>
              </w:rPr>
              <w:t>Брой структури/организации, участващи в дейности на EIT и ОЗИ</w:t>
            </w:r>
          </w:p>
        </w:tc>
        <w:tc>
          <w:tcPr>
            <w:tcW w:w="2219" w:type="dxa"/>
          </w:tcPr>
          <w:p>
            <w:pPr>
              <w:rPr>
                <w:noProof/>
                <w:sz w:val="20"/>
              </w:rPr>
            </w:pPr>
            <w:r>
              <w:rPr>
                <w:noProof/>
                <w:sz w:val="20"/>
              </w:rPr>
              <w:t xml:space="preserve">Увеличение с 20 % </w:t>
            </w:r>
          </w:p>
        </w:tc>
        <w:tc>
          <w:tcPr>
            <w:tcW w:w="2643" w:type="dxa"/>
          </w:tcPr>
          <w:p>
            <w:pPr>
              <w:rPr>
                <w:noProof/>
                <w:sz w:val="20"/>
              </w:rPr>
            </w:pPr>
            <w:r>
              <w:rPr>
                <w:noProof/>
                <w:sz w:val="20"/>
              </w:rPr>
              <w:t>Увеличение с 50 %</w:t>
            </w:r>
          </w:p>
        </w:tc>
      </w:tr>
      <w:tr>
        <w:trPr>
          <w:jc w:val="center"/>
        </w:trPr>
        <w:tc>
          <w:tcPr>
            <w:tcW w:w="3194" w:type="dxa"/>
          </w:tcPr>
          <w:p>
            <w:pPr>
              <w:rPr>
                <w:noProof/>
                <w:sz w:val="20"/>
              </w:rPr>
            </w:pPr>
            <w:r>
              <w:rPr>
                <w:noProof/>
                <w:sz w:val="20"/>
              </w:rPr>
              <w:t>Брой иновации (продукти и услуги), пуснати на пазара</w:t>
            </w:r>
          </w:p>
        </w:tc>
        <w:tc>
          <w:tcPr>
            <w:tcW w:w="2219" w:type="dxa"/>
          </w:tcPr>
          <w:p>
            <w:pPr>
              <w:rPr>
                <w:noProof/>
                <w:sz w:val="20"/>
              </w:rPr>
            </w:pPr>
            <w:r>
              <w:rPr>
                <w:noProof/>
                <w:sz w:val="20"/>
              </w:rPr>
              <w:t>1500</w:t>
            </w:r>
          </w:p>
        </w:tc>
        <w:tc>
          <w:tcPr>
            <w:tcW w:w="2643" w:type="dxa"/>
          </w:tcPr>
          <w:p>
            <w:pPr>
              <w:rPr>
                <w:noProof/>
                <w:sz w:val="20"/>
              </w:rPr>
            </w:pPr>
            <w:r>
              <w:rPr>
                <w:noProof/>
                <w:sz w:val="20"/>
              </w:rPr>
              <w:t>4000</w:t>
            </w:r>
          </w:p>
        </w:tc>
      </w:tr>
      <w:tr>
        <w:trPr>
          <w:jc w:val="center"/>
        </w:trPr>
        <w:tc>
          <w:tcPr>
            <w:tcW w:w="3194" w:type="dxa"/>
          </w:tcPr>
          <w:p>
            <w:pPr>
              <w:rPr>
                <w:noProof/>
                <w:sz w:val="20"/>
              </w:rPr>
            </w:pPr>
            <w:r>
              <w:rPr>
                <w:noProof/>
                <w:sz w:val="20"/>
              </w:rPr>
              <w:t xml:space="preserve">Висши учебни заведения, участващи в дейности на EIT и ОЗИ </w:t>
            </w:r>
          </w:p>
        </w:tc>
        <w:tc>
          <w:tcPr>
            <w:tcW w:w="2219" w:type="dxa"/>
          </w:tcPr>
          <w:p>
            <w:pPr>
              <w:rPr>
                <w:noProof/>
                <w:sz w:val="20"/>
              </w:rPr>
            </w:pPr>
            <w:r>
              <w:rPr>
                <w:noProof/>
                <w:sz w:val="20"/>
              </w:rPr>
              <w:t>300, като 100 от тях участват в новото действие в областта на образованието</w:t>
            </w:r>
          </w:p>
        </w:tc>
        <w:tc>
          <w:tcPr>
            <w:tcW w:w="2643" w:type="dxa"/>
          </w:tcPr>
          <w:p>
            <w:pPr>
              <w:rPr>
                <w:noProof/>
                <w:sz w:val="20"/>
              </w:rPr>
            </w:pPr>
            <w:r>
              <w:rPr>
                <w:noProof/>
                <w:sz w:val="20"/>
              </w:rPr>
              <w:t>750, като 450 от тях участват в новото действие в областта на образованието</w:t>
            </w:r>
          </w:p>
        </w:tc>
      </w:tr>
      <w:tr>
        <w:trPr>
          <w:jc w:val="center"/>
        </w:trPr>
        <w:tc>
          <w:tcPr>
            <w:tcW w:w="3194" w:type="dxa"/>
          </w:tcPr>
          <w:p>
            <w:pPr>
              <w:rPr>
                <w:noProof/>
                <w:sz w:val="20"/>
              </w:rPr>
            </w:pPr>
            <w:r>
              <w:rPr>
                <w:noProof/>
                <w:sz w:val="20"/>
              </w:rPr>
              <w:t xml:space="preserve">Брой учащи, участващи в дейности на EIT и ОЗИ в областта на образованието </w:t>
            </w:r>
          </w:p>
        </w:tc>
        <w:tc>
          <w:tcPr>
            <w:tcW w:w="2219" w:type="dxa"/>
          </w:tcPr>
          <w:p>
            <w:pPr>
              <w:rPr>
                <w:noProof/>
                <w:sz w:val="20"/>
              </w:rPr>
            </w:pPr>
            <w:r>
              <w:rPr>
                <w:noProof/>
                <w:sz w:val="20"/>
              </w:rPr>
              <w:t>10 000</w:t>
            </w:r>
          </w:p>
        </w:tc>
        <w:tc>
          <w:tcPr>
            <w:tcW w:w="2643" w:type="dxa"/>
          </w:tcPr>
          <w:p>
            <w:pPr>
              <w:rPr>
                <w:noProof/>
                <w:sz w:val="20"/>
              </w:rPr>
            </w:pPr>
            <w:r>
              <w:rPr>
                <w:noProof/>
                <w:sz w:val="20"/>
              </w:rPr>
              <w:t>30 000</w:t>
            </w:r>
          </w:p>
        </w:tc>
      </w:tr>
      <w:tr>
        <w:trPr>
          <w:jc w:val="center"/>
        </w:trPr>
        <w:tc>
          <w:tcPr>
            <w:tcW w:w="3194" w:type="dxa"/>
          </w:tcPr>
          <w:p>
            <w:pPr>
              <w:rPr>
                <w:noProof/>
                <w:sz w:val="20"/>
              </w:rPr>
            </w:pPr>
            <w:r>
              <w:rPr>
                <w:noProof/>
                <w:sz w:val="20"/>
              </w:rPr>
              <w:t>Брой подпомогнати стартиращи предприятия</w:t>
            </w:r>
          </w:p>
        </w:tc>
        <w:tc>
          <w:tcPr>
            <w:tcW w:w="2219" w:type="dxa"/>
          </w:tcPr>
          <w:p>
            <w:pPr>
              <w:rPr>
                <w:noProof/>
                <w:sz w:val="20"/>
              </w:rPr>
            </w:pPr>
            <w:r>
              <w:rPr>
                <w:noProof/>
                <w:sz w:val="20"/>
              </w:rPr>
              <w:t>300</w:t>
            </w:r>
          </w:p>
        </w:tc>
        <w:tc>
          <w:tcPr>
            <w:tcW w:w="2643" w:type="dxa"/>
          </w:tcPr>
          <w:p>
            <w:pPr>
              <w:rPr>
                <w:noProof/>
                <w:sz w:val="20"/>
              </w:rPr>
            </w:pPr>
            <w:r>
              <w:rPr>
                <w:noProof/>
                <w:sz w:val="20"/>
              </w:rPr>
              <w:t>700</w:t>
            </w:r>
          </w:p>
        </w:tc>
      </w:tr>
      <w:tr>
        <w:trPr>
          <w:jc w:val="center"/>
        </w:trPr>
        <w:tc>
          <w:tcPr>
            <w:tcW w:w="3194" w:type="dxa"/>
          </w:tcPr>
          <w:p>
            <w:pPr>
              <w:rPr>
                <w:noProof/>
                <w:sz w:val="20"/>
              </w:rPr>
            </w:pPr>
            <w:r>
              <w:rPr>
                <w:noProof/>
                <w:sz w:val="20"/>
              </w:rPr>
              <w:t xml:space="preserve">Съфинансиране на ОЗИ </w:t>
            </w:r>
          </w:p>
        </w:tc>
        <w:tc>
          <w:tcPr>
            <w:tcW w:w="2219" w:type="dxa"/>
          </w:tcPr>
          <w:p>
            <w:pPr>
              <w:rPr>
                <w:noProof/>
                <w:sz w:val="20"/>
              </w:rPr>
            </w:pPr>
            <w:r>
              <w:rPr>
                <w:noProof/>
                <w:sz w:val="20"/>
              </w:rPr>
              <w:t>700 млн. евро</w:t>
            </w:r>
          </w:p>
        </w:tc>
        <w:tc>
          <w:tcPr>
            <w:tcW w:w="2643" w:type="dxa"/>
          </w:tcPr>
          <w:p>
            <w:pPr>
              <w:rPr>
                <w:noProof/>
                <w:sz w:val="20"/>
              </w:rPr>
            </w:pPr>
            <w:r>
              <w:rPr>
                <w:noProof/>
                <w:sz w:val="20"/>
              </w:rPr>
              <w:t>1500 млн. евро</w:t>
            </w:r>
          </w:p>
        </w:tc>
      </w:tr>
      <w:tr>
        <w:trPr>
          <w:jc w:val="center"/>
        </w:trPr>
        <w:tc>
          <w:tcPr>
            <w:tcW w:w="3194" w:type="dxa"/>
          </w:tcPr>
          <w:p>
            <w:pPr>
              <w:rPr>
                <w:noProof/>
                <w:sz w:val="20"/>
              </w:rPr>
            </w:pPr>
            <w:r>
              <w:rPr>
                <w:noProof/>
                <w:sz w:val="20"/>
              </w:rPr>
              <w:t>Брой структури/организации, участващи в дейности на EIT и ОЗИ, от региони извън тези на ЦСП на ОЗИ</w:t>
            </w:r>
          </w:p>
        </w:tc>
        <w:tc>
          <w:tcPr>
            <w:tcW w:w="2219" w:type="dxa"/>
          </w:tcPr>
          <w:p>
            <w:pPr>
              <w:rPr>
                <w:noProof/>
                <w:sz w:val="20"/>
              </w:rPr>
            </w:pPr>
            <w:r>
              <w:rPr>
                <w:noProof/>
                <w:sz w:val="20"/>
              </w:rPr>
              <w:t>Увеличение с 50 %</w:t>
            </w:r>
          </w:p>
        </w:tc>
        <w:tc>
          <w:tcPr>
            <w:tcW w:w="2643" w:type="dxa"/>
          </w:tcPr>
          <w:p>
            <w:pPr>
              <w:rPr>
                <w:noProof/>
                <w:sz w:val="20"/>
              </w:rPr>
            </w:pPr>
            <w:r>
              <w:rPr>
                <w:noProof/>
                <w:sz w:val="20"/>
              </w:rPr>
              <w:t>Увеличение със 100 %</w:t>
            </w:r>
          </w:p>
        </w:tc>
      </w:tr>
    </w:tbl>
    <w:p>
      <w:pPr>
        <w:rPr>
          <w:noProof/>
        </w:rPr>
      </w:pPr>
      <w:r>
        <w:rPr>
          <w:noProof/>
        </w:rPr>
        <w:t>EIT ще гарантира, че данните, които събира чрез своята система за вътрешно наблюдение, включително резултатите от ОЗИ, са напълно интегрирани в общата система за управление на данни на програма „Хоризонт Европа“. EIT ще следи за това подробна информация, изготвена в резултат на процеса му по наблюдение и оценка, да бъде предоставяна своевременно и да бъде достъпна в обща електронна база данни, посветена на изпълнението на програма „Хоризонт Европа“. Освен това EIT ще осигурява специално отчитане на количественото и качественото въздействие, включително по отношение на финансовите вноски, за които са поети задължения и които са реално предоставени.</w:t>
      </w:r>
    </w:p>
    <w:tbl>
      <w:tblPr>
        <w:tblStyle w:val="TableGrid"/>
        <w:tblW w:w="8834" w:type="dxa"/>
        <w:tblLayout w:type="fixed"/>
        <w:tblLook w:val="04A0" w:firstRow="1" w:lastRow="0" w:firstColumn="1" w:lastColumn="0" w:noHBand="0" w:noVBand="1"/>
      </w:tblPr>
      <w:tblGrid>
        <w:gridCol w:w="8834"/>
      </w:tblGrid>
      <w:tr>
        <w:tc>
          <w:tcPr>
            <w:tcW w:w="8834" w:type="dxa"/>
          </w:tcPr>
          <w:p>
            <w:pPr>
              <w:spacing w:before="0" w:after="160" w:line="259" w:lineRule="auto"/>
              <w:rPr>
                <w:noProof/>
                <w:szCs w:val="24"/>
              </w:rPr>
            </w:pPr>
            <w:r>
              <w:rPr>
                <w:noProof/>
              </w:rPr>
              <w:t>EIT:</w:t>
            </w:r>
          </w:p>
          <w:p>
            <w:pPr>
              <w:pStyle w:val="ListParagraph"/>
              <w:numPr>
                <w:ilvl w:val="0"/>
                <w:numId w:val="12"/>
              </w:numPr>
              <w:spacing w:before="0" w:after="160" w:line="259" w:lineRule="auto"/>
              <w:rPr>
                <w:noProof/>
              </w:rPr>
            </w:pPr>
            <w:r>
              <w:rPr>
                <w:noProof/>
              </w:rPr>
              <w:t xml:space="preserve">ще усъвършенства настоящите си системи за наблюдение и ще въведе рамка за докладване и наблюдение, включваща показатели за въздействието, в съответствие с ключовите пътища на въздействие на [програма „Хоризонт Европа“]; </w:t>
            </w:r>
          </w:p>
          <w:p>
            <w:pPr>
              <w:numPr>
                <w:ilvl w:val="0"/>
                <w:numId w:val="12"/>
              </w:numPr>
              <w:spacing w:before="0" w:after="160" w:line="259" w:lineRule="auto"/>
              <w:contextualSpacing/>
              <w:rPr>
                <w:rFonts w:eastAsiaTheme="minorEastAsia"/>
                <w:noProof/>
                <w:szCs w:val="24"/>
              </w:rPr>
            </w:pPr>
            <w:r>
              <w:rPr>
                <w:noProof/>
              </w:rPr>
              <w:t xml:space="preserve">ще осъществява редовно наблюдение върху оперативната ефективност на ОЗИ и тяхната производителност, резултати и напредък в оказването на въздействие в съответствие с [рамката на „Хоризонт Европа“]; </w:t>
            </w:r>
          </w:p>
          <w:p>
            <w:pPr>
              <w:spacing w:before="0" w:after="160" w:line="259" w:lineRule="auto"/>
              <w:ind w:left="720"/>
              <w:contextualSpacing/>
              <w:rPr>
                <w:rFonts w:eastAsiaTheme="minorEastAsia"/>
                <w:noProof/>
                <w:szCs w:val="24"/>
              </w:rPr>
            </w:pPr>
          </w:p>
          <w:p>
            <w:pPr>
              <w:numPr>
                <w:ilvl w:val="0"/>
                <w:numId w:val="12"/>
              </w:numPr>
              <w:spacing w:before="0" w:after="160" w:line="259" w:lineRule="auto"/>
              <w:contextualSpacing/>
              <w:rPr>
                <w:rFonts w:eastAsiaTheme="minorEastAsia"/>
                <w:noProof/>
                <w:szCs w:val="24"/>
              </w:rPr>
            </w:pPr>
            <w:r>
              <w:rPr>
                <w:noProof/>
              </w:rPr>
              <w:t>ще осигури разработването на специфичните показатели за въздействието върху обществото в областите на дейност на ОЗИ и редовното му наблюдение в съответствие с рамката на „Хоризонт Европа“ за оказване на въздействие върху обществото;</w:t>
            </w:r>
          </w:p>
          <w:p>
            <w:pPr>
              <w:pStyle w:val="ListParagraph"/>
              <w:numPr>
                <w:ilvl w:val="0"/>
                <w:numId w:val="12"/>
              </w:numPr>
              <w:spacing w:before="0" w:after="160" w:line="259" w:lineRule="auto"/>
              <w:rPr>
                <w:noProof/>
              </w:rPr>
            </w:pPr>
            <w:r>
              <w:rPr>
                <w:noProof/>
              </w:rPr>
              <w:t>ще следи за отчитането на количественото и качественото въздействие, включително по отношение на финансовите вноски;</w:t>
            </w:r>
          </w:p>
          <w:p>
            <w:pPr>
              <w:numPr>
                <w:ilvl w:val="0"/>
                <w:numId w:val="12"/>
              </w:numPr>
              <w:spacing w:before="0" w:after="160" w:line="259" w:lineRule="auto"/>
              <w:contextualSpacing/>
              <w:rPr>
                <w:rFonts w:eastAsiaTheme="minorEastAsia"/>
                <w:noProof/>
                <w:szCs w:val="24"/>
              </w:rPr>
            </w:pPr>
            <w:r>
              <w:rPr>
                <w:noProof/>
              </w:rPr>
              <w:t>ще осигурява достъп до резултатите и данните от проектите, предоставени от ОЗИ, както и интегрирането им в общата система за управление на данните и за докладване на програма „Хоризонт Европа“.</w:t>
            </w:r>
          </w:p>
        </w:tc>
      </w:tr>
    </w:tbl>
    <w:p>
      <w:pPr>
        <w:spacing w:before="0" w:after="200" w:line="276" w:lineRule="auto"/>
        <w:jc w:val="left"/>
        <w:rPr>
          <w:noProof/>
          <w:szCs w:val="24"/>
        </w:rPr>
      </w:pPr>
      <w:r>
        <w:rPr>
          <w:noProof/>
        </w:rPr>
        <w:br w:type="page"/>
      </w:r>
    </w:p>
    <w:p>
      <w:pPr>
        <w:pStyle w:val="Heading1"/>
        <w:rPr>
          <w:rFonts w:eastAsia="Times New Roman"/>
          <w:noProof/>
        </w:rPr>
      </w:pPr>
      <w:bookmarkStart w:id="67" w:name="_Toc13240026"/>
      <w:bookmarkStart w:id="68" w:name="_Toc13477375"/>
      <w:bookmarkStart w:id="69" w:name="_Toc536649614"/>
      <w:r>
        <w:rPr>
          <w:noProof/>
        </w:rPr>
        <w:t>Приложение 1A</w:t>
      </w:r>
      <w:bookmarkEnd w:id="67"/>
      <w:bookmarkEnd w:id="68"/>
    </w:p>
    <w:p>
      <w:pPr>
        <w:rPr>
          <w:noProof/>
        </w:rPr>
      </w:pPr>
      <w:r>
        <w:rPr>
          <w:noProof/>
        </w:rPr>
        <w:t>Приоритетни области за поставяне на началото на нови общности за знания и иновации.</w:t>
      </w:r>
    </w:p>
    <w:p>
      <w:pPr>
        <w:rPr>
          <w:noProof/>
        </w:rPr>
      </w:pPr>
      <w:r>
        <w:rPr>
          <w:noProof/>
        </w:rPr>
        <w:t>1. Културни и творчески индустрии</w:t>
      </w:r>
    </w:p>
    <w:p>
      <w:pPr>
        <w:pStyle w:val="Heading1"/>
        <w:rPr>
          <w:rFonts w:eastAsia="Times New Roman"/>
          <w:noProof/>
        </w:rPr>
      </w:pPr>
      <w:bookmarkStart w:id="70" w:name="_Toc13240027"/>
      <w:bookmarkStart w:id="71" w:name="_Toc13477376"/>
      <w:r>
        <w:rPr>
          <w:noProof/>
        </w:rPr>
        <w:t>Приложение 1Б</w:t>
      </w:r>
      <w:bookmarkEnd w:id="70"/>
      <w:bookmarkEnd w:id="71"/>
    </w:p>
    <w:p>
      <w:pPr>
        <w:keepNext/>
        <w:spacing w:before="240" w:after="240" w:line="259" w:lineRule="auto"/>
        <w:ind w:left="432"/>
        <w:jc w:val="center"/>
        <w:outlineLvl w:val="0"/>
        <w:rPr>
          <w:rFonts w:eastAsia="Times New Roman"/>
          <w:b/>
          <w:smallCaps/>
          <w:noProof/>
          <w:szCs w:val="24"/>
        </w:rPr>
      </w:pPr>
      <w:r>
        <w:rPr>
          <w:b/>
          <w:smallCaps/>
          <w:noProof/>
          <w:szCs w:val="24"/>
        </w:rPr>
        <w:t>Информационен лист относно</w:t>
      </w:r>
      <w:bookmarkEnd w:id="69"/>
      <w:r>
        <w:rPr>
          <w:b/>
          <w:smallCaps/>
          <w:noProof/>
          <w:szCs w:val="24"/>
        </w:rPr>
        <w:t xml:space="preserve"> Общността за знания и иновации „Културни и творчески индустрии“</w:t>
      </w:r>
    </w:p>
    <w:p>
      <w:pPr>
        <w:pStyle w:val="Point0number"/>
        <w:numPr>
          <w:ilvl w:val="0"/>
          <w:numId w:val="3"/>
        </w:numPr>
        <w:rPr>
          <w:b/>
          <w:noProof/>
        </w:rPr>
      </w:pPr>
      <w:r>
        <w:rPr>
          <w:b/>
          <w:noProof/>
        </w:rPr>
        <w:t>В какво се състои предизвикателството</w:t>
      </w:r>
    </w:p>
    <w:p>
      <w:pPr>
        <w:spacing w:before="100" w:beforeAutospacing="1" w:after="100" w:afterAutospacing="1" w:line="259" w:lineRule="auto"/>
        <w:rPr>
          <w:rFonts w:eastAsia="Times New Roman"/>
          <w:noProof/>
          <w:szCs w:val="24"/>
        </w:rPr>
      </w:pPr>
      <w:r>
        <w:rPr>
          <w:noProof/>
        </w:rPr>
        <w:t>Културните и творческите индустрии (КТИ) могат да намерят хоризонтално решение за цяла поредица нововъзникващи предизвикателства с постоянен характер, решение за които може да се намери чрез научноизследователски и иновационни дейности. Тези предизвикателства могат да бъдат групирани в четири категории: 1) креативност, културно многообразие и ценности на европейците; 2) европейска идентичност и сближаване; 3) заетост, икономическа устойчивост и интелигентен растеж в Европа; и 4) Европа като глобален фактор.</w:t>
      </w:r>
    </w:p>
    <w:p>
      <w:pPr>
        <w:spacing w:before="100" w:beforeAutospacing="1" w:after="100" w:afterAutospacing="1" w:line="259" w:lineRule="auto"/>
        <w:rPr>
          <w:noProof/>
          <w:color w:val="000000" w:themeColor="text1"/>
          <w:szCs w:val="24"/>
        </w:rPr>
      </w:pPr>
      <w:r>
        <w:rPr>
          <w:b/>
          <w:noProof/>
          <w:color w:val="000000" w:themeColor="text1"/>
          <w:szCs w:val="24"/>
        </w:rPr>
        <w:t>Креативността и културното многообразие на европейците</w:t>
      </w:r>
      <w:r>
        <w:rPr>
          <w:noProof/>
          <w:color w:val="000000" w:themeColor="text1"/>
          <w:szCs w:val="24"/>
        </w:rPr>
        <w:t xml:space="preserve"> зависят от наличието на устойчиви и солидни сектори на културата и творчеството. Тези сектори обаче, и по-специално аудио-визуалният или музикалният сектор, са изправени пред редица предизвикателства, произтичащи от засилената конкуренция на глобални играчи и преминаването към цифровите технологии.</w:t>
      </w:r>
    </w:p>
    <w:p>
      <w:pPr>
        <w:pStyle w:val="Bullet0"/>
        <w:rPr>
          <w:rFonts w:eastAsia="Times New Roman"/>
          <w:noProof/>
        </w:rPr>
      </w:pPr>
      <w:r>
        <w:rPr>
          <w:noProof/>
        </w:rPr>
        <w:t>Продуцентите, дистрибуторите, разпространителите, кината и всички видове културни организации трябва да въвеждат иновации, за да привличат нови поколения зрители.</w:t>
      </w:r>
    </w:p>
    <w:p>
      <w:pPr>
        <w:pStyle w:val="Bullet0"/>
        <w:rPr>
          <w:rFonts w:eastAsia="Times New Roman"/>
          <w:noProof/>
        </w:rPr>
      </w:pPr>
      <w:r>
        <w:rPr>
          <w:noProof/>
        </w:rPr>
        <w:t>Недостигът на предприемачески и междусекторни умения в областта на КТИ</w:t>
      </w:r>
      <w:r>
        <w:rPr>
          <w:rStyle w:val="FootnoteReference"/>
          <w:noProof/>
        </w:rPr>
        <w:footnoteReference w:id="9"/>
      </w:r>
      <w:r>
        <w:rPr>
          <w:noProof/>
        </w:rPr>
        <w:t xml:space="preserve"> засяга както нововъзникващите, така и много зрелите подсектори, които са подложени на дълбока цифрова трансформация. Тези умения са необходими за иновациите и са от решаващо значение в контекста на промените на пазара на труда, пред които е изправен секторът.</w:t>
      </w:r>
    </w:p>
    <w:p>
      <w:pPr>
        <w:spacing w:before="100" w:beforeAutospacing="1" w:after="100" w:afterAutospacing="1" w:line="259" w:lineRule="auto"/>
        <w:rPr>
          <w:rFonts w:eastAsia="Times New Roman"/>
          <w:noProof/>
          <w:szCs w:val="24"/>
        </w:rPr>
      </w:pPr>
      <w:r>
        <w:rPr>
          <w:noProof/>
        </w:rPr>
        <w:t xml:space="preserve">Обществените предизвикателства, свързани с </w:t>
      </w:r>
      <w:r>
        <w:rPr>
          <w:b/>
          <w:noProof/>
          <w:szCs w:val="24"/>
        </w:rPr>
        <w:t>европейската идентичност и сближаване</w:t>
      </w:r>
      <w:r>
        <w:rPr>
          <w:noProof/>
        </w:rPr>
        <w:t>, могат като цяло да се опишат като липса на „мостове“, свързващи различните части на обществото, в т.ч. и различни територии. Те включват проблеми, свързани със социалното изключване, необходимостта да се изградят по-тесни връзки между културите и развиването на чувство за обща принадлежност на основата на нашето културно многообразие и общо наследство, които могат да се преодолеят чрез по-голямо участие в общността, чрез иновации в областта на дизайна, архитектурата и използването на обществените пространства, както и чрез социални иновации, в чиято основа е културата. По-конкретно:</w:t>
      </w:r>
    </w:p>
    <w:p>
      <w:pPr>
        <w:pStyle w:val="Bullet0"/>
        <w:rPr>
          <w:rFonts w:eastAsia="Times New Roman"/>
          <w:noProof/>
        </w:rPr>
      </w:pPr>
      <w:r>
        <w:rPr>
          <w:noProof/>
        </w:rPr>
        <w:t>Наблюдава се ограничено сътрудничество между научните изследователи и между научните изследователи и промишления отрасъл, както и недостатъчна координация на усилията в областта на научноизследователската и развойната дейност, споделянето на методи, резултати и най-добри практики. Освен това, по-голямата част от изследванията в областта на КТИ не са преведени, което води до повторение, тъй като научните работници често не са запознати с наличието на сходни проекти.</w:t>
      </w:r>
    </w:p>
    <w:p>
      <w:pPr>
        <w:pStyle w:val="Bullet0"/>
        <w:rPr>
          <w:noProof/>
        </w:rPr>
      </w:pPr>
      <w:r>
        <w:rPr>
          <w:noProof/>
        </w:rPr>
        <w:t>Нивото на интеграция на творческите клъстери и иновационните центрове е недостатъчно.</w:t>
      </w:r>
    </w:p>
    <w:p>
      <w:pPr>
        <w:pStyle w:val="Bullet0"/>
        <w:rPr>
          <w:noProof/>
        </w:rPr>
      </w:pPr>
      <w:r>
        <w:rPr>
          <w:noProof/>
        </w:rPr>
        <w:t>Значителна част от регионалните приоритети в Европа, свързани с интелигентното специализиране, съдържат препратки към културата под различни ъгли (напр. културното наследство, творческите индустрии и др.). Като се има предвид важната роля на културата и творчеството за икономическото и социалното развитие на градовете и регионите, както и способността им да спомогнат в още по-голяма степен за премахване на несъответствията в Европа, общността за знания и иновации, посветена на КТИ, разполага с голям потенциал.</w:t>
      </w:r>
    </w:p>
    <w:p>
      <w:pPr>
        <w:spacing w:before="100" w:beforeAutospacing="1" w:after="100" w:afterAutospacing="1" w:line="259" w:lineRule="auto"/>
        <w:rPr>
          <w:rFonts w:eastAsia="Times New Roman"/>
          <w:noProof/>
          <w:szCs w:val="24"/>
        </w:rPr>
      </w:pPr>
      <w:r>
        <w:rPr>
          <w:noProof/>
        </w:rPr>
        <w:t xml:space="preserve">Предизвикателствата, свързани със </w:t>
      </w:r>
      <w:r>
        <w:rPr>
          <w:b/>
          <w:noProof/>
          <w:szCs w:val="24"/>
        </w:rPr>
        <w:t>заетостта, икономическата устойчивост и интелигентния растеж в Европа</w:t>
      </w:r>
      <w:r>
        <w:rPr>
          <w:noProof/>
        </w:rPr>
        <w:t>, включват икономически проблеми, като безработицата (особено младежката безработица) и глобалната конкуренция.</w:t>
      </w:r>
    </w:p>
    <w:p>
      <w:pPr>
        <w:pStyle w:val="Bullet0"/>
        <w:rPr>
          <w:rFonts w:eastAsia="Times New Roman"/>
          <w:noProof/>
        </w:rPr>
      </w:pPr>
      <w:r>
        <w:rPr>
          <w:noProof/>
        </w:rPr>
        <w:t>Има висока пазарна концентрация — около 50 % от общия оборот и добавената стойност се произвеждат в Германия, Обединеното кралство и Франция.</w:t>
      </w:r>
    </w:p>
    <w:p>
      <w:pPr>
        <w:pStyle w:val="Bullet0"/>
        <w:rPr>
          <w:rFonts w:eastAsia="Times New Roman"/>
          <w:noProof/>
          <w:spacing w:val="-4"/>
        </w:rPr>
      </w:pPr>
      <w:r>
        <w:rPr>
          <w:noProof/>
          <w:spacing w:val="-4"/>
        </w:rPr>
        <w:t>Европейските промишлени отрасли са изправени пред предизвикателствата, произтичащи от цифровизацията и глобализацията и тяхното мощно въздействие върху начина, по който артистите продуцират и разпространяват творбите си и осъществяват връзката с публиката си. Сривът на пазарите на DVD, новите очаквания на потребителите и трайната мощ на американските студии, в съчетание с възхода на глобални цифрови гиганти, като Amazon, ITunes, Google и Netflix, оказаха въздействие върху традиционната верига на стойността.</w:t>
      </w:r>
    </w:p>
    <w:p>
      <w:pPr>
        <w:spacing w:before="100" w:beforeAutospacing="1" w:after="100" w:afterAutospacing="1" w:line="259" w:lineRule="auto"/>
        <w:rPr>
          <w:rFonts w:eastAsia="Times New Roman"/>
          <w:noProof/>
          <w:szCs w:val="24"/>
        </w:rPr>
      </w:pPr>
      <w:r>
        <w:rPr>
          <w:noProof/>
        </w:rPr>
        <w:t xml:space="preserve">И накрая, ролята на </w:t>
      </w:r>
      <w:r>
        <w:rPr>
          <w:b/>
          <w:noProof/>
          <w:szCs w:val="24"/>
        </w:rPr>
        <w:t>Европа като глобален фактор</w:t>
      </w:r>
      <w:r>
        <w:rPr>
          <w:noProof/>
        </w:rPr>
        <w:t xml:space="preserve"> включва необходимостта от подобряване на разпространението на културното съдържание, създадено в Европа. Европа трябва да продължи да бъде конкурентоспособна в глобалната цифрова надпревара за създаване на нови технологии (напр. изкуствен интелект, интернет на нещата, блокови вериги), като по отношение на тях КТИ са важни генератори на съдържание, продукти и услуги в световен мащаб. Освен това в световен мащаб КТИ (напр. дизайн, архитектура и др.) допринасят активно за устойчивото развитие и стимулират екологичните иновации, като същевременно културното съдържание (литература, филми и изкуства) може да повиши осведомеността за екологичните проблеми и да предостави информация за изграждане на общественото мнение.</w:t>
      </w:r>
    </w:p>
    <w:p>
      <w:pPr>
        <w:pStyle w:val="Point0number"/>
        <w:keepNext/>
        <w:numPr>
          <w:ilvl w:val="0"/>
          <w:numId w:val="3"/>
        </w:numPr>
        <w:rPr>
          <w:b/>
          <w:noProof/>
        </w:rPr>
      </w:pPr>
      <w:r>
        <w:rPr>
          <w:b/>
          <w:noProof/>
        </w:rPr>
        <w:t>Относимост и въздействие</w:t>
      </w:r>
    </w:p>
    <w:p>
      <w:pPr>
        <w:spacing w:before="100" w:beforeAutospacing="1" w:after="100" w:afterAutospacing="1" w:line="259" w:lineRule="auto"/>
        <w:rPr>
          <w:rFonts w:eastAsia="Times New Roman"/>
          <w:noProof/>
          <w:szCs w:val="24"/>
        </w:rPr>
      </w:pPr>
      <w:r>
        <w:rPr>
          <w:noProof/>
        </w:rPr>
        <w:t>Със своя цялостен и интегриран подход една ОЗИ на EIT в областта на КТИ ще спомогне за преодоляване на всички предизвикателства, определени по-горе. Обхващайки почти всички сектори на живота, обществото и икономиката ни, тази ОЗИ ще бъде особено релевантна от гледна точка на оказваното икономическо и обществено въздействие и ще отключи стратегически възможности за икономически, технологични и социални иновации.</w:t>
      </w:r>
    </w:p>
    <w:p>
      <w:pPr>
        <w:spacing w:before="100" w:beforeAutospacing="1" w:after="100" w:afterAutospacing="1" w:line="259" w:lineRule="auto"/>
        <w:rPr>
          <w:rFonts w:eastAsia="Times New Roman"/>
          <w:noProof/>
          <w:spacing w:val="-4"/>
          <w:szCs w:val="24"/>
        </w:rPr>
      </w:pPr>
      <w:r>
        <w:rPr>
          <w:noProof/>
          <w:spacing w:val="-4"/>
        </w:rPr>
        <w:t>Иновациите, основаващи се на културата и движени от творческия стремеж, стимулират европейската конкурентоспособност, било пряко – чрез създаването на нови предприятия и работни места, било косвено – като водят до междусекторни ползи за икономиката като цяло, подобряват качеството на живота и повишават привлекателността на Европа. Секторът на КТИ се разглежда все повече като нов източник на интелигентен, устойчив и приобщаващ растеж и работни места, като в него вече са заети над 12 милиона души в ЕС, което се равнява на 7,5 % от всички заети лица в Европа.</w:t>
      </w:r>
    </w:p>
    <w:p>
      <w:pPr>
        <w:spacing w:before="100" w:beforeAutospacing="1" w:after="100" w:afterAutospacing="1" w:line="259" w:lineRule="auto"/>
        <w:rPr>
          <w:rFonts w:eastAsia="Times New Roman"/>
          <w:noProof/>
          <w:szCs w:val="24"/>
        </w:rPr>
      </w:pPr>
      <w:r>
        <w:rPr>
          <w:noProof/>
        </w:rPr>
        <w:t>Приносът на културата и творчеството за иновациите не се ограничава само до прякото въздействие на КТИ, тъй като иновациите в глобален план се стимулират във все по-голяма степен от нетехнологични фактори, като креативността, дизайна и новите организационни процеси или бизнес модели. По-специално, КТИ, които имат ясни вериги за създаване на стойност (т.е. музика, дизайн, мода, аудио-визуално съдържание, видеоигри, архитектура и т.н.), разполагат с голям капацитет за иновации от икономическа гледна точка и са в състояние да стимулират иновациите в други сектори на икономиката.</w:t>
      </w:r>
    </w:p>
    <w:p>
      <w:pPr>
        <w:spacing w:before="100" w:beforeAutospacing="1" w:after="100" w:afterAutospacing="1" w:line="259" w:lineRule="auto"/>
        <w:rPr>
          <w:rFonts w:eastAsia="Times New Roman"/>
          <w:noProof/>
          <w:spacing w:val="-4"/>
          <w:szCs w:val="24"/>
        </w:rPr>
      </w:pPr>
      <w:r>
        <w:rPr>
          <w:noProof/>
          <w:spacing w:val="-4"/>
        </w:rPr>
        <w:t>Културата и участието в културни дейности имат пряко отражение върху благосъстоянието на гражданите. КТИ засилват идентичността, демокрацията и участието в общността като обществени ценности. Културата разполага с голям потенциал за засилване на европейското чувство за принадлежност, в рамките на което многообразието е положителна черта. Това е от основно значение за създаването на възможности за изграждане на устойчивост, за социален достъп, сплотяване на обществото, борба с радикализацията и равенство между половете, както и за намиране на решения за преодоляване на политическата несигурност в Европа и необходимостта от единство.</w:t>
      </w:r>
    </w:p>
    <w:p>
      <w:pPr>
        <w:spacing w:before="100" w:beforeAutospacing="1" w:after="100" w:afterAutospacing="1" w:line="259" w:lineRule="auto"/>
        <w:rPr>
          <w:rFonts w:eastAsia="Times New Roman"/>
          <w:noProof/>
          <w:szCs w:val="24"/>
        </w:rPr>
      </w:pPr>
      <w:r>
        <w:rPr>
          <w:noProof/>
        </w:rPr>
        <w:t>Една ОЗИ към EIT, посветена на КТИ, ще благоприятства възможностите за изграждане на мрежи от контакти, за сътрудничество, съвместно творчество и трансфер на ноу-хау между участниците в образованието, научните изследвания и стопанската дейност, както в рамките на секторите на културата и творчеството, така и с други сектори на обществото и икономиката. Тя ще подейства като катализатор отдолу-нагоре и отгоре-надолу за инициативите на регионално, национално и европейско равнище. Такава ОЗИ ще развие необходимите рамкови условия за създаването и разрастването на нови предприятия в иновативни екосистеми. Тя ще осигури на изследователите и учащите в множество дисциплини (включително изкуство, хуманитарни науки, стопанска дейност, социални науки и приложни точни науки), както и на предприемачите от КТИ и от други сектори, познанията и уменията, които са им необходими, за да намират иновативни решения и да ги превръщат в нови бизнес възможности. Тази ОЗИ ще даде възможност за по-нататъшно взаимно обогатяване с други сектори на икономиката и промишлеността, тъй като ще действа като ускорител за иновациите.</w:t>
      </w:r>
    </w:p>
    <w:p>
      <w:pPr>
        <w:pStyle w:val="Point0number"/>
        <w:numPr>
          <w:ilvl w:val="0"/>
          <w:numId w:val="3"/>
        </w:numPr>
        <w:rPr>
          <w:b/>
          <w:noProof/>
          <w:spacing w:val="-4"/>
        </w:rPr>
      </w:pPr>
      <w:r>
        <w:rPr>
          <w:b/>
          <w:noProof/>
          <w:spacing w:val="-4"/>
        </w:rPr>
        <w:t>Полезни взаимодействия и взаимно допълване със съществуващи инициативи</w:t>
      </w:r>
    </w:p>
    <w:p>
      <w:pPr>
        <w:spacing w:before="100" w:beforeAutospacing="1" w:after="100" w:afterAutospacing="1" w:line="259" w:lineRule="auto"/>
        <w:rPr>
          <w:rFonts w:eastAsia="Times New Roman"/>
          <w:noProof/>
          <w:szCs w:val="24"/>
        </w:rPr>
      </w:pPr>
      <w:r>
        <w:rPr>
          <w:noProof/>
        </w:rPr>
        <w:t>Една ОЗИ в областта на КТИ би допълвала редица други инициативи на Съюза, както и инициативи на равнището на държавите членки. Основните очаквани полезни взаимодействия на равнище ЕС са представени по-долу.</w:t>
      </w:r>
    </w:p>
    <w:p>
      <w:pPr>
        <w:spacing w:before="100" w:beforeAutospacing="1" w:after="100" w:afterAutospacing="1" w:line="259" w:lineRule="auto"/>
        <w:rPr>
          <w:rFonts w:eastAsia="Times New Roman"/>
          <w:noProof/>
          <w:szCs w:val="24"/>
        </w:rPr>
      </w:pPr>
      <w:r>
        <w:rPr>
          <w:noProof/>
        </w:rPr>
        <w:t>Очаква се ОЗИ в областта на КТИ да установи солидни полезни взаимодействия със съответните инициативи на политиката по линия на програма „Хоризонт Европа“, и по-специално по линия на стълб II с клъстера [„Приобщаващо и сигурно общество“] и неговите области на интервенция по отношение на културното наследство и демокрацията. Една бъдеща ОЗИ би могла да осигури и ценни хоризонтални данни за различните дейности, които ще бъдат осъществени в клъстер [„Цифрова сфера и промишленост“], особено относно производствените технологии, в които необходимостта от разработване на нови продукти зависи в много голяма степен от КТИ. Освен това тя би могла да допълва ефикасно други части от програма „Хоризонт Европа“, интервенцията от страна на EIT — Цифрови технологии и действията, предвидени по линия на други програми на ЕС, като например InvestEU, „Цифрова Европа“ или фондовете в областта на политиката на сближаване.</w:t>
      </w:r>
    </w:p>
    <w:p>
      <w:pPr>
        <w:spacing w:before="100" w:beforeAutospacing="1" w:after="100" w:afterAutospacing="1" w:line="259" w:lineRule="auto"/>
        <w:rPr>
          <w:rFonts w:eastAsia="Times New Roman"/>
          <w:noProof/>
          <w:szCs w:val="24"/>
        </w:rPr>
      </w:pPr>
      <w:r>
        <w:rPr>
          <w:noProof/>
        </w:rPr>
        <w:t>Новата програма „Творческа Европа“ ще бъде от голямо значение за дейностите на ОЗИ в областта на КТИ. Програмата подбира направления и специални покани, в които са отразени някои от вече споменатите предизвикателства, пред които е изправен секторът (напр. уменията и заетостта на творците, бизнес моделите и т.н.), и следва да се установят солидни полезни взаимодействия и взаимно допълване. Също в рамките на програма „Творческа Европа“ и в контекста на ограничения достъп до финансиране за секторите на културата и творчеството могат да се очакват полезни взаимодействия с Гаранционния механизъм за секторите на културата и творчеството — финансов механизъм за подпомагане на развиването на културни и творчески проекти чрез предоставяне на гаранции на финансовите посредници.</w:t>
      </w:r>
    </w:p>
    <w:p>
      <w:pPr>
        <w:spacing w:before="100" w:beforeAutospacing="1" w:after="100" w:afterAutospacing="1" w:line="259" w:lineRule="auto"/>
        <w:rPr>
          <w:rFonts w:eastAsia="Times New Roman"/>
          <w:noProof/>
          <w:spacing w:val="-4"/>
          <w:szCs w:val="24"/>
        </w:rPr>
      </w:pPr>
      <w:r>
        <w:rPr>
          <w:noProof/>
          <w:spacing w:val="-4"/>
        </w:rPr>
        <w:t>Платформата на стратегията за интелигентна специализация (S3), посветена на модернизирането на промишлеността, е набелязала редица фокусирани върху КТИ стратегии в областта на научните изследвания и иновациите за проучване на нови връзки между местните активи, потенциалните пазари и обществените предизвикателства чрез участието на широк кръг действащи лица от сферата на предприемачеството. По-специално, насърчаването на нови партньорства между научноизследователските организации, предприятията и публичните органи е от основно значение за стратегиите на S3 и изисква да бъдат създадени нови платформи за сътрудничество.</w:t>
      </w:r>
    </w:p>
    <w:p>
      <w:pPr>
        <w:keepNext/>
        <w:spacing w:before="100" w:beforeAutospacing="1" w:after="100" w:afterAutospacing="1" w:line="259" w:lineRule="auto"/>
        <w:rPr>
          <w:b/>
          <w:noProof/>
        </w:rPr>
      </w:pPr>
      <w:r>
        <w:rPr>
          <w:b/>
          <w:noProof/>
        </w:rPr>
        <w:t>Заключение</w:t>
      </w:r>
    </w:p>
    <w:p>
      <w:pPr>
        <w:spacing w:before="100" w:beforeAutospacing="1" w:after="100" w:afterAutospacing="1" w:line="259" w:lineRule="auto"/>
        <w:rPr>
          <w:rFonts w:eastAsia="Times New Roman"/>
          <w:noProof/>
          <w:szCs w:val="24"/>
        </w:rPr>
      </w:pPr>
      <w:r>
        <w:rPr>
          <w:noProof/>
        </w:rPr>
        <w:t>ОЗИ към EIT в областта на КТИ е най-подходящото решение за справяне с основните икономически и обществени предизвикателства, очертани по-горе. Креативността е ключов двигател за иновациите и ОЗИ в областта на КТИ има капацитета да разгърне потенциала на основаната на култура креативност и да спомогне за увеличаване на конкурентоспособността и интелигентния растеж в Европа.</w:t>
      </w:r>
    </w:p>
    <w:tbl>
      <w:tblPr>
        <w:tblStyle w:val="TableGrid"/>
        <w:tblW w:w="0" w:type="auto"/>
        <w:tblLook w:val="04A0" w:firstRow="1" w:lastRow="0" w:firstColumn="1" w:lastColumn="0" w:noHBand="0" w:noVBand="1"/>
      </w:tblPr>
      <w:tblGrid>
        <w:gridCol w:w="8834"/>
      </w:tblGrid>
      <w:tr>
        <w:tc>
          <w:tcPr>
            <w:tcW w:w="8834" w:type="dxa"/>
          </w:tcPr>
          <w:p>
            <w:pPr>
              <w:spacing w:before="100" w:beforeAutospacing="1" w:after="100" w:afterAutospacing="1" w:line="259" w:lineRule="auto"/>
              <w:rPr>
                <w:noProof/>
                <w:szCs w:val="24"/>
              </w:rPr>
            </w:pPr>
            <w:r>
              <w:rPr>
                <w:noProof/>
              </w:rPr>
              <w:t>ОЗИ на EIT в областта на КТИ:</w:t>
            </w:r>
          </w:p>
          <w:p>
            <w:pPr>
              <w:pStyle w:val="ListParagraph"/>
              <w:numPr>
                <w:ilvl w:val="0"/>
                <w:numId w:val="13"/>
              </w:numPr>
              <w:spacing w:before="100" w:beforeAutospacing="1" w:after="100" w:afterAutospacing="1" w:line="259" w:lineRule="auto"/>
              <w:rPr>
                <w:noProof/>
              </w:rPr>
            </w:pPr>
            <w:r>
              <w:rPr>
                <w:noProof/>
              </w:rPr>
              <w:t>ще намали фрагментирането на иновационната среда в секторите на културата и творчеството чрез насърчаване на създаването на екосистеми за иновации, които ще свързват участниците и мрежите от различни сектори и дисциплини на местно, регионално, национално и европейско равнище;</w:t>
            </w:r>
          </w:p>
          <w:p>
            <w:pPr>
              <w:pStyle w:val="ListParagraph"/>
              <w:numPr>
                <w:ilvl w:val="0"/>
                <w:numId w:val="13"/>
              </w:numPr>
              <w:spacing w:before="100" w:beforeAutospacing="1" w:after="100" w:afterAutospacing="1" w:line="259" w:lineRule="auto"/>
              <w:rPr>
                <w:noProof/>
              </w:rPr>
            </w:pPr>
            <w:r>
              <w:rPr>
                <w:noProof/>
              </w:rPr>
              <w:t>ще обучи следващото поколение новатори в секторите на КТИ, като им предостави предприемаческите и техническите умения, необходими за постигането на успех в бързо променящата се среда;</w:t>
            </w:r>
          </w:p>
          <w:p>
            <w:pPr>
              <w:pStyle w:val="ListParagraph"/>
              <w:numPr>
                <w:ilvl w:val="0"/>
                <w:numId w:val="13"/>
              </w:numPr>
              <w:spacing w:before="100" w:beforeAutospacing="1" w:after="100" w:afterAutospacing="1" w:line="259" w:lineRule="auto"/>
              <w:rPr>
                <w:noProof/>
              </w:rPr>
            </w:pPr>
            <w:r>
              <w:rPr>
                <w:noProof/>
              </w:rPr>
              <w:t>ще допринася за развиването на подходящи рамкови условия за превръщането на идеите в нови технологични разработки и социални иновации, които ще подобрят качеството на живота и ще са от полза за гражданите на ЕС;</w:t>
            </w:r>
          </w:p>
          <w:p>
            <w:pPr>
              <w:pStyle w:val="ListParagraph"/>
              <w:numPr>
                <w:ilvl w:val="0"/>
                <w:numId w:val="13"/>
              </w:numPr>
              <w:spacing w:before="100" w:beforeAutospacing="1" w:after="100" w:afterAutospacing="1" w:line="259" w:lineRule="auto"/>
              <w:rPr>
                <w:noProof/>
              </w:rPr>
            </w:pPr>
            <w:r>
              <w:rPr>
                <w:noProof/>
              </w:rPr>
              <w:t>ще насърчава създаването и развитието на нови предприятия в секторите на културата и творчеството като мобилизира инвестиции и поемане на дългосрочни ангажименти от страна на стопанския сектор;</w:t>
            </w:r>
          </w:p>
          <w:p>
            <w:pPr>
              <w:pStyle w:val="ListParagraph"/>
              <w:numPr>
                <w:ilvl w:val="0"/>
                <w:numId w:val="13"/>
              </w:numPr>
              <w:spacing w:before="100" w:beforeAutospacing="1" w:after="100" w:afterAutospacing="1" w:line="259" w:lineRule="auto"/>
              <w:rPr>
                <w:noProof/>
              </w:rPr>
            </w:pPr>
            <w:r>
              <w:rPr>
                <w:noProof/>
              </w:rPr>
              <w:t>ще установява полезни взаимодействия със съществуващите ОЗИ, както и с други европейски партньорства, програми и инициативи, с цел стимулиране на иновациите в други сектори на икономиката извън рамките на културните и творческите индустрии.</w:t>
            </w:r>
          </w:p>
          <w:p>
            <w:pPr>
              <w:pStyle w:val="ListParagraph"/>
              <w:numPr>
                <w:ilvl w:val="0"/>
                <w:numId w:val="13"/>
              </w:numPr>
              <w:spacing w:before="100" w:beforeAutospacing="1" w:after="100" w:afterAutospacing="1" w:line="259" w:lineRule="auto"/>
              <w:rPr>
                <w:noProof/>
              </w:rPr>
            </w:pPr>
            <w:r>
              <w:rPr>
                <w:noProof/>
              </w:rPr>
              <w:t>ще укрепва позицията на ЕС като глобален фактор в областта на КТИ, опирайки се на креативността и културното многообразие на европейците.</w:t>
            </w:r>
          </w:p>
        </w:tc>
      </w:tr>
    </w:tbl>
    <w:p>
      <w:pPr>
        <w:rPr>
          <w:noProof/>
        </w:rPr>
      </w:pPr>
    </w:p>
    <w:sectPr>
      <w:footerReference w:type="default" r:id="rId23"/>
      <w:footerReference w:type="first" r:id="rId2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20" w:hanging="120"/>
      </w:pPr>
      <w:r>
        <w:rPr>
          <w:rStyle w:val="FootnoteReference"/>
        </w:rPr>
        <w:footnoteRef/>
      </w:r>
      <w:r>
        <w:tab/>
      </w:r>
      <w:r>
        <w:rPr>
          <w:sz w:val="16"/>
          <w:szCs w:val="16"/>
        </w:rPr>
        <w:t>Регламент (ЕО) № 294/2008 на Европейския парламент и на Съвета от 11 март 2008 г. за създаване на Европейски институт за иновации и технологии (ОВ L 97, 9.4.2008 г., стр. 1). Изменен с Регламент (ЕС) № 1292/2013 на Европейския парламент и на Съвета от 11 декември 2013 г. (ОВ L 347, 11.12.2013 г., стр. 174).</w:t>
      </w:r>
    </w:p>
  </w:footnote>
  <w:footnote w:id="3">
    <w:p>
      <w:pPr>
        <w:pStyle w:val="FootnoteText"/>
        <w:ind w:left="142" w:hanging="142"/>
      </w:pPr>
      <w:r>
        <w:rPr>
          <w:rStyle w:val="FootnoteReference"/>
        </w:rPr>
        <w:footnoteRef/>
      </w:r>
      <w:r>
        <w:tab/>
      </w:r>
      <w:r>
        <w:rPr>
          <w:sz w:val="16"/>
          <w:szCs w:val="16"/>
        </w:rPr>
        <w:t>„Център за съвместно ползване“ е географска зона, където основните партньори по триъгълника на знанието от съответната ОЗИ са установени и могат лесно да си взаимодействат, като той представлява централната точка за дейността на ОЗИ в тази зона.</w:t>
      </w:r>
    </w:p>
  </w:footnote>
  <w:footnote w:id="4">
    <w:p>
      <w:pPr>
        <w:pStyle w:val="FootnoteText"/>
        <w:ind w:left="120" w:hanging="120"/>
      </w:pPr>
      <w:r>
        <w:rPr>
          <w:rStyle w:val="FootnoteReference"/>
        </w:rPr>
        <w:footnoteRef/>
      </w:r>
      <w:r>
        <w:tab/>
      </w:r>
      <w:r>
        <w:rPr>
          <w:sz w:val="16"/>
          <w:szCs w:val="16"/>
        </w:rPr>
        <w:t>„Обозначението EIT“ е знак за качество, присъждан от EIT на образователни програми на ОЗИ, които отговарят на определени критерии за качество, свързани наред с другото с образованието в областта на предприемачеството и иновативните учебни програми за „учене чрез практика“.</w:t>
      </w:r>
    </w:p>
  </w:footnote>
  <w:footnote w:id="5">
    <w:p>
      <w:pPr>
        <w:pStyle w:val="FootnoteText"/>
        <w:ind w:left="120" w:hanging="120"/>
      </w:pPr>
      <w:r>
        <w:rPr>
          <w:rStyle w:val="FootnoteReference"/>
        </w:rPr>
        <w:footnoteRef/>
      </w:r>
      <w:r>
        <w:tab/>
        <w:t>HEInnovate е политическа рамка, разработена от Европейската комисия и ОИСР. HEInnovate предлага на висшите учебни заведения методология, позволяваща им да определят областите, в които капацитетът за иновации може да бъде доразвит, и да формулират подходящи стратегии и действия, за да постигнат желаното въздействие. HEInnovate почива на солидни методологични данни с осем области за изграждане на капацитет: ръководство и управление; цифрова трансформация; организационен капацитет; преподаване и обучение по предприемачество; подготовка и подпомагане на предприемачи; обмен на знания; интернационализация и измерване на въздействието. ОИСР е публикувала редица доклади по държави, опиращи се на HEInnovate, вж. поредицата проучвания на ОИСР, посветени на уменията, на адрес: https://www.oecd-ilibrary.org/education/</w:t>
      </w:r>
    </w:p>
  </w:footnote>
  <w:footnote w:id="6">
    <w:p>
      <w:pPr>
        <w:pStyle w:val="FootnoteText"/>
        <w:ind w:left="0" w:firstLine="0"/>
        <w:jc w:val="left"/>
      </w:pPr>
      <w:r>
        <w:rPr>
          <w:rStyle w:val="FootnoteReference"/>
        </w:rPr>
        <w:footnoteRef/>
      </w:r>
      <w:r>
        <w:tab/>
      </w:r>
      <w:r>
        <w:rPr>
          <w:u w:val="single"/>
        </w:rPr>
        <w:t>Рамката за оценяване на въздействието върху иновациите на регионално равнище</w:t>
      </w:r>
      <w:r>
        <w:t xml:space="preserve"> (</w:t>
      </w:r>
      <w:r>
        <w:rPr>
          <w:i/>
        </w:rPr>
        <w:t>Regional Innovation Impact Assessment framework</w:t>
      </w:r>
      <w:r>
        <w:t xml:space="preserve"> — RIIA) беше разработена от Европейската комисия като първа стъпка за даване на насоки във връзка с оценяването на въздействието на университетите върху иновациите чрез разработването на практически казуси, почиващи на метрически данни. Оценката на въздействието върху иновациите, напр. чрез RIIA, би могла евентуално да бъде обвързана с инструменти за финансиране на регионално, национално или европейско равнище, които се базират на постигнатите резултати в областта на иновациите. </w:t>
      </w:r>
    </w:p>
  </w:footnote>
  <w:footnote w:id="7">
    <w:p>
      <w:pPr>
        <w:pStyle w:val="FootnoteText"/>
        <w:ind w:left="120" w:hanging="120"/>
      </w:pPr>
      <w:r>
        <w:rPr>
          <w:rStyle w:val="FootnoteReference"/>
        </w:rPr>
        <w:footnoteRef/>
      </w:r>
      <w:r>
        <w:tab/>
        <w:t>Общността на бившите възпитаници на EIT обединява предприемачи и лица, носители на промяната, които са участвали в образователна програма или програма в сферата на предприемачеството, осигурена от ОЗИ. Общността представлява мрежа от над 5000 членове.</w:t>
      </w:r>
    </w:p>
  </w:footnote>
  <w:footnote w:id="8">
    <w:p>
      <w:pPr>
        <w:pStyle w:val="FootnoteText"/>
        <w:ind w:left="120" w:hanging="120"/>
      </w:pPr>
      <w:r>
        <w:rPr>
          <w:rStyle w:val="FootnoteReference"/>
        </w:rPr>
        <w:footnoteRef/>
      </w:r>
      <w:r>
        <w:tab/>
        <w:t xml:space="preserve">По-специално годишното докладване относно допълнителните дейности на ОЗИ ще бъде преустановено, както се препоръчва от Сметната палата в нейния Специален доклад от 2016 г. (Препоръка 1, стр. 51). </w:t>
      </w:r>
    </w:p>
  </w:footnote>
  <w:footnote w:id="9">
    <w:p>
      <w:pPr>
        <w:pStyle w:val="FootnoteText"/>
        <w:ind w:left="120" w:hanging="120"/>
        <w:rPr>
          <w:sz w:val="16"/>
          <w:szCs w:val="16"/>
        </w:rPr>
      </w:pPr>
      <w:r>
        <w:rPr>
          <w:rStyle w:val="FootnoteReference"/>
        </w:rPr>
        <w:footnoteRef/>
      </w:r>
      <w:r>
        <w:rPr>
          <w:sz w:val="16"/>
          <w:szCs w:val="16"/>
        </w:rPr>
        <w:tab/>
      </w:r>
      <w:r>
        <w:rPr>
          <w:color w:val="000000" w:themeColor="text1"/>
          <w:sz w:val="16"/>
          <w:szCs w:val="16"/>
        </w:rPr>
        <w:t>Културните и творческите специалности в европейските университети са фокусирани главно върху „творческата част“ и завършващите висшисти не винаги са готови да навлязат на съвременния пазар на труда, тъй като им липсват междусекторни умения (в областта на предприемачеството, цифровите технологии, финансовото управление). Що се отнася до ВУЗ-овете, по отношение на образованието в сферата на комуникациите и медиите ЕС изостава от САЩ (докато университетите в ЕС имат по-добри резултати в по-традиционни дисциплини, като „Изкуство и дизайн“ или „Сценични изкуства“).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64A2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9816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E5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5CA3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0CBF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C43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E48BEC"/>
    <w:lvl w:ilvl="0">
      <w:start w:val="1"/>
      <w:numFmt w:val="decimal"/>
      <w:pStyle w:val="ListNumber"/>
      <w:lvlText w:val="%1."/>
      <w:lvlJc w:val="left"/>
      <w:pPr>
        <w:tabs>
          <w:tab w:val="num" w:pos="360"/>
        </w:tabs>
        <w:ind w:left="360" w:hanging="360"/>
      </w:pPr>
    </w:lvl>
  </w:abstractNum>
  <w:abstractNum w:abstractNumId="7">
    <w:nsid w:val="FFFFFF89"/>
    <w:multiLevelType w:val="singleLevel"/>
    <w:tmpl w:val="7CCAD7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D4B2A4B"/>
    <w:multiLevelType w:val="hybridMultilevel"/>
    <w:tmpl w:val="FDEE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867467"/>
    <w:multiLevelType w:val="hybridMultilevel"/>
    <w:tmpl w:val="B6A439D6"/>
    <w:name w:val="Point22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FAC3E57"/>
    <w:multiLevelType w:val="singleLevel"/>
    <w:tmpl w:val="1FAC3E57"/>
    <w:lvl w:ilvl="0">
      <w:start w:val="1"/>
      <w:numFmt w:val="bullet"/>
      <w:pStyle w:val="NormalWeb"/>
      <w:lvlText w:val=""/>
      <w:lvlJc w:val="left"/>
      <w:pPr>
        <w:tabs>
          <w:tab w:val="left" w:pos="765"/>
        </w:tabs>
        <w:ind w:left="765" w:hanging="283"/>
      </w:pPr>
      <w:rPr>
        <w:rFonts w:ascii="Symbol" w:hAnsi="Symbol"/>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E930265"/>
    <w:multiLevelType w:val="multilevel"/>
    <w:tmpl w:val="2E930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B34DA"/>
    <w:multiLevelType w:val="hybridMultilevel"/>
    <w:tmpl w:val="955420E4"/>
    <w:name w:val="Poin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83F1905"/>
    <w:multiLevelType w:val="hybridMultilevel"/>
    <w:tmpl w:val="2CA2B8D2"/>
    <w:name w:val="Poin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F8A1FAD"/>
    <w:multiLevelType w:val="hybridMultilevel"/>
    <w:tmpl w:val="DC5E98AA"/>
    <w:name w:val="Point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F158E7"/>
    <w:multiLevelType w:val="hybridMultilevel"/>
    <w:tmpl w:val="A5D2EC14"/>
    <w:name w:val="Point2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5FB3D17"/>
    <w:multiLevelType w:val="hybridMultilevel"/>
    <w:tmpl w:val="C338D1F4"/>
    <w:name w:val="Poin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6"/>
  </w:num>
  <w:num w:numId="11">
    <w:abstractNumId w:val="22"/>
  </w:num>
  <w:num w:numId="12">
    <w:abstractNumId w:val="9"/>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27"/>
  </w:num>
  <w:num w:numId="24">
    <w:abstractNumId w:val="18"/>
  </w:num>
  <w:num w:numId="25">
    <w:abstractNumId w:val="29"/>
  </w:num>
  <w:num w:numId="26">
    <w:abstractNumId w:val="14"/>
  </w:num>
  <w:num w:numId="27">
    <w:abstractNumId w:val="19"/>
  </w:num>
  <w:num w:numId="28">
    <w:abstractNumId w:val="12"/>
  </w:num>
  <w:num w:numId="29">
    <w:abstractNumId w:val="28"/>
  </w:num>
  <w:num w:numId="30">
    <w:abstractNumId w:val="10"/>
  </w:num>
  <w:num w:numId="31">
    <w:abstractNumId w:val="20"/>
  </w:num>
  <w:num w:numId="32">
    <w:abstractNumId w:val="25"/>
  </w:num>
  <w:num w:numId="33">
    <w:abstractNumId w:val="26"/>
  </w:num>
  <w:num w:numId="34">
    <w:abstractNumId w:val="13"/>
  </w:num>
  <w:num w:numId="35">
    <w:abstractNumId w:val="23"/>
  </w:num>
  <w:num w:numId="36">
    <w:abstractNumId w:val="30"/>
  </w:num>
  <w:num w:numId="37">
    <w:abstractNumId w:val="27"/>
  </w:num>
  <w:num w:numId="38">
    <w:abstractNumId w:val="18"/>
  </w:num>
  <w:num w:numId="39">
    <w:abstractNumId w:val="29"/>
  </w:num>
  <w:num w:numId="40">
    <w:abstractNumId w:val="14"/>
  </w:num>
  <w:num w:numId="41">
    <w:abstractNumId w:val="19"/>
  </w:num>
  <w:num w:numId="42">
    <w:abstractNumId w:val="12"/>
  </w:num>
  <w:num w:numId="43">
    <w:abstractNumId w:val="28"/>
  </w:num>
  <w:num w:numId="44">
    <w:abstractNumId w:val="10"/>
  </w:num>
  <w:num w:numId="45">
    <w:abstractNumId w:val="20"/>
  </w:num>
  <w:num w:numId="46">
    <w:abstractNumId w:val="25"/>
  </w:num>
  <w:num w:numId="47">
    <w:abstractNumId w:val="26"/>
  </w:num>
  <w:num w:numId="48">
    <w:abstractNumId w:val="13"/>
  </w:num>
  <w:num w:numId="49">
    <w:abstractNumId w:val="23"/>
  </w:num>
  <w:num w:numId="5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0 13:14: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53AA4F4-3382-4EEA-BC42-3D9F5E26B008"/>
    <w:docVar w:name="LW_COVERPAGE_TYPE" w:val="1"/>
    <w:docVar w:name="LW_CROSSREFERENCE" w:val="{SEC(2019) 275 final} - {SWD(2019) 330 final} - {SWD(2019) 331 final}"/>
    <w:docVar w:name="LW_DocType" w:val="ANNEX"/>
    <w:docVar w:name="LW_EMISSION" w:val="11.7.2019"/>
    <w:docVar w:name="LW_EMISSION_ISODATE" w:val="2019-07-1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57?\u1090?\u1088?\u1072?\u1090?\u1077?\u1075?\u1080?\u1095?\u1077?\u1089?\u1082?\u1072?\u1090?\u1072? \u1080?\u1085?\u1086?\u1074?\u1072?\u1094?\u1080?\u1086?\u1085?\u1085?\u1072? \u1087?\u1088?\u1086?\u1075?\u1088?\u1072?\u1084?\u1072? \u1085?\u1072? \u1045?\u1074?\u1088?\u1086?\u1087?\u1077?\u1081?\u1089?\u1082?\u1080?\u1103? \u1080?\u1085?\u1089?\u1090?\u1080?\u1090?\u1091?\u1090? _x000b_\u1079?\u1072? \u1080?\u1085?\u1086?\u1074?\u1072?\u1094?\u1080?\u1080? \u1080? \u1090?\u1077?\u1093?\u1085?\u1086?\u1083?\u1086?\u1075?\u1080?\u1080? (EIT) \u1079?\u1072? \u1087?\u1077?\u1088?\u1080?\u1086?\u1076?\u1072? 2021\u8212?2027 \u1075?.: _x000b_\u1089?\u1090?\u1080?\u1084?\u1091?\u1083?\u1080?\u1088?\u1072?\u1085?\u1077? \u1085?\u1072? \u1090?\u1072?\u1083?\u1072?\u1085?\u1090?\u1072? \u1080? \u1082?\u1072?\u1087?\u1072?\u1094?\u1080?\u1090?\u1077?\u1090?\u1072? \u1085?\u1072? \u1045?\u1074?\u1088?\u1086?\u1087?\u1072? \u1079?\u1072? \u1080?\u1085?\u1086?\u1074?\u1072?\u1094?\u1080?\u1080?"/>
    <w:docVar w:name="LW_OBJETACTEPRINCIPAL.CP" w:val="\u1086?\u1090?\u1085?\u1086?\u1089?\u1085?\u1086? \u1057?\u1090?\u1088?\u1072?\u1090?\u1077?\u1075?\u1080?\u1095?\u1077?\u1089?\u1082?\u1072?\u1090?\u1072? \u1080?\u1085?\u1086?\u1074?\u1072?\u1094?\u1080?\u1086?\u1085?\u1085?\u1072? \u1087?\u1088?\u1086?\u1075?\u1088?\u1072?\u1084?\u1072? \u1085?\u1072? \u1045?\u1074?\u1088?\u1086?\u1087?\u1077?\u1081?\u1089?\u1082?\u1080?\u1103? \u1080?\u1085?\u1089?\u1090?\u1080?\u1090?\u1091?\u1090? _x000b_\u1079?\u1072? \u1080?\u1085?\u1086?\u1074?\u1072?\u1094?\u1080?\u1080? \u1080? \u1090?\u1077?\u1093?\u1085?\u1086?\u1083?\u1086?\u1075?\u1080?\u1080? (EIT) \u1079?\u1072? \u1087?\u1077?\u1088?\u1080?\u1086?\u1076?\u1072? 2021\u8212?2027 \u1075?.: _x000b_\u1089?\u1090?\u1080?\u1084?\u1091?\u1083?\u1080?\u1088?\u1072?\u1085?\u1077? \u1085?\u1072? \u1090?\u1072?\u1083?\u1072?\u1085?\u1090?\u1072? \u1080? \u1082?\u1072?\u1087?\u1072?\u1094?\u1080?\u1090?\u1077?\u1090?\u1072? \u1085?\u1072? \u1045?\u1074?\u1088?\u1086?\u1087?\u1072? \u1079?\u1072? \u1080?\u1085?\u1086?\u1074?\u1072?\u1094?\u1080?\u1080?"/>
    <w:docVar w:name="LW_PART_NBR" w:val="1"/>
    <w:docVar w:name="LW_PART_NBR_TOTAL" w:val="1"/>
    <w:docVar w:name="LW_REF.INST.NEW" w:val="COM"/>
    <w:docVar w:name="LW_REF.INST.NEW_ADOPTED" w:val="final"/>
    <w:docVar w:name="LW_REF.INST.NEW_TEXT" w:val="(2019) 3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96?\u1077?\u1085?\u1080?\u1077?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EY,List Paragraph1,Gaia List Paragraph,Paragraphe de liste 2,Reference list,Normal bullet 2,Numbered List,1st level - Bullet List Paragraph,Lettre d'introduction,Paragrafo elenco,Paragraph,List Paragraph11,Normal bullet 21,Nad"/>
    <w:basedOn w:val="Normal"/>
    <w:link w:val="ListParagraphChar"/>
    <w:uiPriority w:val="34"/>
    <w:qFormat/>
    <w:pPr>
      <w:ind w:left="720"/>
      <w:contextualSpacing/>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table" w:styleId="TableGrid">
    <w:name w:val="Table Grid"/>
    <w:basedOn w:val="TableNormal"/>
    <w:uiPriority w:val="59"/>
    <w:qFormat/>
    <w:pPr>
      <w:spacing w:after="160" w:line="259"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ListParagraphChar">
    <w:name w:val="List Paragraph Char"/>
    <w:aliases w:val="Bullet EY Char,List Paragraph1 Char,Gaia List Paragraph Char,Paragraphe de liste 2 Char,Reference list Char,Normal bullet 2 Char,Numbered List Char,1st level - Bullet List Paragraph Char,Lettre d'introduction Char,Paragraph Char"/>
    <w:basedOn w:val="DefaultParagraphFont"/>
    <w:link w:val="ListParagraph"/>
    <w:uiPriority w:val="99"/>
    <w:qFormat/>
    <w:locked/>
    <w:rPr>
      <w:rFonts w:ascii="Times New Roman" w:hAnsi="Times New Roman" w:cs="Times New Roman"/>
      <w:sz w:val="24"/>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rmalWeb">
    <w:name w:val="Normal (Web)"/>
    <w:basedOn w:val="Normal"/>
    <w:uiPriority w:val="99"/>
    <w:unhideWhenUsed/>
    <w:pPr>
      <w:numPr>
        <w:numId w:val="8"/>
      </w:numPr>
      <w:tabs>
        <w:tab w:val="clear" w:pos="765"/>
      </w:tabs>
      <w:spacing w:before="0" w:after="160" w:line="259" w:lineRule="auto"/>
      <w:ind w:left="0" w:firstLine="0"/>
      <w:jc w:val="left"/>
    </w:pPr>
    <w:rPr>
      <w:szCs w:val="24"/>
      <w:lang w:eastAsia="en-GB"/>
    </w:rPr>
  </w:style>
  <w:style w:type="table" w:customStyle="1" w:styleId="GridTable1Light-Accent11">
    <w:name w:val="Grid Table 1 Light - Accent 11"/>
    <w:basedOn w:val="TableNormal"/>
    <w:uiPriority w:val="46"/>
    <w:pPr>
      <w:spacing w:after="160" w:line="259" w:lineRule="auto"/>
    </w:pPr>
    <w:rPr>
      <w:sz w:val="20"/>
      <w:szCs w:val="20"/>
      <w:lang w:val="en-GB" w:eastAsia="en-GB"/>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EY,List Paragraph1,Gaia List Paragraph,Paragraphe de liste 2,Reference list,Normal bullet 2,Numbered List,1st level - Bullet List Paragraph,Lettre d'introduction,Paragrafo elenco,Paragraph,List Paragraph11,Normal bullet 21,Nad"/>
    <w:basedOn w:val="Normal"/>
    <w:link w:val="ListParagraphChar"/>
    <w:uiPriority w:val="34"/>
    <w:qFormat/>
    <w:pPr>
      <w:ind w:left="720"/>
      <w:contextualSpacing/>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table" w:styleId="TableGrid">
    <w:name w:val="Table Grid"/>
    <w:basedOn w:val="TableNormal"/>
    <w:uiPriority w:val="59"/>
    <w:qFormat/>
    <w:pPr>
      <w:spacing w:after="160" w:line="259"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ListParagraphChar">
    <w:name w:val="List Paragraph Char"/>
    <w:aliases w:val="Bullet EY Char,List Paragraph1 Char,Gaia List Paragraph Char,Paragraphe de liste 2 Char,Reference list Char,Normal bullet 2 Char,Numbered List Char,1st level - Bullet List Paragraph Char,Lettre d'introduction Char,Paragraph Char"/>
    <w:basedOn w:val="DefaultParagraphFont"/>
    <w:link w:val="ListParagraph"/>
    <w:uiPriority w:val="99"/>
    <w:qFormat/>
    <w:locked/>
    <w:rPr>
      <w:rFonts w:ascii="Times New Roman" w:hAnsi="Times New Roman" w:cs="Times New Roman"/>
      <w:sz w:val="24"/>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rmalWeb">
    <w:name w:val="Normal (Web)"/>
    <w:basedOn w:val="Normal"/>
    <w:uiPriority w:val="99"/>
    <w:unhideWhenUsed/>
    <w:pPr>
      <w:numPr>
        <w:numId w:val="8"/>
      </w:numPr>
      <w:tabs>
        <w:tab w:val="clear" w:pos="765"/>
      </w:tabs>
      <w:spacing w:before="0" w:after="160" w:line="259" w:lineRule="auto"/>
      <w:ind w:left="0" w:firstLine="0"/>
      <w:jc w:val="left"/>
    </w:pPr>
    <w:rPr>
      <w:szCs w:val="24"/>
      <w:lang w:eastAsia="en-GB"/>
    </w:rPr>
  </w:style>
  <w:style w:type="table" w:customStyle="1" w:styleId="GridTable1Light-Accent11">
    <w:name w:val="Grid Table 1 Light - Accent 11"/>
    <w:basedOn w:val="TableNormal"/>
    <w:uiPriority w:val="46"/>
    <w:pPr>
      <w:spacing w:after="160" w:line="259" w:lineRule="auto"/>
    </w:pPr>
    <w:rPr>
      <w:sz w:val="20"/>
      <w:szCs w:val="20"/>
      <w:lang w:val="en-GB" w:eastAsia="en-GB"/>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bg-BG"/>
              <a:t>Бюджет</a:t>
            </a:r>
            <a:r>
              <a:rPr lang="bg-BG" baseline="0"/>
              <a:t> на </a:t>
            </a:r>
            <a:r>
              <a:rPr lang="en-US"/>
              <a:t>EIT </a:t>
            </a:r>
            <a:r>
              <a:rPr lang="bg-BG"/>
              <a:t>за периода</a:t>
            </a:r>
            <a:r>
              <a:rPr lang="en-US"/>
              <a:t> 2021-2027</a:t>
            </a:r>
            <a:r>
              <a:rPr lang="bg-BG"/>
              <a:t>г.</a:t>
            </a:r>
            <a:r>
              <a:rPr lang="en-US"/>
              <a:t>, </a:t>
            </a:r>
            <a:r>
              <a:rPr lang="bg-BG"/>
              <a:t>милиона евро</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Бюджет на EIT</c:v>
                </c:pt>
              </c:strCache>
            </c:strRef>
          </c:tx>
          <c:spPr>
            <a:gradFill>
              <a:gsLst>
                <a:gs pos="100000">
                  <a:schemeClr val="accent1">
                    <a:lumMod val="60000"/>
                    <a:lumOff val="40000"/>
                  </a:schemeClr>
                </a:gs>
                <a:gs pos="0">
                  <a:schemeClr val="accent1"/>
                </a:gs>
              </a:gsLst>
              <a:lin ang="5400000" scaled="0"/>
            </a:gradFill>
            <a:ln w="19050">
              <a:solidFill>
                <a:schemeClr val="lt1"/>
              </a:solidFill>
            </a:ln>
            <a:effectLst/>
          </c:spPr>
          <c:invertIfNegative val="0"/>
          <c:cat>
            <c:strRef>
              <c:f>Sheet1!$A$2:$A$5</c:f>
              <c:strCache>
                <c:ptCount val="4"/>
                <c:pt idx="0">
                  <c:v>Подкрепа за общностите за знания и иновации</c:v>
                </c:pt>
                <c:pt idx="1">
                  <c:v>Регионална иновационна схема на EIT</c:v>
                </c:pt>
                <c:pt idx="2">
                  <c:v>Ново действие в подкрепа на развиването на предприемаческия и иновационния капацитет във ВУЗ</c:v>
                </c:pt>
                <c:pt idx="3">
                  <c:v>Бюджет за административни разходи на EIT</c:v>
                </c:pt>
              </c:strCache>
            </c:strRef>
          </c:cat>
          <c:val>
            <c:numRef>
              <c:f>Sheet1!$B$2:$B$5</c:f>
              <c:numCache>
                <c:formatCode>0%</c:formatCode>
                <c:ptCount val="4"/>
                <c:pt idx="0">
                  <c:v>0.76</c:v>
                </c:pt>
                <c:pt idx="1">
                  <c:v>7.0000000000000007E-2</c:v>
                </c:pt>
                <c:pt idx="2">
                  <c:v>0.14000000000000001</c:v>
                </c:pt>
                <c:pt idx="3">
                  <c:v>0.03</c:v>
                </c:pt>
              </c:numCache>
            </c:numRef>
          </c:val>
          <c:extLst xmlns:c16r2="http://schemas.microsoft.com/office/drawing/2015/06/chart">
            <c:ext xmlns:c16="http://schemas.microsoft.com/office/drawing/2014/chart" uri="{C3380CC4-5D6E-409C-BE32-E72D297353CC}">
              <c16:uniqueId val="{00000000-4516-4A74-B947-662106F8B0A7}"/>
            </c:ext>
          </c:extLst>
        </c:ser>
        <c:dLbls>
          <c:showLegendKey val="0"/>
          <c:showVal val="0"/>
          <c:showCatName val="0"/>
          <c:showSerName val="0"/>
          <c:showPercent val="0"/>
          <c:showBubbleSize val="0"/>
        </c:dLbls>
        <c:gapWidth val="150"/>
        <c:axId val="52504064"/>
        <c:axId val="52502528"/>
      </c:barChart>
      <c:valAx>
        <c:axId val="52502528"/>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2504064"/>
        <c:crosses val="autoZero"/>
        <c:crossBetween val="between"/>
      </c:valAx>
      <c:catAx>
        <c:axId val="5250406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2502528"/>
        <c:crosses val="autoZero"/>
        <c:auto val="1"/>
        <c:lblAlgn val="ctr"/>
        <c:lblOffset val="100"/>
        <c:noMultiLvlLbl val="0"/>
      </c:catAx>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9a48bd3-01e5-4b0a-ab1b-5f44f21a8f26">EN</EC_Collab_DocumentLanguage>
    <EC_Collab_Reference xmlns="19a48bd3-01e5-4b0a-ab1b-5f44f21a8f26" xsi:nil="true"/>
    <EC_Collab_Status xmlns="19a48bd3-01e5-4b0a-ab1b-5f44f21a8f2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A1ACB337097EF419828F048E067D9D0" ma:contentTypeVersion="8" ma:contentTypeDescription="Create a new document in this library." ma:contentTypeScope="" ma:versionID="913699de4daf75befea73083541c3fb8">
  <xsd:schema xmlns:xsd="http://www.w3.org/2001/XMLSchema" xmlns:xs="http://www.w3.org/2001/XMLSchema" xmlns:p="http://schemas.microsoft.com/office/2006/metadata/properties" xmlns:ns3="19a48bd3-01e5-4b0a-ab1b-5f44f21a8f26" targetNamespace="http://schemas.microsoft.com/office/2006/metadata/properties" ma:root="true" ma:fieldsID="86ea05015fc907d0770a3dd85998b828" ns3:_="">
    <xsd:import namespace="19a48bd3-01e5-4b0a-ab1b-5f44f21a8f2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8bd3-01e5-4b0a-ab1b-5f44f21a8f2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4A0432-BD56-476B-A74A-DC5B23758899}">
  <ds:schemaRefs>
    <ds:schemaRef ds:uri="http://schemas.microsoft.com/sharepoint/v3/contenttype/forms"/>
  </ds:schemaRefs>
</ds:datastoreItem>
</file>

<file path=customXml/itemProps2.xml><?xml version="1.0" encoding="utf-8"?>
<ds:datastoreItem xmlns:ds="http://schemas.openxmlformats.org/officeDocument/2006/customXml" ds:itemID="{78EA2895-4AAA-49D7-B525-0F86AE2AB4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a48bd3-01e5-4b0a-ab1b-5f44f21a8f26"/>
    <ds:schemaRef ds:uri="http://www.w3.org/XML/1998/namespace"/>
    <ds:schemaRef ds:uri="http://purl.org/dc/dcmitype/"/>
  </ds:schemaRefs>
</ds:datastoreItem>
</file>

<file path=customXml/itemProps3.xml><?xml version="1.0" encoding="utf-8"?>
<ds:datastoreItem xmlns:ds="http://schemas.openxmlformats.org/officeDocument/2006/customXml" ds:itemID="{7C514C36-0782-4671-B223-8DCDD180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8bd3-01e5-4b0a-ab1b-5f44f21a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2D4D3-AD2C-4985-9A8C-881E803E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32</Pages>
  <Words>11914</Words>
  <Characters>69940</Characters>
  <Application>Microsoft Office Word</Application>
  <DocSecurity>0</DocSecurity>
  <Lines>1248</Lines>
  <Paragraphs>341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WES PDFC Administrator</cp:lastModifiedBy>
  <cp:revision>9</cp:revision>
  <dcterms:created xsi:type="dcterms:W3CDTF">2019-07-08T09:51:00Z</dcterms:created>
  <dcterms:modified xsi:type="dcterms:W3CDTF">2019-07-10T11:14:00Z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0x010100258AA79CEB83498886A3A08681123250006A1ACB337097EF419828F048E067D9D0</vt:lpwstr>
  </property>
  <property fmtid="{D5CDD505-2E9C-101B-9397-08002B2CF9AE}" pid="14" name="DQCStatus">
    <vt:lpwstr>Green (DQC version 03)</vt:lpwstr>
  </property>
</Properties>
</file>