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490ACCA-F38D-49C0-8DF2-EC64B73108B6" style="width:450.75pt;height:422.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Европейският институт за иновации и технологии (EIT) бе създаден през 2008 г. с Регламент (ЕО) № 294/2008</w:t>
      </w:r>
      <w:r>
        <w:rPr>
          <w:rStyle w:val="FootnoteReference"/>
          <w:noProof/>
        </w:rPr>
        <w:footnoteReference w:id="1"/>
      </w:r>
      <w:r>
        <w:rPr>
          <w:noProof/>
        </w:rPr>
        <w:t>. Неговата цел е да отговори на големите обществени предизвикателства чрез подобряване на иновационния капацитет и резултати на ЕС посредством интегрирането на триъгълника на знанието — образование, научни изследвания и иновации. EIT постига тези цели основно чрез своите общности на знание и иновации (ОЗИ).</w:t>
      </w:r>
    </w:p>
    <w:p>
      <w:pPr>
        <w:rPr>
          <w:noProof/>
        </w:rPr>
      </w:pPr>
      <w:r>
        <w:rPr>
          <w:noProof/>
        </w:rPr>
        <w:t>За периода 2021—2027 г. програма „Хоризонт Европа“ ще бъде програмата на Съюза за финансиране на EIT. EIT е неразделна част от предложението на Комисията за създаване на „Хоризонт Европа“</w:t>
      </w:r>
      <w:r>
        <w:rPr>
          <w:rStyle w:val="FootnoteReference"/>
          <w:noProof/>
        </w:rPr>
        <w:footnoteReference w:id="2"/>
      </w:r>
      <w:r>
        <w:rPr>
          <w:noProof/>
        </w:rPr>
        <w:t xml:space="preserve"> и един от трите компонента на нейния стълб „Иновативна Европа“. В предложението за „Хоризонт Европа“ се определя бюджетът на EIT за следващата МФР, както и неговата обосновка, добавена стойност, области на интервенция и общи направления на дейност. В предложението за „Хоризонт Европа“ обаче не се дава правно основание за продължаване на операциите на EIT, считано от 2021 г. Правното основание за EIT остава Регламентът за EIT, в който се определя неговата мисия, неговите основни задачи и рамката за неговото функциониране.</w:t>
      </w:r>
    </w:p>
    <w:p>
      <w:pPr>
        <w:pBdr>
          <w:top w:val="nil"/>
          <w:left w:val="nil"/>
          <w:bottom w:val="nil"/>
          <w:right w:val="nil"/>
          <w:between w:val="nil"/>
          <w:bar w:val="nil"/>
        </w:pBdr>
        <w:spacing w:before="0" w:after="240"/>
        <w:rPr>
          <w:noProof/>
        </w:rPr>
      </w:pPr>
      <w:r>
        <w:rPr>
          <w:noProof/>
        </w:rPr>
        <w:t>Освен това в член 17 от Регламента за EIT се изисква на всеки седем години Комисията да представя на Европейския парламент и на Съвета предложение за стратегическа иновационна програма (СИП), която определя приоритетните области, дългосрочната стратегия и финансовите потребности на EIT. Следователно СИП трябва да бъде в съответствие с приложимата Рамкова програма за научни изследвания и иновации</w:t>
      </w:r>
      <w:r>
        <w:rPr>
          <w:rStyle w:val="FootnoteReference"/>
          <w:noProof/>
        </w:rPr>
        <w:footnoteReference w:id="3"/>
      </w:r>
      <w:r>
        <w:rPr>
          <w:noProof/>
        </w:rPr>
        <w:t>. За периода 2021—2027 г. СИП следва да гарантира съгласуваност с целите на „Хоризонт Европа“, както и със стратегическото многогодишно планиране, наблюдение и други изисквания на тази програма, а също и да насърчава полезните взаимодействия с други съответни програми.</w:t>
      </w:r>
    </w:p>
    <w:p>
      <w:pPr>
        <w:pBdr>
          <w:top w:val="nil"/>
          <w:left w:val="nil"/>
          <w:bottom w:val="nil"/>
          <w:right w:val="nil"/>
          <w:between w:val="nil"/>
          <w:bar w:val="nil"/>
        </w:pBdr>
        <w:spacing w:before="0" w:after="240"/>
        <w:rPr>
          <w:noProof/>
        </w:rPr>
      </w:pPr>
      <w:r>
        <w:rPr>
          <w:noProof/>
        </w:rPr>
        <w:t>Поради това настоящото предложение за нова стратегическа иновационна програма (СИП) на EIT за периода 2021—2027 г. се представя заедно с предложението за преработване на Регламента за EIT.</w:t>
      </w:r>
    </w:p>
    <w:p>
      <w:pPr>
        <w:pBdr>
          <w:top w:val="nil"/>
          <w:left w:val="nil"/>
          <w:bottom w:val="nil"/>
          <w:right w:val="nil"/>
          <w:between w:val="nil"/>
          <w:bar w:val="nil"/>
        </w:pBdr>
        <w:spacing w:before="0" w:after="240"/>
        <w:rPr>
          <w:rFonts w:eastAsia="Arial Unicode MS"/>
          <w:b/>
          <w:bCs/>
          <w:noProof/>
        </w:rPr>
      </w:pPr>
      <w:r>
        <w:rPr>
          <w:noProof/>
        </w:rPr>
        <w:t>В СИП на EIT за периода 2021—2027 г. се установяват приоритетните области, стратегията и финансовите потребности на EIT за посочения период и се определят начините, по които EIT ще допринесе за постигането на целите на „Хоризонт Европа“ .</w:t>
      </w:r>
      <w:r>
        <w:rPr>
          <w:b/>
          <w:noProof/>
        </w:rPr>
        <w:t xml:space="preserve"> </w:t>
      </w:r>
      <w:r>
        <w:rPr>
          <w:noProof/>
          <w:color w:val="000000" w:themeColor="text1"/>
        </w:rPr>
        <w:t>В нея се очертават също така планираните дейности в областта на висшето образование, научните изследвания и иновациите и съответната разбивка на бюджета. С нея се определя графикът за подбор и определяне на нови ОЗИ за следващия програмен период.</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EIT е интегриран в рамките на „Хоризонт Европа“ като част от неговия стълб III („Иновативна Европа“). Ще бъдат осигурени обаче полезни взаимодействия и взаимно допълване с другите компоненти на програмата. Чрез своите ОЗИ, EIT ще допринесе също така за справяне с глобалните предизвикателства в рамките на стълб II („Глобални предизвикателства и конкурентоспособност на европейската промишленост“) и стълб I („Високи постижения в научната област“). </w:t>
      </w:r>
    </w:p>
    <w:p>
      <w:pPr>
        <w:pBdr>
          <w:top w:val="nil"/>
          <w:left w:val="nil"/>
          <w:bottom w:val="nil"/>
          <w:right w:val="nil"/>
          <w:between w:val="nil"/>
          <w:bar w:val="nil"/>
        </w:pBdr>
        <w:spacing w:before="0" w:after="240"/>
        <w:rPr>
          <w:rFonts w:eastAsia="Arial Unicode MS"/>
          <w:noProof/>
        </w:rPr>
      </w:pPr>
      <w:r>
        <w:rPr>
          <w:noProof/>
        </w:rPr>
        <w:t>Многогодишният процес на стратегическо планиране в рамките на „Хоризонт Европа ще гарантира, че всички дейности по „Хоризонт Европа“, включително ОЗИ към EIT, които са институционализирани европейски партньорства, са координирани по ефективен начин. В този контекст в предложението за „Хоризонт Европа“ се подчертава, че: „В съответствие с Регламента за EIT предложенията за бъдещите общности на знание и иновации към EIT ще бъдат посочени в неговата стратегическа иновационна програма и ще бъдат съобразени с резултатите от процеса на стратегическо планиране и с приоритетите на стълб „Глобални предизвикателства и конкурентоспособност на промишлеността“.</w:t>
      </w:r>
    </w:p>
    <w:p>
      <w:pPr>
        <w:pBdr>
          <w:top w:val="nil"/>
          <w:left w:val="nil"/>
          <w:bottom w:val="nil"/>
          <w:right w:val="nil"/>
          <w:between w:val="nil"/>
          <w:bar w:val="nil"/>
        </w:pBdr>
        <w:spacing w:before="0" w:after="240"/>
        <w:rPr>
          <w:rFonts w:eastAsia="Arial Unicode MS"/>
          <w:noProof/>
        </w:rPr>
      </w:pPr>
      <w:r>
        <w:rPr>
          <w:noProof/>
        </w:rPr>
        <w:t>Ще бъде установено и сътрудничество между EIT и Европейския съвет по иновациите (ЕСИ), за да се избегне дублиране и да се осигурят полезни взаимодействия и по-голям ефект на техните действия. ЕСИ ще идентифицира, разработва и внедрява водещи до пробив иновации и ще подкрепя бързото разрастване на иновативните предприятия, реализиращи иновации, създаващи пазари на европейско и международно равнище. От своя страна, EIT ще допринесе за развитието на европейския капацитет за иновации чрез интегриране на триъгълника на знанието и подкрепа за иновационните екосистеми.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СИП ще насърчи полезните взаимодействия не само с рамковата програма на Съюза в подкрепа на научните изследвания и иновациите, но и с други съответни програми на Съюза в рамките на съответната МФР. По-специално тя ще гарантира подходящи полезни взаимодействия и взаимно допълване между дейностите на EIT и други инициативи, политики и инструменти на Съюза. Ще продължи сътрудничеството, що се отнася до програми и инструменти като „Еразъм“, „Цифрова Европа“, европейските структурни и инвестиционни фондове, програмата InvestEU или „Творческа Европа“. Освен това ще бъдат осигурени полезни взаимодействия и взаимно допълване между дейностите на EIT и ОЗИ и националните програми и инициативи чрез засилената роля на групата на представителите на държавите членки.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ЕС има споделена компетентност в индустриалната политика въз основа на член 173 от ДФЕС (дял XVII). Съгласно член 173, параграф 1 Съюзът и държавите членки гарантират съществуването на условията, необходими за конкурентоспособността на промишлеността на Съюза. За тази цел, в съответствие със системата на отворени и конкурентни пазари, тяхното действие е насочено също така към стимулиране по-доброто използване на промишления потенциал на политиките по отношение на иновациите, научните изследвания и технологичното развитие. В член 173, параграф 3 се предвижда, че Европейският парламент и Съветът, в съответствие с обикновената законодателна процедура, посочена в член 294, могат да вземат решения за специфични мерки в подкрепа на действията на държавите членки за постигане на споменатата цел, като се изключва всякакво хармонизиране на законовите и подзаконовите разпоредби на държавите членки. Тази разпоредба е правното основание на настоящия Регламент за EIT и на СИП за периода 2014—2020 г.</w:t>
      </w:r>
    </w:p>
    <w:p>
      <w:pPr>
        <w:rPr>
          <w:noProof/>
        </w:rPr>
      </w:pPr>
      <w:r>
        <w:rPr>
          <w:noProof/>
        </w:rPr>
        <w:t>Предложеното укрепване на дейностите на EIT, включително в областта на образованието и регионалното измерение, е ориентирано към иновациите и е насочено към изпълнението на целта, посочена в член 173 от ДФЕС.</w:t>
      </w:r>
    </w:p>
    <w:p>
      <w:pPr>
        <w:pStyle w:val="ManualHeading2"/>
        <w:rPr>
          <w:rFonts w:eastAsia="Arial Unicode MS"/>
          <w:noProof/>
          <w:u w:color="000000"/>
          <w:bdr w:val="nil"/>
        </w:rPr>
      </w:pPr>
      <w:r>
        <w:rPr>
          <w:noProof/>
        </w:rPr>
        <w:t>•</w:t>
      </w:r>
      <w:r>
        <w:rPr>
          <w:noProof/>
        </w:rPr>
        <w:tab/>
        <w:t xml:space="preserve">Субсидиарност и пропорционалност </w:t>
      </w:r>
    </w:p>
    <w:p>
      <w:pPr>
        <w:rPr>
          <w:noProof/>
          <w:color w:val="1F497D"/>
        </w:rPr>
      </w:pPr>
      <w:r>
        <w:rPr>
          <w:noProof/>
        </w:rPr>
        <w:t xml:space="preserve">Предложението за стратегическа иновационна програма за периода 2021—2027 г. зачита принципите </w:t>
      </w:r>
      <w:r>
        <w:rPr>
          <w:b/>
          <w:noProof/>
        </w:rPr>
        <w:t>на</w:t>
      </w:r>
      <w:r>
        <w:rPr>
          <w:noProof/>
        </w:rPr>
        <w:t xml:space="preserve"> </w:t>
      </w:r>
      <w:r>
        <w:rPr>
          <w:b/>
          <w:noProof/>
        </w:rPr>
        <w:t xml:space="preserve">субсидиарност </w:t>
      </w:r>
      <w:r>
        <w:rPr>
          <w:noProof/>
        </w:rPr>
        <w:t>и</w:t>
      </w:r>
      <w:r>
        <w:rPr>
          <w:b/>
          <w:noProof/>
        </w:rPr>
        <w:t xml:space="preserve"> пропорционалност</w:t>
      </w:r>
      <w:r>
        <w:rPr>
          <w:noProof/>
        </w:rPr>
        <w:t>. То не надхвърля необходимото за постигане на целите на Съюза и, в сравнение с националните и регионалните инициативи и решения, осигурява ясна добавена стойност на ЕС по отношение на икономиите от мащаба, обхвата и скоростта на инвестициите в областта на научните изследвания и иновациите. Освен това действията на ЕС няма да засягат изцяло националните сценарии или да изискват хармонизиране на законовите и подзаконовите разпоредби на държавите членки.</w:t>
      </w:r>
    </w:p>
    <w:p>
      <w:pPr>
        <w:rPr>
          <w:noProof/>
        </w:rPr>
      </w:pPr>
      <w:r>
        <w:rPr>
          <w:noProof/>
        </w:rPr>
        <w:t>EIT предлага уникален начин за изграждане на иновационни екосистеми в целия ЕС в областта на образованието, научните изследвания, бизнеса и другите заинтересовани страни</w:t>
      </w:r>
      <w:r>
        <w:rPr>
          <w:rStyle w:val="FootnoteReference"/>
          <w:noProof/>
        </w:rPr>
        <w:footnoteReference w:id="4"/>
      </w:r>
      <w:r>
        <w:rPr>
          <w:noProof/>
        </w:rPr>
        <w:t>. Дейностите за сътрудничество, подкрепяни от EIT, водят до повишаване на качеството на действията, иновациите и интернационализацията на партньорите и организациите на ОЗИ, създаването на трансгранични, мултидисциплинарни мрежи, по-задълбочено междусекторно сътрудничество и по-широк географски обхват.</w:t>
      </w:r>
    </w:p>
    <w:p>
      <w:pPr>
        <w:rPr>
          <w:noProof/>
        </w:rPr>
      </w:pPr>
      <w:r>
        <w:rPr>
          <w:noProof/>
        </w:rPr>
        <w:t>EIT е също така единственият инструмент в рамките на „Хоризонт Европа“ с определена насоченост към образованието като основен двигател на иновациите, растежа и конкурентоспособността.</w:t>
      </w:r>
      <w:bookmarkStart w:id="1" w:name="_Toc534627716"/>
      <w:bookmarkEnd w:id="1"/>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rPr>
          <w:i/>
          <w:noProof/>
        </w:rPr>
      </w:pPr>
      <w:r>
        <w:rPr>
          <w:i/>
          <w:noProof/>
        </w:rPr>
        <w:t>Външна оценка</w:t>
      </w:r>
    </w:p>
    <w:p>
      <w:pPr>
        <w:rPr>
          <w:noProof/>
        </w:rPr>
      </w:pPr>
      <w:r>
        <w:rPr>
          <w:noProof/>
        </w:rPr>
        <w:t>Предложението се основава на външната оценка на EIT, извършена през 2017 г., която потвърди, че обосновката за създаването на EIT е валидна и че неговият модел на ориентирана към иновациите интеграция на триъгълника на знанието остава актуален. Моделът на EIT е с насоченост към структурните слабости на капацитета за иновации в ЕС (в ключови тематични области), като например ограничената култура на предприемачество, ниското равнище на сътрудничество между академичните среди и промишлеността и недостатъчното развитие на човешкия потенциал, и има за цел да допринесе за преодоляване на изоставането в областта на иновациите на ЕС спрямо неговите ключови конкуренти.</w:t>
      </w:r>
    </w:p>
    <w:p>
      <w:pPr>
        <w:rPr>
          <w:i/>
          <w:noProof/>
        </w:rPr>
      </w:pPr>
      <w:r>
        <w:rPr>
          <w:i/>
          <w:noProof/>
        </w:rPr>
        <w:t>Открита обществена консултация</w:t>
      </w:r>
    </w:p>
    <w:p>
      <w:pPr>
        <w:rPr>
          <w:noProof/>
        </w:rPr>
      </w:pPr>
      <w:r>
        <w:rPr>
          <w:noProof/>
        </w:rPr>
        <w:t>Предложението взема предвид резултатите от откритата обществена консултация (ООК), която беше проведена като част от оценката на въздействието на Европейската комисия в подкрепа на нейните предложения за преразглеждане на Регламента за създаване на Европейски институт за иновации и технологии (EIT) (ЕО № 294/2008) и за нова стратегическа иновационна програма на EIT за периода 2021—2027 г. Целта на ООК беше да се съберат информация, становища и мнения от широк кръг заинтересовани страни относно: 1) предизвикателствата и възможностите в областта на научните изследвания и иновациите в Европа, 2) целите на политиката на EIT и 3) вариантите на политиката за справяне с предизвикателствата.</w:t>
      </w:r>
    </w:p>
    <w:p>
      <w:pPr>
        <w:pBdr>
          <w:top w:val="nil"/>
          <w:left w:val="nil"/>
          <w:bottom w:val="nil"/>
          <w:right w:val="nil"/>
          <w:between w:val="nil"/>
          <w:bar w:val="nil"/>
        </w:pBdr>
        <w:spacing w:before="0" w:after="240"/>
        <w:rPr>
          <w:i/>
          <w:noProof/>
        </w:rPr>
      </w:pPr>
      <w:r>
        <w:rPr>
          <w:i/>
          <w:noProof/>
        </w:rPr>
        <w:t>Оценка на въздействието</w:t>
      </w:r>
    </w:p>
    <w:p>
      <w:pPr>
        <w:rPr>
          <w:noProof/>
        </w:rPr>
      </w:pPr>
      <w:r>
        <w:rPr>
          <w:noProof/>
        </w:rPr>
        <w:t>Настоящото предложение е подкрепено от оценка на въздействието, обхващаща както предложението за преразглеждане на Регламента за EIT, така и предложението за СИП на EIT за периода 2021—2027 г.</w:t>
      </w:r>
    </w:p>
    <w:p>
      <w:pPr>
        <w:rPr>
          <w:noProof/>
        </w:rPr>
      </w:pPr>
      <w:r>
        <w:rPr>
          <w:noProof/>
        </w:rPr>
        <w:t>Оценката на въздействието на EIT се основава на оценката на въздействието, извършена за „Хоризонт Европа“. Становището на Комитета за регулаторен контрол беше „положително“, като бе препоръчано да се доизяснят: i) гледните точки на заинтересованите страни относно различните варианти, ii) механизмите за изпълнение на новия модел на финансиране и iii) регионалният обхват.</w:t>
      </w:r>
    </w:p>
    <w:p>
      <w:pPr>
        <w:pBdr>
          <w:top w:val="nil"/>
          <w:left w:val="nil"/>
          <w:bottom w:val="nil"/>
          <w:right w:val="nil"/>
          <w:between w:val="nil"/>
          <w:bar w:val="nil"/>
        </w:pBdr>
        <w:rPr>
          <w:rFonts w:eastAsia="Arial Unicode MS"/>
          <w:noProof/>
        </w:rPr>
      </w:pPr>
      <w:r>
        <w:rPr>
          <w:noProof/>
        </w:rPr>
        <w:t>В оценката на въздействието бяха определени следните варианти на политика: основен вариант и два различни варианта за решаване на проблемите и техническите въпроси, изтъкнати в оценката на въздействието.</w:t>
      </w:r>
    </w:p>
    <w:p>
      <w:pPr>
        <w:pBdr>
          <w:top w:val="nil"/>
          <w:left w:val="nil"/>
          <w:bottom w:val="nil"/>
          <w:right w:val="nil"/>
          <w:between w:val="nil"/>
          <w:bar w:val="nil"/>
        </w:pBdr>
        <w:rPr>
          <w:rFonts w:eastAsia="Arial Unicode MS"/>
          <w:noProof/>
        </w:rPr>
      </w:pPr>
      <w:r>
        <w:rPr>
          <w:noProof/>
        </w:rPr>
        <w:t>Основният вариант 1 представлява продължение на дейностите на EIT в настоящата им форма единствено с корекциите, необходими за привеждането му в съответствие с предложението за „Хоризонт Европа“. Вариант 2 се основава на базовия сценарий. Освен това той приема редица технически мерки за подобряване на функционирането на EIT и предлага нови действия за насърчаване на образованието по предприемачество в цяла Европа. Вариант 3 се различава от вариант 2 по това, че ще се създаде център на EIT във всяка държава членка, за да се увеличи въздействието на дейностите на EIT в цяла Европа.</w:t>
      </w:r>
    </w:p>
    <w:p>
      <w:pPr>
        <w:pBdr>
          <w:top w:val="nil"/>
          <w:left w:val="nil"/>
          <w:bottom w:val="nil"/>
          <w:right w:val="nil"/>
          <w:between w:val="nil"/>
          <w:bar w:val="nil"/>
        </w:pBdr>
        <w:rPr>
          <w:noProof/>
        </w:rPr>
      </w:pPr>
      <w:r>
        <w:rPr>
          <w:noProof/>
        </w:rPr>
        <w:t>Вариант 2 беше определен като предпочитан вариант, тъй като постига най-добрия баланс при постигането на целите на инициативата, като същевременно отчита наличните ресурси и има най-голямо икономическо и обществено въздействие. Той ще доведе и до значителни подобрения на EIT през следващия програмен период.</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на Комисията зачита основните права и спазва принципите на Хартата на основните права на ЕС.</w:t>
      </w:r>
    </w:p>
    <w:p>
      <w:pPr>
        <w:pStyle w:val="ManualHeading1"/>
        <w:rPr>
          <w:noProof/>
        </w:rPr>
      </w:pPr>
      <w:r>
        <w:rPr>
          <w:noProof/>
        </w:rPr>
        <w:t>4.</w:t>
      </w:r>
      <w:r>
        <w:rPr>
          <w:noProof/>
        </w:rPr>
        <w:tab/>
        <w:t>ОТРАЖЕНИЕ ВЪРХУ БЮДЖЕТА</w:t>
      </w:r>
    </w:p>
    <w:p>
      <w:pPr>
        <w:rPr>
          <w:noProof/>
        </w:rPr>
      </w:pPr>
      <w:r>
        <w:rPr>
          <w:noProof/>
        </w:rPr>
        <w:t>Отражението върху бюджета на предложението, както и необходимите човешки и административни ресурси са подробно описани в законодателната финансова обосновка.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rPr>
          <w:noProof/>
        </w:rPr>
      </w:pPr>
      <w:r>
        <w:rPr>
          <w:noProof/>
        </w:rPr>
        <w:t>Наблюдението и оценката са основни инструменти за измерване на въздействието на EIT и ще бъдат допълнително укрепвани и непрекъснато подобрявани през следващия програмен период. Като се има предвид естеството на модела за интегриране на триъгълника на знанието, ще бъде важно да се прилага рамка за наблюдение, която позволява гъвкавост на всички съответни равнища и осигурява съгласуваност с общите цели на „Хоризонт Европа“ и желаните въздействия.</w:t>
      </w:r>
    </w:p>
    <w:p>
      <w:pPr>
        <w:pBdr>
          <w:top w:val="nil"/>
          <w:left w:val="nil"/>
          <w:bottom w:val="nil"/>
          <w:right w:val="nil"/>
          <w:between w:val="nil"/>
          <w:bar w:val="nil"/>
        </w:pBdr>
        <w:spacing w:before="0" w:after="0"/>
        <w:rPr>
          <w:rFonts w:eastAsia="Arial Unicode MS"/>
          <w:i/>
          <w:noProof/>
        </w:rPr>
      </w:pPr>
      <w:r>
        <w:rPr>
          <w:i/>
          <w:noProof/>
        </w:rPr>
        <w:t>Наблюдение</w:t>
      </w:r>
    </w:p>
    <w:p>
      <w:pPr>
        <w:rPr>
          <w:noProof/>
        </w:rPr>
      </w:pPr>
      <w:r>
        <w:rPr>
          <w:noProof/>
        </w:rPr>
        <w:t>Всички влагани ресурси, крайни продукти, резултати и въздействия, посочени в оценката на въздействието, придружаваща настоящото предложение, ще бъдат наблюдавани чрез показатели. Такива показатели вече съществуват за по-голямата част от категориите. Когато те не съществуват, ще бъдат разработени нови показатели, за да се даде възможност на EIT да следи постигането на своите цели.</w:t>
      </w:r>
    </w:p>
    <w:p>
      <w:pPr>
        <w:rPr>
          <w:noProof/>
        </w:rPr>
      </w:pPr>
      <w:r>
        <w:rPr>
          <w:noProof/>
        </w:rPr>
        <w:t>Успоредно с това и при пълно спазване на съществуващите инструменти за наблюдение ще се търси тясно съответствие между разпоредбите за наблюдение на EIT и тези, които са въведени за „Хоризонт Европа“. Например EIT ще приведе в съответствие своите инструменти за наблюдение с пътищата на въздействие на „Хоризонт Европа“, които имат за цел да отговорят по-всеобхватно на необходимостта от научни, икономически и обществени показатели за въздействията. EIT ще има отговорността да наблюдава редовно оперативното изпълнение от страна на ОЗИ и да адаптира непрекъснато системите си за наблюдение и докладване. Резултатите от това наблюдение ще бъдат включени в процесите на планиране на дейността на ОЗИ, както и в процеса на вземане на решения от EIT относно разпределението на бюджета и подготовката на рамковите споразумения за партньорство с ОЗИ като бенефициери. Резултатите от наблюдението следва да се използват непрекъснато в процеса на изготвяне на политиките.</w:t>
      </w:r>
    </w:p>
    <w:p>
      <w:pPr>
        <w:rPr>
          <w:noProof/>
          <w:szCs w:val="24"/>
        </w:rPr>
      </w:pPr>
      <w:r>
        <w:rPr>
          <w:noProof/>
          <w:color w:val="000000"/>
        </w:rPr>
        <w:t xml:space="preserve">EIT ще следи отблизо прилагането на методиката на радарите за иновации в „Хоризонт Европа“ и ще проучи как ОЗИ биха могли да използват радарите за иновации за подобряване на дейностите си по наблюдение. </w:t>
      </w:r>
    </w:p>
    <w:p>
      <w:pPr>
        <w:pBdr>
          <w:top w:val="nil"/>
          <w:left w:val="nil"/>
          <w:bottom w:val="nil"/>
          <w:right w:val="nil"/>
          <w:between w:val="nil"/>
          <w:bar w:val="nil"/>
        </w:pBdr>
        <w:spacing w:before="0" w:after="0"/>
        <w:rPr>
          <w:rFonts w:eastAsia="Arial Unicode MS"/>
          <w:i/>
          <w:noProof/>
        </w:rPr>
      </w:pPr>
      <w:r>
        <w:rPr>
          <w:i/>
          <w:noProof/>
        </w:rPr>
        <w:t>Оценка</w:t>
      </w:r>
    </w:p>
    <w:p>
      <w:pPr>
        <w:rPr>
          <w:noProof/>
        </w:rPr>
      </w:pPr>
      <w:r>
        <w:rPr>
          <w:noProof/>
        </w:rPr>
        <w:t>Оценката на EIT по отношение на изпълнението ще се извършва от Комисията в съответствие с изискванията на изменения Регламент за EIT и ще бъде включена в цялостната оценка на програмата „Хоризонт Европа“, която ще бъде извършена както в средносрочен план, така и последващо. Това ще включва оценка на взаимодействието на EIT с другите инструменти на програмата.</w:t>
      </w:r>
    </w:p>
    <w:p>
      <w:pPr>
        <w:rPr>
          <w:noProof/>
        </w:rPr>
      </w:pPr>
      <w:r>
        <w:rPr>
          <w:noProof/>
        </w:rPr>
        <w:t>По отношение на ОЗИ ще се използва специфична рамка от показатели за оценка на изпълнението през следващия програмен период (подробно описана в предложението за нова СИП). Тази рамка се основава на настоящи и предишни показатели, като попълва пропуските и недостатъците, установени в съществуващата система за измерване на изпълнението. Тя е съгласувана също така с рамката на „Хоризонт Европа“.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Стратегическата иновационна програма (СИП) на EIT за периода 2021—2027 г. подчертава приноса на EIT за постигане на целите на „Хоризонт Европа“ — рамковата програма на Съюза за подкрепа на научните изследвания и иновациите за посочения период.</w:t>
      </w:r>
      <w:r>
        <w:rPr>
          <w:b/>
          <w:noProof/>
        </w:rPr>
        <w:t xml:space="preserve"> </w:t>
      </w:r>
      <w:r>
        <w:rPr>
          <w:noProof/>
        </w:rPr>
        <w:t>В нея се определят ключовите предимства на EIT, въз основа на които да изгради своята бъдеща стратегия, както и специфичните предизвикателства и въпроси, които ще бъдат предмет на дейността му. Освен това в СИП се изяснява ролята на EIT в програмата „Хоризонт Европа“ и се посочва неговото допълване с различните части на „Хоризонт Европа“, и по-специално с Европейския съвет по иновациите.</w:t>
      </w:r>
    </w:p>
    <w:p>
      <w:pPr>
        <w:rPr>
          <w:noProof/>
        </w:rPr>
      </w:pPr>
      <w:r>
        <w:rPr>
          <w:noProof/>
        </w:rPr>
        <w:t>СИП включва редица подобрения на съществуващия модел на EIT. Те се отнасят до привеждането в съответствие с европейските партньорства в рамките на „Хоризонт Европа“ и техните правила за управление, подобряването на настоящия модел на финансиране, както се препоръчва от Европейската сметна палата, и включването на възможността EIT да сключи меморандум на сътрудничеството с ОЗИ с цел запазване на бившите ОЗИ като активни членове на Общността на EIT след приключването на тяхното рамково споразумение за партньорство.</w:t>
      </w:r>
    </w:p>
    <w:p>
      <w:pPr>
        <w:pBdr>
          <w:top w:val="nil"/>
          <w:left w:val="nil"/>
          <w:bottom w:val="nil"/>
          <w:right w:val="nil"/>
          <w:between w:val="nil"/>
          <w:bar w:val="nil"/>
        </w:pBdr>
        <w:spacing w:before="0" w:after="240"/>
        <w:rPr>
          <w:rFonts w:eastAsia="Arial Unicode MS"/>
          <w:noProof/>
        </w:rPr>
      </w:pPr>
      <w:r>
        <w:rPr>
          <w:noProof/>
        </w:rPr>
        <w:t>СИП предоставя конкретни разяснения относно принципите, установени в Регламента за EIT. В нея се прави преглед на финансовите и човешките ресурси, необходими за изпълнението на целите на EIT. Формулирани са ясни разпоредби относно наблюдението и оценката, като се вземат предвид рамката на „Хоризонт Европа“ и особеностите на EIT.</w:t>
      </w:r>
    </w:p>
    <w:p>
      <w:pPr>
        <w:pBdr>
          <w:top w:val="nil"/>
          <w:left w:val="nil"/>
          <w:bottom w:val="nil"/>
          <w:right w:val="nil"/>
          <w:between w:val="nil"/>
          <w:bar w:val="nil"/>
        </w:pBdr>
        <w:spacing w:before="0" w:after="240"/>
        <w:rPr>
          <w:noProof/>
        </w:rPr>
      </w:pPr>
      <w:r>
        <w:rPr>
          <w:noProof/>
        </w:rPr>
        <w:t>Освен това СИП въвежда ясни цели за ново действие за подкрепа и координация, което следва да бъде предприето. Това ново действие ще подкрепи развитието на предприемачески и иновационен капацитет на европейските висши учебни заведения (ВУЗ) извън рамките на ОЗИ, за да им се даде възможност да бъдат по-добре интегрирани в местните иновационни екосистеми. Обозначението на EIT ще бъде част от изострения фокус на EIT върху образованието.</w:t>
      </w:r>
    </w:p>
    <w:p>
      <w:pPr>
        <w:pBdr>
          <w:top w:val="nil"/>
          <w:left w:val="nil"/>
          <w:bottom w:val="nil"/>
          <w:right w:val="nil"/>
          <w:between w:val="nil"/>
          <w:bar w:val="nil"/>
        </w:pBdr>
        <w:spacing w:before="0" w:after="240"/>
        <w:rPr>
          <w:noProof/>
          <w:color w:val="000000" w:themeColor="text1"/>
          <w:szCs w:val="24"/>
        </w:rPr>
      </w:pPr>
      <w:r>
        <w:rPr>
          <w:noProof/>
        </w:rPr>
        <w:t>EIT ще наблегне силно на междусекторните дейности, като например комуникация, идентификация, кодификация и разпространение на добри практики, както и на международното сътрудничество.</w:t>
      </w:r>
      <w:r>
        <w:rPr>
          <w:noProof/>
          <w:color w:val="000000" w:themeColor="text1"/>
        </w:rPr>
        <w:t xml:space="preserve"> </w:t>
      </w:r>
      <w:r>
        <w:rPr>
          <w:noProof/>
        </w:rPr>
        <w:t>Друга ключова област на действие за EIT ще бъде разширяването и засилването на неговия регионален обхват чрез регионалната иновационна схема (РИС). РИС ще предлага по-специално възможности на държавите членки с ниски резултати в областта на иновациите и ще повиши достъпа им до ОЗИ към EIT.</w:t>
      </w:r>
    </w:p>
    <w:p>
      <w:pPr>
        <w:pBdr>
          <w:top w:val="nil"/>
          <w:left w:val="nil"/>
          <w:bottom w:val="nil"/>
          <w:right w:val="nil"/>
          <w:between w:val="nil"/>
          <w:bar w:val="nil"/>
        </w:pBdr>
        <w:spacing w:before="0" w:after="240"/>
        <w:rPr>
          <w:rFonts w:eastAsia="Times New Roman"/>
          <w:noProof/>
          <w:szCs w:val="24"/>
        </w:rPr>
      </w:pPr>
      <w:r>
        <w:rPr>
          <w:noProof/>
          <w:color w:val="000000" w:themeColor="text1"/>
        </w:rPr>
        <w:t xml:space="preserve">В СИП културните и творческите индустрии се определят като приоритетна област на нова ОЗИ, като през 2021 г. предстои да бъде публикувана покана за представяне на предложения. </w:t>
      </w:r>
      <w:r>
        <w:rPr>
          <w:noProof/>
        </w:rPr>
        <w:t xml:space="preserve">За 2024 г. е предвидена втора покана за създаване на нова ОЗИ, ако приложение I бъде изменено така, че да се добавят нови приоритетни области. В СИП могат да бъдат добавени други приоритетни области и след това биха могли да бъдат отправени допълнителни покани за нови ОЗИ, в случай че бъде налице допълнителен бюджет към бюджета на EIT. </w:t>
      </w:r>
    </w:p>
    <w:p>
      <w:pPr>
        <w:rPr>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2019/0152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относно стратегическата иновационна програма на Европейския институт </w:t>
      </w:r>
      <w:r>
        <w:rPr>
          <w:noProof/>
        </w:rPr>
        <w:br/>
        <w:t xml:space="preserve">за иновации и технологии (EIT) за периода 2021—2027 г.: </w:t>
      </w:r>
      <w:r>
        <w:rPr>
          <w:noProof/>
        </w:rPr>
        <w:br/>
        <w:t>стимулиране на таланта и капацитета на Европа за иновации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173, параграф 3 от него,</w:t>
      </w:r>
    </w:p>
    <w:p>
      <w:pPr>
        <w:rPr>
          <w:noProof/>
        </w:rPr>
      </w:pPr>
      <w:r>
        <w:rPr>
          <w:noProof/>
        </w:rPr>
        <w:t>като взеха предвид Регламент (ЕО) № 294/2008 на Европейския парламент и на Съвета от 11 март 2008 г. за създаване на Европейски институт за иновации и технологии</w:t>
      </w:r>
      <w:r>
        <w:rPr>
          <w:rStyle w:val="FootnoteReference"/>
          <w:noProof/>
        </w:rPr>
        <w:footnoteReference w:id="5"/>
      </w:r>
      <w:r>
        <w:rPr>
          <w:noProof/>
        </w:rPr>
        <w:t>, и по-специално член 17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Регламент (ЕО) № 294/2008 се предвижда приемането на стратегическа иновационна програма („СИП“).</w:t>
      </w:r>
    </w:p>
    <w:p>
      <w:pPr>
        <w:pStyle w:val="ManualConsidrant"/>
        <w:rPr>
          <w:noProof/>
        </w:rPr>
      </w:pPr>
      <w:r>
        <w:t>(2)</w:t>
      </w:r>
      <w:r>
        <w:tab/>
      </w:r>
      <w:r>
        <w:rPr>
          <w:noProof/>
        </w:rPr>
        <w:t>СИП следва да определи приоритетните области и дългосрочната стратегия за Европейския институт за иновации и технологии („EIT“) и да включва оценка на социално-икономическото му въздействие и способността му да генерира най-висока добавена стойност от гледна точка на иновациите. СИП следва да вземе под внимание резултатите от наблюдението и оценката на EIT.</w:t>
      </w:r>
    </w:p>
    <w:p>
      <w:pPr>
        <w:pStyle w:val="ManualConsidrant"/>
        <w:rPr>
          <w:noProof/>
        </w:rPr>
      </w:pPr>
      <w:r>
        <w:t>(3)</w:t>
      </w:r>
      <w:r>
        <w:tab/>
      </w:r>
      <w:r>
        <w:rPr>
          <w:noProof/>
        </w:rPr>
        <w:t>СИП следва да включва анализ на потенциалните и подходящи полезни взаимодействия и взаимно допълване между дейностите на EIT и други инициативи, инструменти и програми на Съюза,</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Стратегическата иновационна програма на Европейския институт за иновации и технологии за периода 2021—2027 г., съдържаща се в приложението, се приема.</w:t>
      </w:r>
    </w:p>
    <w:p>
      <w:pPr>
        <w:pStyle w:val="Titrearticle"/>
        <w:rPr>
          <w:noProof/>
        </w:rPr>
      </w:pPr>
      <w:r>
        <w:rPr>
          <w:noProof/>
        </w:rPr>
        <w:t>Член 2</w:t>
      </w:r>
    </w:p>
    <w:p>
      <w:pPr>
        <w:rPr>
          <w:noProof/>
        </w:rPr>
      </w:pPr>
      <w:r>
        <w:rPr>
          <w:noProof/>
        </w:rPr>
        <w:t xml:space="preserve">СИП се осъществява в съответствие с Регламент (ЕС) № </w:t>
      </w:r>
      <w:r>
        <w:t xml:space="preserve"> относно</w:t>
      </w:r>
      <w:r>
        <w:rPr>
          <w:noProof/>
        </w:rPr>
        <w:t xml:space="preserve"> Европейския институт за иновации и технологии</w:t>
      </w:r>
      <w:r>
        <w:rPr>
          <w:rStyle w:val="FootnoteReference"/>
          <w:noProof/>
        </w:rPr>
        <w:footnoteReference w:id="6"/>
      </w:r>
      <w:r>
        <w:t>.</w:t>
      </w:r>
    </w:p>
    <w:p>
      <w:pPr>
        <w:pStyle w:val="Titrearticle"/>
        <w:rPr>
          <w:noProof/>
        </w:rPr>
      </w:pPr>
      <w:r>
        <w:rPr>
          <w:noProof/>
        </w:rPr>
        <w:t>Член 3</w:t>
      </w:r>
    </w:p>
    <w:p>
      <w:pPr>
        <w:keepNext/>
        <w:keepLines/>
        <w:rPr>
          <w:noProof/>
        </w:rPr>
      </w:pPr>
      <w:r>
        <w:rPr>
          <w:noProof/>
        </w:rPr>
        <w:t xml:space="preserve">Настоящото решение влиза в сила на  ден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smallCaps/>
          <w:noProof/>
        </w:rPr>
      </w:pPr>
      <w:r>
        <w:rPr>
          <w:noProof/>
        </w:rPr>
        <w:t>ЗАКОНОДАТЕЛНА ФИНАНСОВА ОБОСНОВКА</w:t>
      </w:r>
    </w:p>
    <w:p>
      <w:pPr>
        <w:spacing w:before="360"/>
        <w:rPr>
          <w:b/>
          <w:noProof/>
        </w:rPr>
      </w:pPr>
      <w:r>
        <w:rPr>
          <w:b/>
          <w:noProof/>
        </w:rPr>
        <w:t xml:space="preserve">1. </w:t>
      </w:r>
      <w:r>
        <w:rPr>
          <w:b/>
          <w:noProof/>
        </w:rPr>
        <w:tab/>
        <w:t xml:space="preserve">РАМКА НА ПРЕДЛОЖЕНИЕТО/ИНИЦИАТИВАТА </w:t>
      </w:r>
    </w:p>
    <w:p>
      <w:pPr>
        <w:rPr>
          <w:noProof/>
        </w:rPr>
      </w:pPr>
      <w:r>
        <w:rPr>
          <w:noProof/>
        </w:rPr>
        <w:t>1.1.</w:t>
      </w:r>
      <w:r>
        <w:rPr>
          <w:noProof/>
        </w:rPr>
        <w:tab/>
        <w:t>Наименование на предложението/инициативата</w:t>
      </w:r>
    </w:p>
    <w:p>
      <w:pPr>
        <w:rPr>
          <w:noProof/>
        </w:rPr>
      </w:pPr>
      <w:r>
        <w:rPr>
          <w:noProof/>
        </w:rPr>
        <w:t>1.2.</w:t>
      </w:r>
      <w:r>
        <w:rPr>
          <w:noProof/>
        </w:rPr>
        <w:tab/>
        <w:t>Съответни области на политиката (програмен клъстер)</w:t>
      </w:r>
    </w:p>
    <w:p>
      <w:pPr>
        <w:rPr>
          <w:noProof/>
        </w:rPr>
      </w:pPr>
      <w:r>
        <w:rPr>
          <w:noProof/>
        </w:rPr>
        <w:t>1.3.</w:t>
      </w:r>
      <w:r>
        <w:rPr>
          <w:noProof/>
        </w:rPr>
        <w:tab/>
        <w:t>Предложението/инициативата се отнася до:</w:t>
      </w:r>
    </w:p>
    <w:p>
      <w:pPr>
        <w:rPr>
          <w:noProof/>
        </w:rPr>
      </w:pPr>
      <w:r>
        <w:rPr>
          <w:noProof/>
        </w:rPr>
        <w:t>1.4.</w:t>
      </w:r>
      <w:r>
        <w:rPr>
          <w:noProof/>
        </w:rPr>
        <w:tab/>
        <w:t>Мотиви за предложението/инициативата</w:t>
      </w:r>
    </w:p>
    <w:p>
      <w:pPr>
        <w:ind w:left="850" w:hanging="850"/>
        <w:rPr>
          <w:i/>
          <w:noProof/>
        </w:rPr>
      </w:pPr>
      <w:r>
        <w:rPr>
          <w:i/>
          <w:noProof/>
        </w:rPr>
        <w:t>1.4.1.</w:t>
      </w:r>
      <w:r>
        <w:rPr>
          <w:i/>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ind w:left="850" w:hanging="850"/>
        <w:rPr>
          <w:i/>
          <w:noProof/>
        </w:rPr>
      </w:pPr>
      <w:r>
        <w:rPr>
          <w:i/>
          <w:noProof/>
        </w:rPr>
        <w:t>1.4.2.</w:t>
      </w:r>
      <w:r>
        <w:rPr>
          <w:i/>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ind w:left="850" w:hanging="850"/>
        <w:rPr>
          <w:i/>
          <w:noProof/>
        </w:rPr>
      </w:pPr>
      <w:r>
        <w:rPr>
          <w:i/>
          <w:noProof/>
        </w:rPr>
        <w:t>1.4.3.</w:t>
      </w:r>
      <w:r>
        <w:rPr>
          <w:i/>
          <w:noProof/>
        </w:rPr>
        <w:tab/>
        <w:t>Изводи от подобен опит в миналото</w:t>
      </w:r>
    </w:p>
    <w:p>
      <w:pPr>
        <w:ind w:left="850" w:hanging="850"/>
        <w:rPr>
          <w:i/>
          <w:noProof/>
        </w:rPr>
      </w:pPr>
      <w:r>
        <w:rPr>
          <w:i/>
          <w:noProof/>
        </w:rPr>
        <w:t>1.4.4.</w:t>
      </w:r>
      <w:r>
        <w:rPr>
          <w:i/>
          <w:noProof/>
        </w:rPr>
        <w:tab/>
        <w:t>Съвместимост и евентуална синергия с други подходящи инструменти</w:t>
      </w:r>
    </w:p>
    <w:p>
      <w:pPr>
        <w:rPr>
          <w:noProof/>
        </w:rPr>
      </w:pPr>
      <w:r>
        <w:rPr>
          <w:noProof/>
        </w:rPr>
        <w:t>1.5.</w:t>
      </w:r>
      <w:r>
        <w:rPr>
          <w:noProof/>
        </w:rPr>
        <w:tab/>
        <w:t>Срок на действие и финансово отражение</w:t>
      </w:r>
    </w:p>
    <w:p>
      <w:pPr>
        <w:rPr>
          <w:noProof/>
        </w:rPr>
      </w:pPr>
      <w:r>
        <w:rPr>
          <w:noProof/>
        </w:rPr>
        <w:t>1.6.</w:t>
      </w:r>
      <w:r>
        <w:rPr>
          <w:noProof/>
        </w:rPr>
        <w:tab/>
        <w:t>Планирани методи на управление</w:t>
      </w:r>
    </w:p>
    <w:p>
      <w:pPr>
        <w:rPr>
          <w:noProof/>
        </w:rPr>
      </w:pPr>
      <w:r>
        <w:rPr>
          <w:noProof/>
        </w:rPr>
        <w:t>1.7.</w:t>
      </w:r>
      <w:r>
        <w:rPr>
          <w:noProof/>
        </w:rPr>
        <w:tab/>
        <w:t>Планирани методи на управление</w:t>
      </w:r>
    </w:p>
    <w:p>
      <w:pPr>
        <w:spacing w:before="360"/>
        <w:rPr>
          <w:b/>
          <w:noProof/>
        </w:rPr>
      </w:pPr>
      <w:r>
        <w:rPr>
          <w:b/>
          <w:noProof/>
        </w:rPr>
        <w:t>2.</w:t>
      </w:r>
      <w:r>
        <w:rPr>
          <w:b/>
          <w:noProof/>
        </w:rPr>
        <w:tab/>
        <w:t xml:space="preserve">МЕРКИ ЗА УПРАВЛЕНИЕ </w:t>
      </w:r>
    </w:p>
    <w:p>
      <w:pPr>
        <w:rPr>
          <w:noProof/>
        </w:rPr>
      </w:pPr>
      <w:r>
        <w:rPr>
          <w:noProof/>
        </w:rPr>
        <w:tab/>
        <w:t>2.1.</w:t>
      </w:r>
      <w:r>
        <w:rPr>
          <w:noProof/>
        </w:rPr>
        <w:tab/>
        <w:t>Правила за наблюдение и докладване</w:t>
      </w:r>
    </w:p>
    <w:p>
      <w:pPr>
        <w:rPr>
          <w:noProof/>
        </w:rPr>
      </w:pPr>
      <w:r>
        <w:rPr>
          <w:noProof/>
        </w:rPr>
        <w:tab/>
        <w:t>2.2.</w:t>
      </w:r>
      <w:r>
        <w:rPr>
          <w:noProof/>
        </w:rPr>
        <w:tab/>
        <w:t>Системи за управление и контрол</w:t>
      </w:r>
    </w:p>
    <w:p>
      <w:pPr>
        <w:ind w:left="850" w:hanging="850"/>
        <w:rPr>
          <w:i/>
          <w:noProof/>
        </w:rPr>
      </w:pPr>
      <w:r>
        <w:rPr>
          <w:i/>
          <w:noProof/>
        </w:rPr>
        <w:tab/>
        <w:t>2.2.1.</w:t>
      </w:r>
      <w:r>
        <w:rPr>
          <w:i/>
          <w:noProof/>
        </w:rPr>
        <w:tab/>
        <w:t>Обосновка на предложените начини за управление, механизми за финансиране на изпълнението, начини за плащане и стратегия за контрол</w:t>
      </w:r>
    </w:p>
    <w:p>
      <w:pPr>
        <w:ind w:left="850" w:hanging="850"/>
        <w:rPr>
          <w:i/>
          <w:noProof/>
        </w:rPr>
      </w:pPr>
      <w:r>
        <w:rPr>
          <w:i/>
          <w:noProof/>
        </w:rPr>
        <w:tab/>
        <w:t>2.2.2.</w:t>
      </w:r>
      <w:r>
        <w:rPr>
          <w:i/>
          <w:noProof/>
        </w:rPr>
        <w:tab/>
        <w:t>Информация относно установените рискове и системите за вътрешен контрол, създадени с цел намаляването им</w:t>
      </w:r>
    </w:p>
    <w:p>
      <w:pPr>
        <w:ind w:left="850" w:hanging="850"/>
        <w:rPr>
          <w:i/>
          <w:noProof/>
        </w:rPr>
      </w:pPr>
      <w:r>
        <w:rPr>
          <w:i/>
          <w:noProof/>
        </w:rPr>
        <w:tab/>
        <w:t>2.2.3.</w:t>
      </w:r>
      <w:r>
        <w:rPr>
          <w:i/>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rPr>
          <w:noProof/>
        </w:rPr>
      </w:pPr>
      <w:r>
        <w:rPr>
          <w:noProof/>
        </w:rPr>
        <w:tab/>
        <w:t>2.3.</w:t>
      </w:r>
      <w:r>
        <w:rPr>
          <w:noProof/>
        </w:rPr>
        <w:tab/>
        <w:t>Мерки за предотвратяване на измами и нередности</w:t>
      </w:r>
    </w:p>
    <w:p>
      <w:pPr>
        <w:spacing w:before="360"/>
        <w:rPr>
          <w:b/>
          <w:noProof/>
        </w:rPr>
      </w:pPr>
      <w:r>
        <w:rPr>
          <w:b/>
          <w:noProof/>
        </w:rPr>
        <w:t>3.</w:t>
      </w:r>
      <w:r>
        <w:rPr>
          <w:b/>
          <w:noProof/>
        </w:rPr>
        <w:tab/>
        <w:t xml:space="preserve">ОЧАКВАНО ФИНАНСОВО ОТРАЖЕНИЕ НА ПРЕДЛОЖЕНИЕТО/ИНИЦИАТИВАТА </w:t>
      </w:r>
    </w:p>
    <w:p>
      <w:pPr>
        <w:rPr>
          <w:noProof/>
        </w:rPr>
      </w:pPr>
      <w:r>
        <w:rPr>
          <w:noProof/>
        </w:rPr>
        <w:tab/>
        <w:t>3.1.</w:t>
      </w:r>
      <w:r>
        <w:rPr>
          <w:noProof/>
        </w:rPr>
        <w:tab/>
        <w:t>Функция от многогодишната финансова рамка и предложени нови разходни бюджетни редове</w:t>
      </w:r>
    </w:p>
    <w:p>
      <w:pPr>
        <w:rPr>
          <w:noProof/>
        </w:rPr>
      </w:pPr>
      <w:r>
        <w:rPr>
          <w:noProof/>
        </w:rPr>
        <w:tab/>
        <w:t>3.2.</w:t>
      </w:r>
      <w:r>
        <w:rPr>
          <w:noProof/>
        </w:rPr>
        <w:tab/>
        <w:t>Очаквано отражение върху разходите</w:t>
      </w:r>
    </w:p>
    <w:p>
      <w:pPr>
        <w:ind w:left="850" w:hanging="850"/>
        <w:rPr>
          <w:i/>
          <w:noProof/>
        </w:rPr>
      </w:pPr>
      <w:r>
        <w:rPr>
          <w:i/>
          <w:noProof/>
        </w:rPr>
        <w:tab/>
        <w:t>3.2.1.</w:t>
      </w:r>
      <w:r>
        <w:rPr>
          <w:i/>
          <w:noProof/>
        </w:rPr>
        <w:tab/>
        <w:t>Обобщение на очакваното отражение върху разходите</w:t>
      </w:r>
    </w:p>
    <w:p>
      <w:pPr>
        <w:ind w:left="850" w:hanging="850"/>
        <w:rPr>
          <w:i/>
          <w:noProof/>
        </w:rPr>
      </w:pPr>
      <w:r>
        <w:rPr>
          <w:i/>
          <w:noProof/>
        </w:rPr>
        <w:tab/>
        <w:t>3.2.2.</w:t>
      </w:r>
      <w:r>
        <w:rPr>
          <w:i/>
          <w:noProof/>
        </w:rPr>
        <w:tab/>
        <w:t>Резюме на очакваното отражение върху бюджетните кредити за административни разходи</w:t>
      </w:r>
    </w:p>
    <w:p>
      <w:pPr>
        <w:ind w:left="850" w:hanging="850"/>
        <w:rPr>
          <w:i/>
          <w:noProof/>
        </w:rPr>
      </w:pPr>
      <w:r>
        <w:rPr>
          <w:i/>
          <w:noProof/>
        </w:rPr>
        <w:tab/>
        <w:t>3.2.3.</w:t>
      </w:r>
      <w:r>
        <w:rPr>
          <w:i/>
          <w:noProof/>
        </w:rPr>
        <w:tab/>
        <w:t>Финансов принос от трети страни</w:t>
      </w:r>
    </w:p>
    <w:p>
      <w:pPr>
        <w:rPr>
          <w:noProof/>
        </w:rPr>
      </w:pPr>
      <w:r>
        <w:rPr>
          <w:noProof/>
        </w:rPr>
        <w:tab/>
        <w:t>3.3.</w:t>
      </w:r>
      <w:r>
        <w:rPr>
          <w:noProof/>
        </w:rPr>
        <w:tab/>
        <w:t>Очаквано отражение върху приходите</w:t>
      </w:r>
    </w:p>
    <w:p>
      <w:pPr>
        <w:keepNext/>
        <w:tabs>
          <w:tab w:val="left" w:pos="850"/>
        </w:tabs>
        <w:jc w:val="left"/>
        <w:outlineLvl w:val="1"/>
        <w:rPr>
          <w:rFonts w:eastAsia="Calibri"/>
          <w:noProof/>
        </w:rPr>
        <w:sectPr>
          <w:pgSz w:w="11907" w:h="16840" w:code="9"/>
          <w:pgMar w:top="1134" w:right="1418" w:bottom="1134" w:left="1418" w:header="709" w:footer="709" w:gutter="0"/>
          <w:cols w:space="708"/>
          <w:docGrid w:linePitch="360"/>
        </w:sectPr>
      </w:pPr>
    </w:p>
    <w:p>
      <w:pPr>
        <w:jc w:val="center"/>
        <w:rPr>
          <w:rFonts w:eastAsia="Calibri"/>
          <w:b/>
          <w:noProof/>
          <w:u w:val="single"/>
        </w:rPr>
      </w:pPr>
      <w:r>
        <w:rPr>
          <w:b/>
          <w:noProof/>
          <w:u w:val="single"/>
        </w:rPr>
        <w:t xml:space="preserve">ЗАКОНОДАТЕЛНА ФИНАНСОВА ОБОСНОВКА </w:t>
      </w:r>
    </w:p>
    <w:p>
      <w:pPr>
        <w:keepNext/>
        <w:tabs>
          <w:tab w:val="left" w:pos="850"/>
        </w:tabs>
        <w:spacing w:before="360"/>
        <w:ind w:left="850" w:hanging="850"/>
        <w:outlineLvl w:val="0"/>
        <w:rPr>
          <w:rFonts w:eastAsia="Calibri"/>
          <w:b/>
          <w:smallCaps/>
          <w:noProof/>
        </w:rPr>
      </w:pPr>
      <w:bookmarkStart w:id="2" w:name="_Toc514941973"/>
      <w:r>
        <w:rPr>
          <w:b/>
          <w:smallCaps/>
          <w:noProof/>
        </w:rPr>
        <w:t xml:space="preserve">1. </w:t>
      </w:r>
      <w:r>
        <w:rPr>
          <w:noProof/>
        </w:rPr>
        <w:tab/>
      </w:r>
      <w:r>
        <w:rPr>
          <w:b/>
          <w:smallCaps/>
          <w:noProof/>
        </w:rPr>
        <w:t xml:space="preserve">РАМКА НА ПРЕДЛОЖЕНИЕТО/ИНИЦИАТИВАТА </w:t>
      </w:r>
    </w:p>
    <w:p>
      <w:pPr>
        <w:keepNext/>
        <w:tabs>
          <w:tab w:val="left" w:pos="850"/>
        </w:tabs>
        <w:ind w:left="850" w:hanging="850"/>
        <w:outlineLvl w:val="1"/>
        <w:rPr>
          <w:rFonts w:eastAsia="Calibri"/>
          <w:b/>
          <w:noProof/>
        </w:rPr>
      </w:pPr>
      <w:r>
        <w:rPr>
          <w:b/>
          <w:noProof/>
        </w:rPr>
        <w:t>1.1.</w:t>
      </w:r>
      <w:r>
        <w:rPr>
          <w:noProof/>
        </w:rPr>
        <w:tab/>
      </w:r>
      <w:r>
        <w:rPr>
          <w:b/>
          <w:noProof/>
        </w:rPr>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Изменение на Регламент на Европейския парламент и на Съвета за създаване на Европейски институт за иновации и технологии (EIT), 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Решение на Европейския парламент и на Съвета относно стратегическата иновационна програма на Европейския институт за иновации и технологии (EIT) за периода 2021—2027 г.</w:t>
      </w:r>
    </w:p>
    <w:p>
      <w:pPr>
        <w:keepNext/>
        <w:tabs>
          <w:tab w:val="left" w:pos="850"/>
        </w:tabs>
        <w:ind w:left="850" w:hanging="850"/>
        <w:outlineLvl w:val="1"/>
        <w:rPr>
          <w:rFonts w:eastAsia="Calibri"/>
          <w:noProof/>
        </w:rPr>
      </w:pPr>
      <w:bookmarkStart w:id="3" w:name="_Toc514941974"/>
      <w:bookmarkEnd w:id="2"/>
      <w:r>
        <w:rPr>
          <w:b/>
          <w:noProof/>
        </w:rPr>
        <w:t>1.2.</w:t>
      </w:r>
      <w:r>
        <w:rPr>
          <w:noProof/>
        </w:rPr>
        <w:tab/>
      </w:r>
      <w:r>
        <w:rPr>
          <w:b/>
          <w:noProof/>
        </w:rPr>
        <w:t>Съответни области на политиката (програмен клъстер)</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„Хоризонт 2020“ — рамкова програма за научни изследвания и иновации (2021—2027 г.)</w:t>
      </w:r>
    </w:p>
    <w:bookmarkEnd w:id="3"/>
    <w:p>
      <w:pPr>
        <w:keepNext/>
        <w:tabs>
          <w:tab w:val="left" w:pos="850"/>
        </w:tabs>
        <w:ind w:left="850" w:hanging="850"/>
        <w:outlineLvl w:val="1"/>
        <w:rPr>
          <w:rFonts w:eastAsia="Calibri"/>
          <w:b/>
          <w:noProof/>
        </w:rPr>
      </w:pPr>
      <w:r>
        <w:rPr>
          <w:b/>
          <w:noProof/>
        </w:rPr>
        <w:t>1.3.</w:t>
      </w:r>
      <w:r>
        <w:rPr>
          <w:noProof/>
        </w:rPr>
        <w:tab/>
      </w:r>
      <w:r>
        <w:rPr>
          <w:b/>
          <w:noProof/>
        </w:rPr>
        <w:t>Предложението/инициативата се отнася до:</w:t>
      </w:r>
    </w:p>
    <w:p>
      <w:pPr>
        <w:ind w:left="850"/>
        <w:rPr>
          <w:rFonts w:eastAsia="Calibri"/>
          <w:b/>
          <w:noProof/>
          <w:sz w:val="22"/>
        </w:rPr>
      </w:pPr>
      <w:r>
        <w:rPr>
          <w:rFonts w:eastAsia="Calibri"/>
          <w:noProof/>
          <w:sz w:val="22"/>
        </w:rPr>
        <w:sym w:font="Wingdings" w:char="F0A8"/>
      </w:r>
      <w:r>
        <w:rPr>
          <w:b/>
          <w:i/>
          <w:noProof/>
          <w:sz w:val="22"/>
        </w:rPr>
        <w:t xml:space="preserve"> </w:t>
      </w:r>
      <w:r>
        <w:rPr>
          <w:b/>
          <w:noProof/>
        </w:rPr>
        <w:t>ново действие</w:t>
      </w:r>
      <w:r>
        <w:rPr>
          <w:b/>
          <w:noProof/>
          <w:sz w:val="22"/>
        </w:rPr>
        <w:t xml:space="preserve"> </w:t>
      </w:r>
    </w:p>
    <w:p>
      <w:pPr>
        <w:ind w:left="850"/>
        <w:rPr>
          <w:rFonts w:eastAsia="Calibri"/>
          <w:noProof/>
          <w:sz w:val="22"/>
        </w:rPr>
      </w:pPr>
      <w:r>
        <w:rPr>
          <w:rFonts w:eastAsia="Calibri"/>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7"/>
      </w:r>
      <w:r>
        <w:rPr>
          <w:noProof/>
          <w:sz w:val="22"/>
        </w:rPr>
        <w:t xml:space="preserve"> </w:t>
      </w:r>
    </w:p>
    <w:p>
      <w:pPr>
        <w:ind w:left="850"/>
        <w:rPr>
          <w:rFonts w:eastAsia="Calibri"/>
          <w:noProof/>
          <w:sz w:val="22"/>
        </w:rPr>
      </w:pPr>
      <w:r>
        <w:rPr>
          <w:b/>
          <w:noProof/>
          <w:sz w:val="22"/>
        </w:rPr>
        <w:t>X</w:t>
      </w:r>
      <w:r>
        <w:rPr>
          <w:i/>
          <w:noProof/>
          <w:sz w:val="22"/>
        </w:rPr>
        <w:t xml:space="preserve"> </w:t>
      </w:r>
      <w:r>
        <w:rPr>
          <w:b/>
          <w:noProof/>
        </w:rPr>
        <w:t>продължаване на съществуващо действие</w:t>
      </w:r>
      <w:r>
        <w:rPr>
          <w:noProof/>
          <w:sz w:val="22"/>
        </w:rPr>
        <w:t xml:space="preserve"> </w:t>
      </w:r>
    </w:p>
    <w:p>
      <w:pPr>
        <w:ind w:left="850"/>
        <w:rPr>
          <w:rFonts w:eastAsia="Calibri"/>
          <w:noProof/>
        </w:rPr>
      </w:pPr>
      <w:r>
        <w:rPr>
          <w:rFonts w:eastAsia="Calibri"/>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keepNext/>
        <w:tabs>
          <w:tab w:val="left" w:pos="850"/>
        </w:tabs>
        <w:ind w:left="850" w:hanging="850"/>
        <w:outlineLvl w:val="1"/>
        <w:rPr>
          <w:rFonts w:eastAsia="Calibri"/>
          <w:b/>
          <w:noProof/>
        </w:rPr>
      </w:pPr>
      <w:bookmarkStart w:id="4" w:name="_Toc514941976"/>
      <w:bookmarkStart w:id="5" w:name="_Toc5205283"/>
      <w:r>
        <w:rPr>
          <w:b/>
          <w:noProof/>
        </w:rPr>
        <w:t>1.4.</w:t>
      </w:r>
      <w:r>
        <w:rPr>
          <w:noProof/>
        </w:rPr>
        <w:tab/>
      </w:r>
      <w:r>
        <w:rPr>
          <w:b/>
          <w:noProof/>
        </w:rPr>
        <w:t>Мотиви за предложението/инициативата</w:t>
      </w:r>
    </w:p>
    <w:bookmarkEnd w:id="4"/>
    <w:bookmarkEnd w:id="5"/>
    <w:p>
      <w:pPr>
        <w:keepNext/>
        <w:tabs>
          <w:tab w:val="left" w:pos="850"/>
        </w:tabs>
        <w:ind w:left="850" w:hanging="850"/>
        <w:outlineLvl w:val="1"/>
        <w:rPr>
          <w:rFonts w:eastAsia="Calibri"/>
          <w:i/>
          <w:noProof/>
        </w:rPr>
      </w:pPr>
      <w:r>
        <w:rPr>
          <w:i/>
          <w:noProof/>
        </w:rPr>
        <w:t>1.4.1.</w:t>
      </w:r>
      <w:r>
        <w:rPr>
          <w:noProof/>
        </w:rPr>
        <w:tab/>
      </w:r>
      <w:r>
        <w:rPr>
          <w:i/>
          <w:noProof/>
        </w:rPr>
        <w:t>Изисквания, които трябва да бъдат изпълнени в краткосрочна или дългосрочна перспектива, включително</w:t>
      </w:r>
      <w:r>
        <w:rPr>
          <w:noProof/>
        </w:rPr>
        <w:tab/>
      </w:r>
      <w:r>
        <w:rPr>
          <w:i/>
          <w:noProof/>
        </w:rPr>
        <w:t>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Европейският институт за иновации и технологии (EIT) е неразделна част от предложението на Комисията за „Хоризонт Европа“ (2021—2027 г.) в рамките на стълб „Отворени иновации“, но е с отделно правно основание (Регламента за EIT).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rPr>
        <w:t>Предложението за „Хоризонт Европа“</w:t>
      </w:r>
      <w:r>
        <w:rPr>
          <w:rStyle w:val="FootnoteReference"/>
          <w:noProof/>
        </w:rPr>
        <w:footnoteReference w:id="8"/>
      </w:r>
      <w:r>
        <w:rPr>
          <w:noProof/>
        </w:rPr>
        <w:t xml:space="preserve"> потвърди значението и приноса на EIT и ОЗИ за постигане на стратегическите приоритети на ЕС в областта на иновациите. В него се предлагат бюджетът на EIT за периода 2021—2027 г.</w:t>
      </w:r>
      <w:r>
        <w:rPr>
          <w:rStyle w:val="FootnoteReference"/>
          <w:noProof/>
        </w:rPr>
        <w:footnoteReference w:id="9"/>
      </w:r>
      <w:r>
        <w:rPr>
          <w:noProof/>
        </w:rPr>
        <w:t>, както и обхватът, добавената стойност и основни области на дейност на института, като същевременно посочва преразгледана роля на EIT с цел укрепване на неговия принос към целите на „Хоризонт Европа“.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Целта на инициативата е да се направи Регламентът за EIT съвместим с програмата „Хоризонт Европа“ и да се подобри функционирането на ЕИТ, като се вземат предвид извлечените поуки от последните години. Тя има за цел също така да предложи нова стратегическа иновационна програма (СИП), която определя стратегията и приоритетите на EIT за периода 2021—2027 г. и формулира неговите цели, основни дейности, очаквани резултати и необходими ресурси.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Цялостната мисия на EIT за периода 2021—2027 г. е да допринесе за устойчив европейски икономически растеж и конкурентоспособност чрез засилване на иновационния капацитет на държавите членки и на Съюза. Той постига това, като насърчава и обединява образователни, научноизследователски и иновационни дейности, които отговарят на най-високите стандарти.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продължи да действа най-вече чрез своите общности на знание и иновации (ОЗИ), широкомащабните европейски партньорства, които работят по конкретни обществени предизвикателства. Той ще продължи да усъвършенства иновационните екосистеми около тях, като насърчава интеграцията на трите страни на триъгълника на знанието. Всяка ОЗИ ще запази своята организационна структура, основаваща се на „центрове за съвместно ползване“, които са географски центрове, обединяващи участници от триъгълника на знанието и даващи възможност за географска близост и по-тясно сътрудничество.</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извършва дейности, насочени към:</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rPr>
      </w:pPr>
      <w:r>
        <w:rPr>
          <w:noProof/>
        </w:rPr>
        <w:t>укрепване на устойчивите иновационни системи в цяла Европа;</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rPr>
      </w:pPr>
      <w:r>
        <w:rPr>
          <w:noProof/>
        </w:rPr>
        <w:t xml:space="preserve"> насърчаване на развиването на предприемачески и иновационни умения в перспективата на учене през целия живот и подкрепа за трансформацията на висшите учебни заведения (ВУЗ) в ЕС в посока предприемачество;</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rPr>
      </w:pPr>
      <w:r>
        <w:rPr>
          <w:noProof/>
        </w:rPr>
        <w:t>представяне на пазара на нови решения на глобалните предизвикателства.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При изпълнението на своите дейности EIT ще развие полезни взаимодействия и ще генерира добавена стойност в рамките на „Хоризонт Европа“. Изпълнението ще се осъществи чрез подкрепа за ОЗИ и чрез координирани от EIT дейности.</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i/>
          <w:noProof/>
          <w:color w:val="000000"/>
          <w:u w:val="single"/>
        </w:rPr>
        <w:t>Подкрепа за ОЗИ: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консолидира осемте съществуващи ОЗИ, като насърчава техния растеж, и ще ги съпътства в техния преход към финансова устойчивост. По-специално това се отнася до първата вълна от три ОЗИ, създадени през 2009 г. в областта на климата (EIT „Климат“, EIT „Цифрови технологии“ и EIT InnoEnergy), чиито рамкови споразумения за партньорство ще приключат след 2024 г.</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даде също така началото на две нови ОЗИ в конкретни тематични области с цел справяне с бъдещите нововъзникващи глобални обществени предизвикателства и потребности (предвидени са покани за представяне на предложения през 2021 г. и 2024 г.).</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предоставя подкрепа на ОЗИ, които развиват набор от дейности на триъгълника на знанието, чрез:</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1 — </w:t>
      </w:r>
      <w:r>
        <w:rPr>
          <w:i/>
          <w:noProof/>
          <w:color w:val="000000"/>
        </w:rPr>
        <w:t xml:space="preserve">Образователни и обучителни дейности </w:t>
      </w:r>
      <w:r>
        <w:rPr>
          <w:noProof/>
          <w:color w:val="000000"/>
        </w:rPr>
        <w:t>със силни предприемачески елементи с цел обучаване на следващото поколение таланти, включително разработването и изпълнението на „програми на EIT“, по-специално на магистърско и докторско равнище (обозначение на EIT);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2 — </w:t>
      </w:r>
      <w:r>
        <w:rPr>
          <w:i/>
          <w:noProof/>
          <w:color w:val="000000"/>
        </w:rPr>
        <w:t>Дейности за подкрепа на иновациите</w:t>
      </w:r>
      <w:r>
        <w:rPr>
          <w:noProof/>
          <w:color w:val="000000"/>
        </w:rPr>
        <w:t xml:space="preserve"> с цел разработване на продукти и услуги, насочени към конкретна възможност за развиване на стопанска дейност;</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3 — </w:t>
      </w:r>
      <w:r>
        <w:rPr>
          <w:i/>
          <w:noProof/>
          <w:color w:val="000000"/>
        </w:rPr>
        <w:t>Дейности за създаване и подкрепа на предприятия</w:t>
      </w:r>
      <w:r>
        <w:rPr>
          <w:noProof/>
          <w:color w:val="000000"/>
        </w:rPr>
        <w:t>, като например ускорителни схеми за подпомагане на предприемачите да превръщат идеите си в успешни начинания, както и за ускоряване на процеса на растеж.</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i/>
          <w:noProof/>
          <w:color w:val="000000"/>
          <w:u w:val="single"/>
        </w:rPr>
        <w:t>Дейности, координирани от EIT: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EIT ще има за цел оказването на подкрепа на висшите учебни заведения (ВУЗ), за да се интегрират по-добре в иновационни вериги за създаване на стойност и екосистеми. EIT ще извършва чрез ОЗИ действия в подкрепа, обединяващи в проекти ВУЗ-ове и други важни участници в сферата на иновациите, като например предприятия, с цел работа по стратегически области за изграждане на капацитет. Партньорите ще споделят общи цели и ще работят заедно за реализиране на резултати от взаимен интерес. </w:t>
      </w:r>
      <w:r>
        <w:rPr>
          <w:noProof/>
        </w:rPr>
        <w:t xml:space="preserve">Действието ще гарантира приобщаващ подход за привличането на ВУЗ-ове извън партньорите на ОЗИ; интердисциплинарен и междусекторен подход; и връзка със стратегията за интелигентна специализация на Европейската комисия, както и със съответни тематични платформи и РИС на EIT.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ще увеличи своя регионален иновационен обхват и свързаното въздействие чрез регионалната иновационна схема и новите дейности, координирани от EIT.</w:t>
      </w:r>
    </w:p>
    <w:p>
      <w:pPr>
        <w:keepNext/>
        <w:tabs>
          <w:tab w:val="left" w:pos="850"/>
        </w:tabs>
        <w:ind w:left="850" w:hanging="850"/>
        <w:outlineLvl w:val="1"/>
        <w:rPr>
          <w:rFonts w:eastAsia="Calibri"/>
          <w:i/>
          <w:noProof/>
        </w:rPr>
      </w:pPr>
      <w:r>
        <w:rPr>
          <w:i/>
          <w:noProof/>
        </w:rPr>
        <w:t>1.4.2.</w:t>
      </w:r>
      <w:r>
        <w:rPr>
          <w:noProof/>
        </w:rPr>
        <w:tab/>
      </w:r>
      <w:r>
        <w:rPr>
          <w:i/>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Основания за действие на европейско равнище (ex-ante)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Характерът и мащабът на свързаните с иновациите предизвикателства изискват мобилизиране на действащите лица и ресурсите в европейски мащаб, като се поощрява трансграничното сътрудничество. Необходимо е да се премахне изолацията по дисциплини и по вериги за създаване на стойност, както и да се насърчи създаването на благоприятна среда за ефективен обмен на знания и експертен опит с цел развитие и привличане на талантливи предприемачи.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В оценката на въздействието на „Хоризонт Европа“ бяха посочени конкретни структурни слабости по отношение на иновационния капацитет на ЕС, които трябва да бъдат преодолени на равнището на ЕС и трябва да бъдат в центъра на приноса на EIT. По-специално европейските ВУЗ-ове са приканени да стимулират предприемачеството, да преодолеят междудисциплинарните граници и да институционализират силно, покриващо целия ЕС, извъндисциплинарно сътрудничество между академичните и промишлените среди. Основни съставки за развиването на иновационна екосистема са достъпът до талантливи предприемачи и до професионални услуги, капитал и пазари на равнището на ЕС, както и обединяването на ключови участници в областта на иновациите около обща цел. Необходимо е да се координират усилията в целия ЕС, за да се създаде критична маса от взаимосвързани предприемачески клъстери и екосистеми в целия ЕС. Намеса от тази степен и в такъв мащаб надхвърля това, което държавите членки могат да направят самостоятелно, и изисква действие на равнището на ЕС.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Очаквана генерирана добавена стойност от Съюза (ex-post)</w:t>
      </w:r>
    </w:p>
    <w:p>
      <w:pPr>
        <w:pBdr>
          <w:top w:val="single" w:sz="4" w:space="1" w:color="auto"/>
          <w:left w:val="single" w:sz="4" w:space="4" w:color="auto"/>
          <w:bottom w:val="single" w:sz="4" w:space="1" w:color="auto"/>
          <w:right w:val="single" w:sz="4" w:space="4" w:color="auto"/>
        </w:pBdr>
        <w:spacing w:before="0" w:after="0"/>
        <w:ind w:left="850"/>
        <w:rPr>
          <w:rFonts w:eastAsia="Calibri"/>
          <w:noProof/>
          <w:color w:val="000000"/>
        </w:rPr>
      </w:pPr>
      <w:r>
        <w:rPr>
          <w:noProof/>
          <w:color w:val="000000"/>
        </w:rPr>
        <w:t>Очаква се EIT да изпълни своите цели за периода 2021—2027 г., посочени в предложението за „Хоризонт Европа“. Конкретните ползи от инвестициите на ЕС в EIT са:</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създаването на нова среда, благоприятна за сътрудничество и иновации;</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засилен капацитет за иновации на академичния и научноизследователския сектор;</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ново поколение предприемачи;</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създаването и развиването на иновационни начинания;</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noProof/>
        </w:rPr>
        <w:t>— по-широк регионален обхват на иновационните дейности на EIT.</w:t>
      </w:r>
    </w:p>
    <w:p>
      <w:pPr>
        <w:keepNext/>
        <w:tabs>
          <w:tab w:val="left" w:pos="850"/>
        </w:tabs>
        <w:ind w:left="850" w:hanging="850"/>
        <w:outlineLvl w:val="1"/>
        <w:rPr>
          <w:rFonts w:eastAsia="Calibri"/>
          <w:i/>
          <w:noProof/>
        </w:rPr>
      </w:pPr>
      <w:bookmarkStart w:id="6" w:name="_Toc514941979"/>
      <w:r>
        <w:rPr>
          <w:i/>
          <w:noProof/>
        </w:rPr>
        <w:t>1.4.3.</w:t>
      </w:r>
      <w:r>
        <w:rPr>
          <w:noProof/>
        </w:rPr>
        <w:tab/>
      </w:r>
      <w:r>
        <w:rPr>
          <w:i/>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EIT беше създаден през 2008 г., за да отговори на големите обществени предизвикателства чрез подобряване на иновационния капацитет и резултати на ЕС. През 2017 г. междинната оценка на EIT стига до заключението, че EIT продължава да е от голямо значение и има ясна добавена стойност за ЕС. Не съществува друг инструмент за изграждане на иновационни мрежи в целия ЕС в областта на образованието, научните изследвания, бизнеса и други заинтересовани страни.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EIT е създал иновационна екосистема на Европа с над 1 200 партньори от стопанската сфера, научните изследвания и образованието, организирани в 8 общности за знания и иновации (ОЗИ), обхващащи над 40 центъра за съвместно ползване. Повече от 50 % от партньорите са от стопанския сектор (промишленост, МСП и стартиращи предприятия) и са доказателство, че инструментът е в тясна връзка с пазара. Общността на ЕИТ носи резултати: над 600 нови продукти и услуги са пуснати на пазара, повече от 1 250 стартиращи и иновативни предприятия са получили помощ, направени са повече от 890 милиона евро външни инвестиции; и са създадени повече от 6 000 работни места. Първата група от приблизително 1 700 дипломирани студенти от магистърски „програми на EIT“ навлизат сега на пазара на труда.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Характерът на EIT като независим орган му позволява да бъде гъвкав, автономен, отчитащ нуждите на бизнеса и енергичен при вземането на решения. Срокът за отпускане на безвъзмездни средства е 4 месеца в сравнение със средно 6 месеца при „Хоризонт 2020“. Правилата за конкурентно финансиране, финансова устойчивост и опростяване стимулират иновациите в ОЗИ. Административните разходи на EIT са много ниски, като са по-малко от 2 % от общия бюджет в сравнение със средно 4,6 %, отчетени за „Хоризонт 2020“.</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За периода 2021—2027 г. основните подобрения на EIT ще имат за цел по-специално:</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допълнително опростяване на процедурите за ефикасно управление на ОЗИ (например с въвеждането на нов механизъм за съфинансиране, многогодишност на безвъзмездните средства и др.);</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 подкрепа за по-доброто интегриране на ВУЗ-овете във веригите за създаване на стойност и екосистемите на иновациите;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дейност по отношение на повече глобални предизвикателства чрез създаването на две нови ОЗИ;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rPr>
        <w:t xml:space="preserve">— засилване на откритостта и прозрачността на ОЗИ и привеждането им в съответствие с предложения подход за европейските партньорства в рамките на „Хоризонт Европа“;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повишаване на въздействието на EIT на регионално и местно равнище, и по-специално в държави с по-ниски резултати в областта на иновациите;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повишаване на видимостта на действията на ЕИТ в държавите членки и извън тях;</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повишаване на полезните взаимодействия и взаимното допълване с „Хоризонт Европа“ и други инструменти на ЕС и на държавите членки.</w:t>
      </w:r>
    </w:p>
    <w:bookmarkEnd w:id="6"/>
    <w:p>
      <w:pPr>
        <w:keepNext/>
        <w:tabs>
          <w:tab w:val="left" w:pos="850"/>
        </w:tabs>
        <w:ind w:left="850" w:hanging="850"/>
        <w:outlineLvl w:val="1"/>
        <w:rPr>
          <w:rFonts w:eastAsia="Calibri"/>
          <w:i/>
          <w:noProof/>
        </w:rPr>
      </w:pPr>
      <w:r>
        <w:rPr>
          <w:i/>
          <w:noProof/>
        </w:rPr>
        <w:t>1.4.4.</w:t>
      </w:r>
      <w:r>
        <w:rPr>
          <w:noProof/>
        </w:rPr>
        <w:tab/>
      </w:r>
      <w:r>
        <w:rPr>
          <w:i/>
          <w:noProof/>
        </w:rPr>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Въз основа на широкия си обхват на действие и своята отличителна роля EIT е в състояние да създаде полезни взаимодействия и да осигури взаимно допълване с други програми или инструменти на ЕС, включително чрез засилване на своята подкрепа за ОЗИ при техните дейности по планиране и изпълнение. Неизчерпателният списък по-долу предлага конкретни примери, когато EIT ще допринесе за полезни взаимодействия в средносрочен и дългосрочен план в рамките на и отвъд „Хоризонт Европа“.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„Хоризонт Европа“:</w:t>
      </w:r>
      <w:r>
        <w:rPr>
          <w:noProof/>
          <w:color w:val="000000"/>
        </w:rPr>
        <w:t xml:space="preserve"> Очакват се силни полезни взаимодействия между EIT и програмата „Хоризонт Европа“. По-специално полезните взаимодействия с ЕСИ ще бъдат от ключово значение за въздействието на стълба „Отворени иновации“, както и за подкрепата за екосистемите.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В стълба [„Глобални предизвикателства и конкурентоспособност на промишлеността“], чрез своите ОЗИ, EIT може да си сътрудничи с европейските партньорства, да допринася за мисии, да оказва подкрепа на мерките по отношение на търсенето и да предоставя услуги за използването с цел насърчаване на трансфера на технологии и ускоряване на търговската реализация на резултатите, постигнати чрез тематичните клъстери или други европейски партньорства.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„Еразъм“:</w:t>
      </w:r>
      <w:r>
        <w:rPr>
          <w:noProof/>
          <w:color w:val="000000"/>
        </w:rPr>
        <w:t xml:space="preserve"> Програмата „Еразъм“ и EIT ще създадат полезни взаимодействия между съответните си общности. Сътрудничеството ще бъде насочено към предоставянето на учащи по „Еразъм“, записани в партниращи си с ОЗИ институции за образование и обучение, на достъп до летни училища или други съответни дейности на ОЗИ за обучение (например за предприемачество и управление на иновации) и възможност за установяване на контакти с мрежата на бившите възпитаници на ОЗИ.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При възможност ще бъдат осигурени полезни взаимодействия с инициативата за европейските университети, които биха могли да спомогнат за интегриране на обучителните и образователните дейности на EIT, така че да се постигне системно въздействие.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Програма „Цифрова Европа“:</w:t>
      </w:r>
      <w:r>
        <w:rPr>
          <w:noProof/>
          <w:color w:val="000000"/>
        </w:rPr>
        <w:t xml:space="preserve"> Центровете за съвместно ползване към ОЗИ ще си сътрудничат с европейските цифрови иновационни центрове с цел подпомагане на цифровата трансформация на промишлеността и организациите от публичния сектор.</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Фондовете на политиката на сближаване (по-специално ЕФРР и ЕСИФ+):</w:t>
      </w:r>
      <w:r>
        <w:rPr>
          <w:noProof/>
          <w:color w:val="000000"/>
        </w:rPr>
        <w:t xml:space="preserve"> ОЗИ към EIT, чрез своите центрове за съвместно ползване, ще насърчават регионалното и междурегионалното сътрудничество между страните в триъгълника на знанието (образование, научни изследвания, предприятия) и управляващите органи, като се осъществява взаимодействие с работата на Европейската комисия за междурегионално сътрудничество и инвестиции в свързаните приоритети за интелигентната специализация.</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InvestEU:</w:t>
      </w:r>
      <w:r>
        <w:rPr>
          <w:noProof/>
          <w:color w:val="000000"/>
        </w:rPr>
        <w:t xml:space="preserve"> ОЗИ към EIT ще търсят съдействието на консултантския център на InvestEU за предоставянето на техническа подкрепа и помощ за поддържани от ОЗИ предприятия при изготвянето, разработването и изпълнението на проекти.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u w:val="single"/>
        </w:rPr>
        <w:t>„Творческа Европа“:</w:t>
      </w:r>
      <w:r>
        <w:rPr>
          <w:noProof/>
          <w:color w:val="000000"/>
        </w:rPr>
        <w:t xml:space="preserve"> Програмата ще бъде от особено значение за дейностите на евентуална бъдеща ОЗИ с насоченост към секторите на културата и творчеството. Ще бъдат развити силни полезни взаимодействия и взаимно допълване с програмата в области, като например творческите умения, работните места и бизнес моделите.</w:t>
      </w:r>
    </w:p>
    <w:p>
      <w:pPr>
        <w:keepNext/>
        <w:tabs>
          <w:tab w:val="left" w:pos="850"/>
        </w:tabs>
        <w:ind w:left="850" w:hanging="850"/>
        <w:outlineLvl w:val="1"/>
        <w:rPr>
          <w:rFonts w:eastAsia="Calibri"/>
          <w:b/>
          <w:noProof/>
        </w:rPr>
      </w:pPr>
      <w:r>
        <w:rPr>
          <w:noProof/>
        </w:rPr>
        <w:br w:type="page"/>
      </w:r>
      <w:r>
        <w:rPr>
          <w:b/>
          <w:noProof/>
        </w:rPr>
        <w:t>1.5.</w:t>
      </w:r>
      <w:r>
        <w:rPr>
          <w:noProof/>
        </w:rPr>
        <w:tab/>
      </w:r>
      <w:r>
        <w:rPr>
          <w:b/>
          <w:noProof/>
        </w:rPr>
        <w:t>Срок на действие и финансово отражение</w:t>
      </w:r>
    </w:p>
    <w:p>
      <w:pPr>
        <w:ind w:left="850"/>
        <w:rPr>
          <w:rFonts w:eastAsia="Calibri"/>
          <w:noProof/>
        </w:rPr>
      </w:pPr>
      <w:r>
        <w:rPr>
          <w:b/>
          <w:noProof/>
        </w:rPr>
        <w:t>X</w:t>
      </w:r>
      <w:r>
        <w:rPr>
          <w:b/>
          <w:i/>
          <w:noProof/>
        </w:rPr>
        <w:t xml:space="preserve"> </w:t>
      </w:r>
      <w:r>
        <w:rPr>
          <w:b/>
          <w:noProof/>
        </w:rPr>
        <w:t xml:space="preserve">ограничен срок на действие </w:t>
      </w:r>
    </w:p>
    <w:p>
      <w:pPr>
        <w:tabs>
          <w:tab w:val="num" w:pos="1134"/>
        </w:tabs>
        <w:ind w:left="1134" w:hanging="283"/>
        <w:rPr>
          <w:rFonts w:eastAsia="Calibri"/>
          <w:noProof/>
        </w:rPr>
      </w:pPr>
      <w:r>
        <w:rPr>
          <w:b/>
          <w:noProof/>
        </w:rPr>
        <w:t>X</w:t>
      </w:r>
      <w:r>
        <w:rPr>
          <w:noProof/>
        </w:rPr>
        <w:tab/>
        <w:t xml:space="preserve">в действие от [01/01]2021 г. до [31/12]2027 г. </w:t>
      </w:r>
    </w:p>
    <w:p>
      <w:pPr>
        <w:tabs>
          <w:tab w:val="num" w:pos="1134"/>
        </w:tabs>
        <w:ind w:left="1134" w:hanging="283"/>
        <w:rPr>
          <w:rFonts w:eastAsia="Calibri"/>
          <w:noProof/>
        </w:rPr>
      </w:pPr>
      <w:r>
        <w:rPr>
          <w:b/>
          <w:noProof/>
        </w:rPr>
        <w:t>X</w:t>
      </w:r>
      <w:r>
        <w:rPr>
          <w:noProof/>
        </w:rPr>
        <w:tab/>
        <w:t xml:space="preserve">финансово отражение от 2021 г. до 2027 г. за бюджетните кредити за поети задължения и от 2021 г. до 2029 г. за бюджетните кредити за плащания. </w:t>
      </w:r>
    </w:p>
    <w:p>
      <w:pPr>
        <w:ind w:left="850"/>
        <w:rPr>
          <w:rFonts w:eastAsia="Calibri"/>
          <w:noProof/>
        </w:rPr>
      </w:pPr>
      <w:r>
        <w:rPr>
          <w:rFonts w:eastAsia="Calibri"/>
          <w:noProof/>
        </w:rPr>
        <w:sym w:font="Wingdings" w:char="F0A8"/>
      </w:r>
      <w:r>
        <w:rPr>
          <w:b/>
          <w:i/>
          <w:noProof/>
        </w:rPr>
        <w:t xml:space="preserve"> </w:t>
      </w:r>
      <w:r>
        <w:rPr>
          <w:b/>
          <w:noProof/>
        </w:rPr>
        <w:t>неограничен срок на действие</w:t>
      </w:r>
    </w:p>
    <w:p>
      <w:pPr>
        <w:tabs>
          <w:tab w:val="num" w:pos="1134"/>
        </w:tabs>
        <w:ind w:left="1134" w:hanging="283"/>
        <w:rPr>
          <w:rFonts w:eastAsia="Calibri"/>
          <w:noProof/>
        </w:rPr>
      </w:pPr>
      <w:r>
        <w:rPr>
          <w:noProof/>
        </w:rPr>
        <w:t>Изпълнение с период на започване на дейност от ГГГГ до ГГГГ,</w:t>
      </w:r>
    </w:p>
    <w:p>
      <w:pPr>
        <w:tabs>
          <w:tab w:val="num" w:pos="1134"/>
        </w:tabs>
        <w:ind w:left="1134" w:hanging="283"/>
        <w:rPr>
          <w:rFonts w:eastAsia="Calibri"/>
          <w:noProof/>
        </w:rPr>
      </w:pPr>
      <w:r>
        <w:rPr>
          <w:noProof/>
        </w:rPr>
        <w:t>последван от функциониране с пълен капацитет.</w:t>
      </w:r>
    </w:p>
    <w:p>
      <w:pPr>
        <w:keepNext/>
        <w:tabs>
          <w:tab w:val="left" w:pos="850"/>
        </w:tabs>
        <w:ind w:left="850" w:hanging="850"/>
        <w:outlineLvl w:val="1"/>
        <w:rPr>
          <w:rFonts w:eastAsia="Calibri"/>
          <w:b/>
          <w:noProof/>
          <w:szCs w:val="24"/>
        </w:rPr>
      </w:pPr>
      <w:bookmarkStart w:id="7" w:name="_Toc514941981"/>
      <w:bookmarkStart w:id="8" w:name="_Toc5205288"/>
      <w:r>
        <w:rPr>
          <w:b/>
          <w:noProof/>
        </w:rPr>
        <w:t>1.6.</w:t>
      </w:r>
      <w:r>
        <w:rPr>
          <w:noProof/>
        </w:rPr>
        <w:tab/>
      </w:r>
      <w:r>
        <w:rPr>
          <w:b/>
          <w:noProof/>
        </w:rPr>
        <w:t>Планирани методи на управление</w:t>
      </w:r>
      <w:r>
        <w:rPr>
          <w:rStyle w:val="FootnoteReference"/>
          <w:noProof/>
        </w:rPr>
        <w:footnoteReference w:id="10"/>
      </w:r>
      <w:bookmarkEnd w:id="7"/>
      <w:bookmarkEnd w:id="8"/>
      <w:r>
        <w:rPr>
          <w:b/>
          <w:noProof/>
          <w:vertAlign w:val="superscript"/>
        </w:rPr>
        <w:t xml:space="preserve"> </w:t>
      </w:r>
    </w:p>
    <w:p>
      <w:pPr>
        <w:ind w:left="850"/>
        <w:rPr>
          <w:rFonts w:eastAsia="Calibri"/>
          <w:noProof/>
        </w:rPr>
      </w:pPr>
      <w:r>
        <w:rPr>
          <w:rFonts w:eastAsia="Calibri"/>
          <w:noProof/>
        </w:rPr>
        <w:sym w:font="Wingdings" w:char="F0A8"/>
      </w:r>
      <w:r>
        <w:rPr>
          <w:noProof/>
        </w:rPr>
        <w:t xml:space="preserve"> </w:t>
      </w:r>
      <w:r>
        <w:rPr>
          <w:b/>
          <w:noProof/>
        </w:rPr>
        <w:t>Пряко управление</w:t>
      </w:r>
      <w:r>
        <w:rPr>
          <w:noProof/>
        </w:rPr>
        <w:t xml:space="preserve"> от Комисията</w:t>
      </w:r>
    </w:p>
    <w:p>
      <w:pPr>
        <w:tabs>
          <w:tab w:val="num" w:pos="1134"/>
        </w:tabs>
        <w:ind w:left="1134" w:hanging="283"/>
        <w:rPr>
          <w:rFonts w:eastAsia="Calibri"/>
          <w:noProof/>
        </w:rPr>
      </w:pPr>
      <w:r>
        <w:rPr>
          <w:rFonts w:eastAsia="Calibri"/>
          <w:noProof/>
        </w:rPr>
        <w:sym w:font="Wingdings" w:char="F0A8"/>
      </w:r>
      <w:r>
        <w:rPr>
          <w:noProof/>
        </w:rPr>
        <w:t xml:space="preserve"> от нейните служби, включително от нейния персонал в делегациите на Съюза; </w:t>
      </w:r>
    </w:p>
    <w:p>
      <w:pPr>
        <w:tabs>
          <w:tab w:val="num" w:pos="1134"/>
        </w:tabs>
        <w:ind w:left="1134" w:hanging="283"/>
        <w:rPr>
          <w:rFonts w:eastAsia="Calibri"/>
          <w:noProof/>
        </w:rPr>
      </w:pPr>
      <w:r>
        <w:rPr>
          <w:rFonts w:eastAsia="Calibri"/>
          <w:noProof/>
        </w:rPr>
        <w:sym w:font="Wingdings" w:char="F0A8"/>
      </w:r>
      <w:r>
        <w:rPr>
          <w:noProof/>
        </w:rPr>
        <w:tab/>
        <w:t xml:space="preserve">от изпълнителните агенции. </w:t>
      </w:r>
    </w:p>
    <w:p>
      <w:pPr>
        <w:ind w:left="850"/>
        <w:rPr>
          <w:rFonts w:eastAsia="Calibri"/>
          <w:noProof/>
        </w:rPr>
      </w:pPr>
      <w:r>
        <w:rPr>
          <w:rFonts w:eastAsia="Calibri"/>
          <w:noProof/>
        </w:rPr>
        <w:sym w:font="Wingdings" w:char="F0A8"/>
      </w:r>
      <w:r>
        <w:rPr>
          <w:noProof/>
        </w:rPr>
        <w:t xml:space="preserve"> </w:t>
      </w:r>
      <w:r>
        <w:rPr>
          <w:b/>
          <w:noProof/>
        </w:rPr>
        <w:t>Споделено управление</w:t>
      </w:r>
      <w:r>
        <w:rPr>
          <w:noProof/>
        </w:rPr>
        <w:t xml:space="preserve"> с държавите членки </w:t>
      </w:r>
    </w:p>
    <w:p>
      <w:pPr>
        <w:ind w:left="850"/>
        <w:rPr>
          <w:rFonts w:eastAsia="Calibri"/>
          <w:noProof/>
        </w:rPr>
      </w:pPr>
      <w:r>
        <w:rPr>
          <w:b/>
          <w:noProof/>
        </w:rPr>
        <w:t>X</w:t>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tabs>
          <w:tab w:val="num" w:pos="1134"/>
        </w:tabs>
        <w:ind w:left="1134" w:hanging="283"/>
        <w:rPr>
          <w:rFonts w:eastAsia="Calibri"/>
          <w:noProof/>
        </w:rPr>
      </w:pPr>
      <w:r>
        <w:rPr>
          <w:rFonts w:eastAsia="Calibri"/>
          <w:noProof/>
        </w:rPr>
        <w:sym w:font="Wingdings" w:char="F0A8"/>
      </w:r>
      <w:r>
        <w:rPr>
          <w:noProof/>
        </w:rPr>
        <w:t xml:space="preserve"> трети държави или на органите, определени от тях;</w:t>
      </w:r>
    </w:p>
    <w:p>
      <w:pPr>
        <w:tabs>
          <w:tab w:val="num" w:pos="1134"/>
        </w:tabs>
        <w:ind w:left="1134" w:hanging="283"/>
        <w:rPr>
          <w:rFonts w:eastAsia="Calibri"/>
          <w:noProof/>
        </w:rPr>
      </w:pPr>
      <w:r>
        <w:rPr>
          <w:rFonts w:eastAsia="Calibri"/>
          <w:noProof/>
        </w:rPr>
        <w:sym w:font="Wingdings" w:char="F0A8"/>
      </w:r>
      <w:r>
        <w:rPr>
          <w:noProof/>
        </w:rPr>
        <w:t xml:space="preserve"> международни организации и техните агенции (да се уточни);</w:t>
      </w:r>
    </w:p>
    <w:p>
      <w:pPr>
        <w:tabs>
          <w:tab w:val="num" w:pos="1134"/>
        </w:tabs>
        <w:ind w:left="1134" w:hanging="283"/>
        <w:rPr>
          <w:rFonts w:eastAsia="Calibri"/>
          <w:noProof/>
        </w:rPr>
      </w:pPr>
      <w:r>
        <w:rPr>
          <w:rFonts w:eastAsia="Calibri"/>
          <w:noProof/>
        </w:rPr>
        <w:sym w:font="Wingdings" w:char="F0A8"/>
      </w:r>
      <w:r>
        <w:rPr>
          <w:noProof/>
        </w:rPr>
        <w:t xml:space="preserve"> ЕИБ и Европейския инвестиционен фонд;</w:t>
      </w:r>
    </w:p>
    <w:p>
      <w:pPr>
        <w:tabs>
          <w:tab w:val="num" w:pos="1134"/>
        </w:tabs>
        <w:ind w:left="1134" w:hanging="283"/>
        <w:rPr>
          <w:rFonts w:eastAsia="Calibri"/>
          <w:noProof/>
        </w:rPr>
      </w:pPr>
      <w:r>
        <w:rPr>
          <w:b/>
          <w:noProof/>
        </w:rPr>
        <w:t>X</w:t>
      </w:r>
      <w:r>
        <w:rPr>
          <w:noProof/>
        </w:rPr>
        <w:t xml:space="preserve"> органите, посочени в членове 70 и 71 от Финансовия регламент;</w:t>
      </w:r>
    </w:p>
    <w:p>
      <w:pPr>
        <w:tabs>
          <w:tab w:val="num" w:pos="1134"/>
        </w:tabs>
        <w:ind w:left="1134" w:hanging="283"/>
        <w:rPr>
          <w:rFonts w:eastAsia="Calibri"/>
          <w:noProof/>
        </w:rPr>
      </w:pPr>
      <w:r>
        <w:rPr>
          <w:rFonts w:eastAsia="Calibri"/>
          <w:noProof/>
        </w:rPr>
        <w:sym w:font="Wingdings" w:char="F0A8"/>
      </w:r>
      <w:r>
        <w:rPr>
          <w:noProof/>
        </w:rPr>
        <w:t xml:space="preserve"> публичноправни органи;</w:t>
      </w:r>
    </w:p>
    <w:p>
      <w:pPr>
        <w:tabs>
          <w:tab w:val="num" w:pos="1134"/>
        </w:tabs>
        <w:ind w:left="1134" w:hanging="283"/>
        <w:rPr>
          <w:rFonts w:eastAsia="Calibri"/>
          <w:noProof/>
        </w:rPr>
      </w:pPr>
      <w:r>
        <w:rPr>
          <w:rFonts w:eastAsia="Calibri"/>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Calibri"/>
          <w:noProof/>
        </w:rPr>
      </w:pPr>
      <w:r>
        <w:rPr>
          <w:rFonts w:eastAsia="Calibri"/>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Calibri"/>
          <w:noProof/>
        </w:rPr>
      </w:pPr>
      <w:r>
        <w:rPr>
          <w:rFonts w:eastAsia="Calibri"/>
          <w:noProof/>
        </w:rPr>
        <w:sym w:font="Wingdings" w:char="F0A8"/>
      </w:r>
      <w:r>
        <w:rPr>
          <w:noProof/>
        </w:rPr>
        <w:t xml:space="preserve"> 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pPr>
        <w:tabs>
          <w:tab w:val="num" w:pos="1134"/>
        </w:tabs>
        <w:ind w:left="1134" w:hanging="283"/>
        <w:rPr>
          <w:rFonts w:eastAsia="Calibri"/>
          <w:i/>
          <w:noProof/>
          <w:sz w:val="18"/>
          <w:u w:val="single"/>
        </w:rPr>
      </w:pPr>
      <w:r>
        <w:rPr>
          <w:i/>
          <w:noProof/>
          <w:sz w:val="18"/>
        </w:rPr>
        <w:t>Ако е посочен повече от един метод на управление, пояснете в частта „Забележки“.</w:t>
      </w:r>
    </w:p>
    <w:p>
      <w:pPr>
        <w:rPr>
          <w:rFonts w:eastAsia="Calibri"/>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rFonts w:eastAsia="Calibri"/>
          <w:b/>
          <w:smallCaps/>
          <w:noProof/>
        </w:rPr>
      </w:pPr>
      <w:bookmarkStart w:id="9" w:name="_Toc514941983"/>
      <w:bookmarkStart w:id="10" w:name="_Toc5205290"/>
      <w:r>
        <w:rPr>
          <w:b/>
          <w:smallCaps/>
          <w:noProof/>
        </w:rPr>
        <w:t>2.</w:t>
      </w:r>
      <w:r>
        <w:rPr>
          <w:noProof/>
        </w:rPr>
        <w:tab/>
      </w:r>
      <w:r>
        <w:rPr>
          <w:b/>
          <w:smallCaps/>
          <w:noProof/>
        </w:rPr>
        <w:t>МЕРКИ ЗА УПРАВЛЕНИЕ</w:t>
      </w:r>
    </w:p>
    <w:bookmarkEnd w:id="9"/>
    <w:bookmarkEnd w:id="10"/>
    <w:p>
      <w:pPr>
        <w:keepNext/>
        <w:outlineLvl w:val="1"/>
        <w:rPr>
          <w:rFonts w:eastAsia="Calibri"/>
          <w:b/>
          <w:bCs/>
          <w:noProof/>
          <w:szCs w:val="26"/>
        </w:rPr>
      </w:pPr>
      <w:r>
        <w:rPr>
          <w:b/>
          <w:noProof/>
        </w:rPr>
        <w:t>2.1.</w:t>
      </w:r>
      <w:r>
        <w:rPr>
          <w:noProof/>
        </w:rPr>
        <w:tab/>
      </w:r>
      <w:r>
        <w:rPr>
          <w:b/>
          <w:noProof/>
        </w:rPr>
        <w:t>Правила за наблюдение и докладване</w:t>
      </w:r>
      <w:r>
        <w:rPr>
          <w:b/>
          <w:noProof/>
          <w:sz w:val="16"/>
        </w:rPr>
        <w:t xml:space="preserve"> </w:t>
      </w:r>
    </w:p>
    <w:p>
      <w:pPr>
        <w:ind w:left="850"/>
        <w:rPr>
          <w:rFonts w:eastAsia="Calibri"/>
          <w:i/>
          <w:noProof/>
          <w:sz w:val="20"/>
        </w:rPr>
      </w:pPr>
      <w:r>
        <w:rPr>
          <w:i/>
          <w:noProof/>
          <w:sz w:val="20"/>
        </w:rPr>
        <w:t>Да се посочат честотата и условията.</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rPr>
        <w:t xml:space="preserve">EIT ще прилага рамка за оценка и наблюдение, която позволява гъвкавост на всички съответни равнища и осигурява съгласуваност с общите цели на „Хоризонт Европа“ и желаните въздействия. </w:t>
      </w:r>
      <w:r>
        <w:rPr>
          <w:noProof/>
          <w:color w:val="000000"/>
        </w:rPr>
        <w:t xml:space="preserve">По-специално ще бъдат осигурени вериги за обратна информация между Комисията, EIT и ОЗИ, така че към целите да се подхожда по последователен, съгласуван и ефективен начин.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НАБЛЮДЕНИЕ</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Наблюдението на EIT ще бъде организирано на следните равнища:</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1. Наблюдението на изпълнението на оперативния му бюджет, главно чрез ОЗИ, ще бъде основна задача на EIT. Комисията ще вземе участие в съвместното проектиране на всички съответни инструменти за въздействие и наблюдение, разработени или прилагани от EIT, за да се гарантират съвместимост и съгласуваност с цялостната система за наблюдение на „Хоризонт Европа“, включително основните пътища на въздействие, рамката на критериите за европейски партньорства и процеса на стратегическото планиране.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EIT ще има отговорността да наблюдава редовно оперативното изпълнение и резултати на ОЗИ и да адаптира постоянно системите си за наблюдение. Резултатите от това наблюдение ще бъдат включени в процесите на планиране на дейността на ОЗИ, както и в процеса на вземане на решения от EIT относно разпределението на бюджета и подготовката на рамковите споразумения за партньорство и специфичните споразумения за предоставяне на безвъзмездни средства на ОЗИ като бенефициери.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2. Наблюдение на дейността на самия EIT (вложени ресурси, резултати и въздействие на дейностите), съчетаващо количествени и качествени показатели в средносрочен план. След предоставянето на пълна финансова автономия на EIT през януари 2018 г., между EIT и Комисията (ГД „Образование и култура“) бе подписан меморандум за разбирателство (МР). В този меморандум се определят условията за сътрудничество между тях, както и подробни разпоредби, отнасящи се до предоставянето на финансовия принос от страна на общия бюджет на Европейския съюз на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С това наблюдение на дейностите на ЕИТ ще се проследява степента на постигане на СИП и на единния програмен документ чрез анализ на неговите показатели. С него също така ще се измерват например изпълнението от страна на EIT по отношение на предоставяната подкрепа за ОЗИ, управлението на проекти, свързани с координираните от EIT дейности, честотата и обхватът на дейностите за популяризиране (брой семинари и проведени мероприятия за представяне на най-добри практики), разпространението на резултатите и международните дейности, както и въздействието на EIT върху програмите на по-широката европейска политика в областта на иновациите, научните изследвания и образованието.</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3.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Комисията ще извърши периодичните оценки на дейностите на ЕИТ, включително тези, управлявани посредством ОЗИ, през 2023 г. и 2026 г. в съответствие с Регламента за създаване на EIT и Регламента относно „Хоризонт Европа“. В тях ще бъдат оценени дейностите на EIT от гледна точка на ефективността, ефикасността, значимостта, съгласуваността и добавената стойност от ЕС. Те ще се основават на независими външни оценки и ще допринесат за междинната и последващата оценка на цялостната програма „Хоризонт Европа“ с оглед осигуряване на полезни взаимодействия между ЕИТ и другите части на програмата. Освен това Комисията може по всяко време да прави допълнителни оценки на теми или области от стратегическо значение. Полезните взаимодействия между планираните дейности на EIT и други програми на ЕС следва да се гарантират посредством оценката от Комисията на единния програмен документ на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ДОКЛАДВАНЕ</w:t>
      </w:r>
    </w:p>
    <w:p>
      <w:pPr>
        <w:pBdr>
          <w:top w:val="single" w:sz="4" w:space="1" w:color="auto"/>
          <w:left w:val="single" w:sz="4" w:space="0" w:color="auto"/>
          <w:bottom w:val="single" w:sz="4" w:space="1" w:color="auto"/>
          <w:right w:val="single" w:sz="4" w:space="4" w:color="auto"/>
        </w:pBdr>
        <w:ind w:left="850"/>
        <w:rPr>
          <w:rFonts w:eastAsia="Calibri"/>
          <w:noProof/>
        </w:rPr>
      </w:pPr>
      <w:r>
        <w:rPr>
          <w:noProof/>
        </w:rPr>
        <w:t>EIT е орган на Съюза, получаващ субсидия от бюджета на Европейския съюз. От гледна точка на финансовото управление и контрол EIT ще се третира като други органи, създадени съгласно Договора. Това означава, че Междуинституционалното споразумение</w:t>
      </w:r>
      <w:r>
        <w:rPr>
          <w:rStyle w:val="FootnoteReference"/>
          <w:noProof/>
        </w:rPr>
        <w:footnoteReference w:id="11"/>
      </w:r>
      <w:r>
        <w:rPr>
          <w:noProof/>
        </w:rPr>
        <w:t xml:space="preserve"> между Европейския парламент, Съвета и Комисията относно бюджетната дисциплина, сътрудничеството по бюджетни въпроси и доброто финансово управление се прилага за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Що се отнася до докладването за прилагането на системата за наблюдение:</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 </w:t>
      </w:r>
      <w:r>
        <w:rPr>
          <w:i/>
          <w:noProof/>
          <w:color w:val="000000"/>
        </w:rPr>
        <w:t>Единният програмен документ (ЕПД)</w:t>
      </w:r>
      <w:r>
        <w:rPr>
          <w:noProof/>
          <w:color w:val="000000"/>
        </w:rPr>
        <w:t xml:space="preserve"> на EIT, приеман на годишна основа, предвижда многогодишна работна програма (n + 3) и годишна работна програма (n + 1). В тези работни програми се определя цялостното стратегическо програмиране за годините от n+1 до n+3, включително целите, очакваните резултати и показателите за изпълнението, за да се наблюдава постигането на целите и на резултатите. Освен това ЕПД ще съдържа, наред с другото, прогноза за приходите и разходите на института; документ за програмиране на ресурсите; информация относно неговата политика за сградния фонд; стратегия за постигане на по-голяма ефективност и синергии; стратегия за системите за организационно управление и за вътрешен контрол, включително най-актуалната стратегия за борба с измамите, и посочване на мерките за предотвратяване на повтарянето на случаи на конфликт на интереси, нередности и измами.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 </w:t>
      </w:r>
      <w:r>
        <w:rPr>
          <w:i/>
          <w:noProof/>
          <w:color w:val="000000"/>
        </w:rPr>
        <w:t>Годишният доклад за дейността (ГДД)</w:t>
      </w:r>
      <w:r>
        <w:rPr>
          <w:noProof/>
          <w:color w:val="000000"/>
        </w:rPr>
        <w:t xml:space="preserve"> за предходната година (n-1) ще съдържа резултатите от процеса на наблюдение през n-1, както и описание по какъв начин и до каква степен са постигнати целите. В ГДД трябва да се вземат предвид докладите за разходите и изпълнението на ОЗИ през предходната година (n-1) от дейността им.</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noProof/>
          <w:color w:val="000000"/>
        </w:rPr>
        <w:t xml:space="preserve">Условията за докладите на ОЗИ са посочени в рамковите споразумения за партньорство и в споразуменията за отпускане на безвъзмездни средства (доклади за изпълнението и разходите). С цел повишаване на ефикасността и ефективността на разходите и въз основа на придобития опит от EIT в хода на изпълнението на споразуменията за отпускане на безвъзмездни средства от ОЗИ в процеса на управлението на безвъзмездните средства ще бъдат въведени редица мерки за опростяване, чиято основна цел ще бъде намаляване на административното натоварване на ОЗИ и подобряване на качеството на събираните данни. </w:t>
      </w:r>
    </w:p>
    <w:p>
      <w:pPr>
        <w:pBdr>
          <w:top w:val="single" w:sz="4" w:space="1" w:color="auto"/>
          <w:left w:val="single" w:sz="4" w:space="0" w:color="auto"/>
          <w:bottom w:val="single" w:sz="4" w:space="1" w:color="auto"/>
          <w:right w:val="single" w:sz="4" w:space="4" w:color="auto"/>
        </w:pBdr>
        <w:ind w:left="850"/>
        <w:rPr>
          <w:rFonts w:eastAsia="Calibri"/>
          <w:noProof/>
          <w:color w:val="000000"/>
        </w:rPr>
      </w:pPr>
    </w:p>
    <w:p>
      <w:pPr>
        <w:keepNext/>
        <w:outlineLvl w:val="1"/>
        <w:rPr>
          <w:rFonts w:eastAsia="Calibri"/>
          <w:b/>
          <w:noProof/>
        </w:rPr>
      </w:pPr>
      <w:r>
        <w:rPr>
          <w:b/>
          <w:noProof/>
        </w:rPr>
        <w:t>2.2.</w:t>
      </w:r>
      <w:r>
        <w:rPr>
          <w:noProof/>
        </w:rPr>
        <w:tab/>
      </w:r>
      <w:r>
        <w:rPr>
          <w:b/>
          <w:noProof/>
        </w:rPr>
        <w:t>Системи за управление и контрол</w:t>
      </w:r>
    </w:p>
    <w:p>
      <w:pPr>
        <w:keepNext/>
        <w:outlineLvl w:val="1"/>
        <w:rPr>
          <w:rFonts w:eastAsia="Calibri"/>
          <w:b/>
          <w:noProof/>
          <w:color w:val="000000"/>
          <w:szCs w:val="24"/>
        </w:rPr>
      </w:pPr>
      <w:r>
        <w:rPr>
          <w:i/>
          <w:noProof/>
        </w:rPr>
        <w:t>2.2.1.</w:t>
      </w:r>
      <w:r>
        <w:rPr>
          <w:noProof/>
        </w:rPr>
        <w:tab/>
      </w:r>
      <w:r>
        <w:rPr>
          <w:i/>
          <w:noProof/>
        </w:rPr>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Като напълно интегриран в програмата „Хоризонт Европа“ орган, предложените механизми за финансиране на изпълнението, условия за плащане и стратегия за контрол са в съответствие с тези на „Хоризонт Европа“, така че да се гарантира последователен подход спрямо бенефициерите и заинтересованите страни във връзка с правилата за допустимост и доброто финансово управление.  </w:t>
      </w:r>
    </w:p>
    <w:p>
      <w:pPr>
        <w:pBdr>
          <w:top w:val="single" w:sz="4" w:space="1" w:color="auto"/>
          <w:left w:val="single" w:sz="4" w:space="4" w:color="auto"/>
          <w:bottom w:val="single" w:sz="4" w:space="1" w:color="auto"/>
          <w:right w:val="single" w:sz="4" w:space="4" w:color="auto"/>
        </w:pBdr>
        <w:ind w:left="850"/>
        <w:rPr>
          <w:rFonts w:eastAsia="Calibri"/>
          <w:i/>
          <w:noProof/>
          <w:color w:val="000000"/>
        </w:rPr>
      </w:pPr>
      <w:r>
        <w:rPr>
          <w:noProof/>
          <w:color w:val="000000"/>
        </w:rPr>
        <w:t>Ефективността на EIT за периода 2014—2020 г. с процент на грешки, за които е установено, че са трайно под 2 %, е една от най-високите за „научноизследователската група“ и благодарение на своята специфична концепция съчетава нисък процент грешки с подход към контрола, който чрез внимателно възлагане на дейности на външни изпълнители поддържа ниски разходи за контрол, като същевременно запазва ефективността и ефикасността.</w:t>
      </w:r>
    </w:p>
    <w:p>
      <w:pPr>
        <w:keepNext/>
        <w:outlineLvl w:val="2"/>
        <w:rPr>
          <w:rFonts w:eastAsia="Calibri"/>
          <w:bCs/>
          <w:i/>
          <w:noProof/>
          <w:color w:val="000000"/>
        </w:rPr>
      </w:pPr>
      <w:r>
        <w:rPr>
          <w:i/>
          <w:noProof/>
        </w:rPr>
        <w:t>2.2.2.</w:t>
      </w:r>
      <w:r>
        <w:rPr>
          <w:noProof/>
        </w:rPr>
        <w:tab/>
      </w:r>
      <w:r>
        <w:rPr>
          <w:i/>
          <w:noProof/>
        </w:rPr>
        <w:t>Информация относно установените рискове и системите за вътрешен контрол, създадени с цел намаляването им</w:t>
      </w:r>
      <w:r>
        <w:rPr>
          <w:noProof/>
          <w:sz w:val="16"/>
        </w:rPr>
        <w:t xml:space="preserv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С оглед на ясната необходимост бюджетът на ЕС да се управлява ефикасно и ефективно, както и да се гарантира добро финансово управление EIT разполага с вътрешна система за контрол, предоставяща разумни гаранции, че грешката в рамките на многогодишния период за изразходване на средствата е от порядъка на или по-ниска от граничните стойности, предложени съгласно „Хоризонт 2020“. Рамката за вътрешен контрол на EIT ще се опира също така върху: стандартите за вътрешен контрол на Комисията, собствените процедури на EIT, предварителни проверки на 100 % от декларираните разходи на ОЗИ, финансирани от EIT, одитни сертификати, предварителна заверка на методиката за деклариране на разходите, последващи одити на извадка от исканията за плащане, резултатите от проектите и външна оценка.</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разполага с организационната структура и с вътрешните системи и процедури за управление и контрол, които са подходящи за изпълнението на задълженията на института. Това е направено в съответствие със стандартите, приети от управителния съвет въз основа на равностойни стандарти, определени от Комисията, и при надлежно отчитане на рисковете, свързани с управленската среда и естеството на финансираните действия.</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Ежегодно се провеждат дейности за управление на риска с цел намаляване на рисковете, свързани с изпълнението на всички дейности на EIT. В тази връзка при изграждането на рамката за вътрешен контрол EIT трябва да вземе предвид рисковете, свързани с изпълняваните дейности, специфичните характеристики на групата от бенефициери и повтарянето на едни и същи бенефициери, честотата на предоставяне на безвъзмездни средства и размера на плащанията, както и избягването на двойното финансиране.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От 2014 г. насам бяха взети редица мерки за опростяване, които доведоха до намаляване на процента на грешки. Процентът на грешки, установен в резултат от последващи проверки на безвъзмездните средства, отпуснати от EIT, е доста под прага на същественост от 2 %.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Създадената от EIT система за контрол осигурява разумна гаранция за постигането на адекватно управление на рисковете, свързани с ефективността и ефикасността на операциите, гарантирането на законосъобразността и редовността на извършените трансакции, както и осигуряването на баланс между доверието и контрола. Като част от системата за контрол, осъществявана от EIT, стратегията за одит се основава на финансов одит на представителна извадка от разходите в целия бюджет на EIT, най-вече чрез годишните безвъзмездни средства, които се отпускат всяка година на ОЗИ. Тази представителна извадка може да се допълни от подбор въз основа на оценка на рисковете, свързани с разходите. по време на предварителните проверки на 100 % от исканията за плащане, като придобитият опит ще се използва при оценяването на рамката за контрол на оценката на риска при усвояването на безвъзмездни средства. Одити на разходи ще продължат да се извършват по последователен начин в съответствие с принципите на икономичност, ефикасност и ефективност.</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По отношение на рамката за вътрешен контрол на EIT институтът е разработил и цялостна стратегия, включително надзорен орган, за изпълнение на процедурите за вътрешен контрол, която подпомага целия жизнен цикъл на разходите. Неговото висше ръководство гарантира, че тази цялостна стратегия е официално приета от управителния съвет и прилагана. Основни елементи на тази стратегия са планирането и докладването, извършени в съответствие със стандартите на Комисията и свързани с подхода за управление на риска. Освен това EIT е разработил също така поредица стандартни оперативни процедури (СОП). СОП представляват подробни писмени указания, за да се постигне еднакво изпълнение на дадена процедура; в указанията обикновено са застъпени повече от една задача или област в рамките на EIT, отдел, секция или екипи.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Одитните сертификати на финансовите отчети се предоставят от ОЗИ и различните партньори, при което независими одитори, наети от EIT, удостоверят законността и съответствието на сумите, декларирани във финансовите отчети.</w:t>
      </w:r>
    </w:p>
    <w:p>
      <w:pPr>
        <w:pBdr>
          <w:top w:val="single" w:sz="4" w:space="1" w:color="auto"/>
          <w:left w:val="single" w:sz="4" w:space="4" w:color="auto"/>
          <w:bottom w:val="single" w:sz="4" w:space="1" w:color="auto"/>
          <w:right w:val="single" w:sz="4" w:space="4" w:color="auto"/>
        </w:pBdr>
        <w:ind w:left="850"/>
        <w:rPr>
          <w:rFonts w:eastAsia="Calibri"/>
          <w:noProof/>
          <w:color w:val="000000"/>
        </w:rPr>
      </w:pPr>
    </w:p>
    <w:p>
      <w:pPr>
        <w:keepNext/>
        <w:outlineLvl w:val="2"/>
        <w:rPr>
          <w:rFonts w:eastAsia="Calibri"/>
          <w:bCs/>
          <w:i/>
          <w:noProof/>
          <w:color w:val="000000"/>
        </w:rPr>
      </w:pPr>
      <w:r>
        <w:rPr>
          <w:i/>
          <w:noProof/>
        </w:rPr>
        <w:t>2.2.3.</w:t>
      </w:r>
      <w:r>
        <w:rPr>
          <w:noProof/>
        </w:rPr>
        <w:tab/>
      </w:r>
      <w:r>
        <w:rPr>
          <w:i/>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Въз основа на последната засега оценка разходите за контрол на EIT са под 3 % от управляваните средства, съчетани с риск от грешки от 1 %. Систематично се прилагат коригиращи действия чрез заверки на финансовите отчети и последващи одити. Комбинацията от малък обхват и ефективен и ефикасен подход при възлагането на външен изпълнител позволява разходите за проверките да останат ниски, а нивото на увереност да бъде достатъчно, както се вижда от неотдавнашните декларации за достоверност от Европейската сметна палата.</w:t>
      </w:r>
    </w:p>
    <w:p>
      <w:pPr>
        <w:keepNext/>
        <w:outlineLvl w:val="1"/>
        <w:rPr>
          <w:rFonts w:eastAsia="Calibri"/>
          <w:b/>
          <w:noProof/>
          <w:color w:val="000000"/>
          <w:szCs w:val="24"/>
        </w:rPr>
      </w:pPr>
      <w:r>
        <w:rPr>
          <w:b/>
          <w:noProof/>
        </w:rPr>
        <w:t>2.3.</w:t>
      </w:r>
      <w:r>
        <w:rPr>
          <w:noProof/>
        </w:rPr>
        <w:tab/>
      </w:r>
      <w:r>
        <w:rPr>
          <w:b/>
          <w:noProof/>
        </w:rPr>
        <w:t>Мерки за предотвратяване на измами и нередности</w:t>
      </w:r>
      <w:r>
        <w:rPr>
          <w:b/>
          <w:noProof/>
          <w:sz w:val="16"/>
        </w:rPr>
        <w:t xml:space="preserve"> </w:t>
      </w:r>
    </w:p>
    <w:p>
      <w:pPr>
        <w:ind w:left="850"/>
        <w:rPr>
          <w:rFonts w:eastAsia="Calibri"/>
          <w:i/>
          <w:noProof/>
          <w:color w:val="000000"/>
          <w:sz w:val="20"/>
        </w:rPr>
      </w:pPr>
      <w:r>
        <w:rPr>
          <w:i/>
          <w:noProof/>
          <w:color w:val="000000"/>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 xml:space="preserve">EIT ще вземе подходящи мерки, за да гарантира, че финансовите интереси на Съюза са защитени.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EIT е твърдо решен да се бори с измамите на всички етапи в процеса на управление на безвъзмездните средства и другите изпълнявани дейности. Всички приети решения и сключени договори от EIT съдържат изрична клауза, че Европейската служба за борба с измамите (OLAF) и Сметната палата имат правомощия за извършване на проверки по документи и на място на всички изпълнители и подизпълнители, които са получили средства от Съюза, включително на място при крайните бенефициери.</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noProof/>
          <w:color w:val="000000"/>
        </w:rPr>
        <w:t>От 2015 г. насам EIT разполага със стратегия за борба с измамите в съответствие със стратегията на Комисията, като непрекъснато подобрява своите мерки за предотвратяването и разкриването на измами.</w:t>
      </w:r>
    </w:p>
    <w:p>
      <w:pPr>
        <w:rPr>
          <w:rFonts w:eastAsia="Calibri"/>
          <w:noProof/>
        </w:rPr>
        <w:sectPr>
          <w:pgSz w:w="11907" w:h="16840" w:code="9"/>
          <w:pgMar w:top="1134" w:right="1418" w:bottom="1134" w:left="1418" w:header="709" w:footer="709" w:gutter="0"/>
          <w:cols w:space="708"/>
          <w:docGrid w:linePitch="360"/>
        </w:sectPr>
      </w:pPr>
    </w:p>
    <w:p>
      <w:pPr>
        <w:rPr>
          <w:rFonts w:eastAsia="Calibri"/>
          <w:noProof/>
        </w:rPr>
      </w:pPr>
      <w:bookmarkStart w:id="11" w:name="_Toc514941990"/>
      <w:bookmarkStart w:id="12" w:name="_Toc5205297"/>
      <w:r>
        <w:rPr>
          <w:b/>
          <w:smallCaps/>
          <w:noProof/>
        </w:rPr>
        <w:t>3.</w:t>
      </w:r>
      <w:r>
        <w:rPr>
          <w:noProof/>
        </w:rPr>
        <w:tab/>
      </w:r>
      <w:r>
        <w:rPr>
          <w:b/>
          <w:smallCaps/>
          <w:noProof/>
        </w:rPr>
        <w:t>ОЧАКВАНО ФИНАНСОВО ОТРАЖЕНИЕ НА ПРЕДЛОЖЕНИЕТО/ИНИЦИАТИВАТА</w:t>
      </w:r>
      <w:r>
        <w:rPr>
          <w:noProof/>
        </w:rPr>
        <w:t xml:space="preserve"> </w:t>
      </w:r>
    </w:p>
    <w:bookmarkEnd w:id="11"/>
    <w:bookmarkEnd w:id="12"/>
    <w:p>
      <w:pPr>
        <w:keepNext/>
        <w:outlineLvl w:val="1"/>
        <w:rPr>
          <w:rFonts w:eastAsia="Calibri"/>
          <w:b/>
          <w:bCs/>
          <w:noProof/>
          <w:szCs w:val="26"/>
        </w:rPr>
      </w:pPr>
      <w:r>
        <w:rPr>
          <w:b/>
          <w:noProof/>
        </w:rPr>
        <w:t>3.1.</w:t>
      </w:r>
      <w:r>
        <w:rPr>
          <w:noProof/>
        </w:rPr>
        <w:tab/>
      </w:r>
      <w:r>
        <w:rPr>
          <w:b/>
          <w:noProof/>
        </w:rPr>
        <w:t>Функция от многогодишната финансова рамка и предложени нови разходни бюджетни редове</w:t>
      </w:r>
      <w:r>
        <w:rPr>
          <w:noProof/>
          <w:sz w:val="1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rFonts w:eastAsia="Calibri"/>
                <w:noProof/>
              </w:rPr>
            </w:pPr>
          </w:p>
        </w:tc>
        <w:tc>
          <w:tcPr>
            <w:tcW w:w="3960" w:type="dxa"/>
            <w:vAlign w:val="center"/>
          </w:tcPr>
          <w:p>
            <w:pPr>
              <w:spacing w:before="60" w:after="60"/>
              <w:jc w:val="center"/>
              <w:rPr>
                <w:rFonts w:eastAsia="Calibri"/>
                <w:noProof/>
              </w:rPr>
            </w:pPr>
            <w:r>
              <w:rPr>
                <w:noProof/>
                <w:sz w:val="20"/>
              </w:rPr>
              <w:t>Бюджетен ред</w:t>
            </w:r>
          </w:p>
        </w:tc>
        <w:tc>
          <w:tcPr>
            <w:tcW w:w="1080" w:type="dxa"/>
            <w:vAlign w:val="center"/>
          </w:tcPr>
          <w:p>
            <w:pPr>
              <w:spacing w:before="60" w:after="60"/>
              <w:jc w:val="center"/>
              <w:rPr>
                <w:rFonts w:eastAsia="Calibri"/>
                <w:noProof/>
                <w:sz w:val="18"/>
                <w:szCs w:val="18"/>
              </w:rPr>
            </w:pPr>
            <w:r>
              <w:rPr>
                <w:noProof/>
                <w:sz w:val="18"/>
                <w:szCs w:val="18"/>
              </w:rPr>
              <w:t>Вид на разхода</w:t>
            </w:r>
          </w:p>
        </w:tc>
        <w:tc>
          <w:tcPr>
            <w:tcW w:w="4440" w:type="dxa"/>
            <w:gridSpan w:val="4"/>
            <w:vAlign w:val="center"/>
          </w:tcPr>
          <w:p>
            <w:pPr>
              <w:spacing w:before="60" w:after="60"/>
              <w:jc w:val="center"/>
              <w:rPr>
                <w:rFonts w:eastAsia="Calibri"/>
                <w:noProof/>
              </w:rPr>
            </w:pPr>
            <w:r>
              <w:rPr>
                <w:noProof/>
                <w:sz w:val="20"/>
              </w:rPr>
              <w:t xml:space="preserve">Финансов принос </w:t>
            </w:r>
          </w:p>
        </w:tc>
      </w:tr>
      <w:tr>
        <w:tc>
          <w:tcPr>
            <w:tcW w:w="1080" w:type="dxa"/>
            <w:vMerge/>
            <w:vAlign w:val="center"/>
          </w:tcPr>
          <w:p>
            <w:pPr>
              <w:jc w:val="center"/>
              <w:rPr>
                <w:rFonts w:eastAsia="Calibri"/>
                <w:noProof/>
              </w:rPr>
            </w:pPr>
          </w:p>
        </w:tc>
        <w:tc>
          <w:tcPr>
            <w:tcW w:w="3960" w:type="dxa"/>
            <w:vAlign w:val="center"/>
          </w:tcPr>
          <w:p>
            <w:pPr>
              <w:spacing w:before="60"/>
              <w:rPr>
                <w:noProof/>
                <w:sz w:val="22"/>
              </w:rPr>
            </w:pPr>
            <w:r>
              <w:rPr>
                <w:noProof/>
                <w:sz w:val="22"/>
              </w:rPr>
              <w:t>01.010101 Разходи, свързани с длъжностни лица и временно наети лица, изпълняващи програми за научни изследвания и иновации — „Хоризонт Европа“</w:t>
            </w:r>
          </w:p>
          <w:p>
            <w:pPr>
              <w:spacing w:before="60"/>
              <w:rPr>
                <w:noProof/>
                <w:sz w:val="22"/>
              </w:rPr>
            </w:pPr>
            <w:r>
              <w:rPr>
                <w:noProof/>
                <w:sz w:val="22"/>
              </w:rPr>
              <w:t>01.010102 Външен персонал, работещ по програми за научни изследвания и иновации — „Хоризонт Европа“</w:t>
            </w:r>
          </w:p>
          <w:p>
            <w:pPr>
              <w:spacing w:before="60"/>
              <w:rPr>
                <w:noProof/>
                <w:sz w:val="22"/>
              </w:rPr>
            </w:pPr>
            <w:r>
              <w:rPr>
                <w:noProof/>
                <w:sz w:val="22"/>
              </w:rPr>
              <w:t>01.010103 Други разходи за управление за програми за научни изследвания и иновации — „Хоризонт Европа“</w:t>
            </w:r>
          </w:p>
          <w:p>
            <w:pPr>
              <w:rPr>
                <w:rFonts w:eastAsia="Calibri"/>
                <w:noProof/>
                <w:sz w:val="22"/>
              </w:rPr>
            </w:pPr>
          </w:p>
          <w:p>
            <w:pPr>
              <w:rPr>
                <w:rFonts w:eastAsia="Calibri"/>
                <w:noProof/>
              </w:rPr>
            </w:pPr>
            <w:r>
              <w:rPr>
                <w:noProof/>
                <w:sz w:val="22"/>
              </w:rPr>
              <w:t>Функция I. Единен пазар, иновации и цифрова сфера</w:t>
            </w:r>
          </w:p>
        </w:tc>
        <w:tc>
          <w:tcPr>
            <w:tcW w:w="1080" w:type="dxa"/>
            <w:vAlign w:val="center"/>
          </w:tcPr>
          <w:p>
            <w:pPr>
              <w:jc w:val="center"/>
              <w:rPr>
                <w:rFonts w:eastAsia="Calibri"/>
                <w:noProof/>
              </w:rPr>
            </w:pPr>
            <w:r>
              <w:rPr>
                <w:noProof/>
                <w:sz w:val="18"/>
                <w:szCs w:val="18"/>
              </w:rPr>
              <w:t>Едногод</w:t>
            </w:r>
            <w:r>
              <w:rPr>
                <w:noProof/>
              </w:rPr>
              <w:t>.</w:t>
            </w:r>
            <w:r>
              <w:rPr>
                <w:rStyle w:val="FootnoteReference"/>
                <w:noProof/>
              </w:rPr>
              <w:footnoteReference w:id="12"/>
            </w:r>
          </w:p>
        </w:tc>
        <w:tc>
          <w:tcPr>
            <w:tcW w:w="1044" w:type="dxa"/>
            <w:vAlign w:val="center"/>
          </w:tcPr>
          <w:p>
            <w:pPr>
              <w:jc w:val="center"/>
              <w:rPr>
                <w:rFonts w:eastAsia="Calibri"/>
                <w:noProof/>
              </w:rPr>
            </w:pPr>
            <w:r>
              <w:rPr>
                <w:noProof/>
                <w:sz w:val="18"/>
              </w:rPr>
              <w:t>от държави от ЕАСТ</w:t>
            </w:r>
            <w:r>
              <w:rPr>
                <w:rStyle w:val="FootnoteReference"/>
                <w:noProof/>
              </w:rPr>
              <w:footnoteReference w:id="13"/>
            </w:r>
          </w:p>
          <w:p>
            <w:pPr>
              <w:spacing w:before="0" w:after="0"/>
              <w:jc w:val="center"/>
              <w:rPr>
                <w:rFonts w:eastAsia="Calibri"/>
                <w:b/>
                <w:noProof/>
                <w:sz w:val="18"/>
              </w:rPr>
            </w:pPr>
          </w:p>
        </w:tc>
        <w:tc>
          <w:tcPr>
            <w:tcW w:w="1134" w:type="dxa"/>
            <w:vAlign w:val="center"/>
          </w:tcPr>
          <w:p>
            <w:pPr>
              <w:jc w:val="center"/>
              <w:rPr>
                <w:rFonts w:eastAsia="Calibri"/>
                <w:noProof/>
              </w:rPr>
            </w:pPr>
            <w:r>
              <w:rPr>
                <w:noProof/>
                <w:sz w:val="18"/>
              </w:rPr>
              <w:t>от държави кандидатки</w:t>
            </w:r>
            <w:r>
              <w:rPr>
                <w:rStyle w:val="FootnoteReference"/>
                <w:noProof/>
              </w:rPr>
              <w:footnoteReference w:id="14"/>
            </w:r>
          </w:p>
          <w:p>
            <w:pPr>
              <w:spacing w:before="0" w:after="0"/>
              <w:jc w:val="center"/>
              <w:rPr>
                <w:rFonts w:eastAsia="Calibri"/>
                <w:noProof/>
                <w:sz w:val="18"/>
              </w:rPr>
            </w:pPr>
          </w:p>
        </w:tc>
        <w:tc>
          <w:tcPr>
            <w:tcW w:w="814" w:type="dxa"/>
            <w:vAlign w:val="center"/>
          </w:tcPr>
          <w:p>
            <w:pPr>
              <w:jc w:val="center"/>
              <w:rPr>
                <w:rFonts w:eastAsia="Calibri"/>
                <w:noProof/>
                <w:sz w:val="18"/>
              </w:rPr>
            </w:pPr>
            <w:r>
              <w:rPr>
                <w:noProof/>
                <w:sz w:val="18"/>
              </w:rPr>
              <w:t>от трети държави</w:t>
            </w:r>
          </w:p>
        </w:tc>
        <w:tc>
          <w:tcPr>
            <w:tcW w:w="1448" w:type="dxa"/>
            <w:vAlign w:val="center"/>
          </w:tcPr>
          <w:p>
            <w:pPr>
              <w:jc w:val="center"/>
              <w:rPr>
                <w:rFonts w:eastAsia="Calibri"/>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rFonts w:eastAsia="Calibri"/>
                <w:noProof/>
                <w:color w:val="0000FF"/>
              </w:rPr>
            </w:pPr>
          </w:p>
        </w:tc>
        <w:tc>
          <w:tcPr>
            <w:tcW w:w="3960" w:type="dxa"/>
            <w:vAlign w:val="center"/>
          </w:tcPr>
          <w:p>
            <w:pPr>
              <w:spacing w:before="60"/>
              <w:rPr>
                <w:rFonts w:eastAsia="Calibri"/>
                <w:noProof/>
                <w:sz w:val="22"/>
              </w:rPr>
            </w:pPr>
            <w:r>
              <w:rPr>
                <w:noProof/>
                <w:sz w:val="22"/>
              </w:rPr>
              <w:t xml:space="preserve">01.02.03.XX Европейски институт за иновации и технологии (EIT); </w:t>
            </w:r>
          </w:p>
        </w:tc>
        <w:tc>
          <w:tcPr>
            <w:tcW w:w="1080" w:type="dxa"/>
            <w:vAlign w:val="center"/>
          </w:tcPr>
          <w:p>
            <w:pPr>
              <w:jc w:val="center"/>
              <w:rPr>
                <w:rFonts w:eastAsia="Calibri"/>
                <w:noProof/>
                <w:color w:val="0000FF"/>
              </w:rPr>
            </w:pPr>
            <w:r>
              <w:rPr>
                <w:noProof/>
                <w:sz w:val="22"/>
              </w:rPr>
              <w:t>Многогод.</w:t>
            </w:r>
          </w:p>
        </w:tc>
        <w:tc>
          <w:tcPr>
            <w:tcW w:w="1044" w:type="dxa"/>
            <w:vAlign w:val="center"/>
          </w:tcPr>
          <w:p>
            <w:pPr>
              <w:jc w:val="center"/>
              <w:rPr>
                <w:rFonts w:eastAsia="Calibri"/>
                <w:noProof/>
              </w:rPr>
            </w:pPr>
            <w:r>
              <w:rPr>
                <w:noProof/>
                <w:sz w:val="22"/>
              </w:rPr>
              <w:t>ДА</w:t>
            </w:r>
          </w:p>
        </w:tc>
        <w:tc>
          <w:tcPr>
            <w:tcW w:w="1134" w:type="dxa"/>
            <w:vAlign w:val="center"/>
          </w:tcPr>
          <w:p>
            <w:pPr>
              <w:jc w:val="center"/>
              <w:rPr>
                <w:rFonts w:eastAsia="Calibri"/>
                <w:noProof/>
              </w:rPr>
            </w:pPr>
            <w:r>
              <w:rPr>
                <w:noProof/>
                <w:sz w:val="22"/>
              </w:rPr>
              <w:t>ДА</w:t>
            </w:r>
          </w:p>
        </w:tc>
        <w:tc>
          <w:tcPr>
            <w:tcW w:w="814" w:type="dxa"/>
            <w:vAlign w:val="center"/>
          </w:tcPr>
          <w:p>
            <w:pPr>
              <w:jc w:val="center"/>
              <w:rPr>
                <w:rFonts w:eastAsia="Calibri"/>
                <w:noProof/>
              </w:rPr>
            </w:pPr>
            <w:r>
              <w:rPr>
                <w:noProof/>
                <w:sz w:val="22"/>
              </w:rPr>
              <w:t>ДА</w:t>
            </w:r>
          </w:p>
        </w:tc>
        <w:tc>
          <w:tcPr>
            <w:tcW w:w="1448" w:type="dxa"/>
            <w:vAlign w:val="center"/>
          </w:tcPr>
          <w:p>
            <w:pPr>
              <w:jc w:val="center"/>
              <w:rPr>
                <w:rFonts w:eastAsia="Calibri"/>
                <w:noProof/>
              </w:rPr>
            </w:pPr>
            <w:r>
              <w:rPr>
                <w:noProof/>
                <w:sz w:val="22"/>
              </w:rPr>
              <w:t>НЕ</w:t>
            </w:r>
          </w:p>
        </w:tc>
      </w:tr>
    </w:tbl>
    <w:p>
      <w:pPr>
        <w:rPr>
          <w:rFonts w:eastAsia="Calibri"/>
          <w:noProof/>
        </w:rPr>
        <w:sectPr>
          <w:pgSz w:w="11907" w:h="16840" w:code="1"/>
          <w:pgMar w:top="1134" w:right="1418" w:bottom="1134" w:left="1418" w:header="709" w:footer="709" w:gutter="0"/>
          <w:cols w:space="708"/>
          <w:docGrid w:linePitch="360"/>
        </w:sectPr>
      </w:pPr>
    </w:p>
    <w:p>
      <w:pPr>
        <w:keepNext/>
        <w:outlineLvl w:val="1"/>
        <w:rPr>
          <w:rFonts w:eastAsia="Calibri"/>
          <w:b/>
          <w:noProof/>
          <w:szCs w:val="24"/>
        </w:rPr>
      </w:pPr>
      <w:r>
        <w:rPr>
          <w:b/>
          <w:noProof/>
        </w:rPr>
        <w:t>3.2.</w:t>
      </w:r>
      <w:r>
        <w:rPr>
          <w:noProof/>
        </w:rPr>
        <w:tab/>
      </w:r>
      <w:r>
        <w:rPr>
          <w:b/>
          <w:noProof/>
        </w:rPr>
        <w:t>Очаквано отражение върху разходите</w:t>
      </w:r>
      <w:r>
        <w:rPr>
          <w:noProof/>
          <w:sz w:val="16"/>
        </w:rPr>
        <w:t xml:space="preserve"> </w:t>
      </w:r>
    </w:p>
    <w:p>
      <w:pPr>
        <w:keepNext/>
        <w:outlineLvl w:val="2"/>
        <w:rPr>
          <w:rFonts w:eastAsia="Calibri"/>
          <w:bCs/>
          <w:i/>
          <w:noProof/>
          <w:u w:val="single"/>
        </w:rPr>
      </w:pPr>
      <w:r>
        <w:rPr>
          <w:i/>
          <w:noProof/>
        </w:rPr>
        <w:t>3.2.1.</w:t>
      </w:r>
      <w:r>
        <w:rPr>
          <w:noProof/>
        </w:rPr>
        <w:tab/>
      </w:r>
      <w:r>
        <w:rPr>
          <w:i/>
          <w:noProof/>
        </w:rPr>
        <w:t>Обобщение на очакваното отражение върху разходите</w:t>
      </w:r>
    </w:p>
    <w:p>
      <w:pPr>
        <w:jc w:val="right"/>
        <w:rPr>
          <w:rFonts w:eastAsia="Calibri"/>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b/>
                <w:noProof/>
              </w:rPr>
              <w:t>Функция от многогодишната финансова</w:t>
            </w:r>
            <w:r>
              <w:rPr>
                <w:rFonts w:eastAsia="Calibri"/>
                <w:noProof/>
                <w:sz w:val="22"/>
              </w:rPr>
              <w:br/>
            </w:r>
            <w:r>
              <w:rPr>
                <w:b/>
                <w:noProof/>
                <w:sz w:val="22"/>
              </w:rPr>
              <w:t xml:space="preserve">рамка </w:t>
            </w:r>
          </w:p>
        </w:tc>
        <w:tc>
          <w:tcPr>
            <w:tcW w:w="1080" w:type="dxa"/>
            <w:vAlign w:val="center"/>
          </w:tcPr>
          <w:p>
            <w:pPr>
              <w:spacing w:before="60" w:after="60"/>
              <w:jc w:val="center"/>
              <w:rPr>
                <w:rFonts w:eastAsia="Calibri"/>
                <w:noProof/>
              </w:rPr>
            </w:pPr>
            <w:r>
              <w:rPr>
                <w:b/>
                <w:noProof/>
                <w:sz w:val="22"/>
              </w:rPr>
              <w:t>I</w:t>
            </w:r>
          </w:p>
        </w:tc>
        <w:tc>
          <w:tcPr>
            <w:tcW w:w="7817" w:type="dxa"/>
            <w:vAlign w:val="center"/>
          </w:tcPr>
          <w:p>
            <w:pPr>
              <w:spacing w:before="60" w:after="60"/>
              <w:rPr>
                <w:rFonts w:eastAsia="Calibri"/>
                <w:noProof/>
              </w:rPr>
            </w:pPr>
            <w:r>
              <w:rPr>
                <w:noProof/>
                <w:sz w:val="22"/>
              </w:rPr>
              <w:t>Функция I. Единен пазар, иновации и цифрова сфера</w:t>
            </w:r>
          </w:p>
        </w:tc>
      </w:tr>
    </w:tbl>
    <w:p>
      <w:pPr>
        <w:rPr>
          <w:rFonts w:eastAsia="Calibri"/>
          <w:noProof/>
          <w:sz w:val="16"/>
        </w:rPr>
      </w:pPr>
    </w:p>
    <w:p>
      <w:pPr>
        <w:rPr>
          <w:b/>
          <w:noProof/>
          <w:sz w:val="16"/>
        </w:rPr>
      </w:pPr>
    </w:p>
    <w:p>
      <w:pPr>
        <w:rPr>
          <w:b/>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2027 г.</w:t>
            </w:r>
          </w:p>
        </w:tc>
        <w:tc>
          <w:tcPr>
            <w:tcW w:w="909" w:type="dxa"/>
            <w:tcBorders>
              <w:top w:val="single" w:sz="4" w:space="0" w:color="auto"/>
              <w:left w:val="single" w:sz="4" w:space="0" w:color="auto"/>
              <w:bottom w:val="single" w:sz="4" w:space="0" w:color="auto"/>
              <w:right w:val="single" w:sz="4" w:space="0" w:color="auto"/>
            </w:tcBorders>
          </w:tcPr>
          <w:p>
            <w:pPr>
              <w:rPr>
                <w:b/>
                <w:i/>
                <w:noProof/>
                <w:sz w:val="20"/>
              </w:rPr>
            </w:pPr>
            <w:r>
              <w:rPr>
                <w:b/>
                <w:i/>
                <w:noProof/>
                <w:sz w:val="20"/>
              </w:rPr>
              <w:t>След 2027 г.</w:t>
            </w:r>
          </w:p>
        </w:tc>
        <w:tc>
          <w:tcPr>
            <w:tcW w:w="1289"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ОБЩО</w:t>
            </w:r>
          </w:p>
        </w:tc>
      </w:tr>
      <w:tr>
        <w:trPr>
          <w:trHeight w:val="319"/>
          <w:jc w:val="center"/>
        </w:trPr>
        <w:tc>
          <w:tcPr>
            <w:tcW w:w="4103" w:type="dxa"/>
            <w:vAlign w:val="center"/>
          </w:tcPr>
          <w:p>
            <w:pPr>
              <w:rPr>
                <w:noProof/>
                <w:sz w:val="20"/>
              </w:rPr>
            </w:pPr>
            <w:r>
              <w:rPr>
                <w:noProof/>
                <w:sz w:val="20"/>
              </w:rPr>
              <w:t>Дял I Бюджет на EIT („Разходи за персонал“)</w:t>
            </w:r>
            <w:r>
              <w:rPr>
                <w:rStyle w:val="FootnoteReference"/>
                <w:noProof/>
              </w:rPr>
              <w:footnoteReference w:id="15"/>
            </w:r>
            <w:r>
              <w:rPr>
                <w:noProof/>
                <w:sz w:val="20"/>
              </w:rPr>
              <w:t xml:space="preserve"> </w:t>
            </w:r>
          </w:p>
          <w:p>
            <w:pPr>
              <w:spacing w:before="20" w:after="20"/>
              <w:rPr>
                <w:noProof/>
                <w:sz w:val="20"/>
              </w:rPr>
            </w:pPr>
          </w:p>
        </w:tc>
        <w:tc>
          <w:tcPr>
            <w:tcW w:w="1440" w:type="dxa"/>
            <w:vAlign w:val="center"/>
          </w:tcPr>
          <w:p>
            <w:pPr>
              <w:spacing w:before="40" w:after="40"/>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(1)</w:t>
            </w:r>
          </w:p>
        </w:tc>
        <w:tc>
          <w:tcPr>
            <w:tcW w:w="868" w:type="dxa"/>
            <w:vAlign w:val="center"/>
          </w:tcPr>
          <w:p>
            <w:pPr>
              <w:spacing w:before="40" w:after="40"/>
              <w:jc w:val="right"/>
              <w:rPr>
                <w:noProof/>
                <w:sz w:val="20"/>
              </w:rPr>
            </w:pPr>
            <w:r>
              <w:rPr>
                <w:noProof/>
                <w:sz w:val="20"/>
              </w:rPr>
              <w:t>5.413</w:t>
            </w:r>
          </w:p>
        </w:tc>
        <w:tc>
          <w:tcPr>
            <w:tcW w:w="868" w:type="dxa"/>
            <w:vAlign w:val="center"/>
          </w:tcPr>
          <w:p>
            <w:pPr>
              <w:spacing w:before="40" w:after="40"/>
              <w:jc w:val="right"/>
              <w:rPr>
                <w:noProof/>
                <w:sz w:val="20"/>
              </w:rPr>
            </w:pPr>
            <w:r>
              <w:rPr>
                <w:noProof/>
                <w:sz w:val="20"/>
              </w:rPr>
              <w:t>5.588</w:t>
            </w:r>
          </w:p>
        </w:tc>
        <w:tc>
          <w:tcPr>
            <w:tcW w:w="868" w:type="dxa"/>
            <w:vAlign w:val="center"/>
          </w:tcPr>
          <w:p>
            <w:pPr>
              <w:spacing w:before="40" w:after="40"/>
              <w:jc w:val="right"/>
              <w:rPr>
                <w:noProof/>
                <w:sz w:val="20"/>
              </w:rPr>
            </w:pPr>
            <w:r>
              <w:rPr>
                <w:noProof/>
                <w:sz w:val="20"/>
              </w:rPr>
              <w:t>5.768</w:t>
            </w:r>
          </w:p>
        </w:tc>
        <w:tc>
          <w:tcPr>
            <w:tcW w:w="868" w:type="dxa"/>
            <w:vAlign w:val="center"/>
          </w:tcPr>
          <w:p>
            <w:pPr>
              <w:spacing w:before="40" w:after="40"/>
              <w:jc w:val="right"/>
              <w:rPr>
                <w:noProof/>
                <w:sz w:val="20"/>
              </w:rPr>
            </w:pPr>
            <w:r>
              <w:rPr>
                <w:noProof/>
                <w:sz w:val="20"/>
              </w:rPr>
              <w:t>5.954</w:t>
            </w:r>
          </w:p>
        </w:tc>
        <w:tc>
          <w:tcPr>
            <w:tcW w:w="868" w:type="dxa"/>
            <w:vAlign w:val="center"/>
          </w:tcPr>
          <w:p>
            <w:pPr>
              <w:spacing w:before="40" w:after="40"/>
              <w:jc w:val="right"/>
              <w:rPr>
                <w:noProof/>
                <w:sz w:val="20"/>
              </w:rPr>
            </w:pPr>
            <w:r>
              <w:rPr>
                <w:noProof/>
                <w:sz w:val="20"/>
              </w:rPr>
              <w:t>6.147</w:t>
            </w:r>
          </w:p>
        </w:tc>
        <w:tc>
          <w:tcPr>
            <w:tcW w:w="868" w:type="dxa"/>
            <w:vAlign w:val="center"/>
          </w:tcPr>
          <w:p>
            <w:pPr>
              <w:spacing w:before="40" w:after="40"/>
              <w:jc w:val="right"/>
              <w:rPr>
                <w:noProof/>
                <w:sz w:val="20"/>
              </w:rPr>
            </w:pPr>
            <w:r>
              <w:rPr>
                <w:noProof/>
                <w:sz w:val="20"/>
              </w:rPr>
              <w:t>6.346</w:t>
            </w:r>
          </w:p>
        </w:tc>
        <w:tc>
          <w:tcPr>
            <w:tcW w:w="868" w:type="dxa"/>
            <w:vAlign w:val="center"/>
          </w:tcPr>
          <w:p>
            <w:pPr>
              <w:spacing w:before="40" w:after="40"/>
              <w:jc w:val="right"/>
              <w:rPr>
                <w:noProof/>
                <w:sz w:val="20"/>
              </w:rPr>
            </w:pPr>
            <w:r>
              <w:rPr>
                <w:noProof/>
                <w:sz w:val="20"/>
              </w:rPr>
              <w:t>6.551</w:t>
            </w: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41.767</w:t>
            </w:r>
          </w:p>
        </w:tc>
      </w:tr>
      <w:tr>
        <w:trPr>
          <w:trHeight w:val="319"/>
          <w:jc w:val="center"/>
        </w:trPr>
        <w:tc>
          <w:tcPr>
            <w:tcW w:w="4103" w:type="dxa"/>
            <w:vAlign w:val="center"/>
          </w:tcPr>
          <w:p>
            <w:pPr>
              <w:rPr>
                <w:noProof/>
                <w:sz w:val="20"/>
              </w:rPr>
            </w:pPr>
            <w:r>
              <w:rPr>
                <w:noProof/>
                <w:sz w:val="20"/>
              </w:rPr>
              <w:t>Дял II Бюджет на EIT („Инфраструктура и оперативни разходи“)</w:t>
            </w:r>
          </w:p>
        </w:tc>
        <w:tc>
          <w:tcPr>
            <w:tcW w:w="1440" w:type="dxa"/>
            <w:vAlign w:val="center"/>
          </w:tcPr>
          <w:p>
            <w:pPr>
              <w:spacing w:before="40" w:after="40"/>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(2)</w:t>
            </w:r>
          </w:p>
        </w:tc>
        <w:tc>
          <w:tcPr>
            <w:tcW w:w="868" w:type="dxa"/>
            <w:vAlign w:val="center"/>
          </w:tcPr>
          <w:p>
            <w:pPr>
              <w:spacing w:before="40" w:after="40"/>
              <w:jc w:val="right"/>
              <w:rPr>
                <w:noProof/>
                <w:sz w:val="20"/>
              </w:rPr>
            </w:pPr>
            <w:r>
              <w:rPr>
                <w:noProof/>
                <w:sz w:val="20"/>
              </w:rPr>
              <w:t>1.309</w:t>
            </w:r>
          </w:p>
        </w:tc>
        <w:tc>
          <w:tcPr>
            <w:tcW w:w="868" w:type="dxa"/>
            <w:vAlign w:val="center"/>
          </w:tcPr>
          <w:p>
            <w:pPr>
              <w:spacing w:before="40" w:after="40"/>
              <w:jc w:val="right"/>
              <w:rPr>
                <w:noProof/>
                <w:sz w:val="20"/>
              </w:rPr>
            </w:pPr>
            <w:r>
              <w:rPr>
                <w:noProof/>
                <w:sz w:val="20"/>
              </w:rPr>
              <w:t>1.335</w:t>
            </w:r>
          </w:p>
        </w:tc>
        <w:tc>
          <w:tcPr>
            <w:tcW w:w="868" w:type="dxa"/>
            <w:vAlign w:val="center"/>
          </w:tcPr>
          <w:p>
            <w:pPr>
              <w:spacing w:before="40" w:after="40"/>
              <w:jc w:val="right"/>
              <w:rPr>
                <w:noProof/>
                <w:sz w:val="20"/>
              </w:rPr>
            </w:pPr>
            <w:r>
              <w:rPr>
                <w:noProof/>
                <w:sz w:val="20"/>
              </w:rPr>
              <w:t>1.362</w:t>
            </w:r>
          </w:p>
        </w:tc>
        <w:tc>
          <w:tcPr>
            <w:tcW w:w="868" w:type="dxa"/>
            <w:vAlign w:val="center"/>
          </w:tcPr>
          <w:p>
            <w:pPr>
              <w:spacing w:before="40" w:after="40"/>
              <w:jc w:val="right"/>
              <w:rPr>
                <w:noProof/>
                <w:sz w:val="20"/>
              </w:rPr>
            </w:pPr>
            <w:r>
              <w:rPr>
                <w:noProof/>
                <w:sz w:val="20"/>
              </w:rPr>
              <w:t>1.389</w:t>
            </w:r>
          </w:p>
        </w:tc>
        <w:tc>
          <w:tcPr>
            <w:tcW w:w="868" w:type="dxa"/>
            <w:vAlign w:val="center"/>
          </w:tcPr>
          <w:p>
            <w:pPr>
              <w:spacing w:before="40" w:after="40"/>
              <w:jc w:val="right"/>
              <w:rPr>
                <w:noProof/>
                <w:sz w:val="20"/>
              </w:rPr>
            </w:pPr>
            <w:r>
              <w:rPr>
                <w:noProof/>
                <w:sz w:val="20"/>
              </w:rPr>
              <w:t>1.417</w:t>
            </w:r>
          </w:p>
        </w:tc>
        <w:tc>
          <w:tcPr>
            <w:tcW w:w="868" w:type="dxa"/>
            <w:vAlign w:val="center"/>
          </w:tcPr>
          <w:p>
            <w:pPr>
              <w:spacing w:before="40" w:after="40"/>
              <w:jc w:val="right"/>
              <w:rPr>
                <w:noProof/>
                <w:sz w:val="20"/>
              </w:rPr>
            </w:pPr>
            <w:r>
              <w:rPr>
                <w:noProof/>
                <w:sz w:val="20"/>
              </w:rPr>
              <w:t>1.445</w:t>
            </w:r>
          </w:p>
        </w:tc>
        <w:tc>
          <w:tcPr>
            <w:tcW w:w="868" w:type="dxa"/>
            <w:vAlign w:val="center"/>
          </w:tcPr>
          <w:p>
            <w:pPr>
              <w:spacing w:before="40" w:after="40"/>
              <w:jc w:val="right"/>
              <w:rPr>
                <w:noProof/>
                <w:sz w:val="20"/>
              </w:rPr>
            </w:pPr>
            <w:r>
              <w:rPr>
                <w:noProof/>
                <w:sz w:val="20"/>
              </w:rPr>
              <w:t>1.474</w:t>
            </w: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9.732</w:t>
            </w:r>
          </w:p>
        </w:tc>
      </w:tr>
      <w:tr>
        <w:trPr>
          <w:jc w:val="center"/>
        </w:trPr>
        <w:tc>
          <w:tcPr>
            <w:tcW w:w="4103" w:type="dxa"/>
            <w:vMerge w:val="restart"/>
            <w:vAlign w:val="center"/>
          </w:tcPr>
          <w:p>
            <w:pPr>
              <w:rPr>
                <w:b/>
                <w:noProof/>
              </w:rPr>
            </w:pPr>
            <w:r>
              <w:rPr>
                <w:noProof/>
                <w:sz w:val="20"/>
              </w:rPr>
              <w:t>Дял III Бюджет на EIT („Оперативни разходи“) Бюджетни кредити за оперативни разходи (разбити по бюджетните редове, изброени в точка 3.1)</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386.423</w:t>
            </w:r>
          </w:p>
        </w:tc>
        <w:tc>
          <w:tcPr>
            <w:tcW w:w="868" w:type="dxa"/>
            <w:vAlign w:val="center"/>
          </w:tcPr>
          <w:p>
            <w:pPr>
              <w:spacing w:before="20" w:after="20"/>
              <w:jc w:val="right"/>
              <w:rPr>
                <w:noProof/>
                <w:sz w:val="20"/>
              </w:rPr>
            </w:pPr>
            <w:r>
              <w:rPr>
                <w:noProof/>
                <w:sz w:val="20"/>
              </w:rPr>
              <w:t>394.190</w:t>
            </w:r>
          </w:p>
        </w:tc>
        <w:tc>
          <w:tcPr>
            <w:tcW w:w="868" w:type="dxa"/>
            <w:vAlign w:val="center"/>
          </w:tcPr>
          <w:p>
            <w:pPr>
              <w:spacing w:before="20" w:after="20"/>
              <w:jc w:val="right"/>
              <w:rPr>
                <w:noProof/>
                <w:sz w:val="20"/>
              </w:rPr>
            </w:pPr>
            <w:r>
              <w:rPr>
                <w:noProof/>
                <w:sz w:val="20"/>
              </w:rPr>
              <w:t>402.088</w:t>
            </w:r>
          </w:p>
        </w:tc>
        <w:tc>
          <w:tcPr>
            <w:tcW w:w="868" w:type="dxa"/>
            <w:vAlign w:val="center"/>
          </w:tcPr>
          <w:p>
            <w:pPr>
              <w:spacing w:before="20" w:after="20"/>
              <w:jc w:val="right"/>
              <w:rPr>
                <w:noProof/>
                <w:sz w:val="20"/>
              </w:rPr>
            </w:pPr>
            <w:r>
              <w:rPr>
                <w:noProof/>
                <w:sz w:val="20"/>
              </w:rPr>
              <w:t>410.155</w:t>
            </w:r>
          </w:p>
        </w:tc>
        <w:tc>
          <w:tcPr>
            <w:tcW w:w="868" w:type="dxa"/>
            <w:vAlign w:val="center"/>
          </w:tcPr>
          <w:p>
            <w:pPr>
              <w:spacing w:before="20" w:after="20"/>
              <w:jc w:val="right"/>
              <w:rPr>
                <w:noProof/>
                <w:sz w:val="20"/>
              </w:rPr>
            </w:pPr>
            <w:r>
              <w:rPr>
                <w:noProof/>
                <w:sz w:val="20"/>
              </w:rPr>
              <w:t>418.460</w:t>
            </w:r>
          </w:p>
        </w:tc>
        <w:tc>
          <w:tcPr>
            <w:tcW w:w="868" w:type="dxa"/>
            <w:vAlign w:val="center"/>
          </w:tcPr>
          <w:p>
            <w:pPr>
              <w:spacing w:before="20" w:after="20"/>
              <w:jc w:val="right"/>
              <w:rPr>
                <w:noProof/>
                <w:sz w:val="20"/>
              </w:rPr>
            </w:pPr>
            <w:r>
              <w:rPr>
                <w:noProof/>
                <w:sz w:val="20"/>
              </w:rPr>
              <w:t>426.790</w:t>
            </w:r>
          </w:p>
        </w:tc>
        <w:tc>
          <w:tcPr>
            <w:tcW w:w="868" w:type="dxa"/>
            <w:vAlign w:val="center"/>
          </w:tcPr>
          <w:p>
            <w:pPr>
              <w:spacing w:before="20" w:after="20"/>
              <w:jc w:val="right"/>
              <w:rPr>
                <w:noProof/>
                <w:sz w:val="20"/>
              </w:rPr>
            </w:pPr>
            <w:r>
              <w:rPr>
                <w:noProof/>
                <w:sz w:val="20"/>
              </w:rPr>
              <w:t>435.394</w:t>
            </w:r>
          </w:p>
        </w:tc>
        <w:tc>
          <w:tcPr>
            <w:tcW w:w="909" w:type="dxa"/>
            <w:shd w:val="clear" w:color="auto" w:fill="A6A6A6"/>
          </w:tcPr>
          <w:p>
            <w:pPr>
              <w:spacing w:before="20" w:after="20"/>
              <w:jc w:val="center"/>
              <w:rPr>
                <w:noProof/>
                <w:sz w:val="20"/>
              </w:rPr>
            </w:pPr>
          </w:p>
        </w:tc>
        <w:tc>
          <w:tcPr>
            <w:tcW w:w="1289" w:type="dxa"/>
            <w:vAlign w:val="center"/>
          </w:tcPr>
          <w:p>
            <w:pPr>
              <w:spacing w:before="20" w:after="20"/>
              <w:jc w:val="right"/>
              <w:rPr>
                <w:b/>
                <w:noProof/>
                <w:sz w:val="20"/>
              </w:rPr>
            </w:pPr>
            <w:r>
              <w:rPr>
                <w:b/>
                <w:noProof/>
                <w:sz w:val="20"/>
              </w:rPr>
              <w:t>2 873.500</w:t>
            </w:r>
          </w:p>
        </w:tc>
      </w:tr>
      <w:tr>
        <w:trPr>
          <w:jc w:val="center"/>
        </w:trPr>
        <w:tc>
          <w:tcPr>
            <w:tcW w:w="4103" w:type="dxa"/>
            <w:vMerge/>
            <w:vAlign w:val="center"/>
          </w:tcPr>
          <w:p>
            <w:pPr>
              <w:rPr>
                <w:b/>
                <w:noProof/>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(4)</w:t>
            </w:r>
          </w:p>
          <w:p>
            <w:pPr>
              <w:rPr>
                <w:noProof/>
                <w:sz w:val="14"/>
              </w:rPr>
            </w:pPr>
          </w:p>
        </w:tc>
        <w:tc>
          <w:tcPr>
            <w:tcW w:w="868" w:type="dxa"/>
            <w:vAlign w:val="center"/>
          </w:tcPr>
          <w:p>
            <w:pPr>
              <w:spacing w:before="20" w:after="20"/>
              <w:jc w:val="right"/>
              <w:rPr>
                <w:noProof/>
                <w:sz w:val="20"/>
              </w:rPr>
            </w:pPr>
            <w:r>
              <w:rPr>
                <w:noProof/>
                <w:sz w:val="20"/>
              </w:rPr>
              <w:t>270.496</w:t>
            </w:r>
          </w:p>
        </w:tc>
        <w:tc>
          <w:tcPr>
            <w:tcW w:w="868" w:type="dxa"/>
            <w:vAlign w:val="center"/>
          </w:tcPr>
          <w:p>
            <w:pPr>
              <w:spacing w:before="20" w:after="20"/>
              <w:jc w:val="right"/>
              <w:rPr>
                <w:noProof/>
                <w:sz w:val="20"/>
              </w:rPr>
            </w:pPr>
            <w:r>
              <w:rPr>
                <w:noProof/>
                <w:sz w:val="20"/>
              </w:rPr>
              <w:t>391.860</w:t>
            </w:r>
          </w:p>
        </w:tc>
        <w:tc>
          <w:tcPr>
            <w:tcW w:w="868" w:type="dxa"/>
            <w:vAlign w:val="center"/>
          </w:tcPr>
          <w:p>
            <w:pPr>
              <w:spacing w:before="20" w:after="20"/>
              <w:jc w:val="right"/>
              <w:rPr>
                <w:noProof/>
                <w:sz w:val="20"/>
              </w:rPr>
            </w:pPr>
            <w:r>
              <w:rPr>
                <w:noProof/>
                <w:sz w:val="20"/>
              </w:rPr>
              <w:t>399.719</w:t>
            </w:r>
          </w:p>
        </w:tc>
        <w:tc>
          <w:tcPr>
            <w:tcW w:w="868" w:type="dxa"/>
            <w:vAlign w:val="center"/>
          </w:tcPr>
          <w:p>
            <w:pPr>
              <w:spacing w:before="20" w:after="20"/>
              <w:jc w:val="right"/>
              <w:rPr>
                <w:noProof/>
                <w:sz w:val="20"/>
              </w:rPr>
            </w:pPr>
            <w:r>
              <w:rPr>
                <w:noProof/>
                <w:sz w:val="20"/>
              </w:rPr>
              <w:t>407.735</w:t>
            </w:r>
          </w:p>
        </w:tc>
        <w:tc>
          <w:tcPr>
            <w:tcW w:w="868" w:type="dxa"/>
            <w:vAlign w:val="center"/>
          </w:tcPr>
          <w:p>
            <w:pPr>
              <w:spacing w:before="20" w:after="20"/>
              <w:jc w:val="right"/>
              <w:rPr>
                <w:noProof/>
                <w:sz w:val="20"/>
              </w:rPr>
            </w:pPr>
            <w:r>
              <w:rPr>
                <w:noProof/>
                <w:sz w:val="20"/>
              </w:rPr>
              <w:t>415.969</w:t>
            </w:r>
          </w:p>
        </w:tc>
        <w:tc>
          <w:tcPr>
            <w:tcW w:w="868" w:type="dxa"/>
            <w:vAlign w:val="center"/>
          </w:tcPr>
          <w:p>
            <w:pPr>
              <w:spacing w:before="20" w:after="20"/>
              <w:jc w:val="right"/>
              <w:rPr>
                <w:noProof/>
                <w:sz w:val="20"/>
              </w:rPr>
            </w:pPr>
            <w:r>
              <w:rPr>
                <w:noProof/>
                <w:sz w:val="20"/>
              </w:rPr>
              <w:t>424.291</w:t>
            </w:r>
          </w:p>
        </w:tc>
        <w:tc>
          <w:tcPr>
            <w:tcW w:w="868" w:type="dxa"/>
            <w:vAlign w:val="center"/>
          </w:tcPr>
          <w:p>
            <w:pPr>
              <w:spacing w:before="20" w:after="20"/>
              <w:jc w:val="right"/>
              <w:rPr>
                <w:noProof/>
                <w:sz w:val="20"/>
              </w:rPr>
            </w:pPr>
            <w:r>
              <w:rPr>
                <w:noProof/>
                <w:sz w:val="20"/>
              </w:rPr>
              <w:t>432.813</w:t>
            </w:r>
          </w:p>
        </w:tc>
        <w:tc>
          <w:tcPr>
            <w:tcW w:w="909" w:type="dxa"/>
          </w:tcPr>
          <w:p>
            <w:pPr>
              <w:spacing w:before="20" w:after="20"/>
              <w:jc w:val="right"/>
              <w:rPr>
                <w:noProof/>
                <w:sz w:val="20"/>
              </w:rPr>
            </w:pPr>
            <w:r>
              <w:rPr>
                <w:noProof/>
                <w:sz w:val="20"/>
              </w:rPr>
              <w:t>130.618</w:t>
            </w:r>
          </w:p>
        </w:tc>
        <w:tc>
          <w:tcPr>
            <w:tcW w:w="1289" w:type="dxa"/>
            <w:vAlign w:val="center"/>
          </w:tcPr>
          <w:p>
            <w:pPr>
              <w:spacing w:before="20" w:after="20"/>
              <w:jc w:val="right"/>
              <w:rPr>
                <w:b/>
                <w:noProof/>
                <w:sz w:val="20"/>
              </w:rPr>
            </w:pPr>
            <w:r>
              <w:rPr>
                <w:b/>
                <w:noProof/>
                <w:sz w:val="20"/>
              </w:rPr>
              <w:t>2.873.500</w:t>
            </w:r>
          </w:p>
        </w:tc>
      </w:tr>
      <w:tr>
        <w:trPr>
          <w:jc w:val="center"/>
        </w:trPr>
        <w:tc>
          <w:tcPr>
            <w:tcW w:w="4103" w:type="dxa"/>
            <w:vMerge w:val="restart"/>
            <w:vAlign w:val="center"/>
          </w:tcPr>
          <w:p>
            <w:pPr>
              <w:rPr>
                <w:noProof/>
                <w:sz w:val="18"/>
                <w:szCs w:val="18"/>
              </w:rPr>
            </w:pPr>
            <w:r>
              <w:rPr>
                <w:noProof/>
                <w:sz w:val="18"/>
              </w:rPr>
              <w:t>01.02.03.XX Европейски институт за иновации и технологии (EIT) — Бюджетни кредити за оперативни разходи</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(5)=(1)+ (2) +(3)</w:t>
            </w:r>
          </w:p>
        </w:tc>
        <w:tc>
          <w:tcPr>
            <w:tcW w:w="868" w:type="dxa"/>
            <w:vAlign w:val="center"/>
          </w:tcPr>
          <w:p>
            <w:pPr>
              <w:spacing w:before="20" w:after="20"/>
              <w:jc w:val="right"/>
              <w:rPr>
                <w:noProof/>
                <w:sz w:val="20"/>
              </w:rPr>
            </w:pPr>
            <w:r>
              <w:rPr>
                <w:noProof/>
                <w:sz w:val="20"/>
              </w:rPr>
              <w:t>393.145</w:t>
            </w:r>
          </w:p>
        </w:tc>
        <w:tc>
          <w:tcPr>
            <w:tcW w:w="868" w:type="dxa"/>
            <w:vAlign w:val="center"/>
          </w:tcPr>
          <w:p>
            <w:pPr>
              <w:spacing w:before="20" w:after="20"/>
              <w:jc w:val="right"/>
              <w:rPr>
                <w:noProof/>
                <w:sz w:val="20"/>
              </w:rPr>
            </w:pPr>
            <w:r>
              <w:rPr>
                <w:noProof/>
                <w:sz w:val="20"/>
              </w:rPr>
              <w:t>401.113</w:t>
            </w:r>
          </w:p>
        </w:tc>
        <w:tc>
          <w:tcPr>
            <w:tcW w:w="868" w:type="dxa"/>
            <w:vAlign w:val="center"/>
          </w:tcPr>
          <w:p>
            <w:pPr>
              <w:spacing w:before="20" w:after="20"/>
              <w:jc w:val="right"/>
              <w:rPr>
                <w:noProof/>
                <w:sz w:val="20"/>
              </w:rPr>
            </w:pPr>
            <w:r>
              <w:rPr>
                <w:noProof/>
                <w:sz w:val="20"/>
              </w:rPr>
              <w:t>409.218</w:t>
            </w:r>
          </w:p>
        </w:tc>
        <w:tc>
          <w:tcPr>
            <w:tcW w:w="868" w:type="dxa"/>
            <w:vAlign w:val="center"/>
          </w:tcPr>
          <w:p>
            <w:pPr>
              <w:spacing w:before="20" w:after="20"/>
              <w:jc w:val="right"/>
              <w:rPr>
                <w:noProof/>
                <w:sz w:val="20"/>
              </w:rPr>
            </w:pPr>
            <w:r>
              <w:rPr>
                <w:noProof/>
                <w:sz w:val="20"/>
              </w:rPr>
              <w:t>417.499</w:t>
            </w:r>
          </w:p>
        </w:tc>
        <w:tc>
          <w:tcPr>
            <w:tcW w:w="868" w:type="dxa"/>
            <w:vAlign w:val="center"/>
          </w:tcPr>
          <w:p>
            <w:pPr>
              <w:spacing w:before="20" w:after="20"/>
              <w:jc w:val="right"/>
              <w:rPr>
                <w:noProof/>
                <w:sz w:val="20"/>
              </w:rPr>
            </w:pPr>
            <w:r>
              <w:rPr>
                <w:noProof/>
                <w:sz w:val="20"/>
              </w:rPr>
              <w:t>426.024</w:t>
            </w:r>
          </w:p>
        </w:tc>
        <w:tc>
          <w:tcPr>
            <w:tcW w:w="868" w:type="dxa"/>
            <w:vAlign w:val="center"/>
          </w:tcPr>
          <w:p>
            <w:pPr>
              <w:spacing w:before="20" w:after="20"/>
              <w:jc w:val="right"/>
              <w:rPr>
                <w:noProof/>
                <w:sz w:val="20"/>
              </w:rPr>
            </w:pPr>
            <w:r>
              <w:rPr>
                <w:noProof/>
                <w:sz w:val="20"/>
              </w:rPr>
              <w:t>434.581</w:t>
            </w:r>
          </w:p>
        </w:tc>
        <w:tc>
          <w:tcPr>
            <w:tcW w:w="868" w:type="dxa"/>
            <w:vAlign w:val="center"/>
          </w:tcPr>
          <w:p>
            <w:pPr>
              <w:spacing w:before="20" w:after="20"/>
              <w:jc w:val="right"/>
              <w:rPr>
                <w:noProof/>
                <w:sz w:val="20"/>
              </w:rPr>
            </w:pPr>
            <w:r>
              <w:rPr>
                <w:noProof/>
                <w:sz w:val="20"/>
              </w:rPr>
              <w:t>443.419</w:t>
            </w:r>
          </w:p>
        </w:tc>
        <w:tc>
          <w:tcPr>
            <w:tcW w:w="909" w:type="dxa"/>
            <w:shd w:val="clear" w:color="auto" w:fill="A6A6A6"/>
          </w:tcPr>
          <w:p>
            <w:pPr>
              <w:spacing w:before="20" w:after="20"/>
              <w:jc w:val="right"/>
              <w:rPr>
                <w:noProof/>
                <w:sz w:val="20"/>
              </w:rPr>
            </w:pPr>
          </w:p>
        </w:tc>
        <w:tc>
          <w:tcPr>
            <w:tcW w:w="1289" w:type="dxa"/>
            <w:vAlign w:val="center"/>
          </w:tcPr>
          <w:p>
            <w:pPr>
              <w:spacing w:before="20" w:after="20"/>
              <w:jc w:val="right"/>
              <w:rPr>
                <w:b/>
                <w:noProof/>
                <w:sz w:val="20"/>
              </w:rPr>
            </w:pPr>
            <w:r>
              <w:rPr>
                <w:b/>
                <w:noProof/>
                <w:sz w:val="20"/>
              </w:rPr>
              <w:t xml:space="preserve"> 2 925.000</w:t>
            </w:r>
          </w:p>
        </w:tc>
      </w:tr>
      <w:tr>
        <w:trPr>
          <w:jc w:val="center"/>
        </w:trPr>
        <w:tc>
          <w:tcPr>
            <w:tcW w:w="4103" w:type="dxa"/>
            <w:vMerge/>
          </w:tcPr>
          <w:p>
            <w:pPr>
              <w:rPr>
                <w:noProof/>
                <w:sz w:val="18"/>
                <w:szCs w:val="18"/>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(6)=(1)+(2)+(4)</w:t>
            </w:r>
          </w:p>
        </w:tc>
        <w:tc>
          <w:tcPr>
            <w:tcW w:w="868" w:type="dxa"/>
            <w:vAlign w:val="center"/>
          </w:tcPr>
          <w:p>
            <w:pPr>
              <w:spacing w:before="20" w:after="20"/>
              <w:jc w:val="right"/>
              <w:rPr>
                <w:noProof/>
                <w:sz w:val="20"/>
              </w:rPr>
            </w:pPr>
            <w:r>
              <w:rPr>
                <w:noProof/>
                <w:sz w:val="20"/>
              </w:rPr>
              <w:t>277.218</w:t>
            </w:r>
          </w:p>
        </w:tc>
        <w:tc>
          <w:tcPr>
            <w:tcW w:w="868" w:type="dxa"/>
            <w:vAlign w:val="center"/>
          </w:tcPr>
          <w:p>
            <w:pPr>
              <w:spacing w:before="20" w:after="20"/>
              <w:jc w:val="right"/>
              <w:rPr>
                <w:noProof/>
                <w:sz w:val="20"/>
              </w:rPr>
            </w:pPr>
            <w:r>
              <w:rPr>
                <w:noProof/>
                <w:sz w:val="20"/>
              </w:rPr>
              <w:t>398.783</w:t>
            </w:r>
          </w:p>
        </w:tc>
        <w:tc>
          <w:tcPr>
            <w:tcW w:w="868" w:type="dxa"/>
            <w:vAlign w:val="center"/>
          </w:tcPr>
          <w:p>
            <w:pPr>
              <w:spacing w:before="20" w:after="20"/>
              <w:jc w:val="right"/>
              <w:rPr>
                <w:noProof/>
                <w:sz w:val="20"/>
              </w:rPr>
            </w:pPr>
            <w:r>
              <w:rPr>
                <w:noProof/>
                <w:sz w:val="20"/>
              </w:rPr>
              <w:t>406.849</w:t>
            </w:r>
          </w:p>
        </w:tc>
        <w:tc>
          <w:tcPr>
            <w:tcW w:w="868" w:type="dxa"/>
            <w:vAlign w:val="center"/>
          </w:tcPr>
          <w:p>
            <w:pPr>
              <w:spacing w:before="20" w:after="20"/>
              <w:jc w:val="right"/>
              <w:rPr>
                <w:noProof/>
                <w:sz w:val="20"/>
              </w:rPr>
            </w:pPr>
            <w:r>
              <w:rPr>
                <w:noProof/>
                <w:sz w:val="20"/>
              </w:rPr>
              <w:t>415.079</w:t>
            </w:r>
          </w:p>
        </w:tc>
        <w:tc>
          <w:tcPr>
            <w:tcW w:w="868" w:type="dxa"/>
            <w:vAlign w:val="center"/>
          </w:tcPr>
          <w:p>
            <w:pPr>
              <w:spacing w:before="20" w:after="20"/>
              <w:jc w:val="right"/>
              <w:rPr>
                <w:noProof/>
                <w:sz w:val="20"/>
              </w:rPr>
            </w:pPr>
            <w:r>
              <w:rPr>
                <w:noProof/>
                <w:sz w:val="20"/>
              </w:rPr>
              <w:t>423.533</w:t>
            </w:r>
          </w:p>
        </w:tc>
        <w:tc>
          <w:tcPr>
            <w:tcW w:w="868" w:type="dxa"/>
            <w:vAlign w:val="center"/>
          </w:tcPr>
          <w:p>
            <w:pPr>
              <w:spacing w:before="20" w:after="20"/>
              <w:jc w:val="right"/>
              <w:rPr>
                <w:noProof/>
                <w:sz w:val="20"/>
              </w:rPr>
            </w:pPr>
            <w:r>
              <w:rPr>
                <w:noProof/>
                <w:sz w:val="20"/>
              </w:rPr>
              <w:t>432.082</w:t>
            </w:r>
          </w:p>
        </w:tc>
        <w:tc>
          <w:tcPr>
            <w:tcW w:w="868" w:type="dxa"/>
            <w:vAlign w:val="center"/>
          </w:tcPr>
          <w:p>
            <w:pPr>
              <w:spacing w:before="20" w:after="20"/>
              <w:jc w:val="right"/>
              <w:rPr>
                <w:noProof/>
                <w:sz w:val="20"/>
              </w:rPr>
            </w:pPr>
            <w:r>
              <w:rPr>
                <w:noProof/>
                <w:sz w:val="20"/>
              </w:rPr>
              <w:t>440.838</w:t>
            </w:r>
          </w:p>
        </w:tc>
        <w:tc>
          <w:tcPr>
            <w:tcW w:w="909" w:type="dxa"/>
          </w:tcPr>
          <w:p>
            <w:pPr>
              <w:spacing w:before="20" w:after="20"/>
              <w:jc w:val="right"/>
              <w:rPr>
                <w:noProof/>
                <w:sz w:val="20"/>
              </w:rPr>
            </w:pPr>
            <w:r>
              <w:rPr>
                <w:noProof/>
                <w:sz w:val="20"/>
              </w:rPr>
              <w:t>130.618</w:t>
            </w:r>
          </w:p>
        </w:tc>
        <w:tc>
          <w:tcPr>
            <w:tcW w:w="1289" w:type="dxa"/>
            <w:vAlign w:val="center"/>
          </w:tcPr>
          <w:p>
            <w:pPr>
              <w:spacing w:before="20" w:after="20"/>
              <w:jc w:val="right"/>
              <w:rPr>
                <w:b/>
                <w:noProof/>
                <w:sz w:val="20"/>
              </w:rPr>
            </w:pPr>
            <w:r>
              <w:rPr>
                <w:b/>
                <w:noProof/>
                <w:sz w:val="20"/>
              </w:rPr>
              <w:t>2.925.000</w:t>
            </w:r>
          </w:p>
        </w:tc>
      </w:tr>
      <w:tr>
        <w:trPr>
          <w:jc w:val="center"/>
        </w:trPr>
        <w:tc>
          <w:tcPr>
            <w:tcW w:w="4103" w:type="dxa"/>
          </w:tcPr>
          <w:p>
            <w:pPr>
              <w:rPr>
                <w:noProof/>
                <w:sz w:val="18"/>
                <w:szCs w:val="18"/>
              </w:rPr>
            </w:pPr>
            <w:r>
              <w:rPr>
                <w:noProof/>
                <w:sz w:val="18"/>
              </w:rPr>
              <w:t>01.010101 Разходи, свързани с длъжностни лица и временно наети лица, изпълняващи програми за научни изследвания и иновации — „Хоризонт Европа“</w:t>
            </w:r>
          </w:p>
        </w:tc>
        <w:tc>
          <w:tcPr>
            <w:tcW w:w="1440" w:type="dxa"/>
            <w:vAlign w:val="center"/>
          </w:tcPr>
          <w:p>
            <w:pPr>
              <w:rPr>
                <w:noProof/>
                <w:sz w:val="18"/>
              </w:rPr>
            </w:pPr>
            <w:r>
              <w:rPr>
                <w:noProof/>
                <w:sz w:val="18"/>
              </w:rPr>
              <w:t>Поети задължения = Плащания</w:t>
            </w:r>
          </w:p>
        </w:tc>
        <w:tc>
          <w:tcPr>
            <w:tcW w:w="654" w:type="dxa"/>
            <w:vAlign w:val="center"/>
          </w:tcPr>
          <w:p>
            <w:pPr>
              <w:jc w:val="center"/>
              <w:rPr>
                <w:noProof/>
                <w:sz w:val="14"/>
              </w:rPr>
            </w:pPr>
            <w:r>
              <w:rPr>
                <w:noProof/>
                <w:sz w:val="14"/>
              </w:rPr>
              <w:t>(7)</w:t>
            </w:r>
          </w:p>
        </w:tc>
        <w:tc>
          <w:tcPr>
            <w:tcW w:w="868" w:type="dxa"/>
            <w:vAlign w:val="center"/>
          </w:tcPr>
          <w:p>
            <w:pPr>
              <w:spacing w:before="20" w:after="20"/>
              <w:jc w:val="right"/>
              <w:rPr>
                <w:noProof/>
                <w:sz w:val="20"/>
              </w:rPr>
            </w:pPr>
            <w:r>
              <w:rPr>
                <w:noProof/>
                <w:sz w:val="20"/>
              </w:rPr>
              <w:t>0.527</w:t>
            </w:r>
          </w:p>
        </w:tc>
        <w:tc>
          <w:tcPr>
            <w:tcW w:w="868" w:type="dxa"/>
            <w:vAlign w:val="center"/>
          </w:tcPr>
          <w:p>
            <w:pPr>
              <w:spacing w:before="20" w:after="20"/>
              <w:jc w:val="right"/>
              <w:rPr>
                <w:noProof/>
                <w:sz w:val="20"/>
              </w:rPr>
            </w:pPr>
            <w:r>
              <w:rPr>
                <w:noProof/>
                <w:sz w:val="20"/>
              </w:rPr>
              <w:t>0.545</w:t>
            </w:r>
          </w:p>
        </w:tc>
        <w:tc>
          <w:tcPr>
            <w:tcW w:w="868" w:type="dxa"/>
            <w:vAlign w:val="center"/>
          </w:tcPr>
          <w:p>
            <w:pPr>
              <w:spacing w:before="20" w:after="20"/>
              <w:jc w:val="right"/>
              <w:rPr>
                <w:noProof/>
                <w:sz w:val="20"/>
              </w:rPr>
            </w:pPr>
            <w:r>
              <w:rPr>
                <w:noProof/>
                <w:sz w:val="20"/>
              </w:rPr>
              <w:t>0.565</w:t>
            </w:r>
          </w:p>
        </w:tc>
        <w:tc>
          <w:tcPr>
            <w:tcW w:w="868" w:type="dxa"/>
            <w:vAlign w:val="center"/>
          </w:tcPr>
          <w:p>
            <w:pPr>
              <w:spacing w:before="20" w:after="20"/>
              <w:jc w:val="right"/>
              <w:rPr>
                <w:noProof/>
                <w:sz w:val="20"/>
              </w:rPr>
            </w:pPr>
            <w:r>
              <w:rPr>
                <w:noProof/>
                <w:sz w:val="20"/>
              </w:rPr>
              <w:t>0.584</w:t>
            </w:r>
          </w:p>
        </w:tc>
        <w:tc>
          <w:tcPr>
            <w:tcW w:w="868" w:type="dxa"/>
            <w:vAlign w:val="center"/>
          </w:tcPr>
          <w:p>
            <w:pPr>
              <w:spacing w:before="20" w:after="20"/>
              <w:jc w:val="right"/>
              <w:rPr>
                <w:noProof/>
                <w:sz w:val="20"/>
              </w:rPr>
            </w:pPr>
            <w:r>
              <w:rPr>
                <w:noProof/>
                <w:sz w:val="20"/>
              </w:rPr>
              <w:t>0.605</w:t>
            </w:r>
          </w:p>
        </w:tc>
        <w:tc>
          <w:tcPr>
            <w:tcW w:w="868" w:type="dxa"/>
            <w:vAlign w:val="center"/>
          </w:tcPr>
          <w:p>
            <w:pPr>
              <w:spacing w:before="20" w:after="20"/>
              <w:jc w:val="right"/>
              <w:rPr>
                <w:noProof/>
                <w:sz w:val="20"/>
              </w:rPr>
            </w:pPr>
            <w:r>
              <w:rPr>
                <w:noProof/>
                <w:sz w:val="20"/>
              </w:rPr>
              <w:t>0.626</w:t>
            </w:r>
          </w:p>
        </w:tc>
        <w:tc>
          <w:tcPr>
            <w:tcW w:w="868" w:type="dxa"/>
            <w:vAlign w:val="center"/>
          </w:tcPr>
          <w:p>
            <w:pPr>
              <w:spacing w:before="20" w:after="20"/>
              <w:jc w:val="right"/>
              <w:rPr>
                <w:noProof/>
                <w:sz w:val="20"/>
              </w:rPr>
            </w:pPr>
            <w:r>
              <w:rPr>
                <w:noProof/>
                <w:sz w:val="20"/>
              </w:rPr>
              <w:t>0.648</w:t>
            </w:r>
          </w:p>
        </w:tc>
        <w:tc>
          <w:tcPr>
            <w:tcW w:w="909" w:type="dxa"/>
          </w:tcPr>
          <w:p>
            <w:pPr>
              <w:spacing w:before="20" w:after="20"/>
              <w:jc w:val="right"/>
              <w:rPr>
                <w:noProof/>
                <w:sz w:val="20"/>
              </w:rPr>
            </w:pPr>
          </w:p>
        </w:tc>
        <w:tc>
          <w:tcPr>
            <w:tcW w:w="1289" w:type="dxa"/>
            <w:vAlign w:val="center"/>
          </w:tcPr>
          <w:p>
            <w:pPr>
              <w:spacing w:before="20" w:after="20"/>
              <w:jc w:val="right"/>
              <w:rPr>
                <w:b/>
                <w:noProof/>
                <w:sz w:val="20"/>
              </w:rPr>
            </w:pPr>
            <w:r>
              <w:rPr>
                <w:b/>
                <w:noProof/>
                <w:sz w:val="20"/>
              </w:rPr>
              <w:t>4.100</w:t>
            </w:r>
          </w:p>
        </w:tc>
      </w:tr>
      <w:tr>
        <w:trPr>
          <w:jc w:val="center"/>
        </w:trPr>
        <w:tc>
          <w:tcPr>
            <w:tcW w:w="4103" w:type="dxa"/>
          </w:tcPr>
          <w:p>
            <w:pPr>
              <w:rPr>
                <w:noProof/>
                <w:sz w:val="18"/>
                <w:szCs w:val="18"/>
              </w:rPr>
            </w:pPr>
            <w:r>
              <w:rPr>
                <w:noProof/>
                <w:sz w:val="18"/>
              </w:rPr>
              <w:t>01.010102 Външен персонал, работещ по програми за научни изследвания и иновации — „Хоризонт Европа“</w:t>
            </w:r>
          </w:p>
        </w:tc>
        <w:tc>
          <w:tcPr>
            <w:tcW w:w="1440" w:type="dxa"/>
          </w:tcPr>
          <w:p>
            <w:pPr>
              <w:rPr>
                <w:noProof/>
                <w:sz w:val="18"/>
                <w:szCs w:val="18"/>
              </w:rPr>
            </w:pPr>
            <w:r>
              <w:rPr>
                <w:noProof/>
                <w:sz w:val="18"/>
              </w:rPr>
              <w:t>Поети задължения = Плащания</w:t>
            </w:r>
          </w:p>
        </w:tc>
        <w:tc>
          <w:tcPr>
            <w:tcW w:w="654" w:type="dxa"/>
          </w:tcPr>
          <w:p>
            <w:pPr>
              <w:jc w:val="center"/>
              <w:rPr>
                <w:noProof/>
                <w:sz w:val="14"/>
                <w:szCs w:val="14"/>
              </w:rPr>
            </w:pPr>
            <w:r>
              <w:rPr>
                <w:noProof/>
                <w:sz w:val="14"/>
              </w:rPr>
              <w:t>(8)</w:t>
            </w:r>
          </w:p>
        </w:tc>
        <w:tc>
          <w:tcPr>
            <w:tcW w:w="868" w:type="dxa"/>
          </w:tcPr>
          <w:p>
            <w:pPr>
              <w:spacing w:before="20" w:after="20"/>
              <w:jc w:val="right"/>
              <w:rPr>
                <w:noProof/>
                <w:sz w:val="18"/>
                <w:szCs w:val="18"/>
              </w:rPr>
            </w:pPr>
            <w:r>
              <w:rPr>
                <w:noProof/>
                <w:sz w:val="18"/>
              </w:rPr>
              <w:t>0.108</w:t>
            </w:r>
          </w:p>
        </w:tc>
        <w:tc>
          <w:tcPr>
            <w:tcW w:w="868" w:type="dxa"/>
          </w:tcPr>
          <w:p>
            <w:pPr>
              <w:spacing w:before="20" w:after="20"/>
              <w:jc w:val="right"/>
              <w:rPr>
                <w:noProof/>
                <w:sz w:val="18"/>
                <w:szCs w:val="18"/>
              </w:rPr>
            </w:pPr>
            <w:r>
              <w:rPr>
                <w:noProof/>
                <w:sz w:val="18"/>
              </w:rPr>
              <w:t>0.110</w:t>
            </w:r>
          </w:p>
        </w:tc>
        <w:tc>
          <w:tcPr>
            <w:tcW w:w="868" w:type="dxa"/>
          </w:tcPr>
          <w:p>
            <w:pPr>
              <w:spacing w:before="20" w:after="20"/>
              <w:jc w:val="right"/>
              <w:rPr>
                <w:noProof/>
                <w:sz w:val="18"/>
                <w:szCs w:val="18"/>
              </w:rPr>
            </w:pPr>
            <w:r>
              <w:rPr>
                <w:noProof/>
                <w:sz w:val="18"/>
              </w:rPr>
              <w:t>0.113</w:t>
            </w:r>
          </w:p>
        </w:tc>
        <w:tc>
          <w:tcPr>
            <w:tcW w:w="868" w:type="dxa"/>
          </w:tcPr>
          <w:p>
            <w:pPr>
              <w:spacing w:before="20" w:after="20"/>
              <w:jc w:val="right"/>
              <w:rPr>
                <w:noProof/>
                <w:sz w:val="18"/>
                <w:szCs w:val="18"/>
              </w:rPr>
            </w:pPr>
            <w:r>
              <w:rPr>
                <w:noProof/>
                <w:sz w:val="18"/>
              </w:rPr>
              <w:t>0.115</w:t>
            </w:r>
          </w:p>
        </w:tc>
        <w:tc>
          <w:tcPr>
            <w:tcW w:w="868" w:type="dxa"/>
          </w:tcPr>
          <w:p>
            <w:pPr>
              <w:spacing w:before="20" w:after="20"/>
              <w:jc w:val="right"/>
              <w:rPr>
                <w:noProof/>
                <w:sz w:val="18"/>
                <w:szCs w:val="18"/>
              </w:rPr>
            </w:pPr>
            <w:r>
              <w:rPr>
                <w:noProof/>
                <w:sz w:val="18"/>
              </w:rPr>
              <w:t>0.117</w:t>
            </w:r>
          </w:p>
        </w:tc>
        <w:tc>
          <w:tcPr>
            <w:tcW w:w="868" w:type="dxa"/>
          </w:tcPr>
          <w:p>
            <w:pPr>
              <w:spacing w:before="20" w:after="20"/>
              <w:jc w:val="right"/>
              <w:rPr>
                <w:noProof/>
                <w:sz w:val="18"/>
                <w:szCs w:val="18"/>
              </w:rPr>
            </w:pPr>
            <w:r>
              <w:rPr>
                <w:noProof/>
                <w:sz w:val="18"/>
              </w:rPr>
              <w:t>0.119</w:t>
            </w:r>
          </w:p>
        </w:tc>
        <w:tc>
          <w:tcPr>
            <w:tcW w:w="868" w:type="dxa"/>
          </w:tcPr>
          <w:p>
            <w:pPr>
              <w:spacing w:before="20" w:after="20"/>
              <w:jc w:val="right"/>
              <w:rPr>
                <w:noProof/>
                <w:sz w:val="18"/>
                <w:szCs w:val="18"/>
              </w:rPr>
            </w:pPr>
            <w:r>
              <w:rPr>
                <w:noProof/>
                <w:sz w:val="18"/>
              </w:rPr>
              <w:t>0.122</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rPr>
              <w:t>0.804</w:t>
            </w:r>
          </w:p>
        </w:tc>
      </w:tr>
      <w:tr>
        <w:trPr>
          <w:jc w:val="center"/>
        </w:trPr>
        <w:tc>
          <w:tcPr>
            <w:tcW w:w="4103" w:type="dxa"/>
          </w:tcPr>
          <w:p>
            <w:pPr>
              <w:rPr>
                <w:noProof/>
                <w:sz w:val="18"/>
                <w:szCs w:val="18"/>
              </w:rPr>
            </w:pPr>
            <w:r>
              <w:rPr>
                <w:noProof/>
                <w:sz w:val="18"/>
              </w:rPr>
              <w:t>01.010103 Други разходи за управление за програми за научни изследвания и иновации — „Хоризонт Европа“</w:t>
            </w:r>
          </w:p>
        </w:tc>
        <w:tc>
          <w:tcPr>
            <w:tcW w:w="1440" w:type="dxa"/>
          </w:tcPr>
          <w:p>
            <w:pPr>
              <w:rPr>
                <w:noProof/>
                <w:sz w:val="18"/>
                <w:szCs w:val="18"/>
              </w:rPr>
            </w:pPr>
            <w:r>
              <w:rPr>
                <w:noProof/>
                <w:sz w:val="18"/>
              </w:rPr>
              <w:t>Поети задължения = Плащания</w:t>
            </w:r>
          </w:p>
        </w:tc>
        <w:tc>
          <w:tcPr>
            <w:tcW w:w="654" w:type="dxa"/>
          </w:tcPr>
          <w:p>
            <w:pPr>
              <w:jc w:val="center"/>
              <w:rPr>
                <w:noProof/>
                <w:sz w:val="14"/>
                <w:szCs w:val="14"/>
              </w:rPr>
            </w:pPr>
            <w:r>
              <w:rPr>
                <w:noProof/>
                <w:sz w:val="14"/>
              </w:rPr>
              <w:t>(9)</w:t>
            </w:r>
          </w:p>
        </w:tc>
        <w:tc>
          <w:tcPr>
            <w:tcW w:w="868" w:type="dxa"/>
          </w:tcPr>
          <w:p>
            <w:pPr>
              <w:spacing w:before="20" w:after="20"/>
              <w:jc w:val="right"/>
              <w:rPr>
                <w:noProof/>
                <w:sz w:val="18"/>
                <w:szCs w:val="18"/>
              </w:rPr>
            </w:pPr>
            <w:r>
              <w:rPr>
                <w:noProof/>
                <w:sz w:val="18"/>
              </w:rPr>
              <w:t>9.445</w:t>
            </w:r>
          </w:p>
        </w:tc>
        <w:tc>
          <w:tcPr>
            <w:tcW w:w="868" w:type="dxa"/>
          </w:tcPr>
          <w:p>
            <w:pPr>
              <w:spacing w:before="20" w:after="20"/>
              <w:jc w:val="right"/>
              <w:rPr>
                <w:noProof/>
                <w:sz w:val="18"/>
                <w:szCs w:val="18"/>
              </w:rPr>
            </w:pPr>
            <w:r>
              <w:rPr>
                <w:noProof/>
                <w:sz w:val="18"/>
              </w:rPr>
              <w:t>9.629</w:t>
            </w:r>
          </w:p>
        </w:tc>
        <w:tc>
          <w:tcPr>
            <w:tcW w:w="868" w:type="dxa"/>
          </w:tcPr>
          <w:p>
            <w:pPr>
              <w:spacing w:before="20" w:after="20"/>
              <w:jc w:val="right"/>
              <w:rPr>
                <w:noProof/>
                <w:sz w:val="18"/>
                <w:szCs w:val="18"/>
              </w:rPr>
            </w:pPr>
            <w:r>
              <w:rPr>
                <w:noProof/>
                <w:sz w:val="18"/>
              </w:rPr>
              <w:t>9.816</w:t>
            </w:r>
          </w:p>
        </w:tc>
        <w:tc>
          <w:tcPr>
            <w:tcW w:w="868" w:type="dxa"/>
          </w:tcPr>
          <w:p>
            <w:pPr>
              <w:spacing w:before="20" w:after="20"/>
              <w:jc w:val="right"/>
              <w:rPr>
                <w:noProof/>
                <w:sz w:val="18"/>
                <w:szCs w:val="18"/>
              </w:rPr>
            </w:pPr>
            <w:r>
              <w:rPr>
                <w:noProof/>
                <w:sz w:val="18"/>
              </w:rPr>
              <w:t>10.006</w:t>
            </w:r>
          </w:p>
        </w:tc>
        <w:tc>
          <w:tcPr>
            <w:tcW w:w="868" w:type="dxa"/>
          </w:tcPr>
          <w:p>
            <w:pPr>
              <w:spacing w:before="20" w:after="20"/>
              <w:jc w:val="right"/>
              <w:rPr>
                <w:noProof/>
                <w:sz w:val="18"/>
                <w:szCs w:val="18"/>
              </w:rPr>
            </w:pPr>
            <w:r>
              <w:rPr>
                <w:noProof/>
                <w:sz w:val="18"/>
              </w:rPr>
              <w:t>10.202</w:t>
            </w:r>
          </w:p>
        </w:tc>
        <w:tc>
          <w:tcPr>
            <w:tcW w:w="868" w:type="dxa"/>
          </w:tcPr>
          <w:p>
            <w:pPr>
              <w:spacing w:before="20" w:after="20"/>
              <w:jc w:val="right"/>
              <w:rPr>
                <w:noProof/>
                <w:sz w:val="18"/>
                <w:szCs w:val="18"/>
              </w:rPr>
            </w:pPr>
            <w:r>
              <w:rPr>
                <w:noProof/>
                <w:sz w:val="18"/>
              </w:rPr>
              <w:t>10.398</w:t>
            </w:r>
          </w:p>
        </w:tc>
        <w:tc>
          <w:tcPr>
            <w:tcW w:w="868" w:type="dxa"/>
          </w:tcPr>
          <w:p>
            <w:pPr>
              <w:spacing w:before="20" w:after="20"/>
              <w:jc w:val="right"/>
              <w:rPr>
                <w:noProof/>
                <w:sz w:val="18"/>
                <w:szCs w:val="18"/>
              </w:rPr>
            </w:pPr>
            <w:r>
              <w:rPr>
                <w:noProof/>
                <w:sz w:val="18"/>
              </w:rPr>
              <w:t>10.600</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rPr>
              <w:t>70.096</w:t>
            </w:r>
          </w:p>
        </w:tc>
      </w:tr>
      <w:tr>
        <w:trPr>
          <w:jc w:val="center"/>
        </w:trPr>
        <w:tc>
          <w:tcPr>
            <w:tcW w:w="4103" w:type="dxa"/>
          </w:tcPr>
          <w:p>
            <w:pPr>
              <w:rPr>
                <w:noProof/>
                <w:sz w:val="18"/>
                <w:szCs w:val="18"/>
              </w:rPr>
            </w:pPr>
            <w:r>
              <w:rPr>
                <w:noProof/>
                <w:sz w:val="18"/>
              </w:rPr>
              <w:t>Бюджетни кредити за административни разходи, финансирани от пакета на програмата</w:t>
            </w:r>
            <w:r>
              <w:rPr>
                <w:rStyle w:val="FootnoteReference"/>
                <w:noProof/>
                <w:sz w:val="18"/>
              </w:rPr>
              <w:footnoteReference w:id="16"/>
            </w:r>
            <w:r>
              <w:rPr>
                <w:noProof/>
                <w:sz w:val="18"/>
              </w:rPr>
              <w:t xml:space="preserve">   </w:t>
            </w:r>
          </w:p>
        </w:tc>
        <w:tc>
          <w:tcPr>
            <w:tcW w:w="1440" w:type="dxa"/>
          </w:tcPr>
          <w:p>
            <w:pPr>
              <w:rPr>
                <w:noProof/>
                <w:sz w:val="18"/>
                <w:szCs w:val="18"/>
              </w:rPr>
            </w:pPr>
            <w:r>
              <w:rPr>
                <w:noProof/>
                <w:sz w:val="18"/>
              </w:rPr>
              <w:t>Поети задължения = Плащания</w:t>
            </w:r>
          </w:p>
        </w:tc>
        <w:tc>
          <w:tcPr>
            <w:tcW w:w="654" w:type="dxa"/>
          </w:tcPr>
          <w:p>
            <w:pPr>
              <w:jc w:val="center"/>
              <w:rPr>
                <w:noProof/>
                <w:sz w:val="14"/>
                <w:szCs w:val="14"/>
              </w:rPr>
            </w:pPr>
            <w:r>
              <w:rPr>
                <w:noProof/>
                <w:sz w:val="14"/>
              </w:rPr>
              <w:t>(10)=(7)+ (8) +(9)</w:t>
            </w:r>
          </w:p>
        </w:tc>
        <w:tc>
          <w:tcPr>
            <w:tcW w:w="868" w:type="dxa"/>
          </w:tcPr>
          <w:p>
            <w:pPr>
              <w:spacing w:before="20" w:after="20"/>
              <w:jc w:val="right"/>
              <w:rPr>
                <w:noProof/>
                <w:sz w:val="18"/>
                <w:szCs w:val="18"/>
              </w:rPr>
            </w:pPr>
            <w:r>
              <w:rPr>
                <w:noProof/>
                <w:sz w:val="18"/>
              </w:rPr>
              <w:t>10.081</w:t>
            </w:r>
          </w:p>
        </w:tc>
        <w:tc>
          <w:tcPr>
            <w:tcW w:w="868" w:type="dxa"/>
          </w:tcPr>
          <w:p>
            <w:pPr>
              <w:spacing w:before="20" w:after="20"/>
              <w:jc w:val="right"/>
              <w:rPr>
                <w:noProof/>
                <w:sz w:val="18"/>
                <w:szCs w:val="18"/>
              </w:rPr>
            </w:pPr>
            <w:r>
              <w:rPr>
                <w:noProof/>
                <w:sz w:val="18"/>
              </w:rPr>
              <w:t>10.285</w:t>
            </w:r>
          </w:p>
        </w:tc>
        <w:tc>
          <w:tcPr>
            <w:tcW w:w="868" w:type="dxa"/>
          </w:tcPr>
          <w:p>
            <w:pPr>
              <w:spacing w:before="20" w:after="20"/>
              <w:jc w:val="right"/>
              <w:rPr>
                <w:noProof/>
                <w:sz w:val="18"/>
                <w:szCs w:val="18"/>
              </w:rPr>
            </w:pPr>
            <w:r>
              <w:rPr>
                <w:noProof/>
                <w:sz w:val="18"/>
              </w:rPr>
              <w:t>10.493</w:t>
            </w:r>
          </w:p>
        </w:tc>
        <w:tc>
          <w:tcPr>
            <w:tcW w:w="868" w:type="dxa"/>
          </w:tcPr>
          <w:p>
            <w:pPr>
              <w:spacing w:before="20" w:after="20"/>
              <w:jc w:val="right"/>
              <w:rPr>
                <w:noProof/>
                <w:sz w:val="18"/>
                <w:szCs w:val="18"/>
              </w:rPr>
            </w:pPr>
            <w:r>
              <w:rPr>
                <w:noProof/>
                <w:sz w:val="18"/>
              </w:rPr>
              <w:t>10.705</w:t>
            </w:r>
          </w:p>
        </w:tc>
        <w:tc>
          <w:tcPr>
            <w:tcW w:w="868" w:type="dxa"/>
          </w:tcPr>
          <w:p>
            <w:pPr>
              <w:spacing w:before="20" w:after="20"/>
              <w:jc w:val="right"/>
              <w:rPr>
                <w:noProof/>
                <w:sz w:val="18"/>
                <w:szCs w:val="18"/>
              </w:rPr>
            </w:pPr>
            <w:r>
              <w:rPr>
                <w:noProof/>
                <w:sz w:val="18"/>
              </w:rPr>
              <w:t>10.924</w:t>
            </w:r>
          </w:p>
        </w:tc>
        <w:tc>
          <w:tcPr>
            <w:tcW w:w="868" w:type="dxa"/>
          </w:tcPr>
          <w:p>
            <w:pPr>
              <w:spacing w:before="20" w:after="20"/>
              <w:jc w:val="right"/>
              <w:rPr>
                <w:noProof/>
                <w:sz w:val="18"/>
                <w:szCs w:val="18"/>
              </w:rPr>
            </w:pPr>
            <w:r>
              <w:rPr>
                <w:noProof/>
                <w:sz w:val="18"/>
              </w:rPr>
              <w:t>11.143</w:t>
            </w:r>
          </w:p>
        </w:tc>
        <w:tc>
          <w:tcPr>
            <w:tcW w:w="868" w:type="dxa"/>
          </w:tcPr>
          <w:p>
            <w:pPr>
              <w:spacing w:before="20" w:after="20"/>
              <w:jc w:val="right"/>
              <w:rPr>
                <w:noProof/>
                <w:sz w:val="18"/>
                <w:szCs w:val="18"/>
              </w:rPr>
            </w:pPr>
            <w:r>
              <w:rPr>
                <w:noProof/>
                <w:sz w:val="18"/>
              </w:rPr>
              <w:t>11.370</w:t>
            </w:r>
          </w:p>
        </w:tc>
        <w:tc>
          <w:tcPr>
            <w:tcW w:w="909" w:type="dxa"/>
          </w:tcPr>
          <w:p>
            <w:pPr>
              <w:spacing w:before="20" w:after="20"/>
              <w:jc w:val="right"/>
              <w:rPr>
                <w:noProof/>
                <w:sz w:val="18"/>
                <w:szCs w:val="18"/>
              </w:rPr>
            </w:pPr>
            <w:r>
              <w:rPr>
                <w:noProof/>
                <w:sz w:val="18"/>
              </w:rPr>
              <w:t xml:space="preserve"> </w:t>
            </w:r>
          </w:p>
        </w:tc>
        <w:tc>
          <w:tcPr>
            <w:tcW w:w="1289" w:type="dxa"/>
          </w:tcPr>
          <w:p>
            <w:pPr>
              <w:spacing w:before="20" w:after="20"/>
              <w:jc w:val="right"/>
              <w:rPr>
                <w:b/>
                <w:noProof/>
                <w:sz w:val="18"/>
                <w:szCs w:val="18"/>
              </w:rPr>
            </w:pPr>
            <w:r>
              <w:rPr>
                <w:noProof/>
                <w:sz w:val="18"/>
              </w:rPr>
              <w:t xml:space="preserve">75.000 </w:t>
            </w:r>
          </w:p>
        </w:tc>
      </w:tr>
      <w:tr>
        <w:trPr>
          <w:jc w:val="center"/>
        </w:trPr>
        <w:tc>
          <w:tcPr>
            <w:tcW w:w="4103" w:type="dxa"/>
            <w:vMerge w:val="restart"/>
          </w:tcPr>
          <w:p>
            <w:pPr>
              <w:rPr>
                <w:b/>
                <w:noProof/>
                <w:sz w:val="18"/>
                <w:szCs w:val="18"/>
              </w:rPr>
            </w:pPr>
            <w:r>
              <w:rPr>
                <w:b/>
                <w:noProof/>
                <w:sz w:val="18"/>
              </w:rPr>
              <w:t>ОБЩО бюджетни кредити за ФУНКЦИЯ 1 от многогодишната финансова рамка за EIT</w:t>
            </w:r>
          </w:p>
        </w:tc>
        <w:tc>
          <w:tcPr>
            <w:tcW w:w="1440" w:type="dxa"/>
          </w:tcPr>
          <w:p>
            <w:pPr>
              <w:rPr>
                <w:noProof/>
                <w:sz w:val="18"/>
                <w:szCs w:val="18"/>
              </w:rPr>
            </w:pPr>
            <w:r>
              <w:rPr>
                <w:noProof/>
                <w:sz w:val="18"/>
              </w:rPr>
              <w:t>Поети задължения</w:t>
            </w:r>
          </w:p>
        </w:tc>
        <w:tc>
          <w:tcPr>
            <w:tcW w:w="654" w:type="dxa"/>
          </w:tcPr>
          <w:p>
            <w:pPr>
              <w:jc w:val="center"/>
              <w:rPr>
                <w:noProof/>
                <w:sz w:val="14"/>
                <w:szCs w:val="14"/>
              </w:rPr>
            </w:pPr>
            <w:r>
              <w:rPr>
                <w:noProof/>
                <w:sz w:val="14"/>
              </w:rPr>
              <w:t>(11) =(5)+(10)</w:t>
            </w:r>
          </w:p>
        </w:tc>
        <w:tc>
          <w:tcPr>
            <w:tcW w:w="868" w:type="dxa"/>
          </w:tcPr>
          <w:p>
            <w:pPr>
              <w:spacing w:before="20" w:after="20"/>
              <w:jc w:val="right"/>
              <w:rPr>
                <w:noProof/>
                <w:sz w:val="18"/>
                <w:szCs w:val="18"/>
              </w:rPr>
            </w:pPr>
            <w:r>
              <w:rPr>
                <w:noProof/>
                <w:sz w:val="18"/>
              </w:rPr>
              <w:t>403.226</w:t>
            </w:r>
          </w:p>
        </w:tc>
        <w:tc>
          <w:tcPr>
            <w:tcW w:w="868" w:type="dxa"/>
          </w:tcPr>
          <w:p>
            <w:pPr>
              <w:spacing w:before="20" w:after="20"/>
              <w:jc w:val="right"/>
              <w:rPr>
                <w:noProof/>
                <w:sz w:val="18"/>
                <w:szCs w:val="18"/>
              </w:rPr>
            </w:pPr>
            <w:r>
              <w:rPr>
                <w:noProof/>
                <w:sz w:val="18"/>
              </w:rPr>
              <w:t>411.398</w:t>
            </w:r>
          </w:p>
        </w:tc>
        <w:tc>
          <w:tcPr>
            <w:tcW w:w="868" w:type="dxa"/>
          </w:tcPr>
          <w:p>
            <w:pPr>
              <w:spacing w:before="20" w:after="20"/>
              <w:jc w:val="right"/>
              <w:rPr>
                <w:noProof/>
                <w:sz w:val="18"/>
                <w:szCs w:val="18"/>
              </w:rPr>
            </w:pPr>
            <w:r>
              <w:rPr>
                <w:noProof/>
                <w:sz w:val="18"/>
              </w:rPr>
              <w:t>419.711</w:t>
            </w:r>
          </w:p>
        </w:tc>
        <w:tc>
          <w:tcPr>
            <w:tcW w:w="868" w:type="dxa"/>
          </w:tcPr>
          <w:p>
            <w:pPr>
              <w:spacing w:before="20" w:after="20"/>
              <w:jc w:val="right"/>
              <w:rPr>
                <w:noProof/>
                <w:sz w:val="18"/>
                <w:szCs w:val="18"/>
              </w:rPr>
            </w:pPr>
            <w:r>
              <w:rPr>
                <w:noProof/>
                <w:sz w:val="18"/>
              </w:rPr>
              <w:t>428.204</w:t>
            </w:r>
          </w:p>
        </w:tc>
        <w:tc>
          <w:tcPr>
            <w:tcW w:w="868" w:type="dxa"/>
          </w:tcPr>
          <w:p>
            <w:pPr>
              <w:spacing w:before="20" w:after="20"/>
              <w:jc w:val="right"/>
              <w:rPr>
                <w:noProof/>
                <w:sz w:val="18"/>
                <w:szCs w:val="18"/>
              </w:rPr>
            </w:pPr>
            <w:r>
              <w:rPr>
                <w:noProof/>
                <w:sz w:val="18"/>
              </w:rPr>
              <w:t>436.948</w:t>
            </w:r>
          </w:p>
        </w:tc>
        <w:tc>
          <w:tcPr>
            <w:tcW w:w="868" w:type="dxa"/>
          </w:tcPr>
          <w:p>
            <w:pPr>
              <w:spacing w:before="20" w:after="20"/>
              <w:jc w:val="right"/>
              <w:rPr>
                <w:noProof/>
                <w:sz w:val="18"/>
                <w:szCs w:val="18"/>
              </w:rPr>
            </w:pPr>
            <w:r>
              <w:rPr>
                <w:noProof/>
                <w:sz w:val="18"/>
              </w:rPr>
              <w:t>445.724</w:t>
            </w:r>
          </w:p>
        </w:tc>
        <w:tc>
          <w:tcPr>
            <w:tcW w:w="868" w:type="dxa"/>
          </w:tcPr>
          <w:p>
            <w:pPr>
              <w:spacing w:before="20" w:after="20"/>
              <w:jc w:val="right"/>
              <w:rPr>
                <w:noProof/>
                <w:sz w:val="18"/>
                <w:szCs w:val="18"/>
              </w:rPr>
            </w:pPr>
            <w:r>
              <w:rPr>
                <w:noProof/>
                <w:sz w:val="18"/>
              </w:rPr>
              <w:t>454.789</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rPr>
              <w:t>3 000.000</w:t>
            </w:r>
          </w:p>
        </w:tc>
      </w:tr>
      <w:tr>
        <w:trPr>
          <w:jc w:val="center"/>
        </w:trPr>
        <w:tc>
          <w:tcPr>
            <w:tcW w:w="4103" w:type="dxa"/>
            <w:vMerge/>
          </w:tcPr>
          <w:p>
            <w:pPr>
              <w:rPr>
                <w:b/>
                <w:noProof/>
              </w:rPr>
            </w:pPr>
          </w:p>
        </w:tc>
        <w:tc>
          <w:tcPr>
            <w:tcW w:w="1440" w:type="dxa"/>
          </w:tcPr>
          <w:p>
            <w:pPr>
              <w:rPr>
                <w:noProof/>
                <w:sz w:val="18"/>
                <w:szCs w:val="18"/>
                <w:highlight w:val="yellow"/>
              </w:rPr>
            </w:pPr>
            <w:r>
              <w:rPr>
                <w:noProof/>
                <w:sz w:val="18"/>
              </w:rPr>
              <w:t>Плащания</w:t>
            </w:r>
          </w:p>
        </w:tc>
        <w:tc>
          <w:tcPr>
            <w:tcW w:w="654" w:type="dxa"/>
          </w:tcPr>
          <w:p>
            <w:pPr>
              <w:jc w:val="center"/>
              <w:rPr>
                <w:noProof/>
                <w:sz w:val="14"/>
                <w:szCs w:val="14"/>
              </w:rPr>
            </w:pPr>
            <w:r>
              <w:rPr>
                <w:noProof/>
                <w:sz w:val="14"/>
              </w:rPr>
              <w:t>(12)=(6)+(10)</w:t>
            </w:r>
          </w:p>
        </w:tc>
        <w:tc>
          <w:tcPr>
            <w:tcW w:w="868" w:type="dxa"/>
          </w:tcPr>
          <w:p>
            <w:pPr>
              <w:spacing w:before="20" w:after="20"/>
              <w:jc w:val="right"/>
              <w:rPr>
                <w:noProof/>
                <w:sz w:val="18"/>
                <w:szCs w:val="18"/>
              </w:rPr>
            </w:pPr>
            <w:r>
              <w:rPr>
                <w:noProof/>
                <w:sz w:val="18"/>
              </w:rPr>
              <w:t>287.299</w:t>
            </w:r>
          </w:p>
        </w:tc>
        <w:tc>
          <w:tcPr>
            <w:tcW w:w="868" w:type="dxa"/>
          </w:tcPr>
          <w:p>
            <w:pPr>
              <w:spacing w:before="20" w:after="20"/>
              <w:jc w:val="right"/>
              <w:rPr>
                <w:noProof/>
                <w:sz w:val="18"/>
                <w:szCs w:val="18"/>
              </w:rPr>
            </w:pPr>
            <w:r>
              <w:rPr>
                <w:noProof/>
                <w:sz w:val="18"/>
              </w:rPr>
              <w:t>409.068</w:t>
            </w:r>
          </w:p>
        </w:tc>
        <w:tc>
          <w:tcPr>
            <w:tcW w:w="868" w:type="dxa"/>
          </w:tcPr>
          <w:p>
            <w:pPr>
              <w:spacing w:before="20" w:after="20"/>
              <w:jc w:val="right"/>
              <w:rPr>
                <w:noProof/>
                <w:sz w:val="18"/>
                <w:szCs w:val="18"/>
              </w:rPr>
            </w:pPr>
            <w:r>
              <w:rPr>
                <w:noProof/>
                <w:sz w:val="18"/>
              </w:rPr>
              <w:t>417.342</w:t>
            </w:r>
          </w:p>
        </w:tc>
        <w:tc>
          <w:tcPr>
            <w:tcW w:w="868" w:type="dxa"/>
          </w:tcPr>
          <w:p>
            <w:pPr>
              <w:spacing w:before="20" w:after="20"/>
              <w:jc w:val="right"/>
              <w:rPr>
                <w:noProof/>
                <w:sz w:val="18"/>
                <w:szCs w:val="18"/>
              </w:rPr>
            </w:pPr>
            <w:r>
              <w:rPr>
                <w:noProof/>
                <w:sz w:val="18"/>
              </w:rPr>
              <w:t>425.784</w:t>
            </w:r>
          </w:p>
        </w:tc>
        <w:tc>
          <w:tcPr>
            <w:tcW w:w="868" w:type="dxa"/>
          </w:tcPr>
          <w:p>
            <w:pPr>
              <w:spacing w:before="20" w:after="20"/>
              <w:jc w:val="right"/>
              <w:rPr>
                <w:noProof/>
                <w:sz w:val="18"/>
                <w:szCs w:val="18"/>
              </w:rPr>
            </w:pPr>
            <w:r>
              <w:rPr>
                <w:noProof/>
                <w:sz w:val="18"/>
              </w:rPr>
              <w:t>434.456</w:t>
            </w:r>
          </w:p>
        </w:tc>
        <w:tc>
          <w:tcPr>
            <w:tcW w:w="868" w:type="dxa"/>
          </w:tcPr>
          <w:p>
            <w:pPr>
              <w:spacing w:before="20" w:after="20"/>
              <w:jc w:val="right"/>
              <w:rPr>
                <w:noProof/>
                <w:sz w:val="18"/>
                <w:szCs w:val="18"/>
              </w:rPr>
            </w:pPr>
            <w:r>
              <w:rPr>
                <w:noProof/>
                <w:sz w:val="18"/>
              </w:rPr>
              <w:t>443.225</w:t>
            </w:r>
          </w:p>
        </w:tc>
        <w:tc>
          <w:tcPr>
            <w:tcW w:w="868" w:type="dxa"/>
          </w:tcPr>
          <w:p>
            <w:pPr>
              <w:spacing w:before="20" w:after="20"/>
              <w:jc w:val="right"/>
              <w:rPr>
                <w:noProof/>
                <w:sz w:val="18"/>
                <w:szCs w:val="18"/>
              </w:rPr>
            </w:pPr>
            <w:r>
              <w:rPr>
                <w:noProof/>
                <w:sz w:val="18"/>
              </w:rPr>
              <w:t>452.208</w:t>
            </w:r>
          </w:p>
        </w:tc>
        <w:tc>
          <w:tcPr>
            <w:tcW w:w="909" w:type="dxa"/>
          </w:tcPr>
          <w:p>
            <w:pPr>
              <w:spacing w:before="20" w:after="20"/>
              <w:jc w:val="right"/>
              <w:rPr>
                <w:noProof/>
                <w:sz w:val="18"/>
                <w:szCs w:val="18"/>
              </w:rPr>
            </w:pPr>
            <w:r>
              <w:rPr>
                <w:noProof/>
                <w:sz w:val="18"/>
              </w:rPr>
              <w:t>130.618</w:t>
            </w:r>
          </w:p>
        </w:tc>
        <w:tc>
          <w:tcPr>
            <w:tcW w:w="1289" w:type="dxa"/>
          </w:tcPr>
          <w:p>
            <w:pPr>
              <w:spacing w:before="20" w:after="20"/>
              <w:jc w:val="right"/>
              <w:rPr>
                <w:noProof/>
                <w:sz w:val="18"/>
                <w:szCs w:val="18"/>
              </w:rPr>
            </w:pPr>
            <w:r>
              <w:rPr>
                <w:noProof/>
                <w:sz w:val="18"/>
              </w:rPr>
              <w:t>3.000.000</w:t>
            </w:r>
          </w:p>
        </w:tc>
      </w:tr>
    </w:tbl>
    <w:p>
      <w:pPr>
        <w:rPr>
          <w:noProof/>
        </w:rPr>
      </w:pPr>
    </w:p>
    <w:p>
      <w:pPr>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noProof/>
              </w:rPr>
              <w:br w:type="page"/>
            </w:r>
            <w:r>
              <w:rPr>
                <w:b/>
                <w:noProof/>
              </w:rPr>
              <w:t>Функция от многогодишната финансова</w:t>
            </w:r>
            <w:r>
              <w:rPr>
                <w:rFonts w:eastAsia="Calibri"/>
                <w:noProof/>
                <w:sz w:val="22"/>
              </w:rPr>
              <w:br/>
            </w:r>
            <w:r>
              <w:rPr>
                <w:b/>
                <w:noProof/>
                <w:sz w:val="22"/>
              </w:rPr>
              <w:t xml:space="preserve">рамка </w:t>
            </w:r>
          </w:p>
        </w:tc>
        <w:tc>
          <w:tcPr>
            <w:tcW w:w="1080" w:type="dxa"/>
            <w:shd w:val="thinDiagStripe" w:color="C0C0C0" w:fill="auto"/>
            <w:vAlign w:val="center"/>
          </w:tcPr>
          <w:p>
            <w:pPr>
              <w:spacing w:before="60" w:after="60"/>
              <w:jc w:val="center"/>
              <w:rPr>
                <w:rFonts w:eastAsia="Calibri"/>
                <w:noProof/>
              </w:rPr>
            </w:pPr>
            <w:r>
              <w:rPr>
                <w:noProof/>
              </w:rPr>
              <w:t>7</w:t>
            </w:r>
          </w:p>
        </w:tc>
        <w:tc>
          <w:tcPr>
            <w:tcW w:w="7817" w:type="dxa"/>
            <w:vAlign w:val="center"/>
          </w:tcPr>
          <w:p>
            <w:pPr>
              <w:spacing w:before="60" w:after="60"/>
              <w:rPr>
                <w:rFonts w:eastAsia="Calibri"/>
                <w:noProof/>
              </w:rPr>
            </w:pPr>
            <w:r>
              <w:rPr>
                <w:noProof/>
                <w:sz w:val="22"/>
              </w:rPr>
              <w:t>„Административни разходи“</w:t>
            </w:r>
          </w:p>
        </w:tc>
      </w:tr>
    </w:tbl>
    <w:p>
      <w:pPr>
        <w:spacing w:after="0"/>
        <w:jc w:val="left"/>
        <w:rPr>
          <w:rFonts w:eastAsia="Calibri"/>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1">
        <w:r>
          <w:rPr>
            <w:noProof/>
            <w:u w:val="single"/>
          </w:rPr>
          <w:t>приложението към законодателната финансова обосновка</w:t>
        </w:r>
      </w:hyperlink>
      <w:r>
        <w:rPr>
          <w:noProof/>
        </w:rPr>
        <w:t>, което се качва в DECIDE за провеждането на вътрешни консултации между службите.</w:t>
      </w:r>
    </w:p>
    <w:p>
      <w:pPr>
        <w:spacing w:before="0"/>
        <w:jc w:val="left"/>
        <w:rPr>
          <w:rFonts w:eastAsia="Calibri"/>
          <w:noProof/>
          <w:color w:val="0000FF"/>
        </w:rPr>
      </w:pPr>
      <w:r>
        <w:rPr>
          <w:noProof/>
        </w:rPr>
        <w:br w:type="page"/>
      </w: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790"/>
        <w:gridCol w:w="946"/>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noProof/>
                <w:sz w:val="20"/>
              </w:rPr>
              <w:t xml:space="preserve">Европейска комисия </w:t>
            </w:r>
          </w:p>
        </w:tc>
        <w:tc>
          <w:tcPr>
            <w:tcW w:w="868" w:type="dxa"/>
            <w:vAlign w:val="center"/>
          </w:tcPr>
          <w:p>
            <w:pPr>
              <w:jc w:val="center"/>
              <w:rPr>
                <w:b/>
                <w:noProof/>
                <w:sz w:val="20"/>
              </w:rPr>
            </w:pPr>
            <w:r>
              <w:rPr>
                <w:b/>
                <w:noProof/>
                <w:sz w:val="20"/>
              </w:rPr>
              <w:t>2021 г.</w:t>
            </w:r>
          </w:p>
        </w:tc>
        <w:tc>
          <w:tcPr>
            <w:tcW w:w="790" w:type="dxa"/>
            <w:vAlign w:val="center"/>
          </w:tcPr>
          <w:p>
            <w:pPr>
              <w:jc w:val="center"/>
              <w:rPr>
                <w:b/>
                <w:noProof/>
                <w:sz w:val="20"/>
              </w:rPr>
            </w:pPr>
            <w:r>
              <w:rPr>
                <w:b/>
                <w:noProof/>
                <w:sz w:val="20"/>
              </w:rPr>
              <w:t>2022 г.</w:t>
            </w:r>
          </w:p>
        </w:tc>
        <w:tc>
          <w:tcPr>
            <w:tcW w:w="946"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vAlign w:val="center"/>
          </w:tcPr>
          <w:p>
            <w:pPr>
              <w:spacing w:before="20" w:after="20"/>
              <w:jc w:val="center"/>
              <w:rPr>
                <w:noProof/>
                <w:sz w:val="20"/>
              </w:rPr>
            </w:pPr>
          </w:p>
        </w:tc>
        <w:tc>
          <w:tcPr>
            <w:tcW w:w="946"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13"/>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tcPr>
          <w:p>
            <w:pPr>
              <w:spacing w:before="20" w:after="20"/>
              <w:rPr>
                <w:noProof/>
                <w:sz w:val="20"/>
              </w:rPr>
            </w:pPr>
          </w:p>
        </w:tc>
        <w:tc>
          <w:tcPr>
            <w:tcW w:w="946"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vAlign w:val="center"/>
          </w:tcPr>
          <w:p>
            <w:pPr>
              <w:spacing w:before="20" w:after="20"/>
              <w:jc w:val="center"/>
              <w:rPr>
                <w:noProof/>
                <w:sz w:val="20"/>
              </w:rPr>
            </w:pPr>
          </w:p>
        </w:tc>
        <w:tc>
          <w:tcPr>
            <w:tcW w:w="946"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rPr>
            </w:pPr>
            <w:r>
              <w:rPr>
                <w:b/>
                <w:noProof/>
                <w:sz w:val="22"/>
              </w:rPr>
              <w:t>ОБЩО бюджетни кредити за ФУНКЦИЯ 7 от многогодишната финансова рамка за EIT</w:t>
            </w:r>
          </w:p>
        </w:tc>
        <w:tc>
          <w:tcPr>
            <w:tcW w:w="2046" w:type="dxa"/>
            <w:vAlign w:val="center"/>
          </w:tcPr>
          <w:p>
            <w:pPr>
              <w:spacing w:before="20" w:after="2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790" w:type="dxa"/>
          </w:tcPr>
          <w:p>
            <w:pPr>
              <w:spacing w:before="20" w:after="20"/>
              <w:jc w:val="center"/>
              <w:rPr>
                <w:noProof/>
                <w:sz w:val="20"/>
              </w:rPr>
            </w:pPr>
          </w:p>
        </w:tc>
        <w:tc>
          <w:tcPr>
            <w:tcW w:w="946"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 xml:space="preserve">по всички ФУНКЦИИ </w:t>
            </w:r>
            <w:r>
              <w:rPr>
                <w:noProof/>
                <w:sz w:val="22"/>
              </w:rPr>
              <w:br/>
              <w:t>от многогодишната финансова рамка за EIT</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b/>
                <w:noProof/>
                <w:sz w:val="18"/>
              </w:rPr>
              <w:t>403.226</w:t>
            </w:r>
          </w:p>
        </w:tc>
        <w:tc>
          <w:tcPr>
            <w:tcW w:w="868" w:type="dxa"/>
            <w:vAlign w:val="center"/>
          </w:tcPr>
          <w:p>
            <w:pPr>
              <w:spacing w:before="60" w:after="60"/>
              <w:jc w:val="right"/>
              <w:rPr>
                <w:noProof/>
                <w:sz w:val="20"/>
              </w:rPr>
            </w:pPr>
            <w:r>
              <w:rPr>
                <w:b/>
                <w:noProof/>
                <w:sz w:val="18"/>
              </w:rPr>
              <w:t>411.398</w:t>
            </w:r>
          </w:p>
        </w:tc>
        <w:tc>
          <w:tcPr>
            <w:tcW w:w="868" w:type="dxa"/>
            <w:vAlign w:val="center"/>
          </w:tcPr>
          <w:p>
            <w:pPr>
              <w:spacing w:before="60" w:after="60"/>
              <w:jc w:val="right"/>
              <w:rPr>
                <w:noProof/>
                <w:sz w:val="20"/>
              </w:rPr>
            </w:pPr>
            <w:r>
              <w:rPr>
                <w:b/>
                <w:noProof/>
                <w:sz w:val="18"/>
              </w:rPr>
              <w:t>419.711</w:t>
            </w:r>
          </w:p>
        </w:tc>
        <w:tc>
          <w:tcPr>
            <w:tcW w:w="868" w:type="dxa"/>
            <w:vAlign w:val="center"/>
          </w:tcPr>
          <w:p>
            <w:pPr>
              <w:spacing w:before="60" w:after="60"/>
              <w:jc w:val="right"/>
              <w:rPr>
                <w:noProof/>
                <w:sz w:val="20"/>
              </w:rPr>
            </w:pPr>
            <w:r>
              <w:rPr>
                <w:b/>
                <w:noProof/>
                <w:sz w:val="18"/>
              </w:rPr>
              <w:t>428.204</w:t>
            </w:r>
          </w:p>
        </w:tc>
        <w:tc>
          <w:tcPr>
            <w:tcW w:w="868" w:type="dxa"/>
            <w:vAlign w:val="center"/>
          </w:tcPr>
          <w:p>
            <w:pPr>
              <w:spacing w:before="60" w:after="60"/>
              <w:jc w:val="right"/>
              <w:rPr>
                <w:noProof/>
                <w:sz w:val="20"/>
              </w:rPr>
            </w:pPr>
            <w:r>
              <w:rPr>
                <w:b/>
                <w:noProof/>
                <w:sz w:val="18"/>
              </w:rPr>
              <w:t>436.948</w:t>
            </w:r>
          </w:p>
        </w:tc>
        <w:tc>
          <w:tcPr>
            <w:tcW w:w="868" w:type="dxa"/>
            <w:vAlign w:val="center"/>
          </w:tcPr>
          <w:p>
            <w:pPr>
              <w:spacing w:before="60" w:after="60"/>
              <w:jc w:val="right"/>
              <w:rPr>
                <w:noProof/>
                <w:sz w:val="20"/>
              </w:rPr>
            </w:pPr>
            <w:r>
              <w:rPr>
                <w:b/>
                <w:noProof/>
                <w:sz w:val="18"/>
              </w:rPr>
              <w:t>445.724</w:t>
            </w:r>
          </w:p>
        </w:tc>
        <w:tc>
          <w:tcPr>
            <w:tcW w:w="868" w:type="dxa"/>
            <w:vAlign w:val="center"/>
          </w:tcPr>
          <w:p>
            <w:pPr>
              <w:spacing w:before="60" w:after="60"/>
              <w:jc w:val="right"/>
              <w:rPr>
                <w:noProof/>
                <w:sz w:val="20"/>
              </w:rPr>
            </w:pPr>
            <w:r>
              <w:rPr>
                <w:b/>
                <w:noProof/>
                <w:sz w:val="18"/>
              </w:rPr>
              <w:t>454.789</w:t>
            </w:r>
          </w:p>
        </w:tc>
        <w:tc>
          <w:tcPr>
            <w:tcW w:w="877" w:type="dxa"/>
            <w:shd w:val="clear" w:color="auto" w:fill="A6A6A6"/>
          </w:tcPr>
          <w:p>
            <w:pPr>
              <w:spacing w:before="60" w:after="60"/>
              <w:jc w:val="right"/>
              <w:rPr>
                <w:noProof/>
                <w:sz w:val="20"/>
              </w:rPr>
            </w:pPr>
          </w:p>
        </w:tc>
        <w:tc>
          <w:tcPr>
            <w:tcW w:w="1292" w:type="dxa"/>
            <w:vAlign w:val="center"/>
          </w:tcPr>
          <w:p>
            <w:pPr>
              <w:spacing w:before="60" w:after="60"/>
              <w:jc w:val="right"/>
              <w:rPr>
                <w:b/>
                <w:noProof/>
                <w:sz w:val="20"/>
              </w:rPr>
            </w:pPr>
            <w:r>
              <w:rPr>
                <w:b/>
                <w:noProof/>
                <w:sz w:val="18"/>
              </w:rPr>
              <w:t>3 000.000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b/>
                <w:noProof/>
                <w:sz w:val="18"/>
              </w:rPr>
            </w:pPr>
            <w:r>
              <w:rPr>
                <w:b/>
                <w:noProof/>
                <w:sz w:val="18"/>
              </w:rPr>
              <w:t>287.299</w:t>
            </w:r>
          </w:p>
        </w:tc>
        <w:tc>
          <w:tcPr>
            <w:tcW w:w="868" w:type="dxa"/>
            <w:vAlign w:val="center"/>
          </w:tcPr>
          <w:p>
            <w:pPr>
              <w:spacing w:before="60" w:after="60"/>
              <w:jc w:val="right"/>
              <w:rPr>
                <w:b/>
                <w:noProof/>
                <w:sz w:val="18"/>
              </w:rPr>
            </w:pPr>
            <w:r>
              <w:rPr>
                <w:b/>
                <w:noProof/>
                <w:sz w:val="18"/>
              </w:rPr>
              <w:t>409.068</w:t>
            </w:r>
          </w:p>
        </w:tc>
        <w:tc>
          <w:tcPr>
            <w:tcW w:w="868" w:type="dxa"/>
            <w:vAlign w:val="center"/>
          </w:tcPr>
          <w:p>
            <w:pPr>
              <w:spacing w:before="60" w:after="60"/>
              <w:jc w:val="right"/>
              <w:rPr>
                <w:b/>
                <w:noProof/>
                <w:sz w:val="18"/>
              </w:rPr>
            </w:pPr>
            <w:r>
              <w:rPr>
                <w:b/>
                <w:noProof/>
                <w:sz w:val="18"/>
              </w:rPr>
              <w:t>417.342</w:t>
            </w:r>
          </w:p>
        </w:tc>
        <w:tc>
          <w:tcPr>
            <w:tcW w:w="868" w:type="dxa"/>
            <w:vAlign w:val="center"/>
          </w:tcPr>
          <w:p>
            <w:pPr>
              <w:spacing w:before="60" w:after="60"/>
              <w:jc w:val="right"/>
              <w:rPr>
                <w:b/>
                <w:noProof/>
                <w:sz w:val="18"/>
              </w:rPr>
            </w:pPr>
            <w:r>
              <w:rPr>
                <w:b/>
                <w:noProof/>
                <w:sz w:val="18"/>
              </w:rPr>
              <w:t>425.784</w:t>
            </w:r>
          </w:p>
        </w:tc>
        <w:tc>
          <w:tcPr>
            <w:tcW w:w="868" w:type="dxa"/>
            <w:vAlign w:val="center"/>
          </w:tcPr>
          <w:p>
            <w:pPr>
              <w:spacing w:before="60" w:after="60"/>
              <w:jc w:val="right"/>
              <w:rPr>
                <w:b/>
                <w:noProof/>
                <w:sz w:val="18"/>
              </w:rPr>
            </w:pPr>
            <w:r>
              <w:rPr>
                <w:b/>
                <w:noProof/>
                <w:sz w:val="18"/>
              </w:rPr>
              <w:t>434.456</w:t>
            </w:r>
          </w:p>
        </w:tc>
        <w:tc>
          <w:tcPr>
            <w:tcW w:w="868" w:type="dxa"/>
            <w:vAlign w:val="center"/>
          </w:tcPr>
          <w:p>
            <w:pPr>
              <w:spacing w:before="60" w:after="60"/>
              <w:jc w:val="right"/>
              <w:rPr>
                <w:b/>
                <w:noProof/>
                <w:sz w:val="18"/>
              </w:rPr>
            </w:pPr>
            <w:r>
              <w:rPr>
                <w:b/>
                <w:noProof/>
                <w:sz w:val="18"/>
              </w:rPr>
              <w:t>443.225</w:t>
            </w:r>
          </w:p>
        </w:tc>
        <w:tc>
          <w:tcPr>
            <w:tcW w:w="868" w:type="dxa"/>
            <w:vAlign w:val="center"/>
          </w:tcPr>
          <w:p>
            <w:pPr>
              <w:spacing w:before="60" w:after="60"/>
              <w:jc w:val="right"/>
              <w:rPr>
                <w:b/>
                <w:noProof/>
                <w:sz w:val="18"/>
              </w:rPr>
            </w:pPr>
            <w:r>
              <w:rPr>
                <w:b/>
                <w:noProof/>
                <w:sz w:val="18"/>
              </w:rPr>
              <w:t>452.208</w:t>
            </w:r>
          </w:p>
        </w:tc>
        <w:tc>
          <w:tcPr>
            <w:tcW w:w="877" w:type="dxa"/>
          </w:tcPr>
          <w:p>
            <w:pPr>
              <w:spacing w:before="60" w:after="60"/>
              <w:rPr>
                <w:b/>
                <w:noProof/>
                <w:sz w:val="18"/>
              </w:rPr>
            </w:pPr>
            <w:r>
              <w:rPr>
                <w:b/>
                <w:noProof/>
                <w:sz w:val="18"/>
              </w:rPr>
              <w:t>130.618</w:t>
            </w:r>
          </w:p>
        </w:tc>
        <w:tc>
          <w:tcPr>
            <w:tcW w:w="1292" w:type="dxa"/>
            <w:vAlign w:val="center"/>
          </w:tcPr>
          <w:p>
            <w:pPr>
              <w:spacing w:before="60" w:after="60"/>
              <w:jc w:val="center"/>
              <w:rPr>
                <w:b/>
                <w:noProof/>
                <w:sz w:val="18"/>
              </w:rPr>
            </w:pPr>
            <w:r>
              <w:rPr>
                <w:b/>
                <w:noProof/>
                <w:sz w:val="18"/>
              </w:rPr>
              <w:t>3 000.000</w:t>
            </w:r>
          </w:p>
        </w:tc>
      </w:tr>
    </w:tbl>
    <w:p>
      <w:pPr>
        <w:rPr>
          <w:noProof/>
        </w:rPr>
        <w:sectPr>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cols w:space="708"/>
          <w:docGrid w:linePitch="360"/>
        </w:sectPr>
      </w:pPr>
    </w:p>
    <w:p>
      <w:pPr>
        <w:keepNext/>
        <w:tabs>
          <w:tab w:val="left" w:pos="850"/>
        </w:tabs>
        <w:ind w:left="850" w:hanging="850"/>
        <w:outlineLvl w:val="2"/>
        <w:rPr>
          <w:i/>
          <w:noProof/>
        </w:rPr>
      </w:pPr>
      <w:r>
        <w:rPr>
          <w:i/>
          <w:noProof/>
        </w:rPr>
        <w:t>3.2.2.</w:t>
      </w:r>
      <w:r>
        <w:rPr>
          <w:noProof/>
        </w:rPr>
        <w:tab/>
      </w:r>
      <w:r>
        <w:rPr>
          <w:i/>
          <w:noProof/>
        </w:rPr>
        <w:t>Резюме на очакваното отражение върху бюджетните кредити за административни разходи</w:t>
      </w:r>
    </w:p>
    <w:p>
      <w:pPr>
        <w:tabs>
          <w:tab w:val="num" w:pos="1134"/>
        </w:tabs>
        <w:ind w:left="1134" w:hanging="283"/>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ФУНКЦИЯ 7от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 xml:space="preserve">Междинен сбор за ФУНКЦИЯ 7от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 xml:space="preserve">Извън ФУНКЦИЯ 7от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Човешки ресурси —  Ред 01.010101 Длъжностни лица и временно наети лица, изпълняващи програми за научни изследвания и иновации — „Хоризонт Европа“</w:t>
            </w:r>
          </w:p>
        </w:tc>
        <w:tc>
          <w:tcPr>
            <w:tcW w:w="1080" w:type="dxa"/>
            <w:vAlign w:val="center"/>
          </w:tcPr>
          <w:p>
            <w:pPr>
              <w:spacing w:before="60" w:after="60" w:line="200" w:lineRule="exact"/>
              <w:jc w:val="right"/>
              <w:rPr>
                <w:noProof/>
                <w:sz w:val="16"/>
                <w:szCs w:val="16"/>
              </w:rPr>
            </w:pPr>
            <w:r>
              <w:rPr>
                <w:noProof/>
                <w:sz w:val="16"/>
              </w:rPr>
              <w:t>0.527</w:t>
            </w:r>
          </w:p>
        </w:tc>
        <w:tc>
          <w:tcPr>
            <w:tcW w:w="1080" w:type="dxa"/>
            <w:vAlign w:val="center"/>
          </w:tcPr>
          <w:p>
            <w:pPr>
              <w:spacing w:before="60" w:after="60" w:line="200" w:lineRule="exact"/>
              <w:jc w:val="right"/>
              <w:rPr>
                <w:noProof/>
                <w:sz w:val="16"/>
                <w:szCs w:val="16"/>
              </w:rPr>
            </w:pPr>
            <w:r>
              <w:rPr>
                <w:noProof/>
                <w:sz w:val="16"/>
              </w:rPr>
              <w:t>0.545</w:t>
            </w:r>
          </w:p>
        </w:tc>
        <w:tc>
          <w:tcPr>
            <w:tcW w:w="1080" w:type="dxa"/>
            <w:vAlign w:val="center"/>
          </w:tcPr>
          <w:p>
            <w:pPr>
              <w:spacing w:before="60" w:after="60" w:line="200" w:lineRule="exact"/>
              <w:jc w:val="right"/>
              <w:rPr>
                <w:noProof/>
                <w:sz w:val="16"/>
                <w:szCs w:val="16"/>
              </w:rPr>
            </w:pPr>
            <w:r>
              <w:rPr>
                <w:noProof/>
                <w:sz w:val="16"/>
              </w:rPr>
              <w:t>0.565</w:t>
            </w:r>
          </w:p>
        </w:tc>
        <w:tc>
          <w:tcPr>
            <w:tcW w:w="1080" w:type="dxa"/>
            <w:vAlign w:val="center"/>
          </w:tcPr>
          <w:p>
            <w:pPr>
              <w:spacing w:before="60" w:after="60" w:line="200" w:lineRule="exact"/>
              <w:jc w:val="right"/>
              <w:rPr>
                <w:noProof/>
                <w:sz w:val="16"/>
                <w:szCs w:val="16"/>
              </w:rPr>
            </w:pPr>
            <w:r>
              <w:rPr>
                <w:noProof/>
                <w:sz w:val="16"/>
              </w:rPr>
              <w:t>0.584</w:t>
            </w:r>
          </w:p>
        </w:tc>
        <w:tc>
          <w:tcPr>
            <w:tcW w:w="1080" w:type="dxa"/>
            <w:vAlign w:val="center"/>
          </w:tcPr>
          <w:p>
            <w:pPr>
              <w:spacing w:before="60" w:after="60" w:line="200" w:lineRule="exact"/>
              <w:jc w:val="right"/>
              <w:rPr>
                <w:noProof/>
                <w:sz w:val="16"/>
                <w:szCs w:val="16"/>
              </w:rPr>
            </w:pPr>
            <w:r>
              <w:rPr>
                <w:noProof/>
                <w:sz w:val="16"/>
              </w:rPr>
              <w:t>0.605</w:t>
            </w:r>
          </w:p>
        </w:tc>
        <w:tc>
          <w:tcPr>
            <w:tcW w:w="1080" w:type="dxa"/>
            <w:vAlign w:val="center"/>
          </w:tcPr>
          <w:p>
            <w:pPr>
              <w:spacing w:before="60" w:after="60" w:line="200" w:lineRule="exact"/>
              <w:jc w:val="right"/>
              <w:rPr>
                <w:noProof/>
                <w:sz w:val="16"/>
                <w:szCs w:val="16"/>
              </w:rPr>
            </w:pPr>
            <w:r>
              <w:rPr>
                <w:noProof/>
                <w:sz w:val="16"/>
              </w:rPr>
              <w:t>0.626</w:t>
            </w:r>
          </w:p>
        </w:tc>
        <w:tc>
          <w:tcPr>
            <w:tcW w:w="1080" w:type="dxa"/>
            <w:vAlign w:val="center"/>
          </w:tcPr>
          <w:p>
            <w:pPr>
              <w:spacing w:before="60" w:after="60" w:line="200" w:lineRule="exact"/>
              <w:jc w:val="right"/>
              <w:rPr>
                <w:noProof/>
                <w:sz w:val="16"/>
                <w:szCs w:val="16"/>
              </w:rPr>
            </w:pPr>
            <w:r>
              <w:rPr>
                <w:noProof/>
                <w:sz w:val="16"/>
              </w:rPr>
              <w:t>0.648</w:t>
            </w:r>
          </w:p>
        </w:tc>
        <w:tc>
          <w:tcPr>
            <w:tcW w:w="1080" w:type="dxa"/>
            <w:vAlign w:val="center"/>
          </w:tcPr>
          <w:p>
            <w:pPr>
              <w:spacing w:before="60" w:after="60" w:line="200" w:lineRule="exact"/>
              <w:jc w:val="right"/>
              <w:rPr>
                <w:b/>
                <w:noProof/>
                <w:sz w:val="16"/>
                <w:szCs w:val="16"/>
              </w:rPr>
            </w:pPr>
            <w:r>
              <w:rPr>
                <w:b/>
                <w:noProof/>
                <w:sz w:val="20"/>
              </w:rPr>
              <w:t>4.100</w:t>
            </w:r>
          </w:p>
        </w:tc>
      </w:tr>
      <w:tr>
        <w:trPr>
          <w:trHeight w:val="585"/>
        </w:trPr>
        <w:tc>
          <w:tcPr>
            <w:tcW w:w="1980" w:type="dxa"/>
            <w:vAlign w:val="center"/>
          </w:tcPr>
          <w:p>
            <w:pPr>
              <w:spacing w:before="60" w:after="60" w:line="200" w:lineRule="exact"/>
              <w:ind w:left="72"/>
              <w:jc w:val="left"/>
              <w:rPr>
                <w:noProof/>
                <w:sz w:val="16"/>
              </w:rPr>
            </w:pPr>
            <w:r>
              <w:rPr>
                <w:noProof/>
                <w:sz w:val="16"/>
              </w:rPr>
              <w:t>Човешки ресурси — Ред 01.010102 Външен персонал, работещ по програми за научни изследвания и иновации — „Хоризонт Европа“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0.108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0.110</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0.117</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0.122</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0.804</w:t>
            </w:r>
          </w:p>
        </w:tc>
      </w:tr>
      <w:tr>
        <w:trPr>
          <w:trHeight w:val="585"/>
        </w:trPr>
        <w:tc>
          <w:tcPr>
            <w:tcW w:w="1980" w:type="dxa"/>
            <w:vAlign w:val="center"/>
          </w:tcPr>
          <w:p>
            <w:pPr>
              <w:spacing w:before="60" w:after="60" w:line="200" w:lineRule="exact"/>
              <w:ind w:left="72"/>
              <w:jc w:val="left"/>
              <w:rPr>
                <w:noProof/>
                <w:sz w:val="16"/>
                <w:szCs w:val="16"/>
              </w:rPr>
            </w:pPr>
            <w:r>
              <w:rPr>
                <w:noProof/>
                <w:sz w:val="16"/>
              </w:rPr>
              <w:t>Ред 01.010103 Други разходи за управление за програми за научни изследвания и иновации — „Хоризонт Европа“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9.445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9.629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9.816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10.006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10.202</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10.398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10.600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70.096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 xml:space="preserve">Междинен сбор извън ФУНКЦИЯ 7 от многогодишната финансова рамка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75.000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color w:val="000000"/>
                <w:sz w:val="20"/>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75.000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keepNext/>
        <w:outlineLvl w:val="3"/>
        <w:rPr>
          <w:iCs/>
          <w:noProof/>
          <w:szCs w:val="24"/>
        </w:rPr>
      </w:pPr>
      <w:r>
        <w:rPr>
          <w:noProof/>
        </w:rPr>
        <w:t>3.2.2.1</w:t>
      </w:r>
      <w:r>
        <w:rPr>
          <w:noProof/>
        </w:rPr>
        <w:tab/>
        <w:t>Очаквани нужди от човешки ресурси</w:t>
      </w:r>
      <w:r>
        <w:rPr>
          <w:rStyle w:val="FootnoteReference"/>
          <w:noProof/>
        </w:rPr>
        <w:footnoteReference w:id="17"/>
      </w:r>
    </w:p>
    <w:p>
      <w:pPr>
        <w:tabs>
          <w:tab w:val="num" w:pos="1134"/>
        </w:tabs>
        <w:ind w:left="1134" w:hanging="283"/>
        <w:rPr>
          <w:noProof/>
        </w:rPr>
      </w:pPr>
      <w:r>
        <w:rPr>
          <w:noProof/>
        </w:rPr>
        <w:sym w:font="Wingdings" w:char="F0A8"/>
      </w:r>
      <w:r>
        <w:rPr>
          <w:noProof/>
        </w:rPr>
        <w:tab/>
        <w:t xml:space="preserve">Предложението/инициативата не налага използване на човешки ресурси </w:t>
      </w:r>
    </w:p>
    <w:p>
      <w:pPr>
        <w:tabs>
          <w:tab w:val="num" w:pos="1134"/>
        </w:tabs>
        <w:ind w:left="1134" w:hanging="283"/>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szCs w:val="16"/>
              </w:rPr>
              <w:sym w:font="Wingdings" w:char="F09F"/>
            </w:r>
            <w:r>
              <w:rPr>
                <w:noProof/>
                <w:sz w:val="16"/>
                <w:szCs w:val="16"/>
              </w:rPr>
              <w:t xml:space="preserve"> </w:t>
            </w:r>
            <w:r>
              <w:rPr>
                <w:b/>
                <w:noProof/>
                <w:sz w:val="16"/>
                <w:szCs w:val="16"/>
              </w:rPr>
              <w:t>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rPr>
              <w:t>4</w:t>
            </w:r>
          </w:p>
        </w:tc>
        <w:tc>
          <w:tcPr>
            <w:tcW w:w="534" w:type="pct"/>
            <w:shd w:val="clear" w:color="auto" w:fill="auto"/>
            <w:vAlign w:val="center"/>
          </w:tcPr>
          <w:p>
            <w:pPr>
              <w:spacing w:beforeLines="20" w:before="48" w:afterLines="20" w:after="48"/>
              <w:jc w:val="center"/>
              <w:rPr>
                <w:noProof/>
                <w:sz w:val="16"/>
                <w:szCs w:val="16"/>
              </w:rPr>
            </w:pPr>
            <w:r>
              <w:rPr>
                <w:noProof/>
                <w:sz w:val="16"/>
              </w:rPr>
              <w:t>4</w:t>
            </w:r>
          </w:p>
        </w:tc>
        <w:tc>
          <w:tcPr>
            <w:tcW w:w="466" w:type="pct"/>
            <w:shd w:val="clear" w:color="auto" w:fill="auto"/>
            <w:vAlign w:val="center"/>
          </w:tcPr>
          <w:p>
            <w:pPr>
              <w:spacing w:beforeLines="20" w:before="48" w:afterLines="20" w:after="48"/>
              <w:jc w:val="center"/>
              <w:rPr>
                <w:noProof/>
                <w:sz w:val="16"/>
                <w:szCs w:val="16"/>
              </w:rPr>
            </w:pPr>
            <w:r>
              <w:rPr>
                <w:noProof/>
                <w:sz w:val="16"/>
              </w:rPr>
              <w:t>4</w:t>
            </w:r>
          </w:p>
        </w:tc>
        <w:tc>
          <w:tcPr>
            <w:tcW w:w="534" w:type="pct"/>
            <w:shd w:val="clear" w:color="auto" w:fill="auto"/>
            <w:vAlign w:val="center"/>
          </w:tcPr>
          <w:p>
            <w:pPr>
              <w:spacing w:beforeLines="20" w:before="48" w:afterLines="20" w:after="48"/>
              <w:jc w:val="center"/>
              <w:rPr>
                <w:noProof/>
                <w:sz w:val="16"/>
                <w:szCs w:val="16"/>
              </w:rPr>
            </w:pPr>
            <w:r>
              <w:rPr>
                <w:noProof/>
                <w:sz w:val="16"/>
              </w:rPr>
              <w:t>4</w:t>
            </w:r>
          </w:p>
        </w:tc>
        <w:tc>
          <w:tcPr>
            <w:tcW w:w="533" w:type="pct"/>
            <w:shd w:val="clear" w:color="auto" w:fill="auto"/>
            <w:vAlign w:val="center"/>
          </w:tcPr>
          <w:p>
            <w:pPr>
              <w:spacing w:beforeLines="20" w:before="48" w:afterLines="20" w:after="48"/>
              <w:jc w:val="center"/>
              <w:rPr>
                <w:noProof/>
                <w:sz w:val="16"/>
                <w:szCs w:val="16"/>
              </w:rPr>
            </w:pPr>
            <w:r>
              <w:rPr>
                <w:noProof/>
                <w:sz w:val="16"/>
              </w:rPr>
              <w:t>4</w:t>
            </w:r>
          </w:p>
        </w:tc>
        <w:tc>
          <w:tcPr>
            <w:tcW w:w="468" w:type="pct"/>
            <w:shd w:val="clear" w:color="auto" w:fill="auto"/>
            <w:vAlign w:val="center"/>
          </w:tcPr>
          <w:p>
            <w:pPr>
              <w:spacing w:beforeLines="20" w:before="48" w:afterLines="20" w:after="48"/>
              <w:jc w:val="center"/>
              <w:rPr>
                <w:noProof/>
                <w:sz w:val="16"/>
                <w:szCs w:val="16"/>
              </w:rPr>
            </w:pPr>
            <w:r>
              <w:rPr>
                <w:noProof/>
                <w:sz w:val="16"/>
              </w:rPr>
              <w:t>4</w:t>
            </w:r>
          </w:p>
        </w:tc>
        <w:tc>
          <w:tcPr>
            <w:tcW w:w="527" w:type="pct"/>
            <w:shd w:val="clear" w:color="auto" w:fill="auto"/>
            <w:vAlign w:val="center"/>
          </w:tcPr>
          <w:p>
            <w:pPr>
              <w:spacing w:beforeLines="20" w:before="48" w:afterLines="20" w:after="48"/>
              <w:jc w:val="center"/>
              <w:rPr>
                <w:noProof/>
                <w:sz w:val="16"/>
                <w:szCs w:val="16"/>
              </w:rPr>
            </w:pPr>
            <w:r>
              <w:rPr>
                <w:noProof/>
                <w:sz w:val="16"/>
              </w:rPr>
              <w:t>4</w:t>
            </w:r>
          </w:p>
        </w:tc>
      </w:tr>
      <w:tr>
        <w:trPr>
          <w:trHeight w:val="289"/>
        </w:trPr>
        <w:tc>
          <w:tcPr>
            <w:tcW w:w="1472" w:type="pct"/>
            <w:gridSpan w:val="2"/>
          </w:tcPr>
          <w:p>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szCs w:val="16"/>
              </w:rPr>
              <w:sym w:font="Wingdings" w:char="F09F"/>
            </w:r>
            <w:r>
              <w:rPr>
                <w:noProof/>
                <w:sz w:val="16"/>
                <w:szCs w:val="16"/>
              </w:rPr>
              <w:t xml:space="preserve"> </w:t>
            </w:r>
            <w:r>
              <w:rPr>
                <w:b/>
                <w:noProof/>
                <w:sz w:val="16"/>
                <w:szCs w:val="16"/>
              </w:rPr>
              <w:t>Външен персонал (в еквивалент на пълно работно време — ЕПРВ) — ДНП , МП, КНЕ, ПНА и МЕД</w:t>
            </w:r>
            <w:r>
              <w:rPr>
                <w:noProof/>
                <w:sz w:val="16"/>
                <w:szCs w:val="16"/>
              </w:rPr>
              <w:t xml:space="preserve"> </w:t>
            </w:r>
            <w:r>
              <w:rPr>
                <w:rStyle w:val="FootnoteReference"/>
                <w:noProof/>
                <w:sz w:val="16"/>
                <w:szCs w:val="16"/>
              </w:rPr>
              <w:footnoteReference w:id="18"/>
            </w:r>
          </w:p>
          <w:p>
            <w:pPr>
              <w:spacing w:before="0" w:after="0"/>
              <w:jc w:val="left"/>
              <w:rPr>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19"/>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rPr>
              <w:t>2</w:t>
            </w:r>
          </w:p>
        </w:tc>
        <w:tc>
          <w:tcPr>
            <w:tcW w:w="534" w:type="pct"/>
            <w:shd w:val="clear" w:color="auto" w:fill="auto"/>
            <w:vAlign w:val="center"/>
          </w:tcPr>
          <w:p>
            <w:pPr>
              <w:spacing w:beforeLines="20" w:before="48" w:afterLines="20" w:after="48"/>
              <w:jc w:val="center"/>
              <w:rPr>
                <w:noProof/>
                <w:sz w:val="16"/>
                <w:szCs w:val="16"/>
              </w:rPr>
            </w:pPr>
            <w:r>
              <w:rPr>
                <w:noProof/>
                <w:sz w:val="16"/>
              </w:rPr>
              <w:t>2</w:t>
            </w:r>
          </w:p>
        </w:tc>
        <w:tc>
          <w:tcPr>
            <w:tcW w:w="466" w:type="pct"/>
            <w:shd w:val="clear" w:color="auto" w:fill="auto"/>
            <w:vAlign w:val="center"/>
          </w:tcPr>
          <w:p>
            <w:pPr>
              <w:spacing w:beforeLines="20" w:before="48" w:afterLines="20" w:after="48"/>
              <w:jc w:val="center"/>
              <w:rPr>
                <w:noProof/>
                <w:sz w:val="16"/>
                <w:szCs w:val="16"/>
              </w:rPr>
            </w:pPr>
            <w:r>
              <w:rPr>
                <w:noProof/>
                <w:sz w:val="16"/>
              </w:rPr>
              <w:t>2</w:t>
            </w:r>
          </w:p>
        </w:tc>
        <w:tc>
          <w:tcPr>
            <w:tcW w:w="534" w:type="pct"/>
            <w:shd w:val="clear" w:color="auto" w:fill="auto"/>
            <w:vAlign w:val="center"/>
          </w:tcPr>
          <w:p>
            <w:pPr>
              <w:spacing w:beforeLines="20" w:before="48" w:afterLines="20" w:after="48"/>
              <w:jc w:val="center"/>
              <w:rPr>
                <w:noProof/>
                <w:sz w:val="16"/>
                <w:szCs w:val="16"/>
              </w:rPr>
            </w:pPr>
            <w:r>
              <w:rPr>
                <w:noProof/>
                <w:sz w:val="16"/>
              </w:rPr>
              <w:t>2</w:t>
            </w:r>
          </w:p>
        </w:tc>
        <w:tc>
          <w:tcPr>
            <w:tcW w:w="533" w:type="pct"/>
            <w:shd w:val="clear" w:color="auto" w:fill="auto"/>
            <w:vAlign w:val="center"/>
          </w:tcPr>
          <w:p>
            <w:pPr>
              <w:spacing w:beforeLines="20" w:before="48" w:afterLines="20" w:after="48"/>
              <w:jc w:val="center"/>
              <w:rPr>
                <w:noProof/>
                <w:sz w:val="16"/>
                <w:szCs w:val="16"/>
              </w:rPr>
            </w:pPr>
            <w:r>
              <w:rPr>
                <w:noProof/>
                <w:sz w:val="16"/>
              </w:rPr>
              <w:t>2</w:t>
            </w:r>
          </w:p>
        </w:tc>
        <w:tc>
          <w:tcPr>
            <w:tcW w:w="468" w:type="pct"/>
            <w:shd w:val="clear" w:color="auto" w:fill="auto"/>
            <w:vAlign w:val="center"/>
          </w:tcPr>
          <w:p>
            <w:pPr>
              <w:spacing w:beforeLines="20" w:before="48" w:afterLines="20" w:after="48"/>
              <w:jc w:val="center"/>
              <w:rPr>
                <w:noProof/>
                <w:sz w:val="16"/>
                <w:szCs w:val="16"/>
              </w:rPr>
            </w:pPr>
            <w:r>
              <w:rPr>
                <w:noProof/>
                <w:sz w:val="16"/>
              </w:rPr>
              <w:t>2</w:t>
            </w:r>
          </w:p>
        </w:tc>
        <w:tc>
          <w:tcPr>
            <w:tcW w:w="527" w:type="pct"/>
            <w:shd w:val="clear" w:color="auto" w:fill="auto"/>
            <w:vAlign w:val="center"/>
          </w:tcPr>
          <w:p>
            <w:pPr>
              <w:spacing w:beforeLines="20" w:before="48" w:afterLines="20" w:after="48"/>
              <w:jc w:val="center"/>
              <w:rPr>
                <w:noProof/>
                <w:sz w:val="16"/>
                <w:szCs w:val="16"/>
              </w:rPr>
            </w:pPr>
            <w:r>
              <w:rPr>
                <w:noProof/>
                <w:sz w:val="16"/>
              </w:rPr>
              <w:t>2</w:t>
            </w: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r>
    </w:tbl>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rFonts w:eastAsia="Calibri"/>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t>Длъжностни лица и срочно наети служители</w:t>
            </w:r>
          </w:p>
        </w:tc>
        <w:tc>
          <w:tcPr>
            <w:tcW w:w="7392" w:type="dxa"/>
          </w:tcPr>
          <w:p>
            <w:pPr>
              <w:autoSpaceDE w:val="0"/>
              <w:autoSpaceDN w:val="0"/>
              <w:adjustRightInd w:val="0"/>
              <w:spacing w:before="0" w:after="0"/>
              <w:jc w:val="left"/>
              <w:rPr>
                <w:rFonts w:eastAsia="Calibri"/>
                <w:noProof/>
                <w:sz w:val="20"/>
              </w:rPr>
            </w:pPr>
            <w:r>
              <w:rPr>
                <w:noProof/>
                <w:sz w:val="20"/>
              </w:rPr>
              <w:t>— изготвяне на становището на Комисията относно единния програмен документ (ЕПД);</w:t>
            </w:r>
          </w:p>
          <w:p>
            <w:pPr>
              <w:autoSpaceDE w:val="0"/>
              <w:autoSpaceDN w:val="0"/>
              <w:adjustRightInd w:val="0"/>
              <w:spacing w:before="0" w:after="0"/>
              <w:jc w:val="left"/>
              <w:rPr>
                <w:rFonts w:eastAsia="Calibri"/>
                <w:noProof/>
                <w:sz w:val="20"/>
              </w:rPr>
            </w:pPr>
            <w:r>
              <w:rPr>
                <w:noProof/>
                <w:sz w:val="20"/>
              </w:rPr>
              <w:t>— изготвяне на становището на наблюдателя от страна на Комисията в заседанията на управителния съвет на EIT;</w:t>
            </w:r>
          </w:p>
          <w:p>
            <w:pPr>
              <w:autoSpaceDE w:val="0"/>
              <w:autoSpaceDN w:val="0"/>
              <w:adjustRightInd w:val="0"/>
              <w:spacing w:before="0" w:after="0"/>
              <w:jc w:val="left"/>
              <w:rPr>
                <w:rFonts w:eastAsia="Calibri"/>
                <w:noProof/>
                <w:sz w:val="20"/>
              </w:rPr>
            </w:pPr>
            <w:r>
              <w:rPr>
                <w:noProof/>
                <w:sz w:val="20"/>
              </w:rPr>
              <w:t>— изготвяне на решение на Комисията за назначаване на членовете на управителния съвет на EIT;</w:t>
            </w:r>
          </w:p>
          <w:p>
            <w:pPr>
              <w:autoSpaceDE w:val="0"/>
              <w:autoSpaceDN w:val="0"/>
              <w:adjustRightInd w:val="0"/>
              <w:spacing w:before="0" w:after="0"/>
              <w:jc w:val="left"/>
              <w:rPr>
                <w:rFonts w:eastAsia="Calibri"/>
                <w:noProof/>
                <w:sz w:val="20"/>
              </w:rPr>
            </w:pPr>
            <w:r>
              <w:rPr>
                <w:noProof/>
                <w:sz w:val="20"/>
              </w:rPr>
              <w:t>— обща координация с други служби на Комисията и координация и съгласуване с други инициативи на ЕС, по-специално „Хоризонт Европа“;</w:t>
            </w:r>
          </w:p>
          <w:p>
            <w:pPr>
              <w:autoSpaceDE w:val="0"/>
              <w:autoSpaceDN w:val="0"/>
              <w:adjustRightInd w:val="0"/>
              <w:spacing w:before="0" w:after="0"/>
              <w:jc w:val="left"/>
              <w:rPr>
                <w:rFonts w:eastAsia="Calibri"/>
                <w:noProof/>
                <w:sz w:val="20"/>
              </w:rPr>
            </w:pPr>
            <w:r>
              <w:rPr>
                <w:noProof/>
                <w:sz w:val="20"/>
              </w:rPr>
              <w:t>— изготвяне на становището на Комисията за форума на заинтересованите страни;</w:t>
            </w:r>
          </w:p>
          <w:p>
            <w:pPr>
              <w:autoSpaceDE w:val="0"/>
              <w:autoSpaceDN w:val="0"/>
              <w:adjustRightInd w:val="0"/>
              <w:spacing w:before="0" w:after="0"/>
              <w:jc w:val="left"/>
              <w:rPr>
                <w:rFonts w:eastAsia="Calibri"/>
                <w:noProof/>
                <w:sz w:val="20"/>
              </w:rPr>
            </w:pPr>
            <w:r>
              <w:rPr>
                <w:noProof/>
                <w:sz w:val="20"/>
              </w:rPr>
              <w:t>— изготвяне на становището на Комисията за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организиране на годишните срещи между ОЗИ към EIT и службите на Комисията;</w:t>
            </w:r>
          </w:p>
          <w:p>
            <w:pPr>
              <w:autoSpaceDE w:val="0"/>
              <w:autoSpaceDN w:val="0"/>
              <w:adjustRightInd w:val="0"/>
              <w:spacing w:before="0" w:after="0"/>
              <w:jc w:val="left"/>
              <w:rPr>
                <w:rFonts w:eastAsia="Calibri"/>
                <w:noProof/>
                <w:sz w:val="20"/>
              </w:rPr>
            </w:pPr>
            <w:r>
              <w:rPr>
                <w:noProof/>
                <w:sz w:val="20"/>
              </w:rPr>
              <w:t>— последващи действия на покани за избор на нови ОЗИ;</w:t>
            </w:r>
          </w:p>
          <w:p>
            <w:pPr>
              <w:autoSpaceDE w:val="0"/>
              <w:autoSpaceDN w:val="0"/>
              <w:adjustRightInd w:val="0"/>
              <w:spacing w:before="0" w:after="0"/>
              <w:jc w:val="left"/>
              <w:rPr>
                <w:rFonts w:eastAsia="Calibri"/>
                <w:noProof/>
                <w:sz w:val="20"/>
              </w:rPr>
            </w:pPr>
            <w:r>
              <w:rPr>
                <w:noProof/>
                <w:sz w:val="20"/>
              </w:rPr>
              <w:t>— наблюдение и оценка на EIT;</w:t>
            </w:r>
          </w:p>
          <w:p>
            <w:pPr>
              <w:autoSpaceDE w:val="0"/>
              <w:autoSpaceDN w:val="0"/>
              <w:adjustRightInd w:val="0"/>
              <w:spacing w:before="0" w:after="0"/>
              <w:jc w:val="left"/>
              <w:rPr>
                <w:rFonts w:eastAsia="Calibri"/>
                <w:noProof/>
                <w:sz w:val="20"/>
              </w:rPr>
            </w:pPr>
            <w:r>
              <w:rPr>
                <w:noProof/>
                <w:sz w:val="20"/>
              </w:rPr>
              <w:t>— осигуряване на съответствие между „степените на EIT“ и действия, предприети в рамките на пространството за висше образование;</w:t>
            </w:r>
          </w:p>
          <w:p>
            <w:pPr>
              <w:autoSpaceDE w:val="0"/>
              <w:autoSpaceDN w:val="0"/>
              <w:adjustRightInd w:val="0"/>
              <w:spacing w:before="0" w:after="0"/>
              <w:jc w:val="left"/>
              <w:rPr>
                <w:rFonts w:eastAsia="Calibri"/>
                <w:noProof/>
                <w:sz w:val="20"/>
              </w:rPr>
            </w:pPr>
            <w:r>
              <w:rPr>
                <w:noProof/>
                <w:sz w:val="20"/>
              </w:rPr>
              <w:t>— задачи, свързани с подготвянето на процесите в рамките на Комисията на стратегическо планиране и програмиране (годишен отчет за дейността...) и управление на бюджета;</w:t>
            </w:r>
          </w:p>
          <w:p>
            <w:pPr>
              <w:autoSpaceDE w:val="0"/>
              <w:autoSpaceDN w:val="0"/>
              <w:adjustRightInd w:val="0"/>
              <w:spacing w:before="0" w:after="0"/>
              <w:jc w:val="left"/>
              <w:rPr>
                <w:rFonts w:eastAsia="Calibri"/>
                <w:noProof/>
                <w:sz w:val="20"/>
              </w:rPr>
            </w:pPr>
            <w:r>
              <w:rPr>
                <w:noProof/>
                <w:sz w:val="20"/>
              </w:rPr>
              <w:t>— последващи действия на одити от Структурата за вътрешен одит (IAC), Службата за вътрешен одит (IAS) и Европейската сметна палата (ЕСП).</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noProof/>
                <w:sz w:val="20"/>
              </w:rPr>
              <w:t>Външен персонал</w:t>
            </w:r>
          </w:p>
        </w:tc>
        <w:tc>
          <w:tcPr>
            <w:tcW w:w="7392" w:type="dxa"/>
          </w:tcPr>
          <w:p>
            <w:pPr>
              <w:autoSpaceDE w:val="0"/>
              <w:autoSpaceDN w:val="0"/>
              <w:adjustRightInd w:val="0"/>
              <w:spacing w:before="0" w:after="0"/>
              <w:jc w:val="left"/>
              <w:rPr>
                <w:rFonts w:eastAsia="Calibri"/>
                <w:noProof/>
                <w:sz w:val="20"/>
              </w:rPr>
            </w:pPr>
            <w:r>
              <w:rPr>
                <w:noProof/>
                <w:sz w:val="20"/>
              </w:rPr>
              <w:t>— участие в изготвянето на становището на Комисията относно ЕПД;</w:t>
            </w:r>
          </w:p>
          <w:p>
            <w:pPr>
              <w:autoSpaceDE w:val="0"/>
              <w:autoSpaceDN w:val="0"/>
              <w:adjustRightInd w:val="0"/>
              <w:spacing w:before="0" w:after="0"/>
              <w:jc w:val="left"/>
              <w:rPr>
                <w:rFonts w:eastAsia="Calibri"/>
                <w:noProof/>
                <w:sz w:val="20"/>
              </w:rPr>
            </w:pPr>
            <w:r>
              <w:rPr>
                <w:noProof/>
                <w:sz w:val="20"/>
              </w:rPr>
              <w:t>— участие в общата координация с други служби на Комисията и координацията и съгласуването с други инициативи на ЕС, по-специално „Хоризонт Европа“;</w:t>
            </w:r>
          </w:p>
          <w:p>
            <w:pPr>
              <w:autoSpaceDE w:val="0"/>
              <w:autoSpaceDN w:val="0"/>
              <w:adjustRightInd w:val="0"/>
              <w:spacing w:before="0" w:after="0"/>
              <w:jc w:val="left"/>
              <w:rPr>
                <w:rFonts w:eastAsia="Calibri"/>
                <w:noProof/>
                <w:sz w:val="20"/>
              </w:rPr>
            </w:pPr>
            <w:r>
              <w:rPr>
                <w:noProof/>
                <w:sz w:val="20"/>
              </w:rPr>
              <w:t>— участие в изготвянето на становището на Комисията за форума на заинтересованите страни;</w:t>
            </w:r>
          </w:p>
          <w:p>
            <w:pPr>
              <w:autoSpaceDE w:val="0"/>
              <w:autoSpaceDN w:val="0"/>
              <w:adjustRightInd w:val="0"/>
              <w:spacing w:before="0" w:after="0"/>
              <w:jc w:val="left"/>
              <w:rPr>
                <w:rFonts w:eastAsia="Calibri"/>
                <w:noProof/>
                <w:sz w:val="20"/>
              </w:rPr>
            </w:pPr>
            <w:r>
              <w:rPr>
                <w:noProof/>
                <w:sz w:val="20"/>
              </w:rPr>
              <w:t>— участие в изготвянето на становището на Комисията за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участие в организирането на годишните срещи между ОЗИ към EIT и службите на Комисията;</w:t>
            </w:r>
          </w:p>
          <w:p>
            <w:pPr>
              <w:autoSpaceDE w:val="0"/>
              <w:autoSpaceDN w:val="0"/>
              <w:adjustRightInd w:val="0"/>
              <w:spacing w:before="0" w:after="0"/>
              <w:jc w:val="left"/>
              <w:rPr>
                <w:rFonts w:eastAsia="Calibri"/>
                <w:noProof/>
                <w:sz w:val="20"/>
              </w:rPr>
            </w:pPr>
            <w:r>
              <w:rPr>
                <w:noProof/>
                <w:sz w:val="20"/>
              </w:rPr>
              <w:t>— последващи действия на поканите за избор на нови ОЗИ;</w:t>
            </w:r>
          </w:p>
          <w:p>
            <w:pPr>
              <w:autoSpaceDE w:val="0"/>
              <w:autoSpaceDN w:val="0"/>
              <w:adjustRightInd w:val="0"/>
              <w:spacing w:before="0" w:after="0"/>
              <w:jc w:val="left"/>
              <w:rPr>
                <w:rFonts w:eastAsia="Calibri"/>
                <w:noProof/>
                <w:sz w:val="20"/>
              </w:rPr>
            </w:pPr>
            <w:r>
              <w:rPr>
                <w:noProof/>
                <w:sz w:val="20"/>
              </w:rPr>
              <w:t>— принос за осигуряването на съответствие между „степените на EIT“ и действия, предприети в рамките на пространството за висше образование</w:t>
            </w:r>
          </w:p>
          <w:p>
            <w:pPr>
              <w:autoSpaceDE w:val="0"/>
              <w:autoSpaceDN w:val="0"/>
              <w:adjustRightInd w:val="0"/>
              <w:spacing w:before="0" w:after="0"/>
              <w:jc w:val="left"/>
              <w:rPr>
                <w:rFonts w:eastAsia="Calibri"/>
                <w:noProof/>
                <w:sz w:val="20"/>
              </w:rPr>
            </w:pPr>
            <w:r>
              <w:rPr>
                <w:noProof/>
                <w:sz w:val="20"/>
              </w:rPr>
              <w:t>— участие в подготвянето на процесите в рамките на Комисията на стратегическо планиране и програмиране (годишен отчет за дейността...) и бюджета;</w:t>
            </w:r>
          </w:p>
          <w:p>
            <w:pPr>
              <w:autoSpaceDE w:val="0"/>
              <w:autoSpaceDN w:val="0"/>
              <w:adjustRightInd w:val="0"/>
              <w:spacing w:before="0" w:after="0"/>
              <w:jc w:val="left"/>
              <w:rPr>
                <w:rFonts w:eastAsia="Calibri"/>
                <w:noProof/>
                <w:sz w:val="20"/>
              </w:rPr>
            </w:pPr>
            <w:r>
              <w:rPr>
                <w:noProof/>
                <w:sz w:val="20"/>
              </w:rPr>
              <w:t>— участие в последващите действия на одити (IAC, IAS и ЕСП).</w:t>
            </w:r>
          </w:p>
          <w:p>
            <w:pPr>
              <w:rPr>
                <w:rFonts w:eastAsia="Calibri"/>
                <w:noProof/>
                <w:sz w:val="20"/>
              </w:rPr>
            </w:pPr>
          </w:p>
        </w:tc>
      </w:tr>
    </w:tbl>
    <w:p>
      <w:pPr>
        <w:keepNext/>
        <w:tabs>
          <w:tab w:val="num" w:pos="3118"/>
        </w:tabs>
        <w:ind w:left="851" w:hanging="851"/>
        <w:outlineLvl w:val="3"/>
        <w:rPr>
          <w:rFonts w:eastAsia="Calibri"/>
          <w:bCs/>
          <w:iCs/>
          <w:noProof/>
        </w:rPr>
      </w:pPr>
      <w:r>
        <w:rPr>
          <w:noProof/>
        </w:rPr>
        <w:t>3.2.2.2</w:t>
      </w:r>
      <w:r>
        <w:rPr>
          <w:noProof/>
        </w:rPr>
        <w:tab/>
        <w:t>Очаквани нужди от човешки ресурси в Европейския институт за иновации и технологии (EIT)</w:t>
      </w:r>
    </w:p>
    <w:p>
      <w:pPr>
        <w:spacing w:after="60"/>
        <w:jc w:val="right"/>
        <w:rPr>
          <w:rFonts w:eastAsia="Calibri"/>
          <w:i/>
          <w:noProof/>
          <w:sz w:val="20"/>
        </w:rPr>
      </w:pPr>
      <w:r>
        <w:rPr>
          <w:i/>
          <w:noProof/>
          <w:sz w:val="20"/>
        </w:rPr>
        <w:t>Оценката се посочва в еквиваленти на пълно работно време</w:t>
      </w:r>
    </w:p>
    <w:tbl>
      <w:tblPr>
        <w:tblW w:w="8599" w:type="dxa"/>
        <w:jc w:val="center"/>
        <w:tblCellMar>
          <w:left w:w="0" w:type="dxa"/>
          <w:right w:w="0" w:type="dxa"/>
        </w:tblCellMar>
        <w:tblLook w:val="04A0" w:firstRow="1" w:lastRow="0" w:firstColumn="1" w:lastColumn="0" w:noHBand="0" w:noVBand="1"/>
      </w:tblPr>
      <w:tblGrid>
        <w:gridCol w:w="2474"/>
        <w:gridCol w:w="875"/>
        <w:gridCol w:w="875"/>
        <w:gridCol w:w="875"/>
        <w:gridCol w:w="875"/>
        <w:gridCol w:w="875"/>
        <w:gridCol w:w="875"/>
        <w:gridCol w:w="875"/>
      </w:tblGrid>
      <w:tr>
        <w:trPr>
          <w:trHeight w:val="277"/>
          <w:jc w:val="center"/>
        </w:trPr>
        <w:tc>
          <w:tcPr>
            <w:tcW w:w="2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rPr>
            </w:pPr>
            <w:r>
              <w:rPr>
                <w:noProof/>
                <w:color w:val="000000"/>
              </w:rPr>
              <w:t>EIT (в Будапеща)</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2021 г.</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2022 г.</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2023 г.</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2024 г.</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2025 г.</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2026 г.</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2027 г.</w:t>
            </w:r>
          </w:p>
        </w:tc>
      </w:tr>
      <w:tr>
        <w:trPr>
          <w:trHeight w:val="542"/>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Длъжностни лица от Комисията</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от които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от които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от които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Срочно наети служители</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от които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от които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от които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Договорно наети служители</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КНЕ</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b/>
                <w:bCs/>
                <w:noProof/>
                <w:color w:val="000000"/>
                <w:sz w:val="20"/>
                <w:szCs w:val="20"/>
              </w:rPr>
            </w:pPr>
            <w:r>
              <w:rPr>
                <w:b/>
                <w:noProof/>
                <w:color w:val="000000"/>
                <w:sz w:val="20"/>
              </w:rPr>
              <w:t>Общо</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r>
    </w:tbl>
    <w:p>
      <w:pPr>
        <w:rPr>
          <w:rFonts w:eastAsia="Calibri"/>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t>Длъжностни лица и срочно наети служители</w:t>
            </w:r>
          </w:p>
        </w:tc>
        <w:tc>
          <w:tcPr>
            <w:tcW w:w="7392" w:type="dxa"/>
          </w:tcPr>
          <w:p>
            <w:pPr>
              <w:autoSpaceDE w:val="0"/>
              <w:autoSpaceDN w:val="0"/>
              <w:adjustRightInd w:val="0"/>
              <w:spacing w:before="0" w:after="0"/>
              <w:jc w:val="left"/>
              <w:rPr>
                <w:rFonts w:eastAsia="Calibri"/>
                <w:noProof/>
                <w:sz w:val="20"/>
              </w:rPr>
            </w:pPr>
            <w:r>
              <w:rPr>
                <w:noProof/>
                <w:sz w:val="20"/>
              </w:rPr>
              <w:t>— бюджет, планиране и докладване на EIT;</w:t>
            </w:r>
          </w:p>
          <w:p>
            <w:pPr>
              <w:autoSpaceDE w:val="0"/>
              <w:autoSpaceDN w:val="0"/>
              <w:adjustRightInd w:val="0"/>
              <w:spacing w:before="0" w:after="0"/>
              <w:jc w:val="left"/>
              <w:rPr>
                <w:rFonts w:eastAsia="Calibri"/>
                <w:noProof/>
                <w:sz w:val="20"/>
              </w:rPr>
            </w:pPr>
            <w:r>
              <w:rPr>
                <w:noProof/>
                <w:sz w:val="20"/>
              </w:rPr>
              <w:t>— програма за опростяване на EIT;</w:t>
            </w:r>
          </w:p>
          <w:p>
            <w:pPr>
              <w:autoSpaceDE w:val="0"/>
              <w:autoSpaceDN w:val="0"/>
              <w:adjustRightInd w:val="0"/>
              <w:spacing w:before="0" w:after="0"/>
              <w:jc w:val="left"/>
              <w:rPr>
                <w:rFonts w:eastAsia="Calibri"/>
                <w:noProof/>
                <w:sz w:val="20"/>
              </w:rPr>
            </w:pPr>
            <w:r>
              <w:rPr>
                <w:noProof/>
                <w:sz w:val="20"/>
              </w:rPr>
              <w:t>— подготовка на новите вълни за определяне и избор на ОЗИ;</w:t>
            </w:r>
          </w:p>
          <w:p>
            <w:pPr>
              <w:autoSpaceDE w:val="0"/>
              <w:autoSpaceDN w:val="0"/>
              <w:adjustRightInd w:val="0"/>
              <w:spacing w:before="0" w:after="0"/>
              <w:jc w:val="left"/>
              <w:rPr>
                <w:rFonts w:eastAsia="Calibri"/>
                <w:noProof/>
                <w:sz w:val="20"/>
              </w:rPr>
            </w:pPr>
            <w:r>
              <w:rPr>
                <w:noProof/>
                <w:sz w:val="20"/>
              </w:rPr>
              <w:t>— координация и съгласуване с други инициативи на ЕС, по-специално „Хоризонт Европа“;</w:t>
            </w:r>
          </w:p>
          <w:p>
            <w:pPr>
              <w:autoSpaceDE w:val="0"/>
              <w:autoSpaceDN w:val="0"/>
              <w:adjustRightInd w:val="0"/>
              <w:spacing w:before="0" w:after="0"/>
              <w:jc w:val="left"/>
              <w:rPr>
                <w:rFonts w:eastAsia="Calibri"/>
                <w:noProof/>
                <w:sz w:val="20"/>
              </w:rPr>
            </w:pPr>
            <w:r>
              <w:rPr>
                <w:noProof/>
                <w:sz w:val="20"/>
              </w:rPr>
              <w:t>— платформа на заинтересованите страни към EIT;</w:t>
            </w:r>
          </w:p>
          <w:p>
            <w:pPr>
              <w:autoSpaceDE w:val="0"/>
              <w:autoSpaceDN w:val="0"/>
              <w:adjustRightInd w:val="0"/>
              <w:spacing w:before="0" w:after="0"/>
              <w:jc w:val="left"/>
              <w:rPr>
                <w:rFonts w:eastAsia="Calibri"/>
                <w:noProof/>
                <w:sz w:val="20"/>
              </w:rPr>
            </w:pPr>
            <w:r>
              <w:rPr>
                <w:noProof/>
                <w:sz w:val="20"/>
              </w:rPr>
              <w:t>—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подготовка на заседанията на управителния съвет и на изпълнителния комитет на EIT;</w:t>
            </w:r>
          </w:p>
          <w:p>
            <w:pPr>
              <w:autoSpaceDE w:val="0"/>
              <w:autoSpaceDN w:val="0"/>
              <w:adjustRightInd w:val="0"/>
              <w:spacing w:before="0" w:after="0"/>
              <w:jc w:val="left"/>
              <w:rPr>
                <w:rFonts w:eastAsia="Calibri"/>
                <w:noProof/>
                <w:sz w:val="20"/>
              </w:rPr>
            </w:pPr>
            <w:r>
              <w:rPr>
                <w:noProof/>
                <w:sz w:val="20"/>
              </w:rPr>
              <w:t xml:space="preserve">— организиране на срещи и изслушвания между EIT и ОЗИ; </w:t>
            </w:r>
          </w:p>
          <w:p>
            <w:pPr>
              <w:autoSpaceDE w:val="0"/>
              <w:autoSpaceDN w:val="0"/>
              <w:adjustRightInd w:val="0"/>
              <w:spacing w:before="0" w:after="0"/>
              <w:jc w:val="left"/>
              <w:rPr>
                <w:rFonts w:eastAsia="Calibri"/>
                <w:noProof/>
                <w:sz w:val="20"/>
              </w:rPr>
            </w:pPr>
            <w:r>
              <w:rPr>
                <w:noProof/>
                <w:sz w:val="20"/>
              </w:rPr>
              <w:t xml:space="preserve">— укрепване на съществуващите ОЗИ; </w:t>
            </w:r>
          </w:p>
          <w:p>
            <w:pPr>
              <w:autoSpaceDE w:val="0"/>
              <w:autoSpaceDN w:val="0"/>
              <w:adjustRightInd w:val="0"/>
              <w:spacing w:before="0" w:after="0"/>
              <w:jc w:val="left"/>
              <w:rPr>
                <w:rFonts w:eastAsia="Calibri"/>
                <w:noProof/>
                <w:sz w:val="20"/>
              </w:rPr>
            </w:pPr>
            <w:r>
              <w:rPr>
                <w:noProof/>
                <w:sz w:val="20"/>
              </w:rPr>
              <w:t xml:space="preserve">— наблюдение и оценка на дейностите, координирани от ОЗИ и EIT; </w:t>
            </w:r>
          </w:p>
          <w:p>
            <w:pPr>
              <w:autoSpaceDE w:val="0"/>
              <w:autoSpaceDN w:val="0"/>
              <w:adjustRightInd w:val="0"/>
              <w:spacing w:before="0" w:after="0"/>
              <w:jc w:val="left"/>
              <w:rPr>
                <w:rFonts w:eastAsia="Calibri"/>
                <w:noProof/>
                <w:sz w:val="20"/>
              </w:rPr>
            </w:pPr>
            <w:r>
              <w:rPr>
                <w:noProof/>
                <w:sz w:val="20"/>
              </w:rPr>
              <w:t>— въздействие на EIT чрез обмен на знания, разпространение и популяризиране на резултатите и международни контакти;</w:t>
            </w:r>
          </w:p>
          <w:p>
            <w:pPr>
              <w:autoSpaceDE w:val="0"/>
              <w:autoSpaceDN w:val="0"/>
              <w:adjustRightInd w:val="0"/>
              <w:spacing w:before="0" w:after="0"/>
              <w:jc w:val="left"/>
              <w:rPr>
                <w:rFonts w:eastAsia="Calibri"/>
                <w:noProof/>
                <w:sz w:val="20"/>
              </w:rPr>
            </w:pPr>
            <w:r>
              <w:rPr>
                <w:noProof/>
                <w:sz w:val="20"/>
              </w:rPr>
              <w:t>— проектиране и управление на дейностите, координирани от EIT;</w:t>
            </w:r>
          </w:p>
          <w:p>
            <w:pPr>
              <w:autoSpaceDE w:val="0"/>
              <w:autoSpaceDN w:val="0"/>
              <w:adjustRightInd w:val="0"/>
              <w:spacing w:before="0" w:after="0"/>
              <w:jc w:val="left"/>
              <w:rPr>
                <w:rFonts w:eastAsia="Calibri"/>
                <w:noProof/>
                <w:sz w:val="20"/>
              </w:rPr>
            </w:pPr>
            <w:r>
              <w:rPr>
                <w:noProof/>
                <w:sz w:val="20"/>
              </w:rPr>
              <w:t>— насърчаване на сътрудничеството и взаимодействието между ОЗИ;</w:t>
            </w:r>
          </w:p>
          <w:p>
            <w:pPr>
              <w:autoSpaceDE w:val="0"/>
              <w:autoSpaceDN w:val="0"/>
              <w:adjustRightInd w:val="0"/>
              <w:spacing w:before="0" w:after="0"/>
              <w:jc w:val="left"/>
              <w:rPr>
                <w:rFonts w:eastAsia="Calibri"/>
                <w:noProof/>
                <w:sz w:val="20"/>
              </w:rPr>
            </w:pPr>
            <w:r>
              <w:rPr>
                <w:noProof/>
                <w:sz w:val="20"/>
              </w:rPr>
              <w:t>— проектиране и координация на образователните дейности, предприети от ОЗИ;</w:t>
            </w:r>
          </w:p>
          <w:p>
            <w:pPr>
              <w:autoSpaceDE w:val="0"/>
              <w:autoSpaceDN w:val="0"/>
              <w:adjustRightInd w:val="0"/>
              <w:spacing w:before="0" w:after="0"/>
              <w:jc w:val="left"/>
              <w:rPr>
                <w:rFonts w:eastAsia="Calibri"/>
                <w:noProof/>
                <w:sz w:val="20"/>
              </w:rPr>
            </w:pPr>
            <w:r>
              <w:rPr>
                <w:noProof/>
                <w:sz w:val="20"/>
              </w:rPr>
              <w:t>— осъществяване на комуникацията на EIT;</w:t>
            </w:r>
          </w:p>
          <w:p>
            <w:pPr>
              <w:autoSpaceDE w:val="0"/>
              <w:autoSpaceDN w:val="0"/>
              <w:adjustRightInd w:val="0"/>
              <w:spacing w:before="0" w:after="0"/>
              <w:jc w:val="left"/>
              <w:rPr>
                <w:rFonts w:eastAsia="Calibri"/>
                <w:noProof/>
                <w:sz w:val="20"/>
              </w:rPr>
            </w:pPr>
            <w:r>
              <w:rPr>
                <w:noProof/>
                <w:sz w:val="20"/>
              </w:rPr>
              <w:t>— даване ход и последващи действия на покани за избор на ОЗИ;</w:t>
            </w:r>
          </w:p>
          <w:p>
            <w:pPr>
              <w:autoSpaceDE w:val="0"/>
              <w:autoSpaceDN w:val="0"/>
              <w:adjustRightInd w:val="0"/>
              <w:spacing w:before="0" w:after="0"/>
              <w:jc w:val="left"/>
              <w:rPr>
                <w:rFonts w:eastAsia="Calibri"/>
                <w:noProof/>
                <w:sz w:val="20"/>
              </w:rPr>
            </w:pPr>
            <w:r>
              <w:rPr>
                <w:noProof/>
                <w:sz w:val="20"/>
              </w:rPr>
              <w:t>— управление на одитите (Служба за вътрешен одит, Структура за вътрешен одит и Европейска сметна палата).</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noProof/>
                <w:sz w:val="20"/>
              </w:rPr>
              <w:t>Външен персонал</w:t>
            </w:r>
          </w:p>
        </w:tc>
        <w:tc>
          <w:tcPr>
            <w:tcW w:w="7392" w:type="dxa"/>
          </w:tcPr>
          <w:p>
            <w:pPr>
              <w:autoSpaceDE w:val="0"/>
              <w:autoSpaceDN w:val="0"/>
              <w:adjustRightInd w:val="0"/>
              <w:spacing w:before="0" w:after="0"/>
              <w:jc w:val="left"/>
              <w:rPr>
                <w:rFonts w:eastAsia="Calibri"/>
                <w:noProof/>
                <w:sz w:val="20"/>
              </w:rPr>
            </w:pPr>
            <w:r>
              <w:rPr>
                <w:noProof/>
                <w:sz w:val="20"/>
              </w:rPr>
              <w:t xml:space="preserve">— участие в подготовката на новите вълни за определяне и избор на ОЗИ;  </w:t>
            </w:r>
          </w:p>
          <w:p>
            <w:pPr>
              <w:autoSpaceDE w:val="0"/>
              <w:autoSpaceDN w:val="0"/>
              <w:adjustRightInd w:val="0"/>
              <w:spacing w:before="0" w:after="0"/>
              <w:jc w:val="left"/>
              <w:rPr>
                <w:rFonts w:eastAsia="Calibri"/>
                <w:noProof/>
                <w:sz w:val="20"/>
              </w:rPr>
            </w:pPr>
            <w:r>
              <w:rPr>
                <w:noProof/>
                <w:sz w:val="20"/>
              </w:rPr>
              <w:t xml:space="preserve">— участие в предприемаческата и образователната програма на EIT; </w:t>
            </w:r>
          </w:p>
          <w:p>
            <w:pPr>
              <w:autoSpaceDE w:val="0"/>
              <w:autoSpaceDN w:val="0"/>
              <w:adjustRightInd w:val="0"/>
              <w:spacing w:before="0" w:after="0"/>
              <w:jc w:val="left"/>
              <w:rPr>
                <w:rFonts w:eastAsia="Calibri"/>
                <w:noProof/>
                <w:sz w:val="20"/>
              </w:rPr>
            </w:pPr>
            <w:r>
              <w:rPr>
                <w:noProof/>
                <w:sz w:val="20"/>
              </w:rPr>
              <w:t>— участие в дейностите, свързани с платформата на заинтересованите страни към EIT;</w:t>
            </w:r>
          </w:p>
          <w:p>
            <w:pPr>
              <w:autoSpaceDE w:val="0"/>
              <w:autoSpaceDN w:val="0"/>
              <w:adjustRightInd w:val="0"/>
              <w:spacing w:before="0" w:after="0"/>
              <w:jc w:val="left"/>
              <w:rPr>
                <w:rFonts w:eastAsia="Calibri"/>
                <w:noProof/>
                <w:sz w:val="20"/>
              </w:rPr>
            </w:pPr>
            <w:r>
              <w:rPr>
                <w:noProof/>
                <w:sz w:val="20"/>
              </w:rPr>
              <w:t>— принос към групата на представителите на държавите членки;</w:t>
            </w:r>
          </w:p>
          <w:p>
            <w:pPr>
              <w:autoSpaceDE w:val="0"/>
              <w:autoSpaceDN w:val="0"/>
              <w:adjustRightInd w:val="0"/>
              <w:spacing w:before="0" w:after="0"/>
              <w:jc w:val="left"/>
              <w:rPr>
                <w:rFonts w:eastAsia="Calibri"/>
                <w:noProof/>
                <w:sz w:val="20"/>
              </w:rPr>
            </w:pPr>
            <w:r>
              <w:rPr>
                <w:noProof/>
                <w:sz w:val="20"/>
              </w:rPr>
              <w:t>— участие в подготовката на заседанията на управителния съвет и на изпълнителния комитет на EIT;</w:t>
            </w:r>
          </w:p>
          <w:p>
            <w:pPr>
              <w:autoSpaceDE w:val="0"/>
              <w:autoSpaceDN w:val="0"/>
              <w:adjustRightInd w:val="0"/>
              <w:spacing w:before="0" w:after="0"/>
              <w:jc w:val="left"/>
              <w:rPr>
                <w:rFonts w:eastAsia="Calibri"/>
                <w:noProof/>
                <w:sz w:val="20"/>
              </w:rPr>
            </w:pPr>
            <w:r>
              <w:rPr>
                <w:noProof/>
                <w:sz w:val="20"/>
              </w:rPr>
              <w:t>— принос за осигуряването на съответствие между „степените на EIT“ и действия, предприети в рамките на пространството за висше образование</w:t>
            </w:r>
          </w:p>
          <w:p>
            <w:pPr>
              <w:autoSpaceDE w:val="0"/>
              <w:autoSpaceDN w:val="0"/>
              <w:adjustRightInd w:val="0"/>
              <w:spacing w:before="0" w:after="0"/>
              <w:jc w:val="left"/>
              <w:rPr>
                <w:rFonts w:eastAsia="Calibri"/>
                <w:noProof/>
                <w:sz w:val="20"/>
              </w:rPr>
            </w:pPr>
            <w:r>
              <w:rPr>
                <w:noProof/>
                <w:sz w:val="20"/>
              </w:rPr>
              <w:t>— принос за осъществяването на комуникацията на EIT; — участие в управлението на дейностите, координирани от EIT;</w:t>
            </w:r>
          </w:p>
          <w:p>
            <w:pPr>
              <w:autoSpaceDE w:val="0"/>
              <w:autoSpaceDN w:val="0"/>
              <w:adjustRightInd w:val="0"/>
              <w:spacing w:before="0" w:after="0"/>
              <w:jc w:val="left"/>
              <w:rPr>
                <w:rFonts w:eastAsia="Calibri"/>
                <w:noProof/>
                <w:sz w:val="20"/>
              </w:rPr>
            </w:pPr>
            <w:r>
              <w:rPr>
                <w:noProof/>
                <w:sz w:val="20"/>
              </w:rPr>
              <w:t>— участие в наблюдението и оценката на дейностите, координирани от ОЗИ и EIT;</w:t>
            </w:r>
          </w:p>
          <w:p>
            <w:pPr>
              <w:autoSpaceDE w:val="0"/>
              <w:autoSpaceDN w:val="0"/>
              <w:adjustRightInd w:val="0"/>
              <w:spacing w:before="0" w:after="0"/>
              <w:jc w:val="left"/>
              <w:rPr>
                <w:rFonts w:eastAsia="Calibri"/>
                <w:noProof/>
                <w:sz w:val="20"/>
              </w:rPr>
            </w:pPr>
          </w:p>
        </w:tc>
      </w:tr>
    </w:tbl>
    <w:p>
      <w:pPr>
        <w:rPr>
          <w:rFonts w:eastAsia="Calibri"/>
          <w:noProof/>
        </w:rPr>
        <w:sectPr>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pPr>
        <w:keepNext/>
        <w:outlineLvl w:val="2"/>
        <w:rPr>
          <w:rFonts w:eastAsia="Calibri"/>
          <w:i/>
          <w:noProof/>
          <w:szCs w:val="24"/>
        </w:rPr>
      </w:pPr>
      <w:r>
        <w:rPr>
          <w:i/>
          <w:noProof/>
        </w:rPr>
        <w:t>3.2.3.</w:t>
      </w:r>
      <w:r>
        <w:rPr>
          <w:noProof/>
        </w:rPr>
        <w:tab/>
      </w:r>
      <w:r>
        <w:rPr>
          <w:i/>
          <w:noProof/>
        </w:rPr>
        <w:t>Финансов принос от трети страни</w:t>
      </w:r>
      <w:r>
        <w:rPr>
          <w:noProof/>
          <w:sz w:val="16"/>
        </w:rPr>
        <w:t xml:space="preserve"> </w:t>
      </w:r>
    </w:p>
    <w:p>
      <w:pPr>
        <w:ind w:left="850"/>
        <w:rPr>
          <w:noProof/>
        </w:rPr>
      </w:pPr>
      <w:r>
        <w:rPr>
          <w:noProof/>
        </w:rPr>
        <w:t>Предложението/инициативата:</w:t>
      </w:r>
    </w:p>
    <w:p>
      <w:pPr>
        <w:tabs>
          <w:tab w:val="num" w:pos="1134"/>
        </w:tabs>
        <w:ind w:left="1134" w:hanging="283"/>
        <w:rPr>
          <w:noProof/>
        </w:rPr>
      </w:pPr>
      <w:r>
        <w:rPr>
          <w:noProof/>
        </w:rPr>
        <w:sym w:font="Wingdings" w:char="F0A8"/>
      </w:r>
      <w:r>
        <w:rPr>
          <w:noProof/>
        </w:rPr>
        <w:tab/>
        <w:t>не предвижда съфинансиране от трети страни</w:t>
      </w:r>
    </w:p>
    <w:p>
      <w:pPr>
        <w:tabs>
          <w:tab w:val="num" w:pos="1134"/>
        </w:tabs>
        <w:ind w:left="1134" w:hanging="283"/>
        <w:rPr>
          <w:noProof/>
        </w:rPr>
      </w:pPr>
      <w:r>
        <w:rPr>
          <w:noProof/>
        </w:rPr>
        <w:t xml:space="preserve"> X 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ОБЩО съфинансирани бюджетни кредити</w:t>
            </w:r>
            <w:r>
              <w:rPr>
                <w:rStyle w:val="FootnoteReference"/>
                <w:noProof/>
                <w:sz w:val="20"/>
              </w:rPr>
              <w:footnoteReference w:id="20"/>
            </w:r>
            <w:r>
              <w:rPr>
                <w:noProof/>
                <w:sz w:val="20"/>
              </w:rPr>
              <w:t xml:space="preserve">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p>
    <w:p>
      <w:pPr>
        <w:keepNext/>
        <w:outlineLvl w:val="1"/>
        <w:rPr>
          <w:b/>
          <w:noProof/>
          <w:szCs w:val="24"/>
        </w:rPr>
      </w:pPr>
      <w:r>
        <w:rPr>
          <w:b/>
          <w:noProof/>
        </w:rPr>
        <w:t>3.3.</w:t>
      </w:r>
      <w:r>
        <w:rPr>
          <w:noProof/>
        </w:rPr>
        <w:tab/>
      </w:r>
      <w:r>
        <w:rPr>
          <w:b/>
          <w:noProof/>
        </w:rPr>
        <w:t>Очаквано отражение върху приходите</w:t>
      </w:r>
      <w:r>
        <w:rPr>
          <w:noProof/>
          <w:sz w:val="16"/>
        </w:rPr>
        <w:t xml:space="preserve"> </w:t>
      </w:r>
    </w:p>
    <w:p>
      <w:pPr>
        <w:tabs>
          <w:tab w:val="num" w:pos="1134"/>
        </w:tabs>
        <w:ind w:left="1134" w:hanging="283"/>
        <w:rPr>
          <w:noProof/>
        </w:rPr>
      </w:pPr>
      <w:r>
        <w:rPr>
          <w:noProof/>
        </w:rPr>
        <w:sym w:font="Wingdings" w:char="F0A8"/>
      </w:r>
      <w:r>
        <w:rPr>
          <w:noProof/>
        </w:rPr>
        <w:tab/>
        <w:t>Предложението/инициативата няма финансово отражение върху приходите.</w:t>
      </w:r>
    </w:p>
    <w:p>
      <w:pPr>
        <w:tabs>
          <w:tab w:val="num" w:pos="1134"/>
        </w:tabs>
        <w:ind w:left="1134" w:hanging="283"/>
        <w:rPr>
          <w:noProof/>
        </w:rPr>
      </w:pPr>
      <w:r>
        <w:rPr>
          <w:noProof/>
        </w:rPr>
        <w:t>X</w:t>
      </w:r>
      <w:r>
        <w:rPr>
          <w:noProof/>
        </w:rPr>
        <w:tab/>
        <w:t>Предложението/инициативата има следното финансово отражение:</w:t>
      </w:r>
    </w:p>
    <w:p>
      <w:pPr>
        <w:numPr>
          <w:ilvl w:val="2"/>
          <w:numId w:val="0"/>
        </w:numPr>
        <w:tabs>
          <w:tab w:val="num" w:pos="2126"/>
        </w:tabs>
        <w:ind w:left="2126" w:hanging="709"/>
        <w:rPr>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noProof/>
        </w:rPr>
      </w:pPr>
      <w:r>
        <w:rPr>
          <w:noProof/>
        </w:rPr>
        <w:t>X</w:t>
      </w:r>
      <w:r>
        <w:rPr>
          <w:noProof/>
        </w:rPr>
        <w:tab/>
        <w:t>върху разните приходи</w:t>
      </w:r>
    </w:p>
    <w:p>
      <w:pPr>
        <w:rPr>
          <w:noProof/>
        </w:rPr>
      </w:pPr>
      <w:r>
        <w:rPr>
          <w:noProof/>
        </w:rPr>
        <w:t xml:space="preserve">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Позиция 6013</w:t>
            </w:r>
          </w:p>
        </w:tc>
        <w:tc>
          <w:tcPr>
            <w:tcW w:w="108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r>
    </w:tbl>
    <w:p>
      <w:pPr>
        <w:ind w:left="850"/>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tabs>
          <w:tab w:val="left" w:pos="2016"/>
        </w:tabs>
        <w:rPr>
          <w:noProof/>
          <w:sz w:val="22"/>
        </w:rPr>
      </w:pPr>
      <w:r>
        <w:rPr>
          <w:noProof/>
          <w:sz w:val="22"/>
        </w:rPr>
        <w:t>01.02XX Бюджетни кредити, начислени от вноски от трети страни</w:t>
      </w:r>
    </w:p>
    <w:p>
      <w:pPr>
        <w:ind w:left="850"/>
        <w:rPr>
          <w:noProof/>
          <w:sz w:val="20"/>
        </w:rPr>
      </w:pPr>
    </w:p>
    <w:p>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noProof/>
          <w:sz w:val="22"/>
        </w:rPr>
      </w:pPr>
      <w:r>
        <w:rPr>
          <w:noProof/>
          <w:sz w:val="22"/>
        </w:rPr>
        <w:t>Трети държави могат да имат принос към програмата чрез споразумения за асоцииране. Условията, определящи равнището на финансовия принос, се определят в споразумения за асоцииране с всяка държава и трябва да осигуряват автоматична корекция на всеки значителен дисбаланс спрямо сумата, която субектите, установени в асоциираната държава, получават чрез участието си в програмата, като се вземат предвид разходите за управление на програмата.</w:t>
      </w:r>
    </w:p>
    <w:p>
      <w:pPr>
        <w:rPr>
          <w:rFonts w:eastAsia="Calibri"/>
          <w:noProof/>
          <w:sz w:val="16"/>
          <w:szCs w:val="16"/>
        </w:rPr>
      </w:pPr>
    </w:p>
    <w:sectPr>
      <w:pgSz w:w="12240" w:h="15840"/>
      <w:pgMar w:top="1440" w:right="1440" w:bottom="1440" w:left="1440"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294/2008 на Европейския парламент и на Съвета от 11 март 2008 г. за създаване на Европейски институт за иновации и технологии (ОВ L 97, 9.4.2008 г., стр. 1). Изменен с Регламент (ЕС) № 1292/2013 на Европейския парламент и на Съвета от 11 декември 2013 г. (ОВ L 347, 11.12.2013 г., стр. 174).</w:t>
      </w:r>
    </w:p>
  </w:footnote>
  <w:footnote w:id="2">
    <w:p>
      <w:pPr>
        <w:pStyle w:val="FootnoteText"/>
      </w:pPr>
      <w:r>
        <w:rPr>
          <w:rStyle w:val="FootnoteReference"/>
        </w:rPr>
        <w:footnoteRef/>
      </w:r>
      <w:r>
        <w:tab/>
        <w:t>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COM (2018) 435 final.</w:t>
      </w:r>
    </w:p>
  </w:footnote>
  <w:footnote w:id="3">
    <w:p>
      <w:pPr>
        <w:pStyle w:val="FootnoteText"/>
      </w:pPr>
      <w:r>
        <w:rPr>
          <w:rStyle w:val="FootnoteReference"/>
        </w:rPr>
        <w:footnoteRef/>
      </w:r>
      <w:r>
        <w:tab/>
        <w:t>Настоящата СИП обхваща периода 2014—2020 г.</w:t>
      </w:r>
    </w:p>
  </w:footnote>
  <w:footnote w:id="4">
    <w:p>
      <w:pPr>
        <w:pStyle w:val="FootnoteText"/>
        <w:rPr>
          <w:sz w:val="16"/>
          <w:szCs w:val="16"/>
        </w:rPr>
      </w:pPr>
      <w:r>
        <w:rPr>
          <w:rStyle w:val="FootnoteReference"/>
        </w:rPr>
        <w:footnoteRef/>
      </w:r>
      <w:r>
        <w:tab/>
      </w:r>
      <w:r>
        <w:rPr>
          <w:sz w:val="16"/>
        </w:rPr>
        <w:t xml:space="preserve">ICF (2017), Оценка, стр. 36. </w:t>
      </w:r>
    </w:p>
  </w:footnote>
  <w:footnote w:id="5">
    <w:p>
      <w:pPr>
        <w:pStyle w:val="FootnoteText"/>
      </w:pPr>
      <w:r>
        <w:rPr>
          <w:rStyle w:val="FootnoteReference"/>
        </w:rPr>
        <w:footnoteRef/>
      </w:r>
      <w:r>
        <w:tab/>
        <w:t>OВ L 97, 9.4.2008 г., стp. 1.</w:t>
      </w:r>
    </w:p>
  </w:footnote>
  <w:footnote w:id="6">
    <w:p>
      <w:pPr>
        <w:pStyle w:val="FootnoteText"/>
      </w:pPr>
      <w:r>
        <w:rPr>
          <w:rStyle w:val="FootnoteReference"/>
        </w:rPr>
        <w:footnoteRef/>
      </w:r>
      <w:r>
        <w:tab/>
        <w:t>Позоваване на приетия преработен Регламент за EIT. </w:t>
      </w:r>
    </w:p>
  </w:footnote>
  <w:footnote w:id="7">
    <w:p>
      <w:pPr>
        <w:pStyle w:val="FootnoteText"/>
        <w:rPr>
          <w:szCs w:val="24"/>
        </w:rPr>
      </w:pPr>
      <w:r>
        <w:rPr>
          <w:rStyle w:val="FootnoteReference"/>
        </w:rPr>
        <w:footnoteRef/>
      </w:r>
      <w:r>
        <w:tab/>
        <w:t>Съгласно член 58, параграф 2, буква а) или б) от Финансовия регламент.</w:t>
      </w:r>
    </w:p>
  </w:footnote>
  <w:footnote w:id="8">
    <w:p>
      <w:pPr>
        <w:pStyle w:val="FootnoteText"/>
      </w:pPr>
      <w:r>
        <w:rPr>
          <w:rStyle w:val="FootnoteReference"/>
        </w:rPr>
        <w:footnoteRef/>
      </w:r>
      <w:r>
        <w:tab/>
        <w:t xml:space="preserve">COM (2018) 435 final. </w:t>
      </w:r>
    </w:p>
  </w:footnote>
  <w:footnote w:id="9">
    <w:p>
      <w:pPr>
        <w:pStyle w:val="FootnoteText"/>
      </w:pPr>
      <w:r>
        <w:rPr>
          <w:rStyle w:val="FootnoteReference"/>
        </w:rPr>
        <w:footnoteRef/>
      </w:r>
      <w:r>
        <w:tab/>
        <w:t>Член 9, параграф 2, буква в), точка 2).</w:t>
      </w:r>
    </w:p>
  </w:footnote>
  <w:footnote w:id="10">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https://myintracomm.ec.europa.eu/budgweb/EN/man/budgmanag/Pages/budgmanag.aspx</w:t>
        </w:r>
      </w:hyperlink>
      <w:r>
        <w:t xml:space="preserve"> </w:t>
      </w:r>
    </w:p>
  </w:footnote>
  <w:footnote w:id="11">
    <w:p>
      <w:pPr>
        <w:pStyle w:val="FootnoteText"/>
        <w:rPr>
          <w:lang w:val="pt-PT"/>
        </w:rPr>
      </w:pPr>
      <w:r>
        <w:rPr>
          <w:rStyle w:val="FootnoteReference"/>
        </w:rPr>
        <w:footnoteRef/>
      </w:r>
      <w:r>
        <w:rPr>
          <w:lang w:val="pt-PT"/>
        </w:rPr>
        <w:tab/>
        <w:t xml:space="preserve">COM(2018) 323 final </w:t>
      </w:r>
      <w:r>
        <w:t>от</w:t>
      </w:r>
      <w:r>
        <w:rPr>
          <w:lang w:val="pt-PT"/>
        </w:rPr>
        <w:t xml:space="preserve"> 2.5.2018 </w:t>
      </w:r>
      <w:r>
        <w:t>г</w:t>
      </w:r>
      <w:r>
        <w:rPr>
          <w:lang w:val="pt-PT"/>
        </w:rPr>
        <w:t>.</w:t>
      </w:r>
    </w:p>
  </w:footnote>
  <w:footnote w:id="12">
    <w:p>
      <w:pPr>
        <w:pStyle w:val="FootnoteText"/>
        <w:rPr>
          <w:szCs w:val="24"/>
        </w:rPr>
      </w:pPr>
      <w:r>
        <w:rPr>
          <w:rStyle w:val="FootnoteReference"/>
        </w:rPr>
        <w:footnoteRef/>
      </w:r>
      <w:r>
        <w:rPr>
          <w:lang w:val="pt-PT"/>
        </w:rPr>
        <w:tab/>
      </w:r>
      <w:r>
        <w:t>Многогод</w:t>
      </w:r>
      <w:r>
        <w:rPr>
          <w:lang w:val="pt-PT"/>
        </w:rPr>
        <w:t xml:space="preserve">. </w:t>
      </w:r>
      <w:r>
        <w:t>= многогодишни бюджетни кредити / Едногод. = едногодишни бюджетни кредити.</w:t>
      </w:r>
    </w:p>
  </w:footnote>
  <w:footnote w:id="13">
    <w:p>
      <w:pPr>
        <w:pStyle w:val="FootnoteText"/>
        <w:rPr>
          <w:szCs w:val="24"/>
        </w:rPr>
      </w:pPr>
      <w:r>
        <w:rPr>
          <w:rStyle w:val="FootnoteReference"/>
        </w:rPr>
        <w:footnoteRef/>
      </w:r>
      <w:r>
        <w:tab/>
        <w:t xml:space="preserve">ЕАСТ: Европейска асоциация за свободна търговия. </w:t>
      </w:r>
    </w:p>
  </w:footnote>
  <w:footnote w:id="14">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5">
    <w:p>
      <w:pPr>
        <w:pStyle w:val="CommentText"/>
        <w:ind w:left="720" w:hanging="720"/>
        <w:rPr>
          <w:color w:val="1F497D"/>
        </w:rPr>
      </w:pPr>
      <w:r>
        <w:rPr>
          <w:rStyle w:val="FootnoteReference"/>
        </w:rPr>
        <w:footnoteRef/>
      </w:r>
      <w:r>
        <w:tab/>
        <w:t xml:space="preserve">Разходите за персонал на EIT и дял II са изчислени, като се прилага корекционният коефициент за Унгария (71,9), посочен в таблица 16 на стр. 5 от </w:t>
      </w:r>
      <w:hyperlink r:id="rId2">
        <w:r>
          <w:rPr>
            <w:rStyle w:val="Hyperlink"/>
          </w:rPr>
          <w:t>https://ec.europa.eu/eurostat/documents/6939681/7070380/Annualreport2018.pdf/97053a94-29eb-4e93-8883-e826426e3d55</w:t>
        </w:r>
      </w:hyperlink>
      <w:r>
        <w:rPr>
          <w:color w:val="1F497D"/>
        </w:rPr>
        <w:t> </w:t>
      </w:r>
    </w:p>
    <w:p>
      <w:pPr>
        <w:pStyle w:val="FootnoteText"/>
      </w:pPr>
    </w:p>
  </w:footnote>
  <w:footnote w:id="16">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 Това представлява максимумът от сумата, разпределена за EIT от програмата, който ще бъде предназначен за административни разходи на Комисията.</w:t>
      </w:r>
    </w:p>
  </w:footnote>
  <w:footnote w:id="17">
    <w:p>
      <w:pPr>
        <w:pStyle w:val="FootnoteText"/>
      </w:pPr>
      <w:r>
        <w:rPr>
          <w:rStyle w:val="FootnoteReference"/>
        </w:rPr>
        <w:footnoteRef/>
      </w:r>
      <w:r>
        <w:tab/>
        <w:t>Тези цифри са в съответствие с общата законодателна финансова обосновка на „Хоризонт Европа“, включваща само оправомощените служители в генералните дирекции през 2020 г., но не засягат евентуални специфични нужди от служители, работещи във връзка с EIT през периода 2021—2027 г.</w:t>
      </w:r>
    </w:p>
  </w:footnote>
  <w:footnote w:id="1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0">
    <w:p>
      <w:pPr>
        <w:pStyle w:val="FootnoteText"/>
      </w:pPr>
      <w:r>
        <w:rPr>
          <w:rStyle w:val="FootnoteReference"/>
        </w:rPr>
        <w:footnoteRef/>
      </w:r>
      <w:r>
        <w:tab/>
        <w:t>Двустранните споразумения за асоцииране все още не са уточнени. Финансовият принос от асоциираните държави ще бъде в допълнение към сумите, представени в настоящата законодателна финансова обосновка.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7227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E433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9AC1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DC6A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60E9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2EF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A01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C027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7-10 13:13: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47"/>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490ACCA-F38D-49C0-8DF2-EC64B73108B6"/>
    <w:docVar w:name="LW_COVERPAGE_TYPE" w:val="1"/>
    <w:docVar w:name="LW_CROSSREFERENCE" w:val="{SEC(2019) 275 final} - {SWD(2019) 330 final} - {SWD(2019) 331 final}"/>
    <w:docVar w:name="LW_DocType" w:val="COM"/>
    <w:docVar w:name="LW_EMISSION" w:val="11.7.2019"/>
    <w:docVar w:name="LW_EMISSION_ISODATE" w:val="2019-07-11"/>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52"/>
    <w:docVar w:name="LW_REF.II.NEW.CP_YEAR" w:val="2019"/>
    <w:docVar w:name="LW_REF.INST.NEW" w:val="COM"/>
    <w:docVar w:name="LW_REF.INST.NEW_ADOPTED" w:val="final"/>
    <w:docVar w:name="LW_REF.INST.NEW_TEXT" w:val="(2019)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90?\u1088?\u1072?\u1090?\u1077?\u1075?\u1080?\u1095?\u1077?\u1089?\u1082?\u1072?\u1090?\u1072? \u1080?\u1085?\u1086?\u1074?\u1072?\u1094?\u1080?\u1086?\u1085?\u1085?\u1072? \u1087?\u1088?\u1086?\u1075?\u1088?\u1072?\u1084?\u1072? \u1085?\u1072? \u1045?\u1074?\u1088?\u1086?\u1087?\u1077?\u1081?\u1089?\u1082?\u1080?\u1103? \u1080?\u1085?\u1089?\u1090?\u1080?\u1090?\u1091?\u1090? _x000b_\u1079?\u1072? \u1080?\u1085?\u1086?\u1074?\u1072?\u1094?\u1080?\u1080? \u1080? \u1090?\u1077?\u1093?\u1085?\u1086?\u1083?\u1086?\u1075?\u1080?\u1080? (EIT) \u1079?\u1072? \u1087?\u1077?\u1088?\u1080?\u1086?\u1076?\u1072? 2021\u8212?2027 \u1075?.: _x000b_\u1089?\u1090?\u1080?\u1084?\u1091?\u1083?\u1080?\u1088?\u1072?\u1085?\u1077? \u1085?\u1072? \u1090?\u1072?\u1083?\u1072?\u1085?\u1090?\u1072? \u1080? \u1082?\u1072?\u1087?\u1072?\u1094?\u1080?\u1090?\u1077?\u1090?\u1072? \u1085?\u1072? \u1045?\u1074?\u1088?\u1086?\u1087?\u1072? \u1079?\u1072? \u1080?\u1085?\u1086?\u1074?\u1072?\u1094?\u1080?\u1080?"/>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5Char">
    <w:name w:val="Heading 5 Char"/>
    <w:basedOn w:val="DefaultParagraphFont"/>
    <w:link w:val="Heading5"/>
    <w:uiPriority w:val="99"/>
    <w:rPr>
      <w:rFonts w:ascii="Arial" w:hAnsi="Arial" w:cs="Arial"/>
      <w:lang w:val="bg-BG" w:eastAsia="bg-BG"/>
    </w:rPr>
  </w:style>
  <w:style w:type="character" w:customStyle="1" w:styleId="Heading6Char">
    <w:name w:val="Heading 6 Char"/>
    <w:basedOn w:val="DefaultParagraphFont"/>
    <w:link w:val="Heading6"/>
    <w:uiPriority w:val="99"/>
    <w:rPr>
      <w:rFonts w:ascii="Arial" w:hAnsi="Arial" w:cs="Arial"/>
      <w:i/>
      <w:iCs/>
      <w:lang w:val="bg-BG" w:eastAsia="bg-BG"/>
    </w:rPr>
  </w:style>
  <w:style w:type="character" w:customStyle="1" w:styleId="Heading7Char">
    <w:name w:val="Heading 7 Char"/>
    <w:basedOn w:val="DefaultParagraphFont"/>
    <w:link w:val="Heading7"/>
    <w:uiPriority w:val="99"/>
    <w:rPr>
      <w:rFonts w:ascii="Arial" w:hAnsi="Arial" w:cs="Arial"/>
      <w:sz w:val="20"/>
      <w:szCs w:val="20"/>
      <w:lang w:val="bg-BG" w:eastAsia="bg-BG"/>
    </w:rPr>
  </w:style>
  <w:style w:type="character" w:customStyle="1" w:styleId="Heading8Char">
    <w:name w:val="Heading 8 Char"/>
    <w:basedOn w:val="DefaultParagraphFont"/>
    <w:link w:val="Heading8"/>
    <w:uiPriority w:val="9"/>
    <w:rPr>
      <w:rFonts w:ascii="Arial" w:hAnsi="Arial" w:cs="Arial"/>
      <w:i/>
      <w:iCs/>
      <w:sz w:val="20"/>
      <w:szCs w:val="20"/>
      <w:lang w:val="bg-BG" w:eastAsia="bg-BG"/>
    </w:rPr>
  </w:style>
  <w:style w:type="character" w:customStyle="1" w:styleId="Heading9Char">
    <w:name w:val="Heading 9 Char"/>
    <w:basedOn w:val="DefaultParagraphFont"/>
    <w:link w:val="Heading9"/>
    <w:uiPriority w:val="99"/>
    <w:rPr>
      <w:rFonts w:ascii="Arial" w:hAnsi="Arial" w:cs="Arial"/>
      <w:i/>
      <w:iCs/>
      <w:sz w:val="18"/>
      <w:szCs w:val="18"/>
      <w:lang w:val="bg-BG" w:eastAsia="bg-BG"/>
    </w:rPr>
  </w:style>
  <w:style w:type="paragraph" w:customStyle="1" w:styleId="Sous-titreobjet">
    <w:name w:val="Sous-titre objet"/>
    <w:basedOn w:val="Titreobjet"/>
    <w:uiPriority w:val="99"/>
    <w:pPr>
      <w:autoSpaceDE w:val="0"/>
      <w:autoSpaceDN w:val="0"/>
      <w:spacing w:before="0" w:after="0"/>
    </w:pPr>
    <w:rPr>
      <w:bCs/>
      <w:szCs w:val="24"/>
    </w:rPr>
  </w:style>
  <w:style w:type="paragraph" w:customStyle="1" w:styleId="FichedimpactPMEtitre">
    <w:name w:val="Fiche d'impact PME titre"/>
    <w:basedOn w:val="Normal"/>
    <w:next w:val="Normal"/>
    <w:uiPriority w:val="99"/>
    <w:pPr>
      <w:autoSpaceDE w:val="0"/>
      <w:autoSpaceDN w:val="0"/>
      <w:jc w:val="center"/>
    </w:pPr>
    <w:rPr>
      <w:b/>
      <w:bCs/>
      <w:szCs w:val="24"/>
    </w:rPr>
  </w:style>
  <w:style w:type="paragraph" w:customStyle="1" w:styleId="Fichefinanciretextetable">
    <w:name w:val="Fiche financière texte (table)"/>
    <w:basedOn w:val="Normal"/>
    <w:uiPriority w:val="99"/>
    <w:pPr>
      <w:autoSpaceDE w:val="0"/>
      <w:autoSpaceDN w:val="0"/>
      <w:spacing w:before="0" w:after="0"/>
      <w:jc w:val="left"/>
    </w:pPr>
    <w:rPr>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rPr>
  </w:style>
  <w:style w:type="paragraph" w:customStyle="1" w:styleId="Fichefinanciretitretable">
    <w:name w:val="Fiche financière titre (table)"/>
    <w:basedOn w:val="Normal"/>
    <w:uiPriority w:val="99"/>
    <w:pPr>
      <w:autoSpaceDE w:val="0"/>
      <w:autoSpaceDN w:val="0"/>
      <w:jc w:val="center"/>
    </w:pPr>
    <w:rPr>
      <w:b/>
      <w:bCs/>
      <w:sz w:val="40"/>
      <w:szCs w:val="40"/>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rPr>
  </w:style>
  <w:style w:type="paragraph" w:customStyle="1" w:styleId="Referencedumodificateur">
    <w:name w:val="Reference du modificateur"/>
    <w:basedOn w:val="Normal"/>
    <w:next w:val="Normal"/>
    <w:uiPriority w:val="99"/>
    <w:pPr>
      <w:autoSpaceDE w:val="0"/>
      <w:autoSpaceDN w:val="0"/>
      <w:spacing w:before="0"/>
      <w:jc w:val="left"/>
    </w:pPr>
    <w:rPr>
      <w:szCs w:val="24"/>
    </w:rPr>
  </w:style>
  <w:style w:type="character" w:customStyle="1" w:styleId="CRDeleted">
    <w:name w:val="CR Deleted"/>
    <w:rPr>
      <w:dstrike/>
      <w:lang w:val="bg-BG" w:eastAsia="bg-BG"/>
    </w:rPr>
  </w:style>
  <w:style w:type="character" w:customStyle="1" w:styleId="CRRefonteDeleted">
    <w:name w:val="CR Refonte Deleted"/>
    <w:rPr>
      <w:dstrike/>
      <w:lang w:val="bg-BG" w:eastAsia="bg-BG"/>
    </w:rPr>
  </w:style>
  <w:style w:type="character" w:customStyle="1" w:styleId="CRMinorChangeDeleted">
    <w:name w:val="CR Minor Change Deleted"/>
    <w:rPr>
      <w:dstrike/>
      <w:u w:val="double"/>
      <w:lang w:val="bg-BG" w:eastAsia="bg-BG"/>
    </w:rPr>
  </w:style>
  <w:style w:type="character" w:customStyle="1" w:styleId="CRMinorChangeAdded">
    <w:name w:val="CR Minor Change Added"/>
    <w:rPr>
      <w:u w:val="double"/>
      <w:lang w:val="bg-BG" w:eastAsia="bg-BG"/>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Revision">
    <w:name w:val="Revision"/>
    <w:hidden/>
    <w:uiPriority w:val="99"/>
    <w:semiHidden/>
    <w:rPr>
      <w:rFonts w:ascii="Times New Roman" w:hAnsi="Times New Roman"/>
      <w:sz w:val="24"/>
      <w:szCs w:val="24"/>
    </w:rPr>
  </w:style>
  <w:style w:type="numbering" w:customStyle="1" w:styleId="NoList1">
    <w:name w:val="No List1"/>
    <w:next w:val="NoList"/>
    <w:uiPriority w:val="99"/>
    <w:semiHidden/>
    <w:unhideWhenUsed/>
  </w:style>
  <w:style w:type="paragraph" w:customStyle="1" w:styleId="ListDash1">
    <w:name w:val="List Dash 1"/>
    <w:basedOn w:val="Normal"/>
    <w:pPr>
      <w:numPr>
        <w:numId w:val="10"/>
      </w:numPr>
      <w:tabs>
        <w:tab w:val="clear" w:pos="1134"/>
        <w:tab w:val="num" w:pos="1417"/>
      </w:tabs>
      <w:ind w:left="1417" w:hanging="567"/>
    </w:pPr>
  </w:style>
  <w:style w:type="paragraph" w:customStyle="1" w:styleId="ListDash2">
    <w:name w:val="List Dash 2"/>
    <w:basedOn w:val="Normal"/>
    <w:pPr>
      <w:numPr>
        <w:numId w:val="11"/>
      </w:numPr>
      <w:tabs>
        <w:tab w:val="clear" w:pos="1134"/>
        <w:tab w:val="num" w:pos="1984"/>
      </w:tabs>
      <w:ind w:left="1984" w:hanging="567"/>
    </w:pPr>
  </w:style>
  <w:style w:type="paragraph" w:customStyle="1" w:styleId="ListNumberLevel2">
    <w:name w:val="List Number (Level 2)"/>
    <w:basedOn w:val="Normal"/>
    <w:pPr>
      <w:tabs>
        <w:tab w:val="num" w:pos="1417"/>
      </w:tabs>
      <w:ind w:left="1417" w:hanging="708"/>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hAnsi="Times New Roman" w:cs="Times New Roman"/>
      <w:sz w:val="24"/>
      <w:lang w:val="bg-BG"/>
    </w:rPr>
  </w:style>
  <w:style w:type="character" w:customStyle="1" w:styleId="FooterSensitivityChar">
    <w:name w:val="Footer Sensitivity Char"/>
    <w:rPr>
      <w:rFonts w:ascii="Times New Roman" w:eastAsia="Calibri" w:hAnsi="Times New Roman"/>
      <w:b/>
      <w:sz w:val="32"/>
      <w:szCs w:val="2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hAnsi="Times New Roman" w:cs="Times New Roman"/>
      <w:sz w:val="24"/>
      <w:lang w:val="bg-BG"/>
    </w:rPr>
  </w:style>
  <w:style w:type="character" w:customStyle="1" w:styleId="HeaderSensitivityChar">
    <w:name w:val="Header Sensitivity Char"/>
    <w:rPr>
      <w:rFonts w:ascii="Times New Roman" w:eastAsia="Calibri" w:hAnsi="Times New Roman"/>
      <w:b/>
      <w:sz w:val="32"/>
      <w:szCs w:val="22"/>
      <w:lang w:eastAsia="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5Char">
    <w:name w:val="Heading 5 Char"/>
    <w:basedOn w:val="DefaultParagraphFont"/>
    <w:link w:val="Heading5"/>
    <w:uiPriority w:val="99"/>
    <w:rPr>
      <w:rFonts w:ascii="Arial" w:hAnsi="Arial" w:cs="Arial"/>
      <w:lang w:val="bg-BG" w:eastAsia="bg-BG"/>
    </w:rPr>
  </w:style>
  <w:style w:type="character" w:customStyle="1" w:styleId="Heading6Char">
    <w:name w:val="Heading 6 Char"/>
    <w:basedOn w:val="DefaultParagraphFont"/>
    <w:link w:val="Heading6"/>
    <w:uiPriority w:val="99"/>
    <w:rPr>
      <w:rFonts w:ascii="Arial" w:hAnsi="Arial" w:cs="Arial"/>
      <w:i/>
      <w:iCs/>
      <w:lang w:val="bg-BG" w:eastAsia="bg-BG"/>
    </w:rPr>
  </w:style>
  <w:style w:type="character" w:customStyle="1" w:styleId="Heading7Char">
    <w:name w:val="Heading 7 Char"/>
    <w:basedOn w:val="DefaultParagraphFont"/>
    <w:link w:val="Heading7"/>
    <w:uiPriority w:val="99"/>
    <w:rPr>
      <w:rFonts w:ascii="Arial" w:hAnsi="Arial" w:cs="Arial"/>
      <w:sz w:val="20"/>
      <w:szCs w:val="20"/>
      <w:lang w:val="bg-BG" w:eastAsia="bg-BG"/>
    </w:rPr>
  </w:style>
  <w:style w:type="character" w:customStyle="1" w:styleId="Heading8Char">
    <w:name w:val="Heading 8 Char"/>
    <w:basedOn w:val="DefaultParagraphFont"/>
    <w:link w:val="Heading8"/>
    <w:uiPriority w:val="9"/>
    <w:rPr>
      <w:rFonts w:ascii="Arial" w:hAnsi="Arial" w:cs="Arial"/>
      <w:i/>
      <w:iCs/>
      <w:sz w:val="20"/>
      <w:szCs w:val="20"/>
      <w:lang w:val="bg-BG" w:eastAsia="bg-BG"/>
    </w:rPr>
  </w:style>
  <w:style w:type="character" w:customStyle="1" w:styleId="Heading9Char">
    <w:name w:val="Heading 9 Char"/>
    <w:basedOn w:val="DefaultParagraphFont"/>
    <w:link w:val="Heading9"/>
    <w:uiPriority w:val="99"/>
    <w:rPr>
      <w:rFonts w:ascii="Arial" w:hAnsi="Arial" w:cs="Arial"/>
      <w:i/>
      <w:iCs/>
      <w:sz w:val="18"/>
      <w:szCs w:val="18"/>
      <w:lang w:val="bg-BG" w:eastAsia="bg-BG"/>
    </w:rPr>
  </w:style>
  <w:style w:type="paragraph" w:customStyle="1" w:styleId="Sous-titreobjet">
    <w:name w:val="Sous-titre objet"/>
    <w:basedOn w:val="Titreobjet"/>
    <w:uiPriority w:val="99"/>
    <w:pPr>
      <w:autoSpaceDE w:val="0"/>
      <w:autoSpaceDN w:val="0"/>
      <w:spacing w:before="0" w:after="0"/>
    </w:pPr>
    <w:rPr>
      <w:bCs/>
      <w:szCs w:val="24"/>
    </w:rPr>
  </w:style>
  <w:style w:type="paragraph" w:customStyle="1" w:styleId="FichedimpactPMEtitre">
    <w:name w:val="Fiche d'impact PME titre"/>
    <w:basedOn w:val="Normal"/>
    <w:next w:val="Normal"/>
    <w:uiPriority w:val="99"/>
    <w:pPr>
      <w:autoSpaceDE w:val="0"/>
      <w:autoSpaceDN w:val="0"/>
      <w:jc w:val="center"/>
    </w:pPr>
    <w:rPr>
      <w:b/>
      <w:bCs/>
      <w:szCs w:val="24"/>
    </w:rPr>
  </w:style>
  <w:style w:type="paragraph" w:customStyle="1" w:styleId="Fichefinanciretextetable">
    <w:name w:val="Fiche financière texte (table)"/>
    <w:basedOn w:val="Normal"/>
    <w:uiPriority w:val="99"/>
    <w:pPr>
      <w:autoSpaceDE w:val="0"/>
      <w:autoSpaceDN w:val="0"/>
      <w:spacing w:before="0" w:after="0"/>
      <w:jc w:val="left"/>
    </w:pPr>
    <w:rPr>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rPr>
  </w:style>
  <w:style w:type="paragraph" w:customStyle="1" w:styleId="Fichefinanciretitretable">
    <w:name w:val="Fiche financière titre (table)"/>
    <w:basedOn w:val="Normal"/>
    <w:uiPriority w:val="99"/>
    <w:pPr>
      <w:autoSpaceDE w:val="0"/>
      <w:autoSpaceDN w:val="0"/>
      <w:jc w:val="center"/>
    </w:pPr>
    <w:rPr>
      <w:b/>
      <w:bCs/>
      <w:sz w:val="40"/>
      <w:szCs w:val="40"/>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rPr>
  </w:style>
  <w:style w:type="paragraph" w:customStyle="1" w:styleId="Referencedumodificateur">
    <w:name w:val="Reference du modificateur"/>
    <w:basedOn w:val="Normal"/>
    <w:next w:val="Normal"/>
    <w:uiPriority w:val="99"/>
    <w:pPr>
      <w:autoSpaceDE w:val="0"/>
      <w:autoSpaceDN w:val="0"/>
      <w:spacing w:before="0"/>
      <w:jc w:val="left"/>
    </w:pPr>
    <w:rPr>
      <w:szCs w:val="24"/>
    </w:rPr>
  </w:style>
  <w:style w:type="character" w:customStyle="1" w:styleId="CRDeleted">
    <w:name w:val="CR Deleted"/>
    <w:rPr>
      <w:dstrike/>
      <w:lang w:val="bg-BG" w:eastAsia="bg-BG"/>
    </w:rPr>
  </w:style>
  <w:style w:type="character" w:customStyle="1" w:styleId="CRRefonteDeleted">
    <w:name w:val="CR Refonte Deleted"/>
    <w:rPr>
      <w:dstrike/>
      <w:lang w:val="bg-BG" w:eastAsia="bg-BG"/>
    </w:rPr>
  </w:style>
  <w:style w:type="character" w:customStyle="1" w:styleId="CRMinorChangeDeleted">
    <w:name w:val="CR Minor Change Deleted"/>
    <w:rPr>
      <w:dstrike/>
      <w:u w:val="double"/>
      <w:lang w:val="bg-BG" w:eastAsia="bg-BG"/>
    </w:rPr>
  </w:style>
  <w:style w:type="character" w:customStyle="1" w:styleId="CRMinorChangeAdded">
    <w:name w:val="CR Minor Change Added"/>
    <w:rPr>
      <w:u w:val="double"/>
      <w:lang w:val="bg-BG" w:eastAsia="bg-BG"/>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Revision">
    <w:name w:val="Revision"/>
    <w:hidden/>
    <w:uiPriority w:val="99"/>
    <w:semiHidden/>
    <w:rPr>
      <w:rFonts w:ascii="Times New Roman" w:hAnsi="Times New Roman"/>
      <w:sz w:val="24"/>
      <w:szCs w:val="24"/>
    </w:rPr>
  </w:style>
  <w:style w:type="numbering" w:customStyle="1" w:styleId="NoList1">
    <w:name w:val="No List1"/>
    <w:next w:val="NoList"/>
    <w:uiPriority w:val="99"/>
    <w:semiHidden/>
    <w:unhideWhenUsed/>
  </w:style>
  <w:style w:type="paragraph" w:customStyle="1" w:styleId="ListDash1">
    <w:name w:val="List Dash 1"/>
    <w:basedOn w:val="Normal"/>
    <w:pPr>
      <w:numPr>
        <w:numId w:val="10"/>
      </w:numPr>
      <w:tabs>
        <w:tab w:val="clear" w:pos="1134"/>
        <w:tab w:val="num" w:pos="1417"/>
      </w:tabs>
      <w:ind w:left="1417" w:hanging="567"/>
    </w:pPr>
  </w:style>
  <w:style w:type="paragraph" w:customStyle="1" w:styleId="ListDash2">
    <w:name w:val="List Dash 2"/>
    <w:basedOn w:val="Normal"/>
    <w:pPr>
      <w:numPr>
        <w:numId w:val="11"/>
      </w:numPr>
      <w:tabs>
        <w:tab w:val="clear" w:pos="1134"/>
        <w:tab w:val="num" w:pos="1984"/>
      </w:tabs>
      <w:ind w:left="1984" w:hanging="567"/>
    </w:pPr>
  </w:style>
  <w:style w:type="paragraph" w:customStyle="1" w:styleId="ListNumberLevel2">
    <w:name w:val="List Number (Level 2)"/>
    <w:basedOn w:val="Normal"/>
    <w:pPr>
      <w:tabs>
        <w:tab w:val="num" w:pos="1417"/>
      </w:tabs>
      <w:ind w:left="1417" w:hanging="708"/>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hAnsi="Times New Roman" w:cs="Times New Roman"/>
      <w:sz w:val="24"/>
      <w:lang w:val="bg-BG"/>
    </w:rPr>
  </w:style>
  <w:style w:type="character" w:customStyle="1" w:styleId="FooterSensitivityChar">
    <w:name w:val="Footer Sensitivity Char"/>
    <w:rPr>
      <w:rFonts w:ascii="Times New Roman" w:eastAsia="Calibri" w:hAnsi="Times New Roman"/>
      <w:b/>
      <w:sz w:val="32"/>
      <w:szCs w:val="2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hAnsi="Times New Roman" w:cs="Times New Roman"/>
      <w:sz w:val="24"/>
      <w:lang w:val="bg-BG"/>
    </w:rPr>
  </w:style>
  <w:style w:type="character" w:customStyle="1" w:styleId="HeaderSensitivityChar">
    <w:name w:val="Header Sensitivity Char"/>
    <w:rPr>
      <w:rFonts w:ascii="Times New Roman" w:eastAsia="Calibri" w:hAnsi="Times New Roman"/>
      <w:b/>
      <w:sz w:val="32"/>
      <w:szCs w:val="22"/>
      <w:lang w:eastAsia="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myintracomm.ec.europa.eu/budgweb/EN/bud/mff/Pages/mff-post-2020.aspx"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6939681/7070380/Annualreport2018.pdf/97053a94-29eb-4e93-8883-e826426e3d55" TargetMode="External"/><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9a48bd3-01e5-4b0a-ab1b-5f44f21a8f26">EN</EC_Collab_DocumentLanguage>
    <EC_Collab_Reference xmlns="19a48bd3-01e5-4b0a-ab1b-5f44f21a8f26" xsi:nil="true"/>
    <EC_Collab_Status xmlns="19a48bd3-01e5-4b0a-ab1b-5f44f21a8f2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A1ACB337097EF419828F048E067D9D0" ma:contentTypeVersion="8" ma:contentTypeDescription="Create a new document in this library." ma:contentTypeScope="" ma:versionID="913699de4daf75befea73083541c3fb8">
  <xsd:schema xmlns:xsd="http://www.w3.org/2001/XMLSchema" xmlns:xs="http://www.w3.org/2001/XMLSchema" xmlns:p="http://schemas.microsoft.com/office/2006/metadata/properties" xmlns:ns3="19a48bd3-01e5-4b0a-ab1b-5f44f21a8f26" targetNamespace="http://schemas.microsoft.com/office/2006/metadata/properties" ma:root="true" ma:fieldsID="86ea05015fc907d0770a3dd85998b828" ns3:_="">
    <xsd:import namespace="19a48bd3-01e5-4b0a-ab1b-5f44f21a8f2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8bd3-01e5-4b0a-ab1b-5f44f21a8f2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4929F1-3722-4A03-A4D9-AC202D0DA9C7}">
  <ds:schemaRefs>
    <ds:schemaRef ds:uri="19a48bd3-01e5-4b0a-ab1b-5f44f21a8f2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0E6956C5-40C6-45F2-A8CA-4AEAA3BD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8bd3-01e5-4b0a-ab1b-5f44f21a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79A64-4AE3-4076-B211-52DBDA0DFAAF}">
  <ds:schemaRefs>
    <ds:schemaRef ds:uri="http://schemas.microsoft.com/sharepoint/v3/contenttype/forms"/>
  </ds:schemaRefs>
</ds:datastoreItem>
</file>

<file path=customXml/itemProps4.xml><?xml version="1.0" encoding="utf-8"?>
<ds:datastoreItem xmlns:ds="http://schemas.openxmlformats.org/officeDocument/2006/customXml" ds:itemID="{7B895B7A-FA5C-468A-A965-044828FE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33</Pages>
  <Words>9202</Words>
  <Characters>54296</Characters>
  <Application>Microsoft Office Word</Application>
  <DocSecurity>0</DocSecurity>
  <Lines>1696</Lines>
  <Paragraphs>846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2019-07-08T14:03:00Z</dcterms:created>
  <dcterms:modified xsi:type="dcterms:W3CDTF">2019-07-10T11:13:00Z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ContentTypeId">
    <vt:lpwstr>0x010100258AA79CEB83498886A3A08681123250006A1ACB337097EF419828F048E067D9D0</vt:lpwstr>
  </property>
  <property fmtid="{D5CDD505-2E9C-101B-9397-08002B2CF9AE}" pid="11" name="DQCStatus">
    <vt:lpwstr>Green (DQC version 03)</vt:lpwstr>
  </property>
</Properties>
</file>