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3956FC8-8D22-4649-975B-EA9A62972027" style="width:450.75pt;height:490.5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rPr>
                <w:b/>
                <w:noProof/>
                <w:sz w:val="24"/>
                <w:szCs w:val="24"/>
              </w:rPr>
            </w:pPr>
            <w:bookmarkStart w:id="1" w:name="_GoBack"/>
            <w:bookmarkEnd w:id="1"/>
            <w:r>
              <w:rPr>
                <w:b/>
                <w:noProof/>
                <w:sz w:val="24"/>
                <w:szCs w:val="24"/>
              </w:rPr>
              <w:lastRenderedPageBreak/>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b/>
                <w:noProof/>
                <w:sz w:val="24"/>
                <w:szCs w:val="24"/>
              </w:rPr>
            </w:pPr>
            <w:r>
              <w:rPr>
                <w:noProof/>
                <w:color w:val="FFFFFF" w:themeColor="background1"/>
                <w:sz w:val="24"/>
                <w:szCs w:val="24"/>
              </w:rPr>
              <w:t>Оценка на въздействието на предложението за Регламент на Европейския парламент и на Съвета относно Европейския институт за иновации и технологии (преработен текст) и на предложението за Решение на Европейския парламент и на Съвета относно Стратегическата иновационна програма на Европейския институт за иновации и технологии (EIT) за периода 2021—2027 г. Стимулиране на таланта и капацитета на Европа за иновации</w:t>
            </w:r>
          </w:p>
        </w:tc>
      </w:tr>
    </w:tbl>
    <w:p>
      <w:pPr>
        <w:spacing w:after="0" w:line="240" w:lineRule="auto"/>
        <w:rPr>
          <w:rFonts w:ascii="Times New Roman" w:eastAsia="Times New Roman" w:hAnsi="Times New Roman" w:cs="Times New Roman"/>
          <w:noProof/>
          <w:sz w:val="24"/>
          <w:szCs w:val="24"/>
          <w:lang w:eastAsia="en-GB"/>
        </w:r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4"/>
                <w:szCs w:val="24"/>
              </w:rPr>
            </w:pPr>
            <w:r>
              <w:rPr>
                <w:b/>
                <w:noProof/>
                <w:sz w:val="24"/>
                <w:szCs w:val="24"/>
              </w:rPr>
              <w:t>A. Необходимост от действия</w:t>
            </w:r>
          </w:p>
        </w:tc>
      </w:tr>
      <w:tr>
        <w:tc>
          <w:tcPr>
            <w:tcW w:w="10188" w:type="dxa"/>
            <w:tcBorders>
              <w:bottom w:val="single" w:sz="4" w:space="0" w:color="auto"/>
            </w:tcBorders>
            <w:shd w:val="clear" w:color="auto" w:fill="E0E0E0"/>
          </w:tcPr>
          <w:p>
            <w:pPr>
              <w:spacing w:before="60" w:after="60"/>
              <w:jc w:val="both"/>
              <w:rPr>
                <w:noProof/>
                <w:sz w:val="24"/>
                <w:szCs w:val="24"/>
              </w:rPr>
            </w:pPr>
            <w:r>
              <w:rPr>
                <w:b/>
                <w:noProof/>
                <w:sz w:val="24"/>
                <w:szCs w:val="24"/>
              </w:rPr>
              <w:t xml:space="preserve">Защо? Какъв е разглежданият проблем? </w:t>
            </w:r>
          </w:p>
        </w:tc>
      </w:tr>
      <w:tr>
        <w:tc>
          <w:tcPr>
            <w:tcW w:w="10188" w:type="dxa"/>
            <w:tcBorders>
              <w:bottom w:val="single" w:sz="4" w:space="0" w:color="auto"/>
            </w:tcBorders>
            <w:shd w:val="clear" w:color="auto" w:fill="auto"/>
          </w:tcPr>
          <w:p>
            <w:pPr>
              <w:jc w:val="both"/>
              <w:rPr>
                <w:noProof/>
                <w:sz w:val="24"/>
                <w:szCs w:val="24"/>
              </w:rPr>
            </w:pPr>
            <w:r>
              <w:rPr>
                <w:noProof/>
                <w:sz w:val="24"/>
                <w:szCs w:val="24"/>
              </w:rPr>
              <w:t xml:space="preserve">Европейският институт за иновации и технологии (EIT) има за цел да работи за справяне с големите предизвикателства пред обществото чрез подобряване на резултатите на ЕС в сферата на иновациите посредством интегрирането на триъгълника на знанието — научни изследвания, образование и иновации. </w:t>
            </w:r>
          </w:p>
          <w:p>
            <w:pPr>
              <w:jc w:val="both"/>
              <w:rPr>
                <w:noProof/>
                <w:sz w:val="24"/>
                <w:szCs w:val="24"/>
              </w:rPr>
            </w:pPr>
          </w:p>
          <w:p>
            <w:pPr>
              <w:ind w:left="315" w:hanging="315"/>
              <w:jc w:val="both"/>
              <w:rPr>
                <w:noProof/>
                <w:sz w:val="24"/>
                <w:szCs w:val="24"/>
              </w:rPr>
            </w:pPr>
            <w:r>
              <w:rPr>
                <w:noProof/>
                <w:sz w:val="24"/>
                <w:szCs w:val="24"/>
              </w:rPr>
              <w:t>EIT беше създаден през 2008 г. с Регламент (ЕО) № 294/2008 („Регламентът за EIT“)</w:t>
            </w:r>
            <w:r>
              <w:rPr>
                <w:noProof/>
                <w:sz w:val="24"/>
                <w:szCs w:val="24"/>
                <w:vertAlign w:val="superscript"/>
              </w:rPr>
              <w:footnoteReference w:id="1"/>
            </w:r>
            <w:r>
              <w:rPr>
                <w:noProof/>
                <w:sz w:val="24"/>
                <w:szCs w:val="24"/>
              </w:rPr>
              <w:t>. С Регламента за EIT се определят мисията, целите и бюджета, отпуснат на EIT, поради което той трябва да съответства на приложимата Рамкова програма за научни изследвания и иновации.</w:t>
            </w:r>
          </w:p>
          <w:p>
            <w:pPr>
              <w:jc w:val="both"/>
              <w:rPr>
                <w:noProof/>
                <w:sz w:val="24"/>
                <w:szCs w:val="24"/>
              </w:rPr>
            </w:pPr>
          </w:p>
          <w:p>
            <w:pPr>
              <w:jc w:val="both"/>
              <w:rPr>
                <w:noProof/>
                <w:sz w:val="24"/>
                <w:szCs w:val="24"/>
              </w:rPr>
            </w:pPr>
            <w:r>
              <w:rPr>
                <w:noProof/>
                <w:sz w:val="24"/>
                <w:szCs w:val="24"/>
              </w:rPr>
              <w:t>С предложението на Комисията за създаване на Рамковата програма за научни изследвания и иновации „Хоризонт Европа“ за периода 2021—2027 г. се определят предлаганият бюджет за EIT за следващия период, както и обосновката за функционирането му и неговите добавена стойност, области на интервенция, общи рамки на дейностите и показатели за изпълнение. Според предложението EIT е един от основните компоненти на стълба „Иновативна Европа“.</w:t>
            </w:r>
          </w:p>
          <w:p>
            <w:pPr>
              <w:jc w:val="both"/>
              <w:rPr>
                <w:noProof/>
                <w:sz w:val="24"/>
                <w:szCs w:val="24"/>
              </w:rPr>
            </w:pPr>
          </w:p>
          <w:p>
            <w:pPr>
              <w:jc w:val="both"/>
              <w:rPr>
                <w:noProof/>
                <w:sz w:val="24"/>
                <w:szCs w:val="24"/>
              </w:rPr>
            </w:pPr>
            <w:r>
              <w:rPr>
                <w:noProof/>
                <w:sz w:val="24"/>
                <w:szCs w:val="24"/>
              </w:rPr>
              <w:t>В самото предложение за „Хоризонт Европа“ не се съдържа правно основание за продължаване на операциите на EIT след 2020 г. По тази причина Регламентът за EIT трябва да бъде изменен.</w:t>
            </w:r>
          </w:p>
          <w:p>
            <w:pPr>
              <w:jc w:val="both"/>
              <w:rPr>
                <w:noProof/>
                <w:sz w:val="24"/>
                <w:szCs w:val="24"/>
              </w:rPr>
            </w:pPr>
          </w:p>
          <w:p>
            <w:pPr>
              <w:jc w:val="both"/>
              <w:rPr>
                <w:noProof/>
                <w:sz w:val="24"/>
                <w:szCs w:val="24"/>
              </w:rPr>
            </w:pPr>
            <w:r>
              <w:rPr>
                <w:noProof/>
                <w:sz w:val="24"/>
                <w:szCs w:val="24"/>
              </w:rPr>
              <w:t>Освен това в член 17 от Регламента за EIT се предвижда, че на всеки седем години Комисията представя на Европейския парламент и на Съвета предложение за стратегическа иновационна програма (СИП), в която се определят стратегическите дългосрочни приоритети и финансовите потребности на EIT и която трябва да бъде в съответствие с приложимата рамкова програма за научни изследвания и иновации. Настоящата стратегическа иновационна програма обхваща периода 2014—2020 г.</w:t>
            </w:r>
            <w:r>
              <w:rPr>
                <w:noProof/>
                <w:sz w:val="24"/>
                <w:szCs w:val="24"/>
                <w:vertAlign w:val="superscript"/>
              </w:rPr>
              <w:footnoteReference w:id="2"/>
            </w:r>
            <w:r>
              <w:rPr>
                <w:noProof/>
                <w:sz w:val="24"/>
                <w:szCs w:val="24"/>
              </w:rPr>
              <w:t xml:space="preserve"> Следователно заедно с предложението за изменение на Регламента за EIT е необходимо да се представи и предложение за нова стратегическа иновационна програма за EIT за периода 2021—2027 г.</w:t>
            </w:r>
          </w:p>
          <w:p>
            <w:pPr>
              <w:jc w:val="both"/>
              <w:rPr>
                <w:noProof/>
                <w:sz w:val="24"/>
                <w:szCs w:val="24"/>
              </w:rPr>
            </w:pPr>
          </w:p>
          <w:p>
            <w:pPr>
              <w:jc w:val="both"/>
              <w:rPr>
                <w:noProof/>
                <w:sz w:val="24"/>
                <w:szCs w:val="24"/>
              </w:rPr>
            </w:pPr>
            <w:r>
              <w:rPr>
                <w:noProof/>
                <w:sz w:val="24"/>
                <w:szCs w:val="24"/>
              </w:rPr>
              <w:t xml:space="preserve">Настоящата инициатива има за цел Регламентът за EIT да бъде изменен посредством преработването му и СИП да бъде приведена в съответствие с „Хоризонт Европа“. Инициативата включва новите приоритетни области и финансовите потребности на EIT. С нея се цели също така да се подобри функционирането на EIT, като се вземат предвид извлечените поуки от изминалите години. </w:t>
            </w:r>
          </w:p>
          <w:p>
            <w:pPr>
              <w:jc w:val="both"/>
              <w:rPr>
                <w:noProof/>
                <w:sz w:val="24"/>
                <w:szCs w:val="24"/>
              </w:rPr>
            </w:pPr>
          </w:p>
          <w:p>
            <w:pPr>
              <w:jc w:val="both"/>
              <w:rPr>
                <w:noProof/>
                <w:sz w:val="24"/>
                <w:szCs w:val="24"/>
              </w:rPr>
            </w:pPr>
            <w:r>
              <w:rPr>
                <w:noProof/>
                <w:sz w:val="24"/>
                <w:szCs w:val="24"/>
              </w:rPr>
              <w:t>Инициативата е насочена по-специално към справянето с проблемите в три основни области. На първо място, с нея ще се преодолеят затрудненията, свързани с модела на финансиране от EIT. Второ, тя ще предложи решения за повишаване на въздействието на образователните дейности на EIT, т.е. ще повиши осведомеността за образователния аспект на EIT и ще подпомага предприемаческите и иновативните умения и способности във висшите учебни заведения. И накрая, инициативата ще спомогне за увеличаване на регионалния обхват на EIT чрез по-добро интегриране на ОЗИ в местните екосистеми за иновации. Инициативата ще очертае също и бъдещите приоритетни области за ОЗИ.</w:t>
            </w:r>
          </w:p>
          <w:p>
            <w:pPr>
              <w:jc w:val="both"/>
              <w:rPr>
                <w:noProof/>
                <w:sz w:val="24"/>
                <w:szCs w:val="24"/>
              </w:rPr>
            </w:pPr>
          </w:p>
          <w:p>
            <w:pPr>
              <w:jc w:val="both"/>
              <w:rPr>
                <w:noProof/>
                <w:sz w:val="24"/>
                <w:szCs w:val="24"/>
              </w:rPr>
            </w:pPr>
            <w:r>
              <w:rPr>
                <w:noProof/>
                <w:sz w:val="24"/>
                <w:szCs w:val="24"/>
              </w:rPr>
              <w:t>Наред с това с инициативата ще се уредят редица въпроси от техническо естество с цел да се повишат ефективността, ефикасността и съгласуваността на операциите на EIT. Това включва откритостта и прозрачността на ОЗИ, управлението на EIT и договорните условия за наемане на персонала на EIT.</w:t>
            </w:r>
          </w:p>
          <w:p>
            <w:pPr>
              <w:jc w:val="both"/>
              <w:rPr>
                <w:noProof/>
                <w:sz w:val="24"/>
                <w:szCs w:val="24"/>
              </w:rPr>
            </w:pPr>
            <w:r>
              <w:rPr>
                <w:noProof/>
                <w:sz w:val="24"/>
                <w:szCs w:val="24"/>
              </w:rPr>
              <w:t>Установените проблеми ще бъдат решени чрез изменение на Регламента за EIT и приемане на стратегическата иновационна програма на EIT за периода 2021—2027 г. Настоящата оценка на въздействието почива на оценката на въздействието, извършена за програма „Хоризонт Европа“.</w:t>
            </w:r>
          </w:p>
          <w:p>
            <w:pPr>
              <w:jc w:val="both"/>
              <w:rPr>
                <w:noProof/>
                <w:sz w:val="24"/>
                <w:szCs w:val="24"/>
              </w:rPr>
            </w:pPr>
          </w:p>
        </w:tc>
      </w:tr>
      <w:tr>
        <w:tc>
          <w:tcPr>
            <w:tcW w:w="10188" w:type="dxa"/>
            <w:tcBorders>
              <w:bottom w:val="single" w:sz="4" w:space="0" w:color="auto"/>
            </w:tcBorders>
            <w:shd w:val="clear" w:color="auto" w:fill="E6E6E6"/>
          </w:tcPr>
          <w:p>
            <w:pPr>
              <w:spacing w:before="60" w:after="60"/>
              <w:jc w:val="both"/>
              <w:rPr>
                <w:noProof/>
                <w:sz w:val="24"/>
                <w:szCs w:val="24"/>
              </w:rPr>
            </w:pPr>
            <w:r>
              <w:rPr>
                <w:b/>
                <w:noProof/>
                <w:sz w:val="24"/>
                <w:szCs w:val="24"/>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spacing w:before="120" w:after="120"/>
              <w:jc w:val="both"/>
              <w:rPr>
                <w:noProof/>
                <w:sz w:val="24"/>
                <w:szCs w:val="24"/>
              </w:rPr>
            </w:pPr>
            <w:r>
              <w:rPr>
                <w:noProof/>
                <w:sz w:val="24"/>
                <w:szCs w:val="24"/>
              </w:rPr>
              <w:t>Настоящата инициатива спомага за бъдещото изпълнение и разработване на стратегическа политика на EIT и ще допринесе за постигането на целите му за периода 2021—2027 г., както са посочени в предложението за „Хоризонт Европа“, а именно: укрепване на устойчивите екосистеми за иновации в цяла Европа; представяне на пазара на нови решения на глобални обществени предизвикателства и насърчаване на иновациите и предприемачеството чрез по-добро образование. По-конкретно от EIT и ОЗИ се очаква:</w:t>
            </w:r>
          </w:p>
          <w:p>
            <w:pPr>
              <w:numPr>
                <w:ilvl w:val="0"/>
                <w:numId w:val="1"/>
              </w:numPr>
              <w:spacing w:after="120"/>
              <w:ind w:left="714" w:hanging="357"/>
              <w:jc w:val="both"/>
              <w:rPr>
                <w:noProof/>
                <w:sz w:val="24"/>
                <w:szCs w:val="24"/>
              </w:rPr>
            </w:pPr>
            <w:r>
              <w:rPr>
                <w:noProof/>
                <w:sz w:val="24"/>
                <w:szCs w:val="24"/>
              </w:rPr>
              <w:t>да повишат въздействието на ОЗИ и интегрирането на триъгълника на знанието посредством ефективен и ефикасен модел на финансиране от EIT;</w:t>
            </w:r>
          </w:p>
          <w:p>
            <w:pPr>
              <w:numPr>
                <w:ilvl w:val="0"/>
                <w:numId w:val="1"/>
              </w:numPr>
              <w:spacing w:after="120"/>
              <w:ind w:left="714" w:hanging="357"/>
              <w:jc w:val="both"/>
              <w:rPr>
                <w:noProof/>
                <w:sz w:val="24"/>
                <w:szCs w:val="24"/>
              </w:rPr>
            </w:pPr>
            <w:r>
              <w:rPr>
                <w:noProof/>
                <w:sz w:val="24"/>
                <w:szCs w:val="24"/>
              </w:rPr>
              <w:t>да повишат иновационния и предприемаческия капацитет на сектора на висшето образование чрез насърчаване на институционални промени във висшите учебни заведения (ВУЗ) в Европа;</w:t>
            </w:r>
          </w:p>
          <w:p>
            <w:pPr>
              <w:numPr>
                <w:ilvl w:val="0"/>
                <w:numId w:val="1"/>
              </w:numPr>
              <w:spacing w:after="120"/>
              <w:ind w:left="714" w:hanging="357"/>
              <w:jc w:val="both"/>
              <w:rPr>
                <w:noProof/>
                <w:sz w:val="24"/>
                <w:szCs w:val="24"/>
              </w:rPr>
            </w:pPr>
            <w:r>
              <w:rPr>
                <w:noProof/>
                <w:sz w:val="24"/>
                <w:szCs w:val="24"/>
              </w:rPr>
              <w:t>да разширят регионалния обхват на EIT с цел да се преодолеят регионалните различия в иновационния капацитет в целия ЕС.</w:t>
            </w:r>
          </w:p>
          <w:p>
            <w:pPr>
              <w:spacing w:before="120" w:after="120"/>
              <w:jc w:val="both"/>
              <w:rPr>
                <w:noProof/>
                <w:sz w:val="24"/>
                <w:szCs w:val="24"/>
              </w:rPr>
            </w:pPr>
            <w:r>
              <w:rPr>
                <w:noProof/>
                <w:sz w:val="24"/>
                <w:szCs w:val="24"/>
              </w:rPr>
              <w:t>Освен това инициативата има за цел да се повишат ефективността, ефикасността и съгласуваността на операциите на EIT, като се предложат решения по въпросите, отнасящи се до откритостта и прозрачността на ОЗИ, управлението на EIT и договорите на персонала на EIT и непрекъснатостта на услугите.</w:t>
            </w:r>
          </w:p>
        </w:tc>
      </w:tr>
      <w:tr>
        <w:tc>
          <w:tcPr>
            <w:tcW w:w="10188" w:type="dxa"/>
            <w:tcBorders>
              <w:bottom w:val="single" w:sz="4" w:space="0" w:color="auto"/>
            </w:tcBorders>
            <w:shd w:val="clear" w:color="auto" w:fill="E6E6E6"/>
          </w:tcPr>
          <w:p>
            <w:pPr>
              <w:spacing w:before="60" w:after="60"/>
              <w:jc w:val="both"/>
              <w:rPr>
                <w:noProof/>
                <w:sz w:val="24"/>
                <w:szCs w:val="24"/>
              </w:rPr>
            </w:pPr>
            <w:r>
              <w:rPr>
                <w:b/>
                <w:noProof/>
                <w:sz w:val="24"/>
                <w:szCs w:val="24"/>
              </w:rPr>
              <w:t>Каква е добавената стойност от действие на равнището на ЕС?</w:t>
            </w:r>
            <w:r>
              <w:rPr>
                <w:noProof/>
                <w:sz w:val="24"/>
                <w:szCs w:val="24"/>
              </w:rPr>
              <w:t xml:space="preserve"> </w:t>
            </w:r>
          </w:p>
        </w:tc>
      </w:tr>
      <w:tr>
        <w:tc>
          <w:tcPr>
            <w:tcW w:w="10188" w:type="dxa"/>
            <w:tcBorders>
              <w:bottom w:val="single" w:sz="4" w:space="0" w:color="auto"/>
            </w:tcBorders>
            <w:shd w:val="clear" w:color="auto" w:fill="auto"/>
          </w:tcPr>
          <w:p>
            <w:pPr>
              <w:spacing w:before="120" w:after="120"/>
              <w:jc w:val="both"/>
              <w:rPr>
                <w:noProof/>
                <w:sz w:val="24"/>
                <w:szCs w:val="24"/>
              </w:rPr>
            </w:pPr>
            <w:r>
              <w:rPr>
                <w:noProof/>
                <w:sz w:val="24"/>
                <w:szCs w:val="24"/>
              </w:rPr>
              <w:t xml:space="preserve">EIT предлага уникален начин за изграждане на екосистеми за иновации в целия ЕС, свързващи образованието, научните изследвания, бизнеса и другите заинтересовани страни. Той запълва една празнина в системата на предоставяната от държавите членки подкрепа за иновациите. Дейностите на ОЗИ водят до повишаване на качеството на иновациите, до изграждането на трансгранични мултидисциплинарни мрежи, до по-голямо междусекторно сътрудничество и до по-широк географски обхват. Образователните програми на EIT придават допълнителна стойност на други съществуващи програми, особено чрез своите аспекти, свързани с предприемачеството и иновациите. </w:t>
            </w:r>
          </w:p>
        </w:tc>
      </w:tr>
    </w:tbl>
    <w:p>
      <w:pPr>
        <w:spacing w:after="0" w:line="240" w:lineRule="auto"/>
        <w:rPr>
          <w:rFonts w:ascii="Times New Roman" w:eastAsia="Times New Roman" w:hAnsi="Times New Roman" w:cs="Times New Roman"/>
          <w:noProof/>
          <w:sz w:val="24"/>
          <w:szCs w:val="24"/>
          <w:lang w:eastAsia="en-GB"/>
        </w:r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4"/>
                <w:szCs w:val="24"/>
              </w:rPr>
            </w:pPr>
            <w:r>
              <w:rPr>
                <w:b/>
                <w:noProof/>
                <w:sz w:val="24"/>
                <w:szCs w:val="24"/>
              </w:rPr>
              <w:t>Б. Решения</w:t>
            </w:r>
          </w:p>
        </w:tc>
      </w:tr>
      <w:tr>
        <w:tc>
          <w:tcPr>
            <w:tcW w:w="10188" w:type="dxa"/>
            <w:tcBorders>
              <w:bottom w:val="single" w:sz="4" w:space="0" w:color="auto"/>
            </w:tcBorders>
            <w:shd w:val="clear" w:color="auto" w:fill="E6E6E6"/>
          </w:tcPr>
          <w:p>
            <w:pPr>
              <w:spacing w:before="60"/>
              <w:jc w:val="both"/>
              <w:rPr>
                <w:noProof/>
                <w:sz w:val="24"/>
                <w:szCs w:val="24"/>
              </w:rPr>
            </w:pPr>
            <w:r>
              <w:rPr>
                <w:b/>
                <w:noProof/>
                <w:sz w:val="24"/>
                <w:szCs w:val="24"/>
              </w:rPr>
              <w:t>Какви законодателни и незаконодателни варианти на политиката са разгледани? Има ли предпочитан вариант? Защо?</w:t>
            </w:r>
            <w:r>
              <w:rPr>
                <w:noProof/>
                <w:sz w:val="24"/>
                <w:szCs w:val="24"/>
              </w:rPr>
              <w:t xml:space="preserve"> </w:t>
            </w:r>
          </w:p>
        </w:tc>
      </w:tr>
      <w:tr>
        <w:tc>
          <w:tcPr>
            <w:tcW w:w="10188" w:type="dxa"/>
            <w:tcBorders>
              <w:bottom w:val="single" w:sz="4" w:space="0" w:color="auto"/>
            </w:tcBorders>
            <w:shd w:val="clear" w:color="auto" w:fill="auto"/>
          </w:tcPr>
          <w:p>
            <w:pPr>
              <w:spacing w:before="120"/>
              <w:jc w:val="both"/>
              <w:rPr>
                <w:noProof/>
                <w:sz w:val="24"/>
                <w:szCs w:val="24"/>
              </w:rPr>
            </w:pPr>
            <w:r>
              <w:rPr>
                <w:noProof/>
                <w:sz w:val="24"/>
                <w:szCs w:val="24"/>
              </w:rPr>
              <w:t>Бяха разгледани три варианта по отношение на установените предизвикателства:</w:t>
            </w:r>
          </w:p>
          <w:p>
            <w:pPr>
              <w:jc w:val="both"/>
              <w:rPr>
                <w:noProof/>
                <w:sz w:val="24"/>
                <w:szCs w:val="24"/>
              </w:rPr>
            </w:pPr>
          </w:p>
          <w:p>
            <w:pPr>
              <w:jc w:val="both"/>
              <w:rPr>
                <w:noProof/>
                <w:sz w:val="24"/>
                <w:szCs w:val="24"/>
              </w:rPr>
            </w:pPr>
            <w:r>
              <w:rPr>
                <w:bCs/>
                <w:noProof/>
                <w:sz w:val="24"/>
                <w:szCs w:val="24"/>
              </w:rPr>
              <w:t xml:space="preserve">Вариант 1 (базов сценарий) се изразява в продължаването на дейностите на EIT в настоящата им форма единствено с корекциите, необходими за привеждането му в съответствие с предложението за „Хоризонт Европа“. </w:t>
            </w:r>
            <w:r>
              <w:rPr>
                <w:noProof/>
                <w:sz w:val="24"/>
                <w:szCs w:val="24"/>
              </w:rPr>
              <w:t>В този случай EIT ще спазва критериите относно изпълнението, наблюдението и оценяването, предвидени за европейските партньорства. Той ще развие полезни взаимодействия с Европейския съвет по иновациите. Ще има две нови ОЗИ.</w:t>
            </w:r>
          </w:p>
          <w:p>
            <w:pPr>
              <w:jc w:val="both"/>
              <w:rPr>
                <w:noProof/>
                <w:sz w:val="24"/>
                <w:szCs w:val="24"/>
              </w:rPr>
            </w:pPr>
          </w:p>
          <w:p>
            <w:pPr>
              <w:rPr>
                <w:noProof/>
                <w:sz w:val="24"/>
                <w:szCs w:val="24"/>
              </w:rPr>
            </w:pPr>
            <w:r>
              <w:rPr>
                <w:noProof/>
                <w:sz w:val="24"/>
                <w:szCs w:val="24"/>
              </w:rPr>
              <w:t>Вариант 2 надгражда базовия сценарий, като в него се предвижда и приемане на редица мерки за повишаване на ефективността на функционирането на EIT, включително адаптиране на модела му на финансиране. С него се въвежда ново действие на EIT за подпомагане на развиването на предприемаческия и иновационния капацитет на висшите учебни заведения (ВУЗ) и за укрепване на регионалната иновационна схема на EIT. Ще има две нови ОЗИ.</w:t>
            </w:r>
          </w:p>
          <w:p>
            <w:pPr>
              <w:jc w:val="both"/>
              <w:rPr>
                <w:noProof/>
                <w:sz w:val="24"/>
                <w:szCs w:val="24"/>
              </w:rPr>
            </w:pPr>
          </w:p>
          <w:p>
            <w:pPr>
              <w:spacing w:after="120"/>
              <w:rPr>
                <w:noProof/>
                <w:sz w:val="24"/>
                <w:szCs w:val="24"/>
              </w:rPr>
            </w:pPr>
            <w:r>
              <w:rPr>
                <w:noProof/>
                <w:sz w:val="24"/>
                <w:szCs w:val="24"/>
              </w:rPr>
              <w:t>Вариант 3 надгражда базовия сценарий и допълва редица мерки за повишаване на ефективността на EIT, предвидени във вариант 2. Освен това при него се въвежда нова дейност по създаване на центрове на EIT във всяка държава членка, за да се увеличи общото въздействие на EIT. EIT ще се занимава пряко с реализацията на центровете на EIT с цел интегрирането на триъгълника на знанието да бъде насърчавано посредством оказване на подкрепа за съвместни проекти в по-малък мащаб от ОЗИ.</w:t>
            </w:r>
          </w:p>
          <w:p>
            <w:pPr>
              <w:spacing w:before="240"/>
              <w:rPr>
                <w:noProof/>
                <w:sz w:val="24"/>
                <w:szCs w:val="24"/>
              </w:rPr>
            </w:pPr>
            <w:r>
              <w:rPr>
                <w:noProof/>
                <w:sz w:val="24"/>
                <w:szCs w:val="24"/>
              </w:rPr>
              <w:t>При този вариант ще има едно ново ОЗИ.</w:t>
            </w:r>
          </w:p>
          <w:p>
            <w:pPr>
              <w:jc w:val="both"/>
              <w:rPr>
                <w:noProof/>
                <w:sz w:val="24"/>
                <w:szCs w:val="24"/>
              </w:rPr>
            </w:pPr>
            <w:r>
              <w:rPr>
                <w:noProof/>
                <w:sz w:val="24"/>
                <w:szCs w:val="24"/>
              </w:rPr>
              <w:t xml:space="preserve">И при трите варианта има законодателни аспекти, налагащи изменение на Регламента за EIT и новата стратегическа иновационна програма на EIT. </w:t>
            </w:r>
          </w:p>
          <w:p>
            <w:pPr>
              <w:jc w:val="both"/>
              <w:rPr>
                <w:noProof/>
                <w:sz w:val="24"/>
                <w:szCs w:val="24"/>
              </w:rPr>
            </w:pPr>
          </w:p>
          <w:p>
            <w:pPr>
              <w:spacing w:after="120"/>
              <w:jc w:val="both"/>
              <w:rPr>
                <w:noProof/>
                <w:sz w:val="24"/>
                <w:szCs w:val="24"/>
              </w:rPr>
            </w:pPr>
            <w:r>
              <w:rPr>
                <w:noProof/>
                <w:sz w:val="24"/>
                <w:szCs w:val="24"/>
              </w:rPr>
              <w:t xml:space="preserve">Предпочитан е вариант 2, тъй като при него се постига най-добър баланс между реализирането на целите на инициативата при надлежно отчитане на наличните ресурси и осигуряването на най-голямо икономическо и обществено въздействие. </w:t>
            </w:r>
          </w:p>
        </w:tc>
      </w:tr>
      <w:tr>
        <w:tc>
          <w:tcPr>
            <w:tcW w:w="10188" w:type="dxa"/>
            <w:shd w:val="clear" w:color="auto" w:fill="CCCCCC"/>
          </w:tcPr>
          <w:p>
            <w:pPr>
              <w:spacing w:before="60"/>
              <w:jc w:val="both"/>
              <w:rPr>
                <w:noProof/>
                <w:sz w:val="24"/>
                <w:szCs w:val="24"/>
              </w:rPr>
            </w:pPr>
            <w:r>
              <w:rPr>
                <w:b/>
                <w:noProof/>
                <w:sz w:val="24"/>
                <w:szCs w:val="24"/>
              </w:rPr>
              <w:t>Кой какъв вариант подкрепя?</w:t>
            </w:r>
            <w:r>
              <w:rPr>
                <w:noProof/>
                <w:sz w:val="24"/>
                <w:szCs w:val="24"/>
              </w:rPr>
              <w:t xml:space="preserve"> </w:t>
            </w:r>
          </w:p>
        </w:tc>
      </w:tr>
      <w:tr>
        <w:tc>
          <w:tcPr>
            <w:tcW w:w="10188" w:type="dxa"/>
            <w:shd w:val="clear" w:color="auto" w:fill="auto"/>
          </w:tcPr>
          <w:p>
            <w:pPr>
              <w:spacing w:before="120" w:after="120"/>
              <w:jc w:val="both"/>
              <w:rPr>
                <w:noProof/>
                <w:sz w:val="24"/>
                <w:szCs w:val="24"/>
              </w:rPr>
            </w:pPr>
            <w:r>
              <w:rPr>
                <w:noProof/>
                <w:sz w:val="24"/>
                <w:szCs w:val="24"/>
              </w:rPr>
              <w:t>Отделните мерки, предвидени съгласно вариант 2, получиха широка подкрепа от различните заинтересовани страни, с които бяха проведени консултации, т.е. дружества/стопански организации, академични/научноизследователски институции, както и гражданите на ЕС. По-специално сред заинтересованите страни има голямо единомислие, когато става въпрос за необходимостта от насърчаване на развиването на предприемаческия и иновационния капацитет на ВУЗ в Европа и за изграждането на по-тесни връзки между дейностите на EIT и ОЗИ, от една страна, и средата и стратегиите на регионално и местно равнище, от друга.</w:t>
            </w:r>
            <w:r>
              <w:rPr>
                <w:bCs/>
                <w:noProof/>
                <w:sz w:val="24"/>
                <w:szCs w:val="24"/>
              </w:rPr>
              <w:t xml:space="preserve"> </w:t>
            </w:r>
          </w:p>
        </w:tc>
      </w:tr>
    </w:tbl>
    <w:p>
      <w:pPr>
        <w:spacing w:after="0" w:line="240" w:lineRule="auto"/>
        <w:rPr>
          <w:rFonts w:ascii="Times New Roman" w:eastAsia="Times New Roman" w:hAnsi="Times New Roman" w:cs="Times New Roman"/>
          <w:noProof/>
          <w:sz w:val="24"/>
          <w:szCs w:val="24"/>
          <w:lang w:eastAsia="en-GB"/>
        </w:rPr>
      </w:pPr>
    </w:p>
    <w:tbl>
      <w:tblPr>
        <w:tblStyle w:val="TableGrid"/>
        <w:tblW w:w="10188" w:type="dxa"/>
        <w:tblInd w:w="-318" w:type="dxa"/>
        <w:tblLook w:val="01E0" w:firstRow="1" w:lastRow="1" w:firstColumn="1" w:lastColumn="1" w:noHBand="0" w:noVBand="0"/>
      </w:tblPr>
      <w:tblGrid>
        <w:gridCol w:w="10047"/>
        <w:gridCol w:w="141"/>
      </w:tblGrid>
      <w:tr>
        <w:tc>
          <w:tcPr>
            <w:tcW w:w="10188" w:type="dxa"/>
            <w:gridSpan w:val="2"/>
            <w:tcBorders>
              <w:bottom w:val="single" w:sz="4" w:space="0" w:color="auto"/>
            </w:tcBorders>
            <w:shd w:val="clear" w:color="auto" w:fill="CCCCCC"/>
          </w:tcPr>
          <w:p>
            <w:pPr>
              <w:spacing w:before="60" w:after="60"/>
              <w:jc w:val="center"/>
              <w:rPr>
                <w:b/>
                <w:noProof/>
                <w:sz w:val="24"/>
                <w:szCs w:val="24"/>
              </w:rPr>
            </w:pPr>
            <w:r>
              <w:rPr>
                <w:b/>
                <w:noProof/>
                <w:sz w:val="24"/>
                <w:szCs w:val="24"/>
              </w:rPr>
              <w:t>В. Въздействие на предпочитания вариант</w:t>
            </w:r>
          </w:p>
        </w:tc>
      </w:tr>
      <w:tr>
        <w:tc>
          <w:tcPr>
            <w:tcW w:w="10188" w:type="dxa"/>
            <w:gridSpan w:val="2"/>
            <w:tcBorders>
              <w:bottom w:val="single" w:sz="4" w:space="0" w:color="auto"/>
            </w:tcBorders>
            <w:shd w:val="clear" w:color="auto" w:fill="E6E6E6"/>
          </w:tcPr>
          <w:p>
            <w:pPr>
              <w:spacing w:before="60" w:after="60"/>
              <w:jc w:val="both"/>
              <w:rPr>
                <w:noProof/>
                <w:sz w:val="24"/>
                <w:szCs w:val="24"/>
              </w:rPr>
            </w:pPr>
            <w:r>
              <w:rPr>
                <w:b/>
                <w:noProof/>
                <w:sz w:val="24"/>
                <w:szCs w:val="24"/>
              </w:rPr>
              <w:t>Какви са ползите от предпочитания вариант (ако има такъв, в противен случай — от основните варианти)?</w:t>
            </w:r>
            <w:r>
              <w:rPr>
                <w:noProof/>
                <w:sz w:val="24"/>
                <w:szCs w:val="24"/>
              </w:rPr>
              <w:t xml:space="preserve"> </w:t>
            </w:r>
          </w:p>
        </w:tc>
      </w:tr>
      <w:tr>
        <w:tc>
          <w:tcPr>
            <w:tcW w:w="10188" w:type="dxa"/>
            <w:gridSpan w:val="2"/>
            <w:tcBorders>
              <w:bottom w:val="single" w:sz="4" w:space="0" w:color="auto"/>
            </w:tcBorders>
            <w:shd w:val="clear" w:color="auto" w:fill="auto"/>
          </w:tcPr>
          <w:p>
            <w:pPr>
              <w:spacing w:before="120" w:after="120"/>
              <w:jc w:val="both"/>
              <w:rPr>
                <w:i/>
                <w:noProof/>
                <w:sz w:val="24"/>
                <w:szCs w:val="24"/>
              </w:rPr>
            </w:pPr>
            <w:r>
              <w:rPr>
                <w:noProof/>
                <w:sz w:val="24"/>
                <w:szCs w:val="24"/>
              </w:rPr>
              <w:t xml:space="preserve">Предпочитаният вариант би довел до значителни подобрения на EIT през следващия програмен период. Той би задълбочил интегрирането на триъгълника на знанието, би допринесъл за укрепване на екосистемите за иновации и би повишил иновационния и предприемаческия капацитет на сектора на висшето образование. Редом с това той би допринесъл за намаляване на недостига на умения в ключови сектори на икономиката, би повишил обмена на знания и изграждането на мрежи от контакти в екосистемите за иновации, би насърчил ефективното и ефикасно създаване на нови предприятия и би повишил качеството на висшето образование в сферата на предприемачеството. Този вариант би довел също така до нарастване на размера на частните инвестиции в ОЗИ в средносрочен и дългосрочен план и до по-ефективното им подпомагане, за да се постигнат целите на EIT за финансова устойчивост. На последно място, предпочетеният вариант би позволил на EIT постепенно да разшири и подобри регионалния си обхват, като включи в него и държавите със скромни и умерени резултати в областта на иновациите. </w:t>
            </w:r>
          </w:p>
        </w:tc>
      </w:tr>
      <w:tr>
        <w:trPr>
          <w:gridAfter w:val="1"/>
          <w:wAfter w:w="141" w:type="dxa"/>
        </w:trPr>
        <w:tc>
          <w:tcPr>
            <w:tcW w:w="10047" w:type="dxa"/>
            <w:tcBorders>
              <w:bottom w:val="single" w:sz="4" w:space="0" w:color="auto"/>
            </w:tcBorders>
            <w:shd w:val="clear" w:color="auto" w:fill="E6E6E6"/>
          </w:tcPr>
          <w:p>
            <w:pPr>
              <w:spacing w:before="60" w:after="60"/>
              <w:jc w:val="both"/>
              <w:rPr>
                <w:noProof/>
                <w:sz w:val="24"/>
                <w:szCs w:val="24"/>
              </w:rPr>
            </w:pPr>
            <w:r>
              <w:rPr>
                <w:b/>
                <w:noProof/>
                <w:sz w:val="24"/>
                <w:szCs w:val="24"/>
              </w:rPr>
              <w:t>Какви са разходите за предпочетения вариант (ако има такъв, в противен случай — за основните варианти)?</w:t>
            </w:r>
            <w:r>
              <w:rPr>
                <w:noProof/>
                <w:sz w:val="24"/>
                <w:szCs w:val="24"/>
              </w:rPr>
              <w:t xml:space="preserve"> </w:t>
            </w:r>
          </w:p>
        </w:tc>
      </w:tr>
      <w:tr>
        <w:trPr>
          <w:gridAfter w:val="1"/>
          <w:wAfter w:w="141" w:type="dxa"/>
        </w:trPr>
        <w:tc>
          <w:tcPr>
            <w:tcW w:w="10047" w:type="dxa"/>
            <w:tcBorders>
              <w:bottom w:val="single" w:sz="4" w:space="0" w:color="auto"/>
            </w:tcBorders>
            <w:shd w:val="clear" w:color="auto" w:fill="auto"/>
          </w:tcPr>
          <w:p>
            <w:pPr>
              <w:spacing w:before="120" w:after="120"/>
              <w:jc w:val="both"/>
              <w:rPr>
                <w:bCs/>
                <w:noProof/>
                <w:sz w:val="24"/>
                <w:szCs w:val="24"/>
              </w:rPr>
            </w:pPr>
            <w:r>
              <w:rPr>
                <w:noProof/>
                <w:color w:val="000000" w:themeColor="text1"/>
                <w:sz w:val="24"/>
                <w:szCs w:val="24"/>
              </w:rPr>
              <w:t>В сравнение с базовия сценарий вариант 2 би довел до увеличаване на административните разходи на EIT, което ще съответства на общото увеличение на бюджета на EIT за програмния период и произтича от нуждите от персонал и от изграждането на по-голям капацитет и експертен опит в EIT. Очаква се разходите за привеждане в съответствие и за изпълнение, произтичащи от адаптирането на модела на финансиране, да бъдат по-високи за ОЗИ, които са били създадени в ранните години от съществуването на EIT, тъй като те ще трябва да адаптират вече въведените от тях процеси и механизми на функциониране. Очаква се разходите да бъдат относително ниски за онези ОЗИ, които са в началната фаза от дейността си.</w:t>
            </w:r>
          </w:p>
        </w:tc>
      </w:tr>
      <w:tr>
        <w:trPr>
          <w:gridAfter w:val="1"/>
          <w:wAfter w:w="141" w:type="dxa"/>
        </w:trPr>
        <w:tc>
          <w:tcPr>
            <w:tcW w:w="10047" w:type="dxa"/>
            <w:tcBorders>
              <w:bottom w:val="single" w:sz="4" w:space="0" w:color="auto"/>
            </w:tcBorders>
            <w:shd w:val="clear" w:color="auto" w:fill="E6E6E6"/>
          </w:tcPr>
          <w:p>
            <w:pPr>
              <w:spacing w:before="60" w:after="60"/>
              <w:jc w:val="both"/>
              <w:rPr>
                <w:noProof/>
                <w:sz w:val="24"/>
                <w:szCs w:val="24"/>
              </w:rPr>
            </w:pPr>
            <w:r>
              <w:rPr>
                <w:b/>
                <w:noProof/>
                <w:sz w:val="24"/>
                <w:szCs w:val="24"/>
              </w:rPr>
              <w:t xml:space="preserve">Какви ще са последиците за предприятията, МСП и микропредприятията? </w:t>
            </w:r>
          </w:p>
        </w:tc>
      </w:tr>
      <w:tr>
        <w:trPr>
          <w:gridAfter w:val="1"/>
          <w:wAfter w:w="141" w:type="dxa"/>
        </w:trPr>
        <w:tc>
          <w:tcPr>
            <w:tcW w:w="10047" w:type="dxa"/>
            <w:tcBorders>
              <w:bottom w:val="single" w:sz="4" w:space="0" w:color="auto"/>
            </w:tcBorders>
            <w:shd w:val="clear" w:color="auto" w:fill="auto"/>
          </w:tcPr>
          <w:p>
            <w:pPr>
              <w:spacing w:before="120" w:after="120"/>
              <w:jc w:val="both"/>
              <w:rPr>
                <w:i/>
                <w:noProof/>
                <w:sz w:val="24"/>
                <w:szCs w:val="24"/>
              </w:rPr>
            </w:pPr>
            <w:r>
              <w:rPr>
                <w:noProof/>
                <w:sz w:val="24"/>
                <w:szCs w:val="24"/>
              </w:rPr>
              <w:t>Предпочетеният вариант 2 ще допринесе за създаването на резерв от висококвалифицирани лица, които ще са от полза за предприятията, МСП и микропредприятията. Благодарение на по-голямата откритост и прозрачност и на опростените процедури в ОЗИ ще се насърчават дейностите по създаване на нови предприятия, което ще доведе до увеличаване на броя на стартиращите предприятия.</w:t>
            </w:r>
            <w:r>
              <w:rPr>
                <w:noProof/>
                <w:color w:val="000000" w:themeColor="text1"/>
                <w:sz w:val="24"/>
                <w:szCs w:val="24"/>
              </w:rPr>
              <w:t xml:space="preserve"> </w:t>
            </w:r>
          </w:p>
        </w:tc>
      </w:tr>
      <w:tr>
        <w:trPr>
          <w:gridAfter w:val="1"/>
          <w:wAfter w:w="141" w:type="dxa"/>
        </w:trPr>
        <w:tc>
          <w:tcPr>
            <w:tcW w:w="10047" w:type="dxa"/>
            <w:tcBorders>
              <w:bottom w:val="single" w:sz="4" w:space="0" w:color="auto"/>
            </w:tcBorders>
            <w:shd w:val="clear" w:color="auto" w:fill="E6E6E6"/>
          </w:tcPr>
          <w:p>
            <w:pPr>
              <w:spacing w:before="60"/>
              <w:jc w:val="both"/>
              <w:rPr>
                <w:b/>
                <w:i/>
                <w:noProof/>
                <w:sz w:val="24"/>
                <w:szCs w:val="24"/>
              </w:rPr>
            </w:pPr>
            <w:r>
              <w:rPr>
                <w:b/>
                <w:noProof/>
                <w:sz w:val="24"/>
                <w:szCs w:val="24"/>
              </w:rPr>
              <w:t>Ще има ли значително въздействие върху националните бюджети и администрации?</w:t>
            </w:r>
            <w:r>
              <w:rPr>
                <w:noProof/>
                <w:sz w:val="24"/>
                <w:szCs w:val="24"/>
              </w:rPr>
              <w:t xml:space="preserve"> </w:t>
            </w:r>
          </w:p>
        </w:tc>
      </w:tr>
      <w:tr>
        <w:trPr>
          <w:gridAfter w:val="1"/>
          <w:wAfter w:w="141" w:type="dxa"/>
        </w:trPr>
        <w:tc>
          <w:tcPr>
            <w:tcW w:w="10047" w:type="dxa"/>
            <w:shd w:val="clear" w:color="auto" w:fill="auto"/>
          </w:tcPr>
          <w:p>
            <w:pPr>
              <w:spacing w:before="80" w:after="80"/>
              <w:jc w:val="both"/>
              <w:rPr>
                <w:noProof/>
                <w:sz w:val="24"/>
                <w:szCs w:val="24"/>
              </w:rPr>
            </w:pPr>
            <w:r>
              <w:rPr>
                <w:noProof/>
                <w:sz w:val="24"/>
                <w:szCs w:val="24"/>
              </w:rPr>
              <w:t>Не.</w:t>
            </w:r>
          </w:p>
        </w:tc>
      </w:tr>
      <w:tr>
        <w:trPr>
          <w:gridAfter w:val="1"/>
          <w:wAfter w:w="141" w:type="dxa"/>
        </w:trPr>
        <w:tc>
          <w:tcPr>
            <w:tcW w:w="10047" w:type="dxa"/>
            <w:tcBorders>
              <w:bottom w:val="single" w:sz="4" w:space="0" w:color="auto"/>
            </w:tcBorders>
            <w:shd w:val="clear" w:color="auto" w:fill="E6E6E6"/>
          </w:tcPr>
          <w:p>
            <w:pPr>
              <w:spacing w:before="60"/>
              <w:jc w:val="both"/>
              <w:rPr>
                <w:noProof/>
                <w:sz w:val="24"/>
                <w:szCs w:val="24"/>
              </w:rPr>
            </w:pPr>
            <w:r>
              <w:rPr>
                <w:b/>
                <w:noProof/>
                <w:sz w:val="24"/>
                <w:szCs w:val="24"/>
              </w:rPr>
              <w:t>Ще има ли други значителни въздействия?</w:t>
            </w:r>
            <w:r>
              <w:rPr>
                <w:noProof/>
                <w:sz w:val="24"/>
                <w:szCs w:val="24"/>
              </w:rPr>
              <w:t xml:space="preserve"> </w:t>
            </w:r>
          </w:p>
        </w:tc>
      </w:tr>
      <w:tr>
        <w:trPr>
          <w:gridAfter w:val="1"/>
          <w:wAfter w:w="141" w:type="dxa"/>
        </w:trPr>
        <w:tc>
          <w:tcPr>
            <w:tcW w:w="10047" w:type="dxa"/>
            <w:tcBorders>
              <w:bottom w:val="single" w:sz="4" w:space="0" w:color="auto"/>
            </w:tcBorders>
            <w:shd w:val="clear" w:color="auto" w:fill="auto"/>
          </w:tcPr>
          <w:p>
            <w:pPr>
              <w:spacing w:before="80" w:after="80"/>
              <w:jc w:val="both"/>
              <w:rPr>
                <w:noProof/>
                <w:sz w:val="24"/>
                <w:szCs w:val="24"/>
              </w:rPr>
            </w:pPr>
            <w:r>
              <w:rPr>
                <w:noProof/>
                <w:sz w:val="24"/>
                <w:szCs w:val="24"/>
              </w:rPr>
              <w:t>Не.</w:t>
            </w:r>
          </w:p>
        </w:tc>
      </w:tr>
      <w:tr>
        <w:trPr>
          <w:gridAfter w:val="1"/>
          <w:wAfter w:w="141" w:type="dxa"/>
        </w:trPr>
        <w:tc>
          <w:tcPr>
            <w:tcW w:w="10047" w:type="dxa"/>
            <w:tcBorders>
              <w:bottom w:val="single" w:sz="4" w:space="0" w:color="auto"/>
            </w:tcBorders>
            <w:shd w:val="clear" w:color="auto" w:fill="C0C0C0"/>
          </w:tcPr>
          <w:p>
            <w:pPr>
              <w:spacing w:before="60" w:after="60"/>
              <w:jc w:val="center"/>
              <w:rPr>
                <w:b/>
                <w:noProof/>
                <w:sz w:val="24"/>
                <w:szCs w:val="24"/>
              </w:rPr>
            </w:pPr>
            <w:r>
              <w:rPr>
                <w:b/>
                <w:noProof/>
                <w:sz w:val="24"/>
                <w:szCs w:val="24"/>
              </w:rPr>
              <w:t>Г. Последващи действия</w:t>
            </w:r>
          </w:p>
        </w:tc>
      </w:tr>
      <w:tr>
        <w:trPr>
          <w:gridAfter w:val="1"/>
          <w:wAfter w:w="141" w:type="dxa"/>
        </w:trPr>
        <w:tc>
          <w:tcPr>
            <w:tcW w:w="10047" w:type="dxa"/>
            <w:tcBorders>
              <w:bottom w:val="single" w:sz="4" w:space="0" w:color="auto"/>
            </w:tcBorders>
            <w:shd w:val="clear" w:color="auto" w:fill="E6E6E6"/>
          </w:tcPr>
          <w:p>
            <w:pPr>
              <w:spacing w:before="60"/>
              <w:jc w:val="both"/>
              <w:rPr>
                <w:noProof/>
                <w:sz w:val="24"/>
                <w:szCs w:val="24"/>
              </w:rPr>
            </w:pPr>
            <w:r>
              <w:rPr>
                <w:b/>
                <w:noProof/>
                <w:sz w:val="24"/>
                <w:szCs w:val="24"/>
              </w:rPr>
              <w:t xml:space="preserve">Кога ще се извърши преглед на политиката? </w:t>
            </w:r>
          </w:p>
        </w:tc>
      </w:tr>
      <w:tr>
        <w:trPr>
          <w:gridAfter w:val="1"/>
          <w:wAfter w:w="141" w:type="dxa"/>
        </w:trPr>
        <w:tc>
          <w:tcPr>
            <w:tcW w:w="10047" w:type="dxa"/>
            <w:tcBorders>
              <w:bottom w:val="single" w:sz="4" w:space="0" w:color="auto"/>
            </w:tcBorders>
            <w:shd w:val="clear" w:color="auto" w:fill="auto"/>
          </w:tcPr>
          <w:p>
            <w:pPr>
              <w:spacing w:before="120" w:after="120"/>
              <w:jc w:val="both"/>
              <w:rPr>
                <w:noProof/>
                <w:sz w:val="24"/>
                <w:szCs w:val="24"/>
              </w:rPr>
            </w:pPr>
            <w:r>
              <w:rPr>
                <w:noProof/>
                <w:sz w:val="24"/>
                <w:szCs w:val="24"/>
              </w:rPr>
              <w:t xml:space="preserve">Осъществяването на предпочетения вариант на политика ще бъде предмет на редовно наблюдение и оценяване. Постоянното наблюдение на оперативното функциониране и постигнатите резултати на ОЗИ ще се осъществява от EIT на годишна основа и ще се опира на специална рамка от показатели за въздействието. През 2024 г. Комисията ще извърши независима междинна оценка на икономическото и общественото въздействие на EIT, която ще съответства и на междинната оценка на програма „Хоризонт Европа“. </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993" w:right="1417" w:bottom="993" w:left="1417"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4989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7887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rPr>
          <w:rFonts w:cs="Times New Roman"/>
          <w:bCs/>
          <w:color w:val="000000"/>
          <w:sz w:val="18"/>
          <w:szCs w:val="18"/>
        </w:rPr>
      </w:pPr>
      <w:r>
        <w:rPr>
          <w:rFonts w:cs="Times New Roman"/>
          <w:sz w:val="18"/>
          <w:szCs w:val="18"/>
        </w:rPr>
        <w:footnoteRef/>
      </w:r>
      <w:r>
        <w:rPr>
          <w:bCs/>
          <w:sz w:val="18"/>
          <w:szCs w:val="18"/>
        </w:rPr>
        <w:t xml:space="preserve"> </w:t>
      </w:r>
      <w:r>
        <w:rPr>
          <w:bCs/>
          <w:sz w:val="18"/>
          <w:szCs w:val="18"/>
        </w:rPr>
        <w:tab/>
        <w:t xml:space="preserve">РЕГЛАМЕНТ (ЕС) № 1292/2013 НА ЕВРОПЕЙСКИЯ ПАРЛАМЕНТ И НА СЪВЕТА от 11 декември 2013 г. </w:t>
      </w:r>
      <w:hyperlink r:id="rId1" w:history="1">
        <w:r>
          <w:rPr>
            <w:bCs/>
            <w:color w:val="000000"/>
            <w:sz w:val="18"/>
            <w:szCs w:val="18"/>
          </w:rPr>
          <w:t>https://eur-lex.europa.eu/legal-content/BG/TXT/PDF/?uri=CELEX:02008R0294-20140101&amp;qid=1561929812216&amp;from=EN</w:t>
        </w:r>
      </w:hyperlink>
      <w:r>
        <w:rPr>
          <w:sz w:val="18"/>
          <w:szCs w:val="18"/>
        </w:rPr>
        <w:t>.</w:t>
      </w:r>
    </w:p>
  </w:footnote>
  <w:footnote w:id="2">
    <w:p>
      <w:pPr>
        <w:spacing w:after="0" w:line="240" w:lineRule="auto"/>
        <w:ind w:left="360" w:hanging="360"/>
        <w:jc w:val="both"/>
        <w:rPr>
          <w:sz w:val="18"/>
          <w:szCs w:val="18"/>
        </w:rPr>
      </w:pPr>
      <w:r>
        <w:rPr>
          <w:rFonts w:ascii="Times New Roman" w:hAnsi="Times New Roman" w:cs="Times New Roman"/>
          <w:sz w:val="18"/>
          <w:szCs w:val="18"/>
        </w:rPr>
        <w:footnoteRef/>
      </w:r>
      <w:r>
        <w:rPr>
          <w:rFonts w:ascii="Times New Roman" w:hAnsi="Times New Roman"/>
          <w:bCs/>
          <w:sz w:val="18"/>
          <w:szCs w:val="18"/>
        </w:rPr>
        <w:t xml:space="preserve"> </w:t>
      </w:r>
      <w:r>
        <w:rPr>
          <w:rFonts w:ascii="Times New Roman" w:hAnsi="Times New Roman"/>
          <w:bCs/>
          <w:sz w:val="18"/>
          <w:szCs w:val="18"/>
        </w:rPr>
        <w:tab/>
        <w:t>РЕШЕНИЕ № 1312/2013/ЕС НА ЕВРОПЕЙСКИЯ ПАРЛАМЕНТ И НА СЪВЕТА от 11 декември 2013 г. относно стратегическата иновационна програма на Европейския институт за иновации и технологии (EIT): приносът на EIT за по-иновативна Европа.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E0FB0"/>
    <w:multiLevelType w:val="hybridMultilevel"/>
    <w:tmpl w:val="F40E5AF6"/>
    <w:lvl w:ilvl="0" w:tplc="307C894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u1087?\u1088?\u1080?\u1076?\u1088?\u1091?\u1078?\u1072?\u1074?\u1072?\u1097?"/>
    <w:docVar w:name="LW_CORRIGENDUM" w:val="&lt;UNUSED&gt;"/>
    <w:docVar w:name="LW_COVERPAGE_EXISTS" w:val="True"/>
    <w:docVar w:name="LW_COVERPAGE_GUID" w:val="C3956FC8-8D22-4649-975B-EA9A62972027"/>
    <w:docVar w:name="LW_COVERPAGE_TYPE" w:val="1"/>
    <w:docVar w:name="LW_CROSSREFERENCE" w:val="{COM(2019) 330 final} - {COM(2019) 331 final} - {SEC(2019) 275 final} - {SWD(2019) 330 final}"/>
    <w:docVar w:name="LW_DocType" w:val="NORMAL"/>
    <w:docVar w:name="LW_EMISSION" w:val="11.7.2019"/>
    <w:docVar w:name="LW_EMISSION_ISODATE" w:val="2019-07-11"/>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77?\u1076?\u1083?\u1086?\u1078?\u1077?\u1085?\u1080?\u1077? \u1079?\u1072? \u1056?\u1077?\u1096?\u1077?\u1085?\u1080?\u1077? \u1085?\u1072? \u1045?\u1074?\u1088?\u1086?\u1087?\u1077?\u1081?\u1089?\u1082?\u1080?\u1103? \u1087?\u1072?\u1088?\u1083?\u1072?\u1084?\u1077?\u1085?\u1090? \u1080? \u1085?\u1072? \u1057?\u1098?\u1074?\u1077?\u1090?\u1072?_x000b_\u1086?\u1090?\u1085?\u1086?\u1089?\u1085?\u1086? \u1057?\u1090?\u1088?\u1072?\u1090?\u1077?\u1075?\u1080?\u1095?\u1077?\u1089?\u1082?\u1072?\u1090?\u1072? \u1080?\u1085?\u1086?\u1074?\u1072?\u1094?\u1080?\u1086?\u1085?\u1085?\u1072? \u1087?\u1088?\u1086?\u1075?\u1088?\u1072?\u1084?\u1072? \u1085?\u1072? \u1045?\u1074?\u1088?\u1086?\u1087?\u1077?\u1081?\u1089?\u1082?\u1080?\u1103? \u1080?\u1085?\u1089?\u1090?\u1080?\u1090?\u1091?\u1090? \u1079?\u1072? \u1080?\u1085?\u1086?\u1074?\u1072?\u1094?\u1080?\u1080? \u1080? \u1090?\u1077?\u1093?\u1085?\u1086?\u1083?\u1086?\u1075?\u1080?\u1080? (EIT) \u1079?\u1072? \u1087?\u1077?\u1088?\u1080?\u1086?\u1076?\u1072? 2021\u8212?2027 \u1075?.: \u1089?\u1090?\u1080?\u1084?\u1091?\u1083?\u1080?\u1088?\u1072?\u1085?\u1077? \u1085?\u1072? \u1090?\u1072?\u1083?\u1072?\u1085?\u1090?\u1072? \u1080? \u1082?\u1072?\u1087?\u1072?\u1094?\u1080?\u1090?\u1077?\u1090?\u1072? \u1085?\u1072? \u1045?\u1074?\u1088?\u1086?\u1087?\u1072? \u1079?\u1072? \u1080?\u1085?\u1086?\u1074?\u1072?\u1094?\u1080?\u1080?_x000b_"/>
    <w:docVar w:name="LW_PART_NBR" w:val="1"/>
    <w:docVar w:name="LW_PART_NBR_TOTAL" w:val="1"/>
    <w:docVar w:name="LW_REF.INST.NEW" w:val="SWD"/>
    <w:docVar w:name="LW_REF.INST.NEW_ADOPTED" w:val="final"/>
    <w:docVar w:name="LW_REF.INST.NEW_TEXT" w:val="(2019)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_x000b_\u1086?\u1090?\u1085?\u1086?\u1089?\u1085?\u1086? \u1045?\u1074?\u1088?\u1086?\u1087?\u1077?\u1081?\u1089?\u1082?\u1080?\u1103? \u1080?\u1085?\u1089?\u1090?\u1080?\u1090?\u1091?\u1090? \u1079?\u1072? \u1080?\u1085?\u1086?\u1074?\u1072?\u1094?\u1080?\u1080? \u1080? \u1090?\u1077?\u1093?\u1085?\u1086?\u1083?\u1086?\u1075?\u1080?\u1080? (\u1087?\u1088?\u1077?\u1088?\u1072?\u1073?\u1086?\u1090?\u1077?\u1085? \u1090?\u1077?\u1082?\u1089?\u1090?)_x000b__x000b_\u108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Isnasos,Footnote,f"/>
    <w:basedOn w:val="Normal"/>
    <w:link w:val="FootnoteTextChar"/>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sz w:val="20"/>
      <w:szCs w:val="20"/>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Isnasos,Footnote,f"/>
    <w:basedOn w:val="Normal"/>
    <w:link w:val="FootnoteTextChar"/>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sz w:val="20"/>
      <w:szCs w:val="20"/>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PDF/?uri=CELEX:02008R0294-20140101&amp;qid=1561929812216&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9267-772D-4124-AB05-470989DA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1704</Words>
  <Characters>9921</Characters>
  <Application>Microsoft Office Word</Application>
  <DocSecurity>0</DocSecurity>
  <Lines>177</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29</cp:revision>
  <cp:lastPrinted>2019-04-08T09:40:00Z</cp:lastPrinted>
  <dcterms:created xsi:type="dcterms:W3CDTF">2019-07-02T07:00:00Z</dcterms:created>
  <dcterms:modified xsi:type="dcterms:W3CDTF">2019-07-10T11:17:00Z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