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B157AC6-A318-4710-8A38-7AFA0B9444D2" style="width:450.4pt;height:47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d’étendre la coopération entre les parties contractantes dans le domaine de la protection civile. En l’espèce, la modification vise à intégrer la décision (UE) 2019/420 du Parlement européen et du Conseil du 13 mars 2019 modifiant la décision n</w:t>
      </w:r>
      <w:r>
        <w:rPr>
          <w:noProof/>
          <w:vertAlign w:val="superscript"/>
        </w:rPr>
        <w:t>o </w:t>
      </w:r>
      <w:r>
        <w:rPr>
          <w:noProof/>
        </w:rPr>
        <w:t>1313/2013/UE relative au mécanisme de protection civile de l'Union</w:t>
      </w:r>
      <w:r>
        <w:rPr>
          <w:rStyle w:val="FootnoteReference"/>
          <w:noProof/>
        </w:rPr>
        <w:footnoteReference w:id="1"/>
      </w:r>
      <w:r>
        <w:rPr>
          <w:noProof/>
        </w:rPr>
        <w:t xml:space="preserve"> pour permettre aux États de l’AELE membres de l’EEE de participer aux actions de l’Union liées à cette décision de l’UE à partir du 21 mars 2019.</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projet de décision du Comité mixte joint en annexe étend la politique déjà existante de l’UE dans le domaine de la protection civile aux États de l’AELE membres de l’EEE (Norvège, Islande et Liechtenstein) afin d'améliorer la réaction de l’Union en cas de catastrophes naturelles ou d’origine humaine.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L’acquis de l’Union est étendu aux États de l’AELE membres de l’EEE par son intégration dans l’accord EEE, dans le respect des objectifs et des principes dudit accord, qui vise à établir un Espace économique européen dynamique et homogène fondé sur des règles communes et des conditions de concurrence égales.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législation à intégrer dans l’accord EEE repose sur l’article 196 du traité sur le fonctionnement de l’Union européenne, en liaison avec son article 218, paragraphe 9.</w:t>
      </w:r>
    </w:p>
    <w:p>
      <w:pPr>
        <w:pBdr>
          <w:top w:val="nil"/>
          <w:left w:val="nil"/>
          <w:bottom w:val="nil"/>
          <w:right w:val="nil"/>
          <w:between w:val="nil"/>
          <w:bar w:val="nil"/>
        </w:pBdr>
        <w:spacing w:before="0" w:after="240"/>
        <w:rPr>
          <w:rFonts w:eastAsia="Arial Unicode MS"/>
          <w:noProof/>
        </w:rPr>
      </w:pPr>
      <w:r>
        <w:rPr>
          <w:noProof/>
        </w:rPr>
        <w:t>L’article 1</w:t>
      </w:r>
      <w:r>
        <w:rPr>
          <w:noProof/>
          <w:vertAlign w:val="superscript"/>
        </w:rPr>
        <w:t>er</w:t>
      </w:r>
      <w:r>
        <w:rPr>
          <w:noProof/>
        </w:rPr>
        <w:t>, paragraphe 3, du règlement (CE) nº 2894/94 du Conseil relatif à certaines modalités d’application de l’accord EEE</w:t>
      </w:r>
      <w:r>
        <w:rPr>
          <w:rStyle w:val="FootnoteReference"/>
          <w:noProof/>
        </w:rPr>
        <w:footnoteReference w:id="2"/>
      </w:r>
      <w:r>
        <w:rPr>
          <w:noProof/>
        </w:rPr>
        <w:t xml:space="preserve"> prévoit que le Conseil arrête, sur proposition de la Commission, la position à prendre au nom de l’Union à l’égard de décisions de ce type.</w:t>
      </w:r>
    </w:p>
    <w:p>
      <w:pPr>
        <w:pStyle w:val="ManualHeading2"/>
        <w:rPr>
          <w:rFonts w:eastAsia="Arial Unicode MS"/>
          <w:noProof/>
          <w:u w:color="000000"/>
          <w:bdr w:val="nil"/>
        </w:rPr>
      </w:pPr>
      <w:r>
        <w:rPr>
          <w:noProof/>
        </w:rPr>
        <w:t>•</w:t>
      </w:r>
      <w:r>
        <w:rPr>
          <w:noProof/>
        </w:rPr>
        <w:tab/>
        <w:t>Subsidiarité (en cas de compétence non exclusive)</w:t>
      </w:r>
    </w:p>
    <w:p>
      <w:pPr>
        <w:rPr>
          <w:noProof/>
        </w:rPr>
      </w:pPr>
      <w:r>
        <w:rPr>
          <w:noProof/>
        </w:rPr>
        <w:t>La proposition respecte le principe de subsidiarité pour la raison exposée ci-après.</w:t>
      </w:r>
    </w:p>
    <w:p>
      <w:pPr>
        <w:rPr>
          <w:noProof/>
        </w:rPr>
      </w:pPr>
      <w:r>
        <w:rPr>
          <w:noProof/>
        </w:rPr>
        <w:t>L’objectif de la présente proposition, qui est de garantir l’homogénéité du marché intérieur, ne peut être atteint de manière suffisante par les États membres, mais peut, en raison de ses effets, l’être mieux 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l’accord EEE.</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Les États de l’AELE membres de l’EEE contribuent financièrement au mécanisme, conformément aux dispositions modifiées de ce dernier, à partir du 21 mars 2019.</w:t>
      </w:r>
    </w:p>
    <w:p>
      <w:pPr>
        <w:pBdr>
          <w:top w:val="nil"/>
          <w:left w:val="nil"/>
          <w:bottom w:val="nil"/>
          <w:right w:val="nil"/>
          <w:between w:val="nil"/>
          <w:bar w:val="nil"/>
        </w:pBdr>
        <w:spacing w:before="0" w:after="240"/>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2019/0153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de l'EEE en ce qui concerne une modification du protocole 31 de l'accord EEE concernant la coopération dans des secteurs particuliers en dehors des quatre libertés</w:t>
      </w:r>
      <w:r>
        <w:rPr>
          <w:noProof/>
        </w:rPr>
        <w:br/>
      </w:r>
      <w:r>
        <w:rPr>
          <w:noProof/>
        </w:rPr>
        <w:br/>
        <w:t>[RescUE]</w:t>
      </w:r>
      <w:r>
        <w:rPr>
          <w:noProof/>
        </w:rPr>
        <w:br/>
      </w:r>
      <w:r>
        <w:rPr>
          <w:noProof/>
        </w:rPr>
        <w:br/>
      </w:r>
      <w:r>
        <w:rPr>
          <w:noProof/>
        </w:rPr>
        <w:br/>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highlight w:val="yellow"/>
        </w:rPr>
        <w:t>vu le traité</w:t>
      </w:r>
      <w:r>
        <w:rPr>
          <w:noProof/>
        </w:rPr>
        <w:t xml:space="preserve"> sur le fonctionnement de l’Union européenne, et notamment son article 196, 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3"/>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4"/>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le protocole 31 dudit accord.</w:t>
      </w:r>
    </w:p>
    <w:p>
      <w:pPr>
        <w:pStyle w:val="ManualConsidrant"/>
        <w:rPr>
          <w:noProof/>
        </w:rPr>
      </w:pPr>
      <w:r>
        <w:t>(3)</w:t>
      </w:r>
      <w:r>
        <w:tab/>
      </w:r>
      <w:r>
        <w:rPr>
          <w:noProof/>
        </w:rPr>
        <w:t>Le protocole 31 de l’accord EEE contient des dispositions spécifiques relatives à la coopération dans des secteurs particuliers en dehors des quatre libertés.</w:t>
      </w:r>
    </w:p>
    <w:p>
      <w:pPr>
        <w:pStyle w:val="ManualConsidrant"/>
        <w:rPr>
          <w:noProof/>
        </w:rPr>
      </w:pPr>
      <w:r>
        <w:t>(4)</w:t>
      </w:r>
      <w:r>
        <w:tab/>
      </w:r>
      <w:r>
        <w:rPr>
          <w:noProof/>
        </w:rPr>
        <w:t>Il y a lieu d'étendre la coopération entre les parties contractantes à l'accord EEE de manière à ce qu’elle couvre la décision (UE) 2019/420 du Parlement européen et du Conseil du 13 mars 2019 modifiant la décision nº 1313/2013/UE relative au mécanisme de protection civile de l'Union</w:t>
      </w:r>
      <w:r>
        <w:rPr>
          <w:rStyle w:val="FootnoteReference"/>
          <w:noProof/>
        </w:rPr>
        <w:footnoteReference w:id="5"/>
      </w:r>
      <w:r>
        <w:rPr>
          <w:noProof/>
        </w:rPr>
        <w:t>.</w:t>
      </w:r>
    </w:p>
    <w:p>
      <w:pPr>
        <w:pStyle w:val="ManualConsidrant"/>
        <w:rPr>
          <w:noProof/>
        </w:rPr>
      </w:pPr>
      <w:r>
        <w:t>(5)</w:t>
      </w:r>
      <w:r>
        <w:tab/>
      </w:r>
      <w:r>
        <w:rPr>
          <w:noProof/>
        </w:rPr>
        <w:t>Il convient dès lors de modifier le protocole 31 de l'accord EEE en conséquence, afin que cette coopération étendue puisse commencer 21 mars 2019.</w:t>
      </w:r>
    </w:p>
    <w:p>
      <w:pPr>
        <w:pStyle w:val="ManualConsidrant"/>
        <w:rPr>
          <w:noProof/>
        </w:rPr>
      </w:pPr>
      <w:r>
        <w:t>(6)</w:t>
      </w:r>
      <w:r>
        <w:tab/>
      </w:r>
      <w:r>
        <w:rPr>
          <w:noProof/>
        </w:rPr>
        <w:t>Il convient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européenne, au sein du Comité mixte de l’EEE en ce qui concerne la modification qu’il est proposé d’apporter au protocole 31 de l’accord EEE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77I du 20.3.2019, p. 1.</w:t>
      </w:r>
    </w:p>
  </w:footnote>
  <w:footnote w:id="2">
    <w:p>
      <w:pPr>
        <w:pStyle w:val="FootnoteText"/>
        <w:rPr>
          <w:iCs/>
          <w:lang w:val="pl-PL"/>
        </w:rPr>
      </w:pPr>
      <w:r>
        <w:rPr>
          <w:rStyle w:val="FootnoteReference"/>
        </w:rPr>
        <w:footnoteRef/>
      </w:r>
      <w:r>
        <w:tab/>
        <w:t>JO L 305 du 30.11.1994, p. 6.</w:t>
      </w:r>
    </w:p>
  </w:footnote>
  <w:footnote w:id="3">
    <w:p>
      <w:pPr>
        <w:pStyle w:val="FootnoteText"/>
        <w:rPr>
          <w:lang w:val="pl-PL"/>
        </w:rPr>
      </w:pPr>
      <w:r>
        <w:rPr>
          <w:rStyle w:val="FootnoteReference"/>
        </w:rPr>
        <w:footnoteRef/>
      </w:r>
      <w:r>
        <w:tab/>
        <w:t>JO L 305 du 30.11.1994, p. 6.</w:t>
      </w:r>
    </w:p>
  </w:footnote>
  <w:footnote w:id="4">
    <w:p>
      <w:pPr>
        <w:pStyle w:val="FootnoteText"/>
        <w:rPr>
          <w:lang w:val="pl-PL"/>
        </w:rPr>
      </w:pPr>
      <w:r>
        <w:rPr>
          <w:rStyle w:val="FootnoteReference"/>
        </w:rPr>
        <w:footnoteRef/>
      </w:r>
      <w:r>
        <w:tab/>
        <w:t xml:space="preserve">JO L 1 du 3.1.1994, p. 3. </w:t>
      </w:r>
    </w:p>
  </w:footnote>
  <w:footnote w:id="5">
    <w:p>
      <w:pPr>
        <w:pStyle w:val="FootnoteText"/>
        <w:rPr>
          <w:lang w:val="en-US"/>
        </w:rPr>
      </w:pPr>
      <w:r>
        <w:rPr>
          <w:rStyle w:val="FootnoteReference"/>
        </w:rPr>
        <w:footnoteRef/>
      </w:r>
      <w:r>
        <w:tab/>
        <w:t>JO L 77I du 20.3.2019,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71468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CA73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33E1C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DE02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724A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8489D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349EB2"/>
    <w:lvl w:ilvl="0">
      <w:start w:val="1"/>
      <w:numFmt w:val="decimal"/>
      <w:pStyle w:val="ListNumber"/>
      <w:lvlText w:val="%1."/>
      <w:lvlJc w:val="left"/>
      <w:pPr>
        <w:tabs>
          <w:tab w:val="num" w:pos="360"/>
        </w:tabs>
        <w:ind w:left="360" w:hanging="360"/>
      </w:pPr>
    </w:lvl>
  </w:abstractNum>
  <w:abstractNum w:abstractNumId="7">
    <w:nsid w:val="FFFFFF89"/>
    <w:multiLevelType w:val="singleLevel"/>
    <w:tmpl w:val="E0FCA2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8 15:00: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B157AC6-A318-4710-8A38-7AFA0B9444D2"/>
    <w:docVar w:name="LW_COVERPAGE_TYPE" w:val="1"/>
    <w:docVar w:name="LW_CROSSREFERENCE" w:val="&lt;UNUSED&gt;"/>
    <w:docVar w:name="LW_DocType" w:val="COM"/>
    <w:docVar w:name="LW_EMISSION" w:val="15.7.2019"/>
    <w:docVar w:name="LW_EMISSION_ISODATE" w:val="2019-07-1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53"/>
    <w:docVar w:name="LW_REF.II.NEW.CP_YEAR" w:val="2019"/>
    <w:docVar w:name="LW_REF.INST.NEW" w:val="COM"/>
    <w:docVar w:name="LW_REF.INST.NEW_ADOPTED" w:val="final"/>
    <w:docVar w:name="LW_REF.INST.NEW_TEXT" w:val="(2019) 3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mixte de l'EEE en ce qui concerne une modification du protocole 31 de l'accord EEE concernant la coopération dans des secteurs particuliers en dehors des quatre libertés_x000b__x000b_[RescUE]_x000b__x000b_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5</Pages>
  <Words>861</Words>
  <Characters>4538</Characters>
  <Application>Microsoft Office Word</Application>
  <DocSecurity>0</DocSecurity>
  <Lines>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2019-06-19T10:20:00Z</dcterms:created>
  <dcterms:modified xsi:type="dcterms:W3CDTF">2019-07-08T13:00:00Z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