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4589D00C-4CBF-4C5E-A29B-D03842334FED"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ANNEXE</w:t>
      </w:r>
    </w:p>
    <w:p>
      <w:pPr>
        <w:spacing w:before="360" w:after="0"/>
        <w:jc w:val="center"/>
        <w:rPr>
          <w:b/>
          <w:noProof/>
          <w:szCs w:val="24"/>
        </w:rPr>
      </w:pPr>
      <w:r>
        <w:rPr>
          <w:b/>
          <w:noProof/>
        </w:rPr>
        <w:t>DÉCISION DU COMITÉ MIXTE DE L’EEE</w:t>
      </w:r>
    </w:p>
    <w:p>
      <w:pPr>
        <w:spacing w:after="0"/>
        <w:jc w:val="center"/>
        <w:rPr>
          <w:b/>
          <w:noProof/>
          <w:color w:val="0000FF"/>
          <w:szCs w:val="24"/>
        </w:rPr>
      </w:pPr>
      <w:r>
        <w:rPr>
          <w:b/>
          <w:noProof/>
        </w:rPr>
        <w:t>N</w:t>
      </w:r>
      <w:r>
        <w:rPr>
          <w:b/>
          <w:noProof/>
          <w:vertAlign w:val="superscript"/>
        </w:rPr>
        <w:t>°</w:t>
      </w:r>
      <w:r>
        <w:rPr>
          <w:b/>
          <w:noProof/>
        </w:rPr>
        <w:t xml:space="preserve"> </w:t>
      </w:r>
      <w:r>
        <w:rPr>
          <w:b/>
          <w:noProof/>
          <w:color w:val="0000FF"/>
        </w:rPr>
        <w:t>[…]</w:t>
      </w:r>
    </w:p>
    <w:p>
      <w:pPr>
        <w:spacing w:before="360" w:after="0"/>
        <w:jc w:val="center"/>
        <w:rPr>
          <w:b/>
          <w:noProof/>
          <w:color w:val="0000FF"/>
          <w:szCs w:val="24"/>
        </w:rPr>
      </w:pPr>
      <w:r>
        <w:rPr>
          <w:b/>
          <w:noProof/>
          <w:color w:val="000000" w:themeColor="text1"/>
        </w:rPr>
        <w:t xml:space="preserve">du </w:t>
      </w:r>
      <w:r>
        <w:rPr>
          <w:b/>
          <w:noProof/>
          <w:color w:val="0000FF"/>
        </w:rPr>
        <w:t>[…]</w:t>
      </w:r>
    </w:p>
    <w:p>
      <w:pPr>
        <w:spacing w:before="360" w:after="360"/>
        <w:jc w:val="center"/>
        <w:rPr>
          <w:b/>
          <w:noProof/>
          <w:color w:val="000000" w:themeColor="text1"/>
          <w:szCs w:val="24"/>
        </w:rPr>
      </w:pPr>
      <w:r>
        <w:rPr>
          <w:b/>
          <w:noProof/>
          <w:color w:val="000000" w:themeColor="text1"/>
        </w:rPr>
        <w:t>modifiant le protocole 31 de l'accord EEE concernant la coopération dans des secteurs particuliers en dehors des quatre libertés</w:t>
      </w:r>
      <w:r>
        <w:rPr>
          <w:noProof/>
        </w:rPr>
        <w:cr/>
      </w:r>
    </w:p>
    <w:p>
      <w:pPr>
        <w:spacing w:before="600"/>
        <w:rPr>
          <w:noProof/>
          <w:color w:val="000000" w:themeColor="text1"/>
          <w:szCs w:val="24"/>
        </w:rPr>
      </w:pPr>
      <w:r>
        <w:rPr>
          <w:noProof/>
          <w:color w:val="000000" w:themeColor="text1"/>
        </w:rPr>
        <w:t>LE COMITÉ MIXTE DE L'EEE,</w:t>
      </w:r>
    </w:p>
    <w:p>
      <w:pPr>
        <w:rPr>
          <w:noProof/>
          <w:color w:val="000000" w:themeColor="text1"/>
          <w:szCs w:val="24"/>
        </w:rPr>
      </w:pPr>
      <w:r>
        <w:rPr>
          <w:noProof/>
          <w:color w:val="000000" w:themeColor="text1"/>
        </w:rPr>
        <w:t>vu l'accord sur l'Espace économique européen (ci-après l'«accord EEE»), et notamment ses articles 86 et 98,</w:t>
      </w:r>
    </w:p>
    <w:p>
      <w:pPr>
        <w:rPr>
          <w:noProof/>
          <w:color w:val="000000" w:themeColor="text1"/>
          <w:szCs w:val="24"/>
        </w:rPr>
      </w:pPr>
      <w:r>
        <w:rPr>
          <w:noProof/>
          <w:color w:val="000000" w:themeColor="text1"/>
        </w:rPr>
        <w:t>considérant ce qui suit:</w:t>
      </w:r>
    </w:p>
    <w:p>
      <w:pPr>
        <w:pStyle w:val="Considrant"/>
        <w:numPr>
          <w:ilvl w:val="0"/>
          <w:numId w:val="24"/>
        </w:numPr>
        <w:rPr>
          <w:noProof/>
        </w:rPr>
      </w:pPr>
      <w:r>
        <w:rPr>
          <w:noProof/>
        </w:rPr>
        <w:t xml:space="preserve">Il y a lieu d'étendre la coopération entre les parties contractantes de manière à ce qu'elle couvre la </w:t>
      </w:r>
      <w:bookmarkStart w:id="1" w:name="_Hlk4166318"/>
      <w:r>
        <w:rPr>
          <w:noProof/>
        </w:rPr>
        <w:t>décision (UE) 2019/420 du Parlement européen et du Conseil du 13 mars 2019 modifiant la décision n</w:t>
      </w:r>
      <w:r>
        <w:rPr>
          <w:noProof/>
          <w:vertAlign w:val="superscript"/>
        </w:rPr>
        <w:t>°</w:t>
      </w:r>
      <w:r>
        <w:rPr>
          <w:noProof/>
        </w:rPr>
        <w:t> 1313/2013/UE relative au mécanisme de protection civile de l'Union</w:t>
      </w:r>
      <w:bookmarkEnd w:id="1"/>
      <w:r>
        <w:rPr>
          <w:rStyle w:val="FootnoteReference"/>
          <w:noProof/>
        </w:rPr>
        <w:footnoteReference w:id="1"/>
      </w:r>
      <w:r>
        <w:rPr>
          <w:noProof/>
        </w:rPr>
        <w:t>.</w:t>
      </w:r>
    </w:p>
    <w:p>
      <w:pPr>
        <w:pStyle w:val="Considrant"/>
        <w:rPr>
          <w:noProof/>
          <w:color w:val="000000" w:themeColor="text1"/>
        </w:rPr>
      </w:pPr>
      <w:r>
        <w:rPr>
          <w:noProof/>
        </w:rPr>
        <w:t>Il convient dès lors de modifier le protocole 31 de l'accord EEE en conséquence, afin que cette coopération étendue puisse commencer le 21 mars 2019,</w:t>
      </w:r>
    </w:p>
    <w:p>
      <w:pPr>
        <w:keepNext/>
        <w:tabs>
          <w:tab w:val="left" w:pos="709"/>
        </w:tabs>
        <w:rPr>
          <w:noProof/>
          <w:color w:val="000000" w:themeColor="text1"/>
          <w:szCs w:val="24"/>
        </w:rPr>
      </w:pPr>
      <w:r>
        <w:rPr>
          <w:noProof/>
          <w:color w:val="000000" w:themeColor="text1"/>
        </w:rPr>
        <w:t>A ADOPTÉ LA PRÉSENTE DÉCISION:</w:t>
      </w:r>
    </w:p>
    <w:p>
      <w:pPr>
        <w:pStyle w:val="Articleheading"/>
        <w:rPr>
          <w:noProof/>
        </w:rPr>
      </w:pPr>
      <w:r>
        <w:rPr>
          <w:noProof/>
        </w:rPr>
        <w:t>Article premier</w:t>
      </w:r>
    </w:p>
    <w:p>
      <w:pPr>
        <w:pStyle w:val="Articletext"/>
        <w:rPr>
          <w:noProof/>
        </w:rPr>
      </w:pPr>
      <w:r>
        <w:rPr>
          <w:noProof/>
        </w:rPr>
        <w:t>Le texte suivant est inséré au tiret (décision nº 1313/2013/UE du Parlement européen et du Conseil) de l'article 10, paragraphe 8, point d), du protocole 31 de l'accord EEE:</w:t>
      </w:r>
    </w:p>
    <w:p>
      <w:pPr>
        <w:pStyle w:val="Point0"/>
        <w:rPr>
          <w:noProof/>
        </w:rPr>
      </w:pPr>
      <w:r>
        <w:rPr>
          <w:noProof/>
        </w:rPr>
        <w:t>«modifiée par:</w:t>
      </w:r>
    </w:p>
    <w:p>
      <w:pPr>
        <w:pStyle w:val="Point0"/>
        <w:rPr>
          <w:noProof/>
        </w:rPr>
      </w:pPr>
      <w:r>
        <w:rPr>
          <w:noProof/>
        </w:rPr>
        <w:t>-</w:t>
      </w:r>
      <w:r>
        <w:rPr>
          <w:noProof/>
        </w:rPr>
        <w:tab/>
      </w:r>
      <w:r>
        <w:rPr>
          <w:b/>
          <w:noProof/>
        </w:rPr>
        <w:t>32019 D 0420</w:t>
      </w:r>
      <w:r>
        <w:rPr>
          <w:noProof/>
        </w:rPr>
        <w:t>: décision (UE) 2019/420 du Parlement européen et du Conseil du 13 mars 2019 modifiant la décision n</w:t>
      </w:r>
      <w:r>
        <w:rPr>
          <w:noProof/>
          <w:vertAlign w:val="superscript"/>
        </w:rPr>
        <w:t>°</w:t>
      </w:r>
      <w:r>
        <w:rPr>
          <w:noProof/>
        </w:rPr>
        <w:t> 1313/2013/UE relative au mécanisme de protection civile de l'Union (JO L 77I du 20.3.2019, p. 1).»</w:t>
      </w:r>
    </w:p>
    <w:p>
      <w:pPr>
        <w:pStyle w:val="Articleheading"/>
        <w:rPr>
          <w:noProof/>
        </w:rPr>
      </w:pPr>
      <w:r>
        <w:rPr>
          <w:noProof/>
        </w:rPr>
        <w:t>Article 2</w:t>
      </w:r>
    </w:p>
    <w:p>
      <w:pPr>
        <w:pStyle w:val="Articletext"/>
        <w:rPr>
          <w:noProof/>
        </w:rPr>
      </w:pPr>
      <w:r>
        <w:rPr>
          <w:noProof/>
        </w:rPr>
        <w:t>La présente décision entre en vigueur le jour suivant la dernière notification au Comité mixte de l'EEE prévue à l'article 103, paragraphe 1, de l'accord</w:t>
      </w:r>
      <w:r>
        <w:rPr>
          <w:noProof/>
          <w:vertAlign w:val="superscript"/>
        </w:rPr>
        <w:sym w:font="Symbol" w:char="F02A"/>
      </w:r>
      <w:r>
        <w:rPr>
          <w:noProof/>
        </w:rPr>
        <w:t>.</w:t>
      </w:r>
    </w:p>
    <w:p>
      <w:pPr>
        <w:pStyle w:val="Articletext"/>
        <w:rPr>
          <w:noProof/>
        </w:rPr>
      </w:pPr>
      <w:r>
        <w:rPr>
          <w:noProof/>
        </w:rPr>
        <w:footnoteReference w:customMarkFollows="1" w:id="2"/>
        <w:t>Elle est applicable à partir du 21 mars 2019.</w:t>
      </w:r>
    </w:p>
    <w:p>
      <w:pPr>
        <w:pStyle w:val="Articleheading"/>
        <w:rPr>
          <w:noProof/>
        </w:rPr>
      </w:pPr>
      <w:r>
        <w:rPr>
          <w:noProof/>
        </w:rPr>
        <w:t>Article 3</w:t>
      </w:r>
    </w:p>
    <w:p>
      <w:pPr>
        <w:pStyle w:val="Articletext"/>
        <w:rPr>
          <w:noProof/>
        </w:rPr>
      </w:pPr>
      <w:r>
        <w:rPr>
          <w:noProof/>
        </w:rPr>
        <w:t xml:space="preserve">La présente décision est publiée dans la partie EEE et dans le supplément EEE du </w:t>
      </w:r>
      <w:r>
        <w:rPr>
          <w:i/>
          <w:noProof/>
        </w:rPr>
        <w:t>Journal officiel de l'Union européenne</w:t>
      </w:r>
      <w:r>
        <w:rPr>
          <w:noProof/>
        </w:rPr>
        <w:t>.</w:t>
      </w:r>
    </w:p>
    <w:p>
      <w:pPr>
        <w:rPr>
          <w:noProof/>
          <w:szCs w:val="24"/>
        </w:rPr>
      </w:pPr>
      <w:r>
        <w:rPr>
          <w:noProof/>
        </w:rPr>
        <w:t xml:space="preserve">Fait à Bruxelles, le </w:t>
      </w:r>
      <w:r>
        <w:rPr>
          <w:rStyle w:val="Marker"/>
          <w:noProof/>
        </w:rPr>
        <w:t>[…]</w:t>
      </w:r>
      <w:r>
        <w:rPr>
          <w:noProof/>
        </w:rPr>
        <w:t>.</w:t>
      </w:r>
    </w:p>
    <w:p>
      <w:pPr>
        <w:tabs>
          <w:tab w:val="left" w:pos="4253"/>
        </w:tabs>
        <w:spacing w:before="720" w:after="0"/>
        <w:rPr>
          <w:i/>
          <w:noProof/>
          <w:szCs w:val="24"/>
        </w:rPr>
      </w:pPr>
      <w:r>
        <w:rPr>
          <w:noProof/>
        </w:rPr>
        <w:tab/>
      </w:r>
      <w:r>
        <w:rPr>
          <w:i/>
          <w:noProof/>
        </w:rPr>
        <w:t>Par le Comité mixte de l'EEE</w:t>
      </w:r>
    </w:p>
    <w:p>
      <w:pPr>
        <w:tabs>
          <w:tab w:val="left" w:pos="4253"/>
        </w:tabs>
        <w:spacing w:after="0"/>
        <w:rPr>
          <w:i/>
          <w:noProof/>
          <w:szCs w:val="24"/>
        </w:rPr>
      </w:pPr>
      <w:r>
        <w:rPr>
          <w:noProof/>
        </w:rPr>
        <w:tab/>
      </w:r>
      <w:r>
        <w:rPr>
          <w:i/>
          <w:noProof/>
        </w:rPr>
        <w:t>Le président</w:t>
      </w:r>
    </w:p>
    <w:p>
      <w:pPr>
        <w:tabs>
          <w:tab w:val="left" w:pos="4253"/>
        </w:tabs>
        <w:spacing w:after="0"/>
        <w:rPr>
          <w:i/>
          <w:noProof/>
          <w:szCs w:val="24"/>
        </w:rPr>
      </w:pPr>
      <w:r>
        <w:rPr>
          <w:noProof/>
        </w:rPr>
        <w:tab/>
      </w:r>
      <w:r>
        <w:rPr>
          <w:rStyle w:val="Marker"/>
          <w:i/>
          <w:noProof/>
        </w:rPr>
        <w:t>[…]</w:t>
      </w:r>
    </w:p>
    <w:p>
      <w:pPr>
        <w:pStyle w:val="ListParagraph"/>
        <w:ind w:left="0"/>
        <w:rPr>
          <w:rStyle w:val="Marker"/>
          <w:noProof/>
        </w:rPr>
      </w:pPr>
    </w:p>
    <w:p>
      <w:pPr>
        <w:pStyle w:val="ListParagraph"/>
        <w:ind w:left="0"/>
        <w:rPr>
          <w:rStyle w:val="Marker"/>
          <w:noProof/>
        </w:rPr>
      </w:pPr>
    </w:p>
    <w:p>
      <w:pPr>
        <w:pStyle w:val="ListParagraph"/>
        <w:tabs>
          <w:tab w:val="left" w:pos="4253"/>
        </w:tabs>
        <w:ind w:left="0"/>
        <w:rPr>
          <w:rFonts w:cs="Times New Roman"/>
          <w:i/>
          <w:noProof/>
          <w:sz w:val="24"/>
          <w:szCs w:val="24"/>
        </w:rPr>
      </w:pPr>
      <w:r>
        <w:rPr>
          <w:noProof/>
        </w:rPr>
        <w:tab/>
      </w:r>
      <w:r>
        <w:rPr>
          <w:i/>
          <w:noProof/>
          <w:sz w:val="24"/>
        </w:rPr>
        <w:t>Les secrétaires</w:t>
      </w:r>
    </w:p>
    <w:p>
      <w:pPr>
        <w:pStyle w:val="ListParagraph"/>
        <w:tabs>
          <w:tab w:val="left" w:pos="4253"/>
        </w:tabs>
        <w:ind w:left="0"/>
        <w:rPr>
          <w:rFonts w:cs="Times New Roman"/>
          <w:i/>
          <w:noProof/>
          <w:sz w:val="24"/>
          <w:szCs w:val="24"/>
        </w:rPr>
      </w:pPr>
      <w:r>
        <w:rPr>
          <w:noProof/>
        </w:rPr>
        <w:tab/>
      </w:r>
      <w:r>
        <w:rPr>
          <w:i/>
          <w:noProof/>
          <w:sz w:val="24"/>
        </w:rPr>
        <w:t>du Comité mixte de l'EEE</w:t>
      </w:r>
    </w:p>
    <w:p>
      <w:pPr>
        <w:pStyle w:val="ListParagraph"/>
        <w:tabs>
          <w:tab w:val="left" w:pos="4253"/>
        </w:tabs>
        <w:ind w:left="0"/>
        <w:rPr>
          <w:rStyle w:val="Marker"/>
          <w:rFonts w:cs="Times New Roman"/>
          <w:i/>
          <w:noProof/>
          <w:sz w:val="24"/>
          <w:szCs w:val="24"/>
        </w:rPr>
      </w:pPr>
      <w:r>
        <w:rPr>
          <w:noProof/>
        </w:rPr>
        <w:tab/>
      </w:r>
      <w:r>
        <w:rPr>
          <w:rStyle w:val="Marker"/>
          <w:i/>
          <w:noProof/>
          <w:sz w:val="24"/>
        </w:rPr>
        <w:t>[…]</w:t>
      </w:r>
    </w:p>
    <w:p>
      <w:pPr>
        <w:spacing w:before="600"/>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77I du 20.3.2019, p. 6.</w:t>
      </w:r>
    </w:p>
  </w:footnote>
  <w:footnote w:id="2">
    <w:p>
      <w:pPr>
        <w:pStyle w:val="FootnoteText"/>
      </w:pPr>
      <w:r>
        <w:rPr>
          <w:rStyle w:val="FootnoteReference"/>
        </w:rPr>
        <w:sym w:font="Symbol" w:char="F02A"/>
      </w:r>
      <w:r>
        <w:t>[Pas de procédures constitutionnelles signalées.][Procédures constitutionnelles signalées.]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2E6A9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48A33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EE431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4EEA13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00053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8A92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2FADC94"/>
    <w:lvl w:ilvl="0">
      <w:start w:val="1"/>
      <w:numFmt w:val="decimal"/>
      <w:pStyle w:val="ListNumber"/>
      <w:lvlText w:val="%1."/>
      <w:lvlJc w:val="left"/>
      <w:pPr>
        <w:tabs>
          <w:tab w:val="num" w:pos="360"/>
        </w:tabs>
        <w:ind w:left="360" w:hanging="360"/>
      </w:pPr>
    </w:lvl>
  </w:abstractNum>
  <w:abstractNum w:abstractNumId="7">
    <w:nsid w:val="FFFFFF89"/>
    <w:multiLevelType w:val="singleLevel"/>
    <w:tmpl w:val="72D4B19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2">
    <w:nsid w:val="7E474D4E"/>
    <w:multiLevelType w:val="singleLevel"/>
    <w:tmpl w:val="1A6608A0"/>
    <w:lvl w:ilvl="0">
      <w:start w:val="1"/>
      <w:numFmt w:val="decimal"/>
      <w:lvlRestart w:val="0"/>
      <w:pStyle w:val="Titreobjet"/>
      <w:lvlText w:val="(%1)"/>
      <w:lvlJc w:val="left"/>
      <w:pPr>
        <w:tabs>
          <w:tab w:val="num" w:pos="709"/>
        </w:tabs>
        <w:ind w:left="709" w:hanging="709"/>
      </w:pPr>
    </w:lvl>
  </w:abstractNum>
  <w:num w:numId="1">
    <w:abstractNumId w:val="22"/>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21"/>
    <w:lvlOverride w:ilvl="0">
      <w:startOverride w:val="1"/>
    </w:lvlOverride>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08 15:01:52"/>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2"/>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4589D00C-4CBF-4C5E-A29B-D03842334FED"/>
    <w:docVar w:name="LW_COVERPAGE_TYPE" w:val="1"/>
    <w:docVar w:name="LW_CROSSREFERENCE" w:val="&lt;UNUSED&gt;"/>
    <w:docVar w:name="LW_DocType" w:val="ANNEX"/>
    <w:docVar w:name="LW_EMISSION" w:val="15.7.2019"/>
    <w:docVar w:name="LW_EMISSION_ISODATE" w:val="2019-07-15"/>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européenne, au sein du Comité mixte de l'EEE en ce qui concerne une modification du protocole&lt;LWCR:NBS&gt;31 de l'accord EEE concernant la coopération dans des secteurs particuliers en dehors des quatre libertés_x000b__x000b_[RescUE]"/>
    <w:docVar w:name="LW_OBJETACTEPRINCIPAL.CP" w:val="relative à la position à prendre, au nom de l'Union européenne, au sein du Comité mixte de l'EEE en ce qui concerne une modification du protocole 31 de l'accord EEE concernant la coopération dans des secteurs particuliers en dehors des quatre libertés_x000b__x000b_[RescUE]"/>
    <w:docVar w:name="LW_PART_NBR" w:val="1"/>
    <w:docVar w:name="LW_PART_NBR_TOTAL" w:val="1"/>
    <w:docVar w:name="LW_REF.INST.NEW" w:val="COM"/>
    <w:docVar w:name="LW_REF.INST.NEW_ADOPTED" w:val="final"/>
    <w:docVar w:name="LW_REF.INST.NEW_TEXT" w:val="(2019) 3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numPr>
        <w:numId w:val="1"/>
      </w:numPr>
      <w:tabs>
        <w:tab w:val="clear" w:pos="709"/>
      </w:tabs>
      <w:spacing w:before="360" w:after="360"/>
      <w:ind w:left="0" w:firstLine="0"/>
      <w:jc w:val="center"/>
    </w:pPr>
    <w:rPr>
      <w:b/>
    </w:rPr>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0Char">
    <w:name w:val="Point 0 Char"/>
    <w:basedOn w:val="DefaultParagraphFont"/>
    <w:rPr>
      <w:rFonts w:ascii="Times New Roman" w:hAnsi="Times New Roman" w:cs="Times New Roman"/>
      <w:sz w:val="24"/>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numPr>
        <w:numId w:val="1"/>
      </w:numPr>
      <w:tabs>
        <w:tab w:val="clear" w:pos="709"/>
      </w:tabs>
      <w:spacing w:before="360" w:after="360"/>
      <w:ind w:left="0" w:firstLine="0"/>
      <w:jc w:val="center"/>
    </w:pPr>
    <w:rPr>
      <w:b/>
    </w:rPr>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0Char">
    <w:name w:val="Point 0 Char"/>
    <w:basedOn w:val="DefaultParagraphFont"/>
    <w:rPr>
      <w:rFonts w:ascii="Times New Roman" w:hAnsi="Times New Roman" w:cs="Times New Roman"/>
      <w:sz w:val="24"/>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3</Pages>
  <Words>282</Words>
  <Characters>1407</Characters>
  <Application>Microsoft Office Word</Application>
  <DocSecurity>0</DocSecurity>
  <Lines>43</Lines>
  <Paragraphs>32</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KARLOWSKI Mikolaj</dc:creator>
  <cp:lastModifiedBy>WES PDFC Administrator</cp:lastModifiedBy>
  <cp:revision>8</cp:revision>
  <dcterms:created xsi:type="dcterms:W3CDTF">2019-06-19T10:26:00Z</dcterms:created>
  <dcterms:modified xsi:type="dcterms:W3CDTF">2019-07-08T13:01:00Z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