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08AD4F6-D67F-4A97-B63E-19F99514A7F9" style="width:450.35pt;height:307.7pt">
            <v:imagedata r:id="rId9" o:title=""/>
          </v:shape>
        </w:pict>
      </w:r>
    </w:p>
    <w:bookmarkEnd w:id="0"/>
    <w:p>
      <w:pPr>
        <w:spacing w:after="120" w:line="240" w:lineRule="auto"/>
        <w:jc w:val="both"/>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keepLines/>
        <w:spacing w:after="120" w:line="240" w:lineRule="auto"/>
        <w:jc w:val="both"/>
        <w:rPr>
          <w:rFonts w:ascii="Times New Roman" w:eastAsia="Calibri" w:hAnsi="Times New Roman" w:cs="Times New Roman"/>
          <w:b/>
          <w:noProof/>
          <w:sz w:val="24"/>
          <w:szCs w:val="24"/>
          <w:u w:val="single"/>
        </w:rPr>
      </w:pPr>
      <w:bookmarkStart w:id="1" w:name="_GoBack"/>
      <w:bookmarkEnd w:id="1"/>
      <w:r>
        <w:rPr>
          <w:rFonts w:ascii="Times New Roman" w:eastAsia="Calibri" w:hAnsi="Times New Roman" w:cs="Times New Roman"/>
          <w:b/>
          <w:noProof/>
          <w:sz w:val="24"/>
          <w:szCs w:val="24"/>
          <w:u w:val="single"/>
        </w:rPr>
        <w:lastRenderedPageBreak/>
        <w:t>Introduction</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Overseas Association Decision</w:t>
      </w:r>
      <w:r>
        <w:rPr>
          <w:rFonts w:ascii="Times New Roman" w:eastAsia="Calibri" w:hAnsi="Times New Roman" w:cs="Times New Roman"/>
          <w:noProof/>
          <w:sz w:val="24"/>
          <w:szCs w:val="24"/>
          <w:vertAlign w:val="superscript"/>
        </w:rPr>
        <w:footnoteReference w:id="1"/>
      </w:r>
      <w:r>
        <w:rPr>
          <w:rFonts w:ascii="Times New Roman" w:eastAsia="Calibri" w:hAnsi="Times New Roman" w:cs="Times New Roman"/>
          <w:noProof/>
          <w:sz w:val="24"/>
          <w:szCs w:val="24"/>
        </w:rPr>
        <w:t xml:space="preserve"> (OAD) establishes the legal framework for the relations between the Overseas Countries and Territories</w:t>
      </w:r>
      <w:r>
        <w:rPr>
          <w:rFonts w:ascii="Times New Roman" w:eastAsia="Calibri" w:hAnsi="Times New Roman" w:cs="Times New Roman"/>
          <w:noProof/>
          <w:sz w:val="24"/>
          <w:szCs w:val="24"/>
          <w:vertAlign w:val="superscript"/>
        </w:rPr>
        <w:footnoteReference w:id="2"/>
      </w:r>
      <w:r>
        <w:rPr>
          <w:rFonts w:ascii="Times New Roman" w:eastAsia="Calibri" w:hAnsi="Times New Roman" w:cs="Times New Roman"/>
          <w:noProof/>
          <w:sz w:val="24"/>
          <w:szCs w:val="24"/>
        </w:rPr>
        <w:t xml:space="preserve"> (OCTs), the Member States to which they are linked, and the European Union. According to the Treaty on the Functioning of the European Union</w:t>
      </w:r>
      <w:r>
        <w:rPr>
          <w:rFonts w:ascii="Times New Roman" w:eastAsia="Calibri" w:hAnsi="Times New Roman" w:cs="Times New Roman"/>
          <w:noProof/>
          <w:sz w:val="24"/>
          <w:szCs w:val="24"/>
          <w:vertAlign w:val="superscript"/>
        </w:rPr>
        <w:footnoteReference w:id="3"/>
      </w:r>
      <w:r>
        <w:rPr>
          <w:rFonts w:ascii="Times New Roman" w:eastAsia="Calibri" w:hAnsi="Times New Roman" w:cs="Times New Roman"/>
          <w:noProof/>
          <w:sz w:val="24"/>
          <w:szCs w:val="24"/>
        </w:rPr>
        <w:t xml:space="preserve"> (TFEU), the purpose of the Overseas Association Decision is to support the sustainable development of the OCTs and to promote the values of the Union in the wider world.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Financial support to OCTs is provided mainly through the European Development Fund (EDF), with an amount of EUR 364.5 million allocated under the 11</w:t>
      </w:r>
      <w:r>
        <w:rPr>
          <w:rFonts w:ascii="Times New Roman" w:eastAsia="Calibri" w:hAnsi="Times New Roman" w:cs="Times New Roman"/>
          <w:noProof/>
          <w:sz w:val="24"/>
          <w:szCs w:val="24"/>
          <w:vertAlign w:val="superscript"/>
        </w:rPr>
        <w:t>th </w:t>
      </w:r>
      <w:r>
        <w:rPr>
          <w:rFonts w:ascii="Times New Roman" w:eastAsia="Calibri" w:hAnsi="Times New Roman" w:cs="Times New Roman"/>
          <w:noProof/>
          <w:sz w:val="24"/>
          <w:szCs w:val="24"/>
        </w:rPr>
        <w:t>EDF for the 2014-2020 programming period.</w:t>
      </w:r>
      <w:r>
        <w:rPr>
          <w:rFonts w:ascii="Times New Roman" w:eastAsia="Calibri" w:hAnsi="Times New Roman" w:cs="Times New Roman"/>
          <w:noProof/>
          <w:sz w:val="24"/>
          <w:szCs w:val="24"/>
          <w:vertAlign w:val="superscript"/>
        </w:rPr>
        <w:footnoteReference w:id="4"/>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compliance with Article 91 OAD, this report highlights progress achieved in the implementation of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resources for OCTs for the year 2018.</w:t>
      </w:r>
    </w:p>
    <w:p>
      <w:pPr>
        <w:keepNext/>
        <w:keepLines/>
        <w:spacing w:after="120"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noProof/>
          <w:sz w:val="24"/>
          <w:szCs w:val="24"/>
          <w:u w:val="single"/>
        </w:rPr>
        <w:t>Financial Resources under the 11</w:t>
      </w:r>
      <w:r>
        <w:rPr>
          <w:rFonts w:ascii="Times New Roman" w:eastAsia="Calibri" w:hAnsi="Times New Roman" w:cs="Times New Roman"/>
          <w:b/>
          <w:noProof/>
          <w:sz w:val="24"/>
          <w:szCs w:val="24"/>
          <w:u w:val="single"/>
          <w:vertAlign w:val="superscript"/>
        </w:rPr>
        <w:t>th</w:t>
      </w:r>
      <w:r>
        <w:rPr>
          <w:rFonts w:ascii="Times New Roman" w:eastAsia="Calibri" w:hAnsi="Times New Roman" w:cs="Times New Roman"/>
          <w:b/>
          <w:noProof/>
          <w:sz w:val="24"/>
          <w:szCs w:val="24"/>
          <w:u w:val="single"/>
        </w:rPr>
        <w:t xml:space="preserve"> EDF-OCT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resources available to OCTs are split into the following allocations, based on Annex 2 of the Overseas Association Decision:</w:t>
      </w:r>
    </w:p>
    <w:p>
      <w:pPr>
        <w:numPr>
          <w:ilvl w:val="0"/>
          <w:numId w:val="1"/>
        </w:numPr>
        <w:spacing w:after="120" w:line="240" w:lineRule="auto"/>
        <w:ind w:left="714" w:hanging="357"/>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EUR 229.5 million for the territorial (bilateral) allocations;</w:t>
      </w:r>
    </w:p>
    <w:p>
      <w:pPr>
        <w:numPr>
          <w:ilvl w:val="0"/>
          <w:numId w:val="1"/>
        </w:num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EUR 100 million for regional cooperation and integration;</w:t>
      </w:r>
    </w:p>
    <w:p>
      <w:pPr>
        <w:numPr>
          <w:ilvl w:val="0"/>
          <w:numId w:val="1"/>
        </w:num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EUR 21.5 million to finance humanitarian and emergency assistance, or assistance for fluctuations in export earnings;</w:t>
      </w:r>
    </w:p>
    <w:p>
      <w:pPr>
        <w:numPr>
          <w:ilvl w:val="0"/>
          <w:numId w:val="1"/>
        </w:num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EUR 5 million to finance interest subsidies and technical assistance through the </w:t>
      </w:r>
      <w:r>
        <w:rPr>
          <w:rFonts w:ascii="Times New Roman" w:eastAsia="Calibri" w:hAnsi="Times New Roman" w:cs="Times New Roman"/>
          <w:noProof/>
          <w:sz w:val="24"/>
          <w:szCs w:val="24"/>
          <w:lang w:eastAsia="fr-BE"/>
        </w:rPr>
        <w:t>EIB’s OCT Investment Facility;</w:t>
      </w:r>
    </w:p>
    <w:p>
      <w:pPr>
        <w:numPr>
          <w:ilvl w:val="0"/>
          <w:numId w:val="1"/>
        </w:numPr>
        <w:spacing w:after="120" w:line="240" w:lineRule="auto"/>
        <w:ind w:left="714" w:hanging="357"/>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EUR 8.5 million for studies and technical assistance in accordance with Article 81 OAD.</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Sixteen OCTs are considered eligible for a territorial allocation under the 11</w:t>
      </w:r>
      <w:r>
        <w:rPr>
          <w:rFonts w:ascii="Times New Roman" w:eastAsia="Calibri" w:hAnsi="Times New Roman" w:cs="Times New Roman"/>
          <w:b/>
          <w:noProof/>
          <w:sz w:val="24"/>
          <w:szCs w:val="24"/>
          <w:vertAlign w:val="superscript"/>
        </w:rPr>
        <w:t>th</w:t>
      </w:r>
      <w:r>
        <w:rPr>
          <w:rFonts w:ascii="Times New Roman" w:eastAsia="Calibri" w:hAnsi="Times New Roman" w:cs="Times New Roman"/>
          <w:b/>
          <w:noProof/>
          <w:sz w:val="24"/>
          <w:szCs w:val="24"/>
        </w:rPr>
        <w:t xml:space="preserve"> EDF, defined according to criteria established in the OAD.</w:t>
      </w:r>
      <w:r>
        <w:rPr>
          <w:rFonts w:ascii="Times New Roman" w:eastAsia="Calibri" w:hAnsi="Times New Roman" w:cs="Times New Roman"/>
          <w:noProof/>
          <w:sz w:val="24"/>
          <w:szCs w:val="24"/>
        </w:rPr>
        <w:t xml:space="preserve"> It should be noted that Greenland is funded directly by the general budget of the Union on the basis of the ‘Greenland Decision’</w:t>
      </w:r>
      <w:r>
        <w:rPr>
          <w:rFonts w:ascii="Times New Roman" w:eastAsia="Calibri" w:hAnsi="Times New Roman" w:cs="Times New Roman"/>
          <w:noProof/>
          <w:sz w:val="24"/>
          <w:szCs w:val="24"/>
          <w:vertAlign w:val="superscript"/>
        </w:rPr>
        <w:footnoteReference w:id="5"/>
      </w:r>
      <w:r>
        <w:rPr>
          <w:rFonts w:ascii="Times New Roman" w:eastAsia="Calibri" w:hAnsi="Times New Roman" w:cs="Times New Roman"/>
          <w:noProof/>
          <w:sz w:val="24"/>
          <w:szCs w:val="24"/>
        </w:rPr>
        <w:t>.</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The three regional programmes</w:t>
      </w:r>
      <w:r>
        <w:rPr>
          <w:rFonts w:ascii="Times New Roman" w:eastAsia="Calibri" w:hAnsi="Times New Roman" w:cs="Times New Roman"/>
          <w:noProof/>
          <w:sz w:val="24"/>
          <w:szCs w:val="24"/>
        </w:rPr>
        <w:t xml:space="preserve"> seek to foster cooperation among OCTs of the same region and sharing similar challenges and priorities. Actions financed under the regional allocation support the elaboration and implementation of comprehensive regional programmes and projects for addressing these challenges. Partnerships with other funding sources, including other European Union financial instruments, through cooperation with the neighbouring ACP and/or third countries, as well as the Outermost Regions of the EU, are encouraged.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addition to territorial and regional programmes, </w:t>
      </w:r>
      <w:r>
        <w:rPr>
          <w:rFonts w:ascii="Times New Roman" w:eastAsia="Calibri" w:hAnsi="Times New Roman" w:cs="Times New Roman"/>
          <w:b/>
          <w:noProof/>
          <w:sz w:val="24"/>
          <w:szCs w:val="24"/>
        </w:rPr>
        <w:t>the thematic programme</w:t>
      </w:r>
      <w:r>
        <w:rPr>
          <w:rFonts w:ascii="Times New Roman" w:eastAsia="Calibri" w:hAnsi="Times New Roman" w:cs="Times New Roman"/>
          <w:noProof/>
          <w:sz w:val="24"/>
          <w:szCs w:val="24"/>
        </w:rPr>
        <w:t>, the only “all OCTs” programme under 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will foster region-wide inter-OCT cooperation.</w:t>
      </w:r>
    </w:p>
    <w:p>
      <w:pPr>
        <w:keepNext/>
        <w:keepLines/>
        <w:spacing w:after="120"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noProof/>
          <w:sz w:val="24"/>
          <w:szCs w:val="24"/>
          <w:u w:val="single"/>
        </w:rPr>
        <w:t>Programming process for the 11</w:t>
      </w:r>
      <w:r>
        <w:rPr>
          <w:rFonts w:ascii="Times New Roman" w:eastAsia="Calibri" w:hAnsi="Times New Roman" w:cs="Times New Roman"/>
          <w:b/>
          <w:noProof/>
          <w:sz w:val="24"/>
          <w:szCs w:val="24"/>
          <w:u w:val="single"/>
          <w:vertAlign w:val="superscript"/>
        </w:rPr>
        <w:t>th</w:t>
      </w:r>
      <w:r>
        <w:rPr>
          <w:rFonts w:ascii="Times New Roman" w:eastAsia="Calibri" w:hAnsi="Times New Roman" w:cs="Times New Roman"/>
          <w:b/>
          <w:noProof/>
          <w:sz w:val="24"/>
          <w:szCs w:val="24"/>
          <w:u w:val="single"/>
        </w:rPr>
        <w:t xml:space="preserve"> EDF-OCT</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Part Four of the Overseas Association Decision establishes </w:t>
      </w:r>
      <w:r>
        <w:rPr>
          <w:rFonts w:ascii="Times New Roman" w:eastAsia="Calibri" w:hAnsi="Times New Roman" w:cs="Times New Roman"/>
          <w:b/>
          <w:noProof/>
          <w:sz w:val="24"/>
          <w:szCs w:val="24"/>
        </w:rPr>
        <w:t>a programming process, which is specific to OCTs</w:t>
      </w:r>
      <w:r>
        <w:rPr>
          <w:rFonts w:ascii="Times New Roman" w:eastAsia="Calibri" w:hAnsi="Times New Roman" w:cs="Times New Roman"/>
          <w:noProof/>
          <w:sz w:val="24"/>
          <w:szCs w:val="24"/>
        </w:rPr>
        <w:t xml:space="preserve">. Unlike countries of the African, Caribbean, and Pacific (ACP) group of states, programming is not based on national indicative programmes but is organised around </w:t>
      </w:r>
      <w:r>
        <w:rPr>
          <w:rFonts w:ascii="Times New Roman" w:eastAsia="Calibri" w:hAnsi="Times New Roman" w:cs="Times New Roman"/>
          <w:b/>
          <w:noProof/>
          <w:sz w:val="24"/>
          <w:szCs w:val="24"/>
        </w:rPr>
        <w:t>a one-step process, the elaboration of a Programming Document, which has two components: a) the EU response strategy (Part A) and b) the Action Document (Part B).</w:t>
      </w:r>
      <w:r>
        <w:rPr>
          <w:rFonts w:ascii="Times New Roman" w:eastAsia="Calibri" w:hAnsi="Times New Roman" w:cs="Times New Roman"/>
          <w:noProof/>
          <w:sz w:val="24"/>
          <w:szCs w:val="24"/>
        </w:rPr>
        <w:t xml:space="preserve">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Only </w:t>
      </w:r>
      <w:r>
        <w:rPr>
          <w:rFonts w:ascii="Times New Roman" w:eastAsia="Calibri" w:hAnsi="Times New Roman" w:cs="Times New Roman"/>
          <w:b/>
          <w:noProof/>
          <w:sz w:val="24"/>
          <w:szCs w:val="24"/>
        </w:rPr>
        <w:t>one formal Commission Decision</w:t>
      </w:r>
      <w:r>
        <w:rPr>
          <w:rFonts w:ascii="Times New Roman" w:eastAsia="Calibri" w:hAnsi="Times New Roman" w:cs="Times New Roman"/>
          <w:noProof/>
          <w:sz w:val="24"/>
          <w:szCs w:val="24"/>
        </w:rPr>
        <w:t xml:space="preserve"> is taken to approve each OCT’s Programming Document, covering both the strategic orientations and the detailed programme design.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Budget</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support</w:t>
      </w:r>
      <w:r>
        <w:rPr>
          <w:rFonts w:ascii="Times New Roman" w:eastAsia="Calibri" w:hAnsi="Times New Roman" w:cs="Times New Roman"/>
          <w:noProof/>
          <w:sz w:val="24"/>
          <w:szCs w:val="24"/>
        </w:rPr>
        <w:t xml:space="preserve"> is the preferred implementation modality for territorial allocations in the OCTs (to date, twelve out of 16 OCTs benefitting from the EDF). This represents a positive shift away from the project modality previously used in several OCTs. Budget support offers an efficient way of addressing cross-cutting, long-term and structural challenges and maintain a constructive policy dialogue.</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OCTs hold the primary responsibility for the establishment of Programming Documents</w:t>
      </w:r>
      <w:r>
        <w:rPr>
          <w:rFonts w:ascii="Times New Roman" w:eastAsia="Calibri" w:hAnsi="Times New Roman" w:cs="Times New Roman"/>
          <w:noProof/>
          <w:sz w:val="24"/>
          <w:szCs w:val="24"/>
        </w:rPr>
        <w:t>, including the priorities upon which their strategies are based and ensuring the necessary local consultation. Upon request from OCTs, technical assistance has been made available to accompany the OCTs in the programming process, in line with Article 81 OAD.</w:t>
      </w:r>
    </w:p>
    <w:p>
      <w:pPr>
        <w:keepNext/>
        <w:keepLines/>
        <w:spacing w:after="120"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noProof/>
          <w:sz w:val="24"/>
          <w:szCs w:val="24"/>
          <w:u w:val="single"/>
        </w:rPr>
        <w:t xml:space="preserve">Situation in 2018 </w:t>
      </w:r>
    </w:p>
    <w:p>
      <w:pPr>
        <w:pStyle w:val="ListParagraph"/>
        <w:keepNext/>
        <w:keepLines/>
        <w:numPr>
          <w:ilvl w:val="0"/>
          <w:numId w:val="7"/>
        </w:numPr>
        <w:spacing w:after="120" w:line="240" w:lineRule="auto"/>
        <w:contextualSpacing w:val="0"/>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11</w:t>
      </w:r>
      <w:r>
        <w:rPr>
          <w:rFonts w:ascii="Times New Roman" w:eastAsia="Calibri" w:hAnsi="Times New Roman" w:cs="Times New Roman"/>
          <w:b/>
          <w:noProof/>
          <w:sz w:val="24"/>
          <w:szCs w:val="24"/>
          <w:vertAlign w:val="superscript"/>
        </w:rPr>
        <w:t>th</w:t>
      </w:r>
      <w:r>
        <w:rPr>
          <w:rFonts w:ascii="Times New Roman" w:eastAsia="Calibri" w:hAnsi="Times New Roman" w:cs="Times New Roman"/>
          <w:b/>
          <w:noProof/>
          <w:sz w:val="24"/>
          <w:szCs w:val="24"/>
        </w:rPr>
        <w:t xml:space="preserve"> EDF territorial implementation </w:t>
      </w:r>
    </w:p>
    <w:p>
      <w:pPr>
        <w:spacing w:after="120" w:line="240" w:lineRule="auto"/>
        <w:jc w:val="both"/>
        <w:rPr>
          <w:rFonts w:ascii="Times New Roman" w:hAnsi="Times New Roman" w:cs="Times New Roman"/>
          <w:bCs/>
          <w:noProof/>
          <w:sz w:val="24"/>
          <w:szCs w:val="24"/>
        </w:rPr>
      </w:pPr>
      <w:r>
        <w:rPr>
          <w:rFonts w:ascii="Times New Roman" w:eastAsia="Calibri" w:hAnsi="Times New Roman" w:cs="Times New Roman"/>
          <w:noProof/>
          <w:sz w:val="24"/>
          <w:szCs w:val="24"/>
        </w:rPr>
        <w:t>Thanks to the common engagement of all parties concerned, progress has been made in the programming of 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in 2018 through enhanced coordination and dialogue. </w:t>
      </w:r>
      <w:r>
        <w:rPr>
          <w:rFonts w:ascii="Times New Roman" w:hAnsi="Times New Roman" w:cs="Times New Roman"/>
          <w:bCs/>
          <w:noProof/>
          <w:sz w:val="24"/>
          <w:szCs w:val="24"/>
        </w:rPr>
        <w:t>With the adoption of the 11</w:t>
      </w:r>
      <w:r>
        <w:rPr>
          <w:rFonts w:ascii="Times New Roman" w:hAnsi="Times New Roman" w:cs="Times New Roman"/>
          <w:bCs/>
          <w:noProof/>
          <w:sz w:val="24"/>
          <w:szCs w:val="24"/>
          <w:vertAlign w:val="superscript"/>
        </w:rPr>
        <w:t>th</w:t>
      </w:r>
      <w:r>
        <w:rPr>
          <w:rFonts w:ascii="Times New Roman" w:hAnsi="Times New Roman" w:cs="Times New Roman"/>
          <w:bCs/>
          <w:noProof/>
          <w:sz w:val="24"/>
          <w:szCs w:val="24"/>
        </w:rPr>
        <w:t xml:space="preserve"> EDF Programming Documents for Saint Helena and Montserrat, twelve out of 16 OCTs with a territorial allocation finalised their programming end-2018. Several other OCTs have made significant progress in view of a finalisation early 2019</w:t>
      </w:r>
      <w:r>
        <w:rPr>
          <w:rStyle w:val="FootnoteReference"/>
          <w:rFonts w:ascii="Times New Roman" w:hAnsi="Times New Roman" w:cs="Times New Roman"/>
          <w:bCs/>
          <w:noProof/>
          <w:sz w:val="24"/>
          <w:szCs w:val="24"/>
        </w:rPr>
        <w:footnoteReference w:id="6"/>
      </w:r>
      <w:r>
        <w:rPr>
          <w:rFonts w:ascii="Times New Roman" w:hAnsi="Times New Roman" w:cs="Times New Roman"/>
          <w:bCs/>
          <w:noProof/>
          <w:sz w:val="24"/>
          <w:szCs w:val="24"/>
        </w:rPr>
        <w:t>. In terms of implementation, during 2018, EUR 58.62 million were disbursed under the 11</w:t>
      </w:r>
      <w:r>
        <w:rPr>
          <w:rFonts w:ascii="Times New Roman" w:hAnsi="Times New Roman" w:cs="Times New Roman"/>
          <w:bCs/>
          <w:noProof/>
          <w:sz w:val="24"/>
          <w:szCs w:val="24"/>
          <w:vertAlign w:val="superscript"/>
        </w:rPr>
        <w:t>th</w:t>
      </w:r>
      <w:r>
        <w:rPr>
          <w:rFonts w:ascii="Times New Roman" w:hAnsi="Times New Roman" w:cs="Times New Roman"/>
          <w:bCs/>
          <w:noProof/>
          <w:sz w:val="24"/>
          <w:szCs w:val="24"/>
        </w:rPr>
        <w:t xml:space="preserve"> EDF for OCTs (see Annex1).</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As regards implementation during 2018:</w:t>
      </w:r>
    </w:p>
    <w:p>
      <w:pPr>
        <w:keepNext/>
        <w:keepLines/>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Caribbean region:</w:t>
      </w:r>
    </w:p>
    <w:p>
      <w:pPr>
        <w:pStyle w:val="ListParagraph"/>
        <w:numPr>
          <w:ilvl w:val="0"/>
          <w:numId w:val="13"/>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 the sector of </w:t>
      </w:r>
      <w:r>
        <w:rPr>
          <w:rFonts w:ascii="Times New Roman" w:hAnsi="Times New Roman" w:cs="Times New Roman"/>
          <w:b/>
          <w:noProof/>
          <w:sz w:val="24"/>
          <w:szCs w:val="24"/>
        </w:rPr>
        <w:t>sustainable energy</w:t>
      </w:r>
      <w:r>
        <w:rPr>
          <w:rFonts w:ascii="Times New Roman" w:hAnsi="Times New Roman" w:cs="Times New Roman"/>
          <w:noProof/>
          <w:sz w:val="24"/>
          <w:szCs w:val="24"/>
        </w:rPr>
        <w:t>, the disbursements of the budget support programmes in Sint Eustatius (first and second fixed tranche: EUR 2.2 million) and Saba (second fixed tranche: EUR 1.4 million) were completed, resulting in increased resilience of the sector, renewable energy production and more stable grids.</w:t>
      </w:r>
    </w:p>
    <w:p>
      <w:pPr>
        <w:pStyle w:val="ListParagraph"/>
        <w:numPr>
          <w:ilvl w:val="0"/>
          <w:numId w:val="13"/>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 the </w:t>
      </w:r>
      <w:r>
        <w:rPr>
          <w:rFonts w:ascii="Times New Roman" w:hAnsi="Times New Roman" w:cs="Times New Roman"/>
          <w:b/>
          <w:noProof/>
          <w:sz w:val="24"/>
          <w:szCs w:val="24"/>
        </w:rPr>
        <w:t>education</w:t>
      </w:r>
      <w:r>
        <w:rPr>
          <w:rFonts w:ascii="Times New Roman" w:hAnsi="Times New Roman" w:cs="Times New Roman"/>
          <w:noProof/>
          <w:sz w:val="24"/>
          <w:szCs w:val="24"/>
        </w:rPr>
        <w:t xml:space="preserve"> sector, progress was made supported by the ongoing budget support programmes of Anguilla (second fixed tranche: EUR 1.75 million + 2.8 million B</w:t>
      </w:r>
      <w:r>
        <w:rPr>
          <w:rFonts w:ascii="Times New Roman" w:hAnsi="Times New Roman" w:cs="Times New Roman"/>
          <w:noProof/>
          <w:sz w:val="24"/>
          <w:szCs w:val="24"/>
        </w:rPr>
        <w:noBreakHyphen/>
        <w:t xml:space="preserve">envelope top up) and Turks and Caicos (second fixed tranche: EUR 1 million + first variable tranche: EUR 3.8 million + 2 million from B-envelope top up), making </w:t>
      </w:r>
      <w:r>
        <w:rPr>
          <w:rFonts w:ascii="Times New Roman" w:hAnsi="Times New Roman" w:cs="Times New Roman"/>
          <w:b/>
          <w:noProof/>
          <w:sz w:val="24"/>
          <w:szCs w:val="24"/>
        </w:rPr>
        <w:t xml:space="preserve">primary education, secondary education and </w:t>
      </w:r>
      <w:r>
        <w:rPr>
          <w:rFonts w:ascii="Times New Roman" w:hAnsi="Times New Roman" w:cs="Times New Roman"/>
          <w:b/>
          <w:bCs/>
          <w:noProof/>
          <w:sz w:val="24"/>
          <w:szCs w:val="24"/>
        </w:rPr>
        <w:t>technical and vocational education and training</w:t>
      </w:r>
      <w:r>
        <w:rPr>
          <w:rFonts w:ascii="Times New Roman" w:hAnsi="Times New Roman" w:cs="Times New Roman"/>
          <w:bCs/>
          <w:noProof/>
          <w:sz w:val="24"/>
          <w:szCs w:val="24"/>
        </w:rPr>
        <w:t xml:space="preserve"> </w:t>
      </w:r>
      <w:r>
        <w:rPr>
          <w:rFonts w:ascii="Times New Roman" w:hAnsi="Times New Roman" w:cs="Times New Roman"/>
          <w:noProof/>
          <w:sz w:val="24"/>
          <w:szCs w:val="24"/>
        </w:rPr>
        <w:t>more relevant in meeting the current and future needs of the labour market.</w:t>
      </w:r>
    </w:p>
    <w:p>
      <w:pPr>
        <w:pStyle w:val="ListParagraph"/>
        <w:numPr>
          <w:ilvl w:val="0"/>
          <w:numId w:val="13"/>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year 2018 also saw the </w:t>
      </w:r>
      <w:r>
        <w:rPr>
          <w:rFonts w:ascii="Times New Roman" w:hAnsi="Times New Roman" w:cs="Times New Roman"/>
          <w:b/>
          <w:noProof/>
          <w:sz w:val="24"/>
          <w:szCs w:val="24"/>
        </w:rPr>
        <w:t>adoption and signature of the 11</w:t>
      </w:r>
      <w:r>
        <w:rPr>
          <w:rFonts w:ascii="Times New Roman" w:hAnsi="Times New Roman" w:cs="Times New Roman"/>
          <w:b/>
          <w:noProof/>
          <w:sz w:val="24"/>
          <w:szCs w:val="24"/>
          <w:vertAlign w:val="superscript"/>
        </w:rPr>
        <w:t>th</w:t>
      </w:r>
      <w:r>
        <w:rPr>
          <w:rFonts w:ascii="Times New Roman" w:hAnsi="Times New Roman" w:cs="Times New Roman"/>
          <w:b/>
          <w:noProof/>
          <w:sz w:val="24"/>
          <w:szCs w:val="24"/>
        </w:rPr>
        <w:t xml:space="preserve"> EDF Programming Document for Montserrat</w:t>
      </w:r>
      <w:r>
        <w:rPr>
          <w:rFonts w:ascii="Times New Roman" w:hAnsi="Times New Roman" w:cs="Times New Roman"/>
          <w:noProof/>
          <w:sz w:val="24"/>
          <w:szCs w:val="24"/>
        </w:rPr>
        <w:t xml:space="preserve"> (EUR 18.4 million) to support </w:t>
      </w:r>
      <w:r>
        <w:rPr>
          <w:rFonts w:ascii="Times New Roman" w:hAnsi="Times New Roman" w:cs="Times New Roman"/>
          <w:b/>
          <w:noProof/>
          <w:sz w:val="24"/>
          <w:szCs w:val="24"/>
        </w:rPr>
        <w:t>economic growth</w:t>
      </w:r>
      <w:r>
        <w:rPr>
          <w:rFonts w:ascii="Times New Roman" w:hAnsi="Times New Roman" w:cs="Times New Roman"/>
          <w:noProof/>
          <w:sz w:val="24"/>
          <w:szCs w:val="24"/>
        </w:rPr>
        <w:t>, as well as to foster developments in focal sector policies such as renewable energy and tourism. The first disbursement took place (first fixed tranche: EUR 5.4 million + EUR 0.32 million B-envelope top up). This budget support programme represents a continuation of the 10</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EDF budget support programme contributing to the sustainable development plan of the island. </w:t>
      </w:r>
    </w:p>
    <w:p>
      <w:pPr>
        <w:keepNext/>
        <w:keepLines/>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Pacific region:</w:t>
      </w:r>
    </w:p>
    <w:p>
      <w:pPr>
        <w:pStyle w:val="ListParagraph"/>
        <w:numPr>
          <w:ilvl w:val="0"/>
          <w:numId w:val="1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tourism</w:t>
      </w:r>
      <w:r>
        <w:rPr>
          <w:rFonts w:ascii="Times New Roman" w:hAnsi="Times New Roman" w:cs="Times New Roman"/>
          <w:noProof/>
          <w:sz w:val="24"/>
          <w:szCs w:val="24"/>
        </w:rPr>
        <w:t>, French Polynesia (first fixed tranche: EUR 7.45 million) progressed on its sectoral policy, supported by a sector budget support programme, attracting tourists and generating employment. The 11</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EDF Programming Document on tourism for the Pitcairn Islands was adopted in 2017 and signed in 2018, representing a continuation of the 10</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EDF budget support programme in the same sector, which was completed in 2018. </w:t>
      </w:r>
    </w:p>
    <w:p>
      <w:pPr>
        <w:pStyle w:val="ListParagraph"/>
        <w:numPr>
          <w:ilvl w:val="0"/>
          <w:numId w:val="13"/>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 the </w:t>
      </w:r>
      <w:r>
        <w:rPr>
          <w:rFonts w:ascii="Times New Roman" w:hAnsi="Times New Roman" w:cs="Times New Roman"/>
          <w:b/>
          <w:noProof/>
          <w:sz w:val="24"/>
          <w:szCs w:val="24"/>
        </w:rPr>
        <w:t>employment sector</w:t>
      </w:r>
      <w:r>
        <w:rPr>
          <w:rFonts w:ascii="Times New Roman" w:hAnsi="Times New Roman" w:cs="Times New Roman"/>
          <w:noProof/>
          <w:sz w:val="24"/>
          <w:szCs w:val="24"/>
        </w:rPr>
        <w:t xml:space="preserve">, New Caledonia continued the implementation of its policy aimed at increasing employability, in particular through technical and vocational training. </w:t>
      </w:r>
    </w:p>
    <w:p>
      <w:pPr>
        <w:pStyle w:val="ListParagraph"/>
        <w:numPr>
          <w:ilvl w:val="0"/>
          <w:numId w:val="13"/>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digital development and connectivity</w:t>
      </w:r>
      <w:r>
        <w:rPr>
          <w:rFonts w:ascii="Times New Roman" w:hAnsi="Times New Roman" w:cs="Times New Roman"/>
          <w:noProof/>
          <w:sz w:val="24"/>
          <w:szCs w:val="24"/>
        </w:rPr>
        <w:t>, Wallis and Futuna have made considerable advancements on their digital strategy (disbursement of the first fixed tranche: EUR 12 million). At a time when digital accessibility is essential and offers new economic opportunities, the programme is supporting in particular the roll-out of the Tui-Samoa broadband cable to Wallis and Futuna, delivering high-speed broadband connectivity.</w:t>
      </w:r>
    </w:p>
    <w:p>
      <w:pPr>
        <w:keepNext/>
        <w:keepLines/>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Other OCTs:</w:t>
      </w:r>
    </w:p>
    <w:p>
      <w:pPr>
        <w:pStyle w:val="ListParagraph"/>
        <w:numPr>
          <w:ilvl w:val="0"/>
          <w:numId w:val="1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Both the Falkland Islands and Saint Helena benefitted from </w:t>
      </w:r>
      <w:r>
        <w:rPr>
          <w:rFonts w:ascii="Times New Roman" w:hAnsi="Times New Roman" w:cs="Times New Roman"/>
          <w:b/>
          <w:noProof/>
          <w:sz w:val="24"/>
          <w:szCs w:val="24"/>
        </w:rPr>
        <w:t>connectivity</w:t>
      </w:r>
      <w:r>
        <w:rPr>
          <w:rFonts w:ascii="Times New Roman" w:hAnsi="Times New Roman" w:cs="Times New Roman"/>
          <w:noProof/>
          <w:sz w:val="24"/>
          <w:szCs w:val="24"/>
        </w:rPr>
        <w:t xml:space="preserve"> programmes under the 11</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EDF. In Saint Helena, the </w:t>
      </w:r>
      <w:r>
        <w:rPr>
          <w:rFonts w:ascii="Times New Roman" w:hAnsi="Times New Roman" w:cs="Times New Roman"/>
          <w:b/>
          <w:noProof/>
          <w:sz w:val="24"/>
          <w:szCs w:val="24"/>
        </w:rPr>
        <w:t>Programming Document was adopted</w:t>
      </w:r>
      <w:r>
        <w:rPr>
          <w:rFonts w:ascii="Times New Roman" w:hAnsi="Times New Roman" w:cs="Times New Roman"/>
          <w:noProof/>
          <w:sz w:val="24"/>
          <w:szCs w:val="24"/>
        </w:rPr>
        <w:t xml:space="preserve"> early 2018, and progress was made on </w:t>
      </w:r>
      <w:r>
        <w:rPr>
          <w:rFonts w:ascii="Times New Roman" w:hAnsi="Times New Roman" w:cs="Times New Roman"/>
          <w:noProof/>
          <w:sz w:val="24"/>
          <w:szCs w:val="24"/>
          <w:lang w:eastAsia="ar-SA"/>
        </w:rPr>
        <w:t xml:space="preserve">the implementation of the digital strategy </w:t>
      </w:r>
      <w:r>
        <w:rPr>
          <w:rFonts w:ascii="Times New Roman" w:hAnsi="Times New Roman" w:cs="Times New Roman"/>
          <w:noProof/>
          <w:sz w:val="24"/>
          <w:szCs w:val="24"/>
        </w:rPr>
        <w:t>(disbursement of first fixed tranche: EUR 10 million). In the Falklands, first advancements were made towards strengthening the delivery of transport and connectivity related infrastructure (disbursement of first fixed tranche: EUR 2 million).</w:t>
      </w:r>
    </w:p>
    <w:p>
      <w:pPr>
        <w:pStyle w:val="ListParagraph"/>
        <w:numPr>
          <w:ilvl w:val="0"/>
          <w:numId w:val="13"/>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tourism</w:t>
      </w:r>
      <w:r>
        <w:rPr>
          <w:rFonts w:ascii="Times New Roman" w:hAnsi="Times New Roman" w:cs="Times New Roman"/>
          <w:noProof/>
          <w:sz w:val="24"/>
          <w:szCs w:val="24"/>
        </w:rPr>
        <w:t>, Saint-Pierre-et-Miquelon has seen an improved accessibility for tourists, with a result that during peak season Saint Pierre is now “fully booked” (disbursement of first variable tranche: EUR 3.25 million + third fixed tranche: EUR 3.25 million).</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Generally and all along the year, the budget support programmes have led to regular policy dialogues with partner OCTs on public financial management reforms, sector policies and macroeconomic situation.</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year 2018 saw the mobilisation of</w:t>
      </w:r>
      <w:r>
        <w:rPr>
          <w:rFonts w:ascii="Times New Roman" w:eastAsia="Calibri" w:hAnsi="Times New Roman" w:cs="Times New Roman"/>
          <w:b/>
          <w:noProof/>
          <w:sz w:val="24"/>
          <w:szCs w:val="24"/>
        </w:rPr>
        <w:t xml:space="preserve"> Technical Assistance </w:t>
      </w:r>
      <w:r>
        <w:rPr>
          <w:rFonts w:ascii="Times New Roman" w:eastAsia="Calibri" w:hAnsi="Times New Roman" w:cs="Times New Roman"/>
          <w:noProof/>
          <w:sz w:val="24"/>
          <w:szCs w:val="24"/>
        </w:rPr>
        <w:t>(TA) to support Territorial and Regional Authorising Officers in the programming process. At the end of 2018, TA contracts or studies to help defining OCTs’ sectoral strategies or to establish OCTs’ eligibility for budget support have been disbursed for a total amount of EUR 3.6 million under 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Technical Cooperation Facilities I and II. </w:t>
      </w:r>
    </w:p>
    <w:p>
      <w:pPr>
        <w:pStyle w:val="ListParagraph"/>
        <w:keepNext/>
        <w:keepLines/>
        <w:numPr>
          <w:ilvl w:val="0"/>
          <w:numId w:val="7"/>
        </w:numPr>
        <w:spacing w:after="120" w:line="240" w:lineRule="auto"/>
        <w:contextualSpacing w:val="0"/>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Regional cooperation under the 11</w:t>
      </w:r>
      <w:r>
        <w:rPr>
          <w:rFonts w:ascii="Times New Roman" w:eastAsia="Calibri" w:hAnsi="Times New Roman" w:cs="Times New Roman"/>
          <w:b/>
          <w:noProof/>
          <w:sz w:val="24"/>
          <w:szCs w:val="24"/>
          <w:vertAlign w:val="superscript"/>
        </w:rPr>
        <w:t>th</w:t>
      </w:r>
      <w:r>
        <w:rPr>
          <w:rFonts w:ascii="Times New Roman" w:eastAsia="Calibri" w:hAnsi="Times New Roman" w:cs="Times New Roman"/>
          <w:b/>
          <w:noProof/>
          <w:sz w:val="24"/>
          <w:szCs w:val="24"/>
        </w:rPr>
        <w:t xml:space="preserve"> EDF</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2018, significant progress was achieved through the adoption of all three 11</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EDF Regional OCT Programmes: </w:t>
      </w:r>
    </w:p>
    <w:p>
      <w:pPr>
        <w:pStyle w:val="ListParagraph"/>
        <w:numPr>
          <w:ilvl w:val="0"/>
          <w:numId w:val="16"/>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For the </w:t>
      </w:r>
      <w:r>
        <w:rPr>
          <w:rFonts w:ascii="Times New Roman" w:hAnsi="Times New Roman" w:cs="Times New Roman"/>
          <w:b/>
          <w:noProof/>
          <w:sz w:val="24"/>
          <w:szCs w:val="24"/>
        </w:rPr>
        <w:t>Pacific</w:t>
      </w:r>
      <w:r>
        <w:rPr>
          <w:rFonts w:ascii="Times New Roman" w:hAnsi="Times New Roman" w:cs="Times New Roman"/>
          <w:noProof/>
          <w:sz w:val="24"/>
          <w:szCs w:val="24"/>
        </w:rPr>
        <w:t>, the Regional Programme “PROTEGE” (</w:t>
      </w:r>
      <w:r>
        <w:rPr>
          <w:rFonts w:ascii="Times New Roman" w:hAnsi="Times New Roman" w:cs="Times New Roman"/>
          <w:i/>
          <w:noProof/>
          <w:sz w:val="24"/>
          <w:szCs w:val="24"/>
        </w:rPr>
        <w:t>Projet régional océanien des territoires pour la gestion durable des écosystèmes</w:t>
      </w:r>
      <w:r>
        <w:rPr>
          <w:rFonts w:ascii="Times New Roman" w:hAnsi="Times New Roman" w:cs="Times New Roman"/>
          <w:noProof/>
          <w:sz w:val="24"/>
          <w:szCs w:val="24"/>
        </w:rPr>
        <w:t xml:space="preserve"> - EUR 36 million), signed in February 2018, will support the region’s sustainable and resilient development by protecting biodiversity and renewable natural resources. It builds on the 10</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EDF regional programme “INTEGRE” (</w:t>
      </w:r>
      <w:r>
        <w:rPr>
          <w:rFonts w:ascii="Times New Roman" w:hAnsi="Times New Roman" w:cs="Times New Roman"/>
          <w:i/>
          <w:noProof/>
          <w:sz w:val="24"/>
          <w:szCs w:val="24"/>
        </w:rPr>
        <w:t>Initiative des territoires pour la gestion régionale de l’environnement</w:t>
      </w:r>
      <w:r>
        <w:rPr>
          <w:rFonts w:ascii="Times New Roman" w:hAnsi="Times New Roman" w:cs="Times New Roman"/>
          <w:noProof/>
          <w:sz w:val="24"/>
          <w:szCs w:val="24"/>
        </w:rPr>
        <w:t xml:space="preserve"> - EUR 12 million) that focused on integrated coastal management and the development of regional networks (such as organic farming, waste and adaptation to climate change). </w:t>
      </w:r>
    </w:p>
    <w:p>
      <w:pPr>
        <w:pStyle w:val="ListParagraph"/>
        <w:numPr>
          <w:ilvl w:val="0"/>
          <w:numId w:val="16"/>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For the </w:t>
      </w:r>
      <w:r>
        <w:rPr>
          <w:rFonts w:ascii="Times New Roman" w:hAnsi="Times New Roman" w:cs="Times New Roman"/>
          <w:b/>
          <w:noProof/>
          <w:sz w:val="24"/>
          <w:szCs w:val="24"/>
        </w:rPr>
        <w:t>Indian Ocean</w:t>
      </w:r>
      <w:r>
        <w:rPr>
          <w:rFonts w:ascii="Times New Roman" w:hAnsi="Times New Roman" w:cs="Times New Roman"/>
          <w:noProof/>
          <w:sz w:val="24"/>
          <w:szCs w:val="24"/>
        </w:rPr>
        <w:t>, the Regional Programme (EUR 4 million) signed in February 2018 aims at improving the surveillance and observation of terrestrial and marine ecosystems in the French Southern and Antarctic Lands, restoring ecosystems and reinforcing the impact prevention mechanisms. The previous 10</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EDF regional programme focused on improving the sustainable management of the natural heritage (both terrestrial and marine) of Mayotte and the Scattered Islands (EUR 3 million) through assessment and decision support tools.</w:t>
      </w:r>
    </w:p>
    <w:p>
      <w:pPr>
        <w:pStyle w:val="ListParagraph"/>
        <w:numPr>
          <w:ilvl w:val="0"/>
          <w:numId w:val="16"/>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 the </w:t>
      </w:r>
      <w:r>
        <w:rPr>
          <w:rFonts w:ascii="Times New Roman" w:hAnsi="Times New Roman" w:cs="Times New Roman"/>
          <w:b/>
          <w:noProof/>
          <w:sz w:val="24"/>
          <w:szCs w:val="24"/>
        </w:rPr>
        <w:t>Caribbean</w:t>
      </w:r>
      <w:r>
        <w:rPr>
          <w:rFonts w:ascii="Times New Roman" w:hAnsi="Times New Roman" w:cs="Times New Roman"/>
          <w:noProof/>
          <w:sz w:val="24"/>
          <w:szCs w:val="24"/>
        </w:rPr>
        <w:t xml:space="preserve">, the Regional Programme “ReSEMBID” (Resilience Sustainable Energy and Marine Biodiversity, EUR 40 million) signed in October 2018 will strengthen environmentally sustainable economic development by focussing on resilience, sustainable energy and marine biodiversity. It will increase energy efficiency of infrastructure that has an high impact on energy consumption, improve protection and sustainable management of marine biodiversity and increase the capacity to adapt to extreme and recurrent natural events.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formulation of the </w:t>
      </w:r>
      <w:r>
        <w:rPr>
          <w:rFonts w:ascii="Times New Roman" w:hAnsi="Times New Roman" w:cs="Times New Roman"/>
          <w:b/>
          <w:noProof/>
          <w:sz w:val="24"/>
          <w:szCs w:val="24"/>
        </w:rPr>
        <w:t>11</w:t>
      </w:r>
      <w:r>
        <w:rPr>
          <w:rFonts w:ascii="Times New Roman" w:hAnsi="Times New Roman" w:cs="Times New Roman"/>
          <w:b/>
          <w:noProof/>
          <w:sz w:val="24"/>
          <w:szCs w:val="24"/>
          <w:vertAlign w:val="superscript"/>
        </w:rPr>
        <w:t>th</w:t>
      </w:r>
      <w:r>
        <w:rPr>
          <w:rFonts w:ascii="Times New Roman" w:hAnsi="Times New Roman" w:cs="Times New Roman"/>
          <w:b/>
          <w:noProof/>
          <w:sz w:val="24"/>
          <w:szCs w:val="24"/>
        </w:rPr>
        <w:t xml:space="preserve"> EDF all-OCTs thematic programme</w:t>
      </w:r>
      <w:r>
        <w:rPr>
          <w:rFonts w:ascii="Times New Roman" w:hAnsi="Times New Roman" w:cs="Times New Roman"/>
          <w:noProof/>
          <w:sz w:val="24"/>
          <w:szCs w:val="24"/>
        </w:rPr>
        <w:t xml:space="preserve"> also made progress throughout 2018 with the agreement by all OCTs on the two focal sectors of sustainable energy and climate change (including resilience).</w:t>
      </w:r>
      <w:r>
        <w:rPr>
          <w:rStyle w:val="FootnoteReference"/>
          <w:rFonts w:ascii="Times New Roman" w:hAnsi="Times New Roman" w:cs="Times New Roman"/>
          <w:noProof/>
          <w:sz w:val="24"/>
          <w:szCs w:val="24"/>
        </w:rPr>
        <w:footnoteReference w:id="7"/>
      </w:r>
      <w:r>
        <w:rPr>
          <w:rFonts w:ascii="Times New Roman" w:hAnsi="Times New Roman" w:cs="Times New Roman"/>
          <w:i/>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EU support in 2018 to the </w:t>
      </w:r>
      <w:r>
        <w:rPr>
          <w:rFonts w:ascii="Times New Roman" w:hAnsi="Times New Roman" w:cs="Times New Roman"/>
          <w:b/>
          <w:noProof/>
          <w:sz w:val="24"/>
          <w:szCs w:val="24"/>
        </w:rPr>
        <w:t>Overseas Countries and Territories Association (OCTA) through an operating grant</w:t>
      </w:r>
      <w:r>
        <w:rPr>
          <w:rFonts w:ascii="Times New Roman" w:hAnsi="Times New Roman" w:cs="Times New Roman"/>
          <w:bCs/>
          <w:noProof/>
          <w:sz w:val="24"/>
          <w:szCs w:val="24"/>
        </w:rPr>
        <w:t xml:space="preserve"> (EUR 1.1 million for two years) a</w:t>
      </w:r>
      <w:r>
        <w:rPr>
          <w:rFonts w:ascii="Times New Roman" w:hAnsi="Times New Roman" w:cs="Times New Roman"/>
          <w:noProof/>
          <w:sz w:val="24"/>
          <w:szCs w:val="24"/>
        </w:rPr>
        <w:t>llowed the Association to reinforce its capacity to fulfil its mandate. This concerned in particular coordinating OCT partners to facilitate the dialogue with the EU, promote the partnership, and support the collective work of its members in several areas of mutual interest within the EU-OCT Association.</w:t>
      </w:r>
    </w:p>
    <w:p>
      <w:pPr>
        <w:pStyle w:val="ListParagraph"/>
        <w:keepNext/>
        <w:keepLines/>
        <w:numPr>
          <w:ilvl w:val="0"/>
          <w:numId w:val="7"/>
        </w:numPr>
        <w:spacing w:after="120" w:line="240" w:lineRule="auto"/>
        <w:ind w:left="714" w:hanging="357"/>
        <w:contextualSpacing w:val="0"/>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Hurricanes in the Caribbean region</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September 2017, two category 5 hurricanes impacted several Caribbean OCTs, bringing life-threatening winds, storm surges and heavy rainfall, resulting in widespread damage to housing and basic infrastructure. The most severely affected OCTs were Anguilla, Sint Maarten, Turks and Caicos Islands, Saint Barthélemy and the British Virgin Islands. Montserrat, Saba, and Sint Eustatius were also damaged.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recovery strategy was based on a combination of emergency response until April 2018 and complementary actions at country and regional level, which continued throughout 2018. </w:t>
      </w:r>
      <w:r>
        <w:rPr>
          <w:rFonts w:ascii="Times New Roman" w:eastAsia="Calibri" w:hAnsi="Times New Roman" w:cs="Times New Roman"/>
          <w:b/>
          <w:noProof/>
          <w:sz w:val="24"/>
          <w:szCs w:val="24"/>
        </w:rPr>
        <w:t>The non-allocated B-envelope of EUR 21.5 million under the 11</w:t>
      </w:r>
      <w:r>
        <w:rPr>
          <w:rFonts w:ascii="Times New Roman" w:eastAsia="Calibri" w:hAnsi="Times New Roman" w:cs="Times New Roman"/>
          <w:b/>
          <w:noProof/>
          <w:sz w:val="24"/>
          <w:szCs w:val="24"/>
          <w:vertAlign w:val="superscript"/>
        </w:rPr>
        <w:t>th</w:t>
      </w:r>
      <w:r>
        <w:rPr>
          <w:rFonts w:ascii="Times New Roman" w:eastAsia="Calibri" w:hAnsi="Times New Roman" w:cs="Times New Roman"/>
          <w:b/>
          <w:noProof/>
          <w:sz w:val="24"/>
          <w:szCs w:val="24"/>
        </w:rPr>
        <w:t xml:space="preserve"> EDF was mobilised in 2018 for an amount of EUR 15.04 million </w:t>
      </w:r>
      <w:r>
        <w:rPr>
          <w:rFonts w:ascii="Times New Roman" w:eastAsia="Calibri" w:hAnsi="Times New Roman" w:cs="Times New Roman"/>
          <w:noProof/>
          <w:sz w:val="24"/>
          <w:szCs w:val="24"/>
        </w:rPr>
        <w:t xml:space="preserve">to the benefit of Anguilla (EUR 2.8 million); Montserrat (EUR 0.32 million), Sint Maarten (EUR 7 million), British Virgin Islands (EUR 2 million) and Turks and Caicos Islands (EUR 2.92 million) </w:t>
      </w:r>
      <w:r>
        <w:rPr>
          <w:rFonts w:ascii="Times New Roman" w:eastAsia="Calibri" w:hAnsi="Times New Roman" w:cs="Times New Roman"/>
          <w:b/>
          <w:noProof/>
          <w:sz w:val="24"/>
          <w:szCs w:val="24"/>
        </w:rPr>
        <w:t>for post-emergency assistance</w:t>
      </w:r>
      <w:r>
        <w:rPr>
          <w:rFonts w:ascii="Times New Roman" w:eastAsia="Calibri" w:hAnsi="Times New Roman" w:cs="Times New Roman"/>
          <w:noProof/>
          <w:sz w:val="24"/>
          <w:szCs w:val="24"/>
        </w:rPr>
        <w:t>.</w:t>
      </w:r>
      <w:r>
        <w:rPr>
          <w:rStyle w:val="FootnoteReference"/>
          <w:rFonts w:ascii="Times New Roman" w:eastAsia="Calibri" w:hAnsi="Times New Roman" w:cs="Times New Roman"/>
          <w:noProof/>
          <w:sz w:val="24"/>
          <w:szCs w:val="24"/>
        </w:rPr>
        <w:footnoteReference w:id="8"/>
      </w:r>
      <w:r>
        <w:rPr>
          <w:rFonts w:ascii="Times New Roman" w:eastAsia="Calibri" w:hAnsi="Times New Roman" w:cs="Times New Roman"/>
          <w:noProof/>
          <w:sz w:val="24"/>
          <w:szCs w:val="24"/>
        </w:rPr>
        <w:t xml:space="preserve">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addition, Commission services worked actively together with OCT authorities to ensure that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territorial and regional programmes were adjusted to address the post-hurricane situation in the OCTs and to support them in their resilience efforts. </w:t>
      </w:r>
      <w:r>
        <w:rPr>
          <w:rFonts w:ascii="Times New Roman" w:hAnsi="Times New Roman" w:cs="Times New Roman"/>
          <w:noProof/>
          <w:sz w:val="24"/>
          <w:szCs w:val="24"/>
        </w:rPr>
        <w:t>A horizontal component on resilience was included under the framework of the 11</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EDF Caribbean Regional programme</w:t>
      </w:r>
      <w:r>
        <w:rPr>
          <w:rFonts w:ascii="Times New Roman" w:hAnsi="Times New Roman" w:cs="Times New Roman"/>
          <w:b/>
          <w:noProof/>
          <w:sz w:val="24"/>
          <w:szCs w:val="24"/>
        </w:rPr>
        <w:t xml:space="preserve"> </w:t>
      </w:r>
      <w:r>
        <w:rPr>
          <w:rFonts w:ascii="Times New Roman" w:hAnsi="Times New Roman" w:cs="Times New Roman"/>
          <w:noProof/>
          <w:sz w:val="24"/>
          <w:szCs w:val="24"/>
        </w:rPr>
        <w:t>(EUR 40 million). Half of the total budget (EUR 20 million) was redirected to this component, to support long-term resilience building in the OCTs, in line with the European Consensus on Development.</w:t>
      </w:r>
      <w:r>
        <w:rPr>
          <w:rFonts w:ascii="Times New Roman" w:eastAsia="Calibri" w:hAnsi="Times New Roman" w:cs="Times New Roman"/>
          <w:noProof/>
          <w:sz w:val="24"/>
          <w:szCs w:val="24"/>
        </w:rPr>
        <w:t xml:space="preserve"> Under the EDF Natural Disaster Facility, a number of regional actions for disaster preparedness started in 2018 and included Anguilla, British Virgin Islands, Montserrat and Turks and Caicos.</w:t>
      </w:r>
    </w:p>
    <w:p>
      <w:pPr>
        <w:pStyle w:val="ListParagraph"/>
        <w:keepNext/>
        <w:keepLines/>
        <w:numPr>
          <w:ilvl w:val="0"/>
          <w:numId w:val="7"/>
        </w:numPr>
        <w:spacing w:after="120" w:line="240" w:lineRule="auto"/>
        <w:ind w:left="714" w:hanging="357"/>
        <w:contextualSpacing w:val="0"/>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Institutional Dialogue</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Since the start of the programming exercise in December 2013, the Commission’s services have actively supported OCTs throughout the entire programming process by facilitating the organisation of specific seminars, workshops and conferences in order to allow a reflection on common priorities and objectives. These exchanges have been numerous throughout 2018.</w:t>
      </w:r>
    </w:p>
    <w:p>
      <w:pPr>
        <w:keepNext/>
        <w:keepLines/>
        <w:spacing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OCT-EU Forum</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Building on the outcomes of different consultation meetings of 2017, the week of the </w:t>
      </w:r>
      <w:r>
        <w:rPr>
          <w:rFonts w:ascii="Times New Roman" w:eastAsia="Calibri" w:hAnsi="Times New Roman" w:cs="Times New Roman"/>
          <w:b/>
          <w:noProof/>
          <w:sz w:val="24"/>
          <w:szCs w:val="24"/>
        </w:rPr>
        <w:t>16</w:t>
      </w:r>
      <w:r>
        <w:rPr>
          <w:rFonts w:ascii="Times New Roman" w:eastAsia="Calibri" w:hAnsi="Times New Roman" w:cs="Times New Roman"/>
          <w:b/>
          <w:noProof/>
          <w:sz w:val="24"/>
          <w:szCs w:val="24"/>
          <w:vertAlign w:val="superscript"/>
        </w:rPr>
        <w:t>th</w:t>
      </w:r>
      <w:r>
        <w:rPr>
          <w:rFonts w:ascii="Times New Roman" w:eastAsia="Calibri" w:hAnsi="Times New Roman" w:cs="Times New Roman"/>
          <w:b/>
          <w:noProof/>
          <w:sz w:val="24"/>
          <w:szCs w:val="24"/>
        </w:rPr>
        <w:t xml:space="preserve"> OCT-EU Forum</w:t>
      </w:r>
      <w:r>
        <w:rPr>
          <w:rFonts w:ascii="Times New Roman" w:eastAsia="Calibri" w:hAnsi="Times New Roman" w:cs="Times New Roman"/>
          <w:noProof/>
          <w:sz w:val="24"/>
          <w:szCs w:val="24"/>
        </w:rPr>
        <w:t xml:space="preserve"> (19-23 February 2018) represented a good occasion to exchange views and discuss the post-2020 relationship between the OCTs and the EU.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w:t>
      </w:r>
      <w:r>
        <w:rPr>
          <w:rFonts w:ascii="Times New Roman" w:eastAsia="Calibri" w:hAnsi="Times New Roman" w:cs="Times New Roman"/>
          <w:b/>
          <w:noProof/>
          <w:sz w:val="24"/>
          <w:szCs w:val="24"/>
        </w:rPr>
        <w:t>conclusions of the 16</w:t>
      </w:r>
      <w:r>
        <w:rPr>
          <w:rFonts w:ascii="Times New Roman" w:eastAsia="Calibri" w:hAnsi="Times New Roman" w:cs="Times New Roman"/>
          <w:b/>
          <w:noProof/>
          <w:sz w:val="24"/>
          <w:szCs w:val="24"/>
          <w:vertAlign w:val="superscript"/>
        </w:rPr>
        <w:t>th</w:t>
      </w:r>
      <w:r>
        <w:rPr>
          <w:rFonts w:ascii="Times New Roman" w:eastAsia="Calibri" w:hAnsi="Times New Roman" w:cs="Times New Roman"/>
          <w:b/>
          <w:noProof/>
          <w:sz w:val="24"/>
          <w:szCs w:val="24"/>
        </w:rPr>
        <w:t xml:space="preserve"> OCT-EU Forum</w:t>
      </w:r>
      <w:r>
        <w:rPr>
          <w:rFonts w:ascii="Times New Roman" w:eastAsia="Calibri" w:hAnsi="Times New Roman" w:cs="Times New Roman"/>
          <w:noProof/>
          <w:sz w:val="24"/>
          <w:szCs w:val="24"/>
        </w:rPr>
        <w:t xml:space="preserve"> (23 February 2018) the EU, the OCTs and the Member States to which the OCTs are linked reaffirmed their strong commitment to find sustainable answers to increasingly complex and interconnected challenges and reiterated their commitment to the sustainable energy transition, including increased access to modern energy services, renewable energy and energy efficiency.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At </w:t>
      </w:r>
      <w:r>
        <w:rPr>
          <w:rFonts w:ascii="Times New Roman" w:eastAsia="Calibri" w:hAnsi="Times New Roman" w:cs="Times New Roman"/>
          <w:b/>
          <w:noProof/>
          <w:sz w:val="24"/>
          <w:szCs w:val="24"/>
        </w:rPr>
        <w:t>technical level</w:t>
      </w:r>
      <w:r>
        <w:rPr>
          <w:rFonts w:ascii="Times New Roman" w:eastAsia="Calibri" w:hAnsi="Times New Roman" w:cs="Times New Roman"/>
          <w:noProof/>
          <w:sz w:val="24"/>
          <w:szCs w:val="24"/>
        </w:rPr>
        <w:t xml:space="preserve">, the </w:t>
      </w:r>
      <w:r>
        <w:rPr>
          <w:rFonts w:ascii="Times New Roman" w:eastAsia="Calibri" w:hAnsi="Times New Roman" w:cs="Times New Roman"/>
          <w:b/>
          <w:noProof/>
          <w:sz w:val="24"/>
          <w:szCs w:val="24"/>
        </w:rPr>
        <w:t>trilateral meetings</w:t>
      </w:r>
      <w:r>
        <w:rPr>
          <w:rFonts w:ascii="Times New Roman" w:eastAsia="Calibri" w:hAnsi="Times New Roman" w:cs="Times New Roman"/>
          <w:noProof/>
          <w:sz w:val="24"/>
          <w:szCs w:val="24"/>
        </w:rPr>
        <w:t xml:space="preserve"> held in the margins of the 16</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OCT-EU Forum between Commission representatives, the Territorial/Regional Authorising Officers of the OCTs, and the Member States to which the OCTs are linked, provided an opportunity to discuss issues linked with the programming and implementation of cooperation and to plan the forthcoming steps.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At </w:t>
      </w:r>
      <w:r>
        <w:rPr>
          <w:rFonts w:ascii="Times New Roman" w:eastAsia="Calibri" w:hAnsi="Times New Roman" w:cs="Times New Roman"/>
          <w:b/>
          <w:noProof/>
          <w:sz w:val="24"/>
          <w:szCs w:val="24"/>
        </w:rPr>
        <w:t>political level</w:t>
      </w:r>
      <w:r>
        <w:rPr>
          <w:rFonts w:ascii="Times New Roman" w:eastAsia="Calibri" w:hAnsi="Times New Roman" w:cs="Times New Roman"/>
          <w:noProof/>
          <w:sz w:val="24"/>
          <w:szCs w:val="24"/>
        </w:rPr>
        <w:t xml:space="preserve">, the </w:t>
      </w:r>
      <w:r>
        <w:rPr>
          <w:rFonts w:ascii="Times New Roman" w:eastAsia="Calibri" w:hAnsi="Times New Roman" w:cs="Times New Roman"/>
          <w:b/>
          <w:noProof/>
          <w:sz w:val="24"/>
          <w:szCs w:val="24"/>
        </w:rPr>
        <w:t>trilateral meetings</w:t>
      </w:r>
      <w:r>
        <w:rPr>
          <w:rFonts w:ascii="Times New Roman" w:eastAsia="Calibri" w:hAnsi="Times New Roman" w:cs="Times New Roman"/>
          <w:noProof/>
          <w:sz w:val="24"/>
          <w:szCs w:val="24"/>
        </w:rPr>
        <w:t xml:space="preserve"> (22 February 2018) between the European Commissioner for International Cooperation and Development, Neven Mimica, OCTs Heads of Delegation, and the Members States to which the OCTs are linked, was a useful opportunity to highlight the political priorities for the OCTs and share their views on the post-2020 period.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addition, an important </w:t>
      </w:r>
      <w:r>
        <w:rPr>
          <w:rFonts w:ascii="Times New Roman" w:eastAsia="Calibri" w:hAnsi="Times New Roman" w:cs="Times New Roman"/>
          <w:b/>
          <w:noProof/>
          <w:sz w:val="24"/>
          <w:szCs w:val="24"/>
        </w:rPr>
        <w:t>event on Ocean Policy, Governance and the potential of Blue Growth</w:t>
      </w:r>
      <w:r>
        <w:rPr>
          <w:rFonts w:ascii="Times New Roman" w:eastAsia="Calibri" w:hAnsi="Times New Roman" w:cs="Times New Roman"/>
          <w:noProof/>
          <w:sz w:val="24"/>
          <w:szCs w:val="24"/>
        </w:rPr>
        <w:t xml:space="preserve"> took place on the day before the trilateral meetings (21 February 2018) with the participation of OCTs, Member States, the Commission and the Food and Agriculture Organization (FAO). </w:t>
      </w:r>
    </w:p>
    <w:p>
      <w:pPr>
        <w:keepNext/>
        <w:keepLines/>
        <w:tabs>
          <w:tab w:val="left" w:pos="8292"/>
        </w:tabs>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Tripartite meetings</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Furthermore, the reflections on common strategic priorities were advanced through the different instances of dialogue of the Association established under the OAD. </w:t>
      </w:r>
      <w:r>
        <w:rPr>
          <w:rFonts w:ascii="Times New Roman" w:eastAsia="Calibri" w:hAnsi="Times New Roman" w:cs="Times New Roman"/>
          <w:b/>
          <w:noProof/>
          <w:sz w:val="24"/>
          <w:szCs w:val="24"/>
        </w:rPr>
        <w:t xml:space="preserve">At the technical level, five tripartite meetings between the Commission, OCT representatives and the Member States to which they are linked were organised in 2018 </w:t>
      </w:r>
      <w:r>
        <w:rPr>
          <w:rFonts w:ascii="Times New Roman" w:eastAsia="Calibri" w:hAnsi="Times New Roman" w:cs="Times New Roman"/>
          <w:noProof/>
          <w:sz w:val="24"/>
          <w:szCs w:val="24"/>
        </w:rPr>
        <w:t>(January, April, July, October, December</w:t>
      </w:r>
      <w:r>
        <w:rPr>
          <w:rStyle w:val="FootnoteReference"/>
          <w:rFonts w:ascii="Times New Roman" w:eastAsia="Calibri" w:hAnsi="Times New Roman" w:cs="Times New Roman"/>
          <w:noProof/>
          <w:sz w:val="24"/>
          <w:szCs w:val="24"/>
        </w:rPr>
        <w:footnoteReference w:id="9"/>
      </w:r>
      <w:r>
        <w:rPr>
          <w:rFonts w:ascii="Times New Roman" w:eastAsia="Calibri" w:hAnsi="Times New Roman" w:cs="Times New Roman"/>
          <w:noProof/>
          <w:sz w:val="24"/>
          <w:szCs w:val="24"/>
        </w:rPr>
        <w:t>), offering a platform for dialogue between the Commission, the OCTs and Members States’ representatives in particular to monitor progress on 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programming and implementation. </w:t>
      </w:r>
    </w:p>
    <w:p>
      <w:pPr>
        <w:keepNext/>
        <w:keepLines/>
        <w:spacing w:after="120" w:line="240" w:lineRule="auto"/>
        <w:jc w:val="both"/>
        <w:rPr>
          <w:rFonts w:ascii="Times New Roman" w:eastAsia="Calibri" w:hAnsi="Times New Roman" w:cs="Times New Roman"/>
          <w:noProof/>
          <w:sz w:val="24"/>
          <w:szCs w:val="24"/>
          <w:highlight w:val="yellow"/>
          <w:u w:val="single"/>
        </w:rPr>
      </w:pPr>
      <w:r>
        <w:rPr>
          <w:rFonts w:ascii="Times New Roman" w:eastAsia="Calibri" w:hAnsi="Times New Roman" w:cs="Times New Roman"/>
          <w:noProof/>
          <w:sz w:val="24"/>
          <w:szCs w:val="24"/>
          <w:u w:val="single"/>
        </w:rPr>
        <w:t>Partnership Working Parties and workshops</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16 January 2018, a Partnership Working Party on </w:t>
      </w:r>
      <w:r>
        <w:rPr>
          <w:rFonts w:ascii="Times New Roman" w:eastAsia="Calibri" w:hAnsi="Times New Roman" w:cs="Times New Roman"/>
          <w:b/>
          <w:noProof/>
          <w:sz w:val="24"/>
          <w:szCs w:val="24"/>
        </w:rPr>
        <w:t>Trade &amp; Regional Integration</w:t>
      </w:r>
      <w:r>
        <w:rPr>
          <w:rFonts w:ascii="Times New Roman" w:eastAsia="Calibri" w:hAnsi="Times New Roman" w:cs="Times New Roman"/>
          <w:noProof/>
          <w:sz w:val="24"/>
          <w:szCs w:val="24"/>
        </w:rPr>
        <w:t xml:space="preserve"> took place to exchange on the various aspects relating to the preferential status of the OCTs in trade with the EU and on all wider trade issues of common interest.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Partnership Working Party meeting on </w:t>
      </w:r>
      <w:r>
        <w:rPr>
          <w:rFonts w:ascii="Times New Roman" w:eastAsia="Calibri" w:hAnsi="Times New Roman" w:cs="Times New Roman"/>
          <w:b/>
          <w:noProof/>
          <w:sz w:val="24"/>
          <w:szCs w:val="24"/>
        </w:rPr>
        <w:t>Financial Services</w:t>
      </w:r>
      <w:r>
        <w:rPr>
          <w:rFonts w:ascii="Times New Roman" w:eastAsia="Calibri" w:hAnsi="Times New Roman" w:cs="Times New Roman"/>
          <w:noProof/>
          <w:sz w:val="24"/>
          <w:szCs w:val="24"/>
        </w:rPr>
        <w:t xml:space="preserve"> took place on 13 March 2018, where the process of the EU Common list of non-cooperative jurisdictions for tax-purposes was discussed. At the end of May, an </w:t>
      </w:r>
      <w:r>
        <w:rPr>
          <w:rFonts w:ascii="Times New Roman" w:eastAsia="Calibri" w:hAnsi="Times New Roman" w:cs="Times New Roman"/>
          <w:b/>
          <w:noProof/>
          <w:sz w:val="24"/>
          <w:szCs w:val="24"/>
        </w:rPr>
        <w:t>international tax workshop</w:t>
      </w:r>
      <w:r>
        <w:rPr>
          <w:rFonts w:ascii="Times New Roman" w:eastAsia="Calibri" w:hAnsi="Times New Roman" w:cs="Times New Roman"/>
          <w:noProof/>
          <w:sz w:val="24"/>
          <w:szCs w:val="24"/>
        </w:rPr>
        <w:t xml:space="preserve"> took place in Brussels to give the OCTs an overview of the international standards and criteria on which the EU bases its screening criteria and to facilitate the dialogue between OCT technical experts and international partners.</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November 2018, a </w:t>
      </w:r>
      <w:r>
        <w:rPr>
          <w:rFonts w:ascii="Times New Roman" w:eastAsia="Calibri" w:hAnsi="Times New Roman" w:cs="Times New Roman"/>
          <w:b/>
          <w:noProof/>
          <w:sz w:val="24"/>
          <w:szCs w:val="24"/>
        </w:rPr>
        <w:t>workshop on EU Programmes</w:t>
      </w:r>
      <w:r>
        <w:rPr>
          <w:rFonts w:ascii="Times New Roman" w:eastAsia="Calibri" w:hAnsi="Times New Roman" w:cs="Times New Roman"/>
          <w:noProof/>
          <w:sz w:val="24"/>
          <w:szCs w:val="24"/>
        </w:rPr>
        <w:t xml:space="preserve"> was organised by OCTA with the support of the Commission. It aimed at strengthening the OCTs capacities to apply for the main EU programmes of interest to OCTs, such as Research and Innovation, COSME and Erasmus+. </w:t>
      </w:r>
    </w:p>
    <w:p>
      <w:pPr>
        <w:keepNext/>
        <w:keepLines/>
        <w:spacing w:after="120"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noProof/>
          <w:sz w:val="24"/>
          <w:szCs w:val="24"/>
          <w:u w:val="single"/>
        </w:rPr>
        <w:t>European Investment Bank (EIB)</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OAD provides financial assistance to the OCTs through financial mechanisms managed by the EIB: the OCT Investment Facility (current endowment: EUR 48.5 million), the funding for interest rate subsidies and technical assistance (EUR 5 million) and the EIB’s Own Resources (up to EUR 100 million over the period 2014-2020, under the 3</w:t>
      </w:r>
      <w:r>
        <w:rPr>
          <w:rFonts w:ascii="Times New Roman" w:eastAsia="Calibri" w:hAnsi="Times New Roman" w:cs="Times New Roman"/>
          <w:noProof/>
          <w:sz w:val="24"/>
          <w:szCs w:val="24"/>
          <w:vertAlign w:val="superscript"/>
        </w:rPr>
        <w:t>rd</w:t>
      </w:r>
      <w:r>
        <w:rPr>
          <w:rFonts w:ascii="Times New Roman" w:eastAsia="Calibri" w:hAnsi="Times New Roman" w:cs="Times New Roman"/>
          <w:noProof/>
          <w:sz w:val="24"/>
          <w:szCs w:val="24"/>
        </w:rPr>
        <w:t xml:space="preserve"> Financial Protocol).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Under these three envelopes, no new operations were signed in 2018. Under the EIB OCT Investment Facility, operations are ongoing, amounting to EUR 61.4 million at end 2018 (this sum exceeds the initial capital endowment because the fund is revolving and some reflows have been lent out again). Regarding the envelope for interest rate subsidies and technical assistance, only EUR 25,497 of the available EUR 5 million were used in 2014 for an interest rate subsidy operation in French Polynesia. Under the EIB Own Resources envelope for OCTs, the EIB concluded one loan agreement with New Caledonia in 2015, providing an investment loan of EUR 20 million for the construction of a new hospital.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With regard to remaining funds, pipelines are monitored and assessed with the objective to make full use of the available funds by end-2020. </w:t>
      </w:r>
    </w:p>
    <w:p>
      <w:pPr>
        <w:keepNext/>
        <w:keepLines/>
        <w:spacing w:after="120"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noProof/>
          <w:sz w:val="24"/>
          <w:szCs w:val="24"/>
          <w:u w:val="single"/>
        </w:rPr>
        <w:t>Looking ahead</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year 2019 will be crucial for the OCTs, when the new Overseas Association Decision, the 2021-2027 EU Multiannual Financial Framework and the Post-Cotonou framework are being negotiated, coinciding also with the process of the United Kingdom’s withdrawal from the EU.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this context, a continued dialogue with the OCTs will be of utmost importance and political relevance. This process will be underpinned by a continued support to the OCT Association and to the OCTs through the Technical Cooperation Facility.</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parallel, the Commission will continue supporting the OCTs affected by hurricanes or emergencies in their reconstruction efforts, working closely with them to address their needs in the best possible way.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Finally, progress on the programming for the two remaining territorial programmes will be essential in 2019 in order to ensure the commitment of the entire envelope available for OCTs under 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w:t>
      </w:r>
      <w:r>
        <w:rPr>
          <w:rStyle w:val="FootnoteReference"/>
          <w:rFonts w:ascii="Times New Roman" w:eastAsia="Calibri" w:hAnsi="Times New Roman" w:cs="Times New Roman"/>
          <w:noProof/>
          <w:sz w:val="24"/>
          <w:szCs w:val="24"/>
        </w:rPr>
        <w:footnoteReference w:id="10"/>
      </w:r>
      <w:r>
        <w:rPr>
          <w:rFonts w:ascii="Times New Roman" w:eastAsia="Calibri" w:hAnsi="Times New Roman" w:cs="Times New Roman"/>
          <w:noProof/>
          <w:sz w:val="24"/>
          <w:szCs w:val="24"/>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22913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pPr>
      <w:pStyle w:val="Footer"/>
      <w:jc w:val="center"/>
      <w:rPr>
        <w:lang w:val="fr-B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43448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jc w:val="both"/>
        <w:rPr>
          <w:rFonts w:ascii="Times New Roman" w:hAnsi="Times New Roman" w:cs="Times New Roman"/>
          <w:color w:val="auto"/>
          <w:sz w:val="20"/>
          <w:szCs w:val="20"/>
          <w:lang w:eastAsia="en-US"/>
        </w:rPr>
      </w:pPr>
      <w:r>
        <w:rPr>
          <w:rStyle w:val="FootnoteReference"/>
          <w:rFonts w:ascii="Times New Roman" w:hAnsi="Times New Roman" w:cs="Times New Roman"/>
          <w:color w:val="auto"/>
          <w:sz w:val="20"/>
          <w:szCs w:val="20"/>
          <w:lang w:eastAsia="en-US"/>
        </w:rPr>
        <w:footnoteRef/>
      </w:r>
      <w:r>
        <w:rPr>
          <w:rStyle w:val="FootnoteReference"/>
          <w:rFonts w:ascii="Times New Roman" w:hAnsi="Times New Roman" w:cs="Times New Roman"/>
          <w:color w:val="auto"/>
          <w:sz w:val="20"/>
          <w:szCs w:val="20"/>
          <w:lang w:eastAsia="en-US"/>
        </w:rPr>
        <w:t xml:space="preserve"> </w:t>
      </w:r>
      <w:r>
        <w:rPr>
          <w:rFonts w:ascii="Times New Roman" w:hAnsi="Times New Roman" w:cs="Times New Roman"/>
          <w:color w:val="auto"/>
          <w:sz w:val="20"/>
          <w:szCs w:val="20"/>
          <w:lang w:eastAsia="en-US"/>
        </w:rPr>
        <w:t>Council Decision 2013/755/EU on the Association of the Overseas Countries and Territories with the European Union.</w:t>
      </w:r>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EU’s Overseas Countries and Territories are </w:t>
      </w:r>
      <w:r>
        <w:rPr>
          <w:rFonts w:ascii="Times New Roman" w:hAnsi="Times New Roman"/>
          <w:lang w:eastAsia="en-GB"/>
        </w:rPr>
        <w:t>Greenland, New Caledonia and Dependencies, French Polynesia, French Southern and Antarctic Territories, Wallis and Futuna Islands, Saint Pierre and Miquelon, Saint-Barthélemy, Aruba, Bonaire, Curaçao, Saba, Sint Eustatius, Sint Maarten, Anguilla, Cayman Islands, Falkland Islands, South Georgia and the South Sandwich Islands, Montserrat, Pitcairn, Saint Helena and Dependencies (now denominated Saint Helena, Ascension and Tristan da Cunha), British Antarctic Territory, British Indian Ocean Territory, Turks and Caicos Islands, British Virgin Islands, Bermuda.</w:t>
      </w:r>
    </w:p>
  </w:footnote>
  <w:footnote w:id="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Part Four of </w:t>
      </w:r>
      <w:r>
        <w:rPr>
          <w:rFonts w:ascii="Times New Roman" w:hAnsi="Times New Roman"/>
          <w:color w:val="000000"/>
        </w:rPr>
        <w:t>the Treaty on the Functioning of the European Union (</w:t>
      </w:r>
      <w:r>
        <w:rPr>
          <w:rFonts w:ascii="Times New Roman" w:hAnsi="Times New Roman"/>
          <w:lang w:eastAsia="en-GB"/>
        </w:rPr>
        <w:t>C 326/47 of 26.10.2012).</w:t>
      </w:r>
    </w:p>
  </w:footnote>
  <w:footnote w:id="4">
    <w:p>
      <w:pPr>
        <w:pStyle w:val="Default"/>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L210/1 of 6.8.2013 - Internal Agreement </w:t>
      </w:r>
      <w:r>
        <w:rPr>
          <w:rFonts w:ascii="Times New Roman" w:hAnsi="Times New Roman" w:cs="Times New Roman"/>
          <w:bCs/>
          <w:sz w:val="20"/>
          <w:szCs w:val="20"/>
        </w:rPr>
        <w:t>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p>
  </w:footnote>
  <w:footnote w:id="5">
    <w:p>
      <w:pPr>
        <w:pStyle w:val="Default"/>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Council Decision 2014/137/EU on relations between the EU on the one hand and Greenland and the Kingdom of Denmark on the other, allocates EUR 217.8 million for the period 2014-2020 to cooperation between the Union and Greenland in an area of mutual interest. </w:t>
      </w:r>
    </w:p>
  </w:footnote>
  <w:footnote w:id="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The territorial programmes for Aruba (EUR 13.05 million) and Bonaire (EUR 3.95 million) were adopted in February 2019. The programming process for Curacao (EUR 16.95 million) and Sint Maarten (EUR 7 million) is ongoing, with a planned adoption date in 2019/2020.</w:t>
      </w:r>
    </w:p>
  </w:footnote>
  <w:footnote w:id="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The Commission Financing Decision on this programme (C(2019)1595) was adopted in February 2019.</w:t>
      </w:r>
    </w:p>
  </w:footnote>
  <w:footnote w:id="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The two special support measures for Sint Maarten and the British Virgin Islands were adopted prior to the 17</w:t>
      </w:r>
      <w:r>
        <w:rPr>
          <w:rFonts w:ascii="Times New Roman" w:hAnsi="Times New Roman"/>
          <w:vertAlign w:val="superscript"/>
        </w:rPr>
        <w:t>th</w:t>
      </w:r>
      <w:r>
        <w:rPr>
          <w:rFonts w:ascii="Times New Roman" w:hAnsi="Times New Roman"/>
        </w:rPr>
        <w:t xml:space="preserve"> OCT-EU 2019 Forum.</w:t>
      </w:r>
    </w:p>
  </w:footnote>
  <w:footnote w:id="9">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 xml:space="preserve">The tripartite meeting of December 2018 was organised by moving the tripartite meeting of early 2019 forward to better prepare the upcoming Forum. </w:t>
      </w:r>
    </w:p>
  </w:footnote>
  <w:footnote w:id="1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The programming process for Curacao (EUR 16.95 million) and Sint Maarten (EUR 7 million) is ongoing, with a planned adoption date in 2019/2020.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EA9"/>
    <w:multiLevelType w:val="hybridMultilevel"/>
    <w:tmpl w:val="1BA4B8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5245B2"/>
    <w:multiLevelType w:val="hybridMultilevel"/>
    <w:tmpl w:val="18C45D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3136CE9"/>
    <w:multiLevelType w:val="hybridMultilevel"/>
    <w:tmpl w:val="F95262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28798B"/>
    <w:multiLevelType w:val="hybridMultilevel"/>
    <w:tmpl w:val="25A8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A61D45"/>
    <w:multiLevelType w:val="hybridMultilevel"/>
    <w:tmpl w:val="3F60BC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6E4351F"/>
    <w:multiLevelType w:val="hybridMultilevel"/>
    <w:tmpl w:val="C9705D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7FB5624"/>
    <w:multiLevelType w:val="hybridMultilevel"/>
    <w:tmpl w:val="D788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CA5166"/>
    <w:multiLevelType w:val="hybridMultilevel"/>
    <w:tmpl w:val="97E47D18"/>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AB0680"/>
    <w:multiLevelType w:val="hybridMultilevel"/>
    <w:tmpl w:val="FFAC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16257A"/>
    <w:multiLevelType w:val="hybridMultilevel"/>
    <w:tmpl w:val="97E47D18"/>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77566DC"/>
    <w:multiLevelType w:val="hybridMultilevel"/>
    <w:tmpl w:val="9530CC48"/>
    <w:lvl w:ilvl="0" w:tplc="7B5CDDF0">
      <w:start w:val="1"/>
      <w:numFmt w:val="decimal"/>
      <w:lvlText w:val="%1."/>
      <w:lvlJc w:val="left"/>
      <w:pPr>
        <w:ind w:left="720" w:hanging="360"/>
      </w:pPr>
      <w:rPr>
        <w:b w:val="0"/>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994F1C"/>
    <w:multiLevelType w:val="hybridMultilevel"/>
    <w:tmpl w:val="AF22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F80440"/>
    <w:multiLevelType w:val="hybridMultilevel"/>
    <w:tmpl w:val="EE92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190469"/>
    <w:multiLevelType w:val="hybridMultilevel"/>
    <w:tmpl w:val="DF1A727E"/>
    <w:lvl w:ilvl="0" w:tplc="08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EE01C5"/>
    <w:multiLevelType w:val="hybridMultilevel"/>
    <w:tmpl w:val="1FA6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DD7201"/>
    <w:multiLevelType w:val="hybridMultilevel"/>
    <w:tmpl w:val="005AE6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7C82547C"/>
    <w:multiLevelType w:val="hybridMultilevel"/>
    <w:tmpl w:val="97E47D18"/>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
  </w:num>
  <w:num w:numId="3">
    <w:abstractNumId w:val="6"/>
  </w:num>
  <w:num w:numId="4">
    <w:abstractNumId w:val="0"/>
  </w:num>
  <w:num w:numId="5">
    <w:abstractNumId w:val="8"/>
  </w:num>
  <w:num w:numId="6">
    <w:abstractNumId w:val="12"/>
  </w:num>
  <w:num w:numId="7">
    <w:abstractNumId w:val="7"/>
  </w:num>
  <w:num w:numId="8">
    <w:abstractNumId w:val="2"/>
  </w:num>
  <w:num w:numId="9">
    <w:abstractNumId w:val="14"/>
  </w:num>
  <w:num w:numId="10">
    <w:abstractNumId w:val="11"/>
  </w:num>
  <w:num w:numId="11">
    <w:abstractNumId w:val="4"/>
  </w:num>
  <w:num w:numId="12">
    <w:abstractNumId w:val="10"/>
  </w:num>
  <w:num w:numId="13">
    <w:abstractNumId w:val="15"/>
  </w:num>
  <w:num w:numId="14">
    <w:abstractNumId w:val="5"/>
  </w:num>
  <w:num w:numId="15">
    <w:abstractNumId w:val="16"/>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108AD4F6-D67F-4A97-B63E-19F99514A7F9"/>
    <w:docVar w:name="LW_COVERPAGE_TYPE" w:val="1"/>
    <w:docVar w:name="LW_CROSSREFERENCE" w:val="&lt;UNUSED&gt;"/>
    <w:docVar w:name="LW_DATE.ADOPT.CP_ISODATE" w:val="&lt;EMPTY&gt;"/>
    <w:docVar w:name="LW_DocType" w:val="NORMAL"/>
    <w:docVar w:name="LW_EMISSION" w:val="15.7.2019"/>
    <w:docVar w:name="LW_EMISSION_ISODATE" w:val="2019-07-15"/>
    <w:docVar w:name="LW_EMISSION_LOCATION" w:val="BRX"/>
    <w:docVar w:name="LW_EMISSION_PREFIX" w:val="Brussels, "/>
    <w:docVar w:name="LW_EMISSION_SUFFIX" w:val=" "/>
    <w:docVar w:name="LW_ID_DOCTYPE_NONLW" w:val="CP-004"/>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mplementation of the financial assistance provided to the Overseas Countries and Territories under the 11th European Development Fund "/>
    <w:docVar w:name="LW_TYPE.DOC.CP" w:val="REPORT FROM THE COMMISSION TO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Calibri" w:hAnsi="EUAlbertina"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Hyperlink">
    <w:name w:val="Hyperlink"/>
    <w:basedOn w:val="DefaultParagraphFont"/>
    <w:uiPriority w:val="99"/>
    <w:semiHidden/>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Calibri" w:hAnsi="EUAlbertina"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Hyperlink">
    <w:name w:val="Hyperlink"/>
    <w:basedOn w:val="DefaultParagraphFont"/>
    <w:uiPriority w:val="99"/>
    <w:semiHidden/>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9172">
      <w:bodyDiv w:val="1"/>
      <w:marLeft w:val="0"/>
      <w:marRight w:val="0"/>
      <w:marTop w:val="0"/>
      <w:marBottom w:val="0"/>
      <w:divBdr>
        <w:top w:val="none" w:sz="0" w:space="0" w:color="auto"/>
        <w:left w:val="none" w:sz="0" w:space="0" w:color="auto"/>
        <w:bottom w:val="none" w:sz="0" w:space="0" w:color="auto"/>
        <w:right w:val="none" w:sz="0" w:space="0" w:color="auto"/>
      </w:divBdr>
    </w:div>
    <w:div w:id="320426692">
      <w:bodyDiv w:val="1"/>
      <w:marLeft w:val="0"/>
      <w:marRight w:val="0"/>
      <w:marTop w:val="0"/>
      <w:marBottom w:val="0"/>
      <w:divBdr>
        <w:top w:val="none" w:sz="0" w:space="0" w:color="auto"/>
        <w:left w:val="none" w:sz="0" w:space="0" w:color="auto"/>
        <w:bottom w:val="none" w:sz="0" w:space="0" w:color="auto"/>
        <w:right w:val="none" w:sz="0" w:space="0" w:color="auto"/>
      </w:divBdr>
    </w:div>
    <w:div w:id="552277776">
      <w:bodyDiv w:val="1"/>
      <w:marLeft w:val="0"/>
      <w:marRight w:val="0"/>
      <w:marTop w:val="0"/>
      <w:marBottom w:val="0"/>
      <w:divBdr>
        <w:top w:val="none" w:sz="0" w:space="0" w:color="auto"/>
        <w:left w:val="none" w:sz="0" w:space="0" w:color="auto"/>
        <w:bottom w:val="none" w:sz="0" w:space="0" w:color="auto"/>
        <w:right w:val="none" w:sz="0" w:space="0" w:color="auto"/>
      </w:divBdr>
    </w:div>
    <w:div w:id="695077936">
      <w:bodyDiv w:val="1"/>
      <w:marLeft w:val="0"/>
      <w:marRight w:val="0"/>
      <w:marTop w:val="0"/>
      <w:marBottom w:val="0"/>
      <w:divBdr>
        <w:top w:val="none" w:sz="0" w:space="0" w:color="auto"/>
        <w:left w:val="none" w:sz="0" w:space="0" w:color="auto"/>
        <w:bottom w:val="none" w:sz="0" w:space="0" w:color="auto"/>
        <w:right w:val="none" w:sz="0" w:space="0" w:color="auto"/>
      </w:divBdr>
    </w:div>
    <w:div w:id="710345930">
      <w:bodyDiv w:val="1"/>
      <w:marLeft w:val="0"/>
      <w:marRight w:val="0"/>
      <w:marTop w:val="0"/>
      <w:marBottom w:val="0"/>
      <w:divBdr>
        <w:top w:val="none" w:sz="0" w:space="0" w:color="auto"/>
        <w:left w:val="none" w:sz="0" w:space="0" w:color="auto"/>
        <w:bottom w:val="none" w:sz="0" w:space="0" w:color="auto"/>
        <w:right w:val="none" w:sz="0" w:space="0" w:color="auto"/>
      </w:divBdr>
    </w:div>
    <w:div w:id="1219708818">
      <w:bodyDiv w:val="1"/>
      <w:marLeft w:val="0"/>
      <w:marRight w:val="0"/>
      <w:marTop w:val="0"/>
      <w:marBottom w:val="0"/>
      <w:divBdr>
        <w:top w:val="none" w:sz="0" w:space="0" w:color="auto"/>
        <w:left w:val="none" w:sz="0" w:space="0" w:color="auto"/>
        <w:bottom w:val="none" w:sz="0" w:space="0" w:color="auto"/>
        <w:right w:val="none" w:sz="0" w:space="0" w:color="auto"/>
      </w:divBdr>
    </w:div>
    <w:div w:id="1506702443">
      <w:bodyDiv w:val="1"/>
      <w:marLeft w:val="0"/>
      <w:marRight w:val="0"/>
      <w:marTop w:val="0"/>
      <w:marBottom w:val="0"/>
      <w:divBdr>
        <w:top w:val="none" w:sz="0" w:space="0" w:color="auto"/>
        <w:left w:val="none" w:sz="0" w:space="0" w:color="auto"/>
        <w:bottom w:val="none" w:sz="0" w:space="0" w:color="auto"/>
        <w:right w:val="none" w:sz="0" w:space="0" w:color="auto"/>
      </w:divBdr>
    </w:div>
    <w:div w:id="1688171177">
      <w:bodyDiv w:val="1"/>
      <w:marLeft w:val="0"/>
      <w:marRight w:val="0"/>
      <w:marTop w:val="0"/>
      <w:marBottom w:val="0"/>
      <w:divBdr>
        <w:top w:val="none" w:sz="0" w:space="0" w:color="auto"/>
        <w:left w:val="none" w:sz="0" w:space="0" w:color="auto"/>
        <w:bottom w:val="none" w:sz="0" w:space="0" w:color="auto"/>
        <w:right w:val="none" w:sz="0" w:space="0" w:color="auto"/>
      </w:divBdr>
    </w:div>
    <w:div w:id="1951816605">
      <w:bodyDiv w:val="1"/>
      <w:marLeft w:val="0"/>
      <w:marRight w:val="0"/>
      <w:marTop w:val="0"/>
      <w:marBottom w:val="0"/>
      <w:divBdr>
        <w:top w:val="none" w:sz="0" w:space="0" w:color="auto"/>
        <w:left w:val="none" w:sz="0" w:space="0" w:color="auto"/>
        <w:bottom w:val="none" w:sz="0" w:space="0" w:color="auto"/>
        <w:right w:val="none" w:sz="0" w:space="0" w:color="auto"/>
      </w:divBdr>
    </w:div>
    <w:div w:id="1956788779">
      <w:bodyDiv w:val="1"/>
      <w:marLeft w:val="0"/>
      <w:marRight w:val="0"/>
      <w:marTop w:val="0"/>
      <w:marBottom w:val="0"/>
      <w:divBdr>
        <w:top w:val="none" w:sz="0" w:space="0" w:color="auto"/>
        <w:left w:val="none" w:sz="0" w:space="0" w:color="auto"/>
        <w:bottom w:val="none" w:sz="0" w:space="0" w:color="auto"/>
        <w:right w:val="none" w:sz="0" w:space="0" w:color="auto"/>
      </w:divBdr>
    </w:div>
    <w:div w:id="1993220466">
      <w:bodyDiv w:val="1"/>
      <w:marLeft w:val="0"/>
      <w:marRight w:val="0"/>
      <w:marTop w:val="0"/>
      <w:marBottom w:val="0"/>
      <w:divBdr>
        <w:top w:val="none" w:sz="0" w:space="0" w:color="auto"/>
        <w:left w:val="none" w:sz="0" w:space="0" w:color="auto"/>
        <w:bottom w:val="none" w:sz="0" w:space="0" w:color="auto"/>
        <w:right w:val="none" w:sz="0" w:space="0" w:color="auto"/>
      </w:divBdr>
    </w:div>
    <w:div w:id="2083016352">
      <w:bodyDiv w:val="1"/>
      <w:marLeft w:val="0"/>
      <w:marRight w:val="0"/>
      <w:marTop w:val="0"/>
      <w:marBottom w:val="0"/>
      <w:divBdr>
        <w:top w:val="none" w:sz="0" w:space="0" w:color="auto"/>
        <w:left w:val="none" w:sz="0" w:space="0" w:color="auto"/>
        <w:bottom w:val="none" w:sz="0" w:space="0" w:color="auto"/>
        <w:right w:val="none" w:sz="0" w:space="0" w:color="auto"/>
      </w:divBdr>
    </w:div>
    <w:div w:id="213575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4B0BD-DEC1-45B9-AB72-D043443A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2732</Words>
  <Characters>15523</Characters>
  <Application>Microsoft Office Word</Application>
  <DocSecurity>0</DocSecurity>
  <Lines>254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2019-05-21T15:16:00Z</cp:lastPrinted>
  <dcterms:created xsi:type="dcterms:W3CDTF">2019-07-08T08:52:00Z</dcterms:created>
  <dcterms:modified xsi:type="dcterms:W3CDTF">2019-07-12T10:59:00Z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