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FEE38E39-DEE1-420F-81F3-DE8644589CC6" style="width:450.35pt;height:320.6pt">
            <v:imagedata r:id="rId9" o:title=""/>
          </v:shape>
        </w:pict>
      </w:r>
    </w:p>
    <w:bookmarkEnd w:id="0"/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keepNext/>
        <w:keepLines/>
        <w:spacing w:after="12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  <w:szCs w:val="24"/>
          <w:u w:val="single"/>
        </w:rPr>
        <w:lastRenderedPageBreak/>
        <w:t>Въведение</w:t>
      </w:r>
    </w:p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 Решението за отвъдморско асоцииране</w:t>
      </w:r>
      <w:r>
        <w:rPr>
          <w:rFonts w:ascii="Times New Roman" w:eastAsia="Calibri" w:hAnsi="Times New Roman" w:cs="Times New Roman"/>
          <w:noProof/>
          <w:sz w:val="24"/>
          <w:szCs w:val="24"/>
          <w:vertAlign w:val="superscript"/>
        </w:rPr>
        <w:footnoteReference w:id="1"/>
      </w:r>
      <w:r>
        <w:rPr>
          <w:rFonts w:ascii="Times New Roman" w:hAnsi="Times New Roman"/>
          <w:noProof/>
          <w:sz w:val="24"/>
          <w:szCs w:val="24"/>
        </w:rPr>
        <w:t xml:space="preserve"> се установява правната рамка за отношенията между отвъдморските страни и територии</w:t>
      </w:r>
      <w:r>
        <w:rPr>
          <w:rFonts w:ascii="Times New Roman" w:eastAsia="Calibri" w:hAnsi="Times New Roman" w:cs="Times New Roman"/>
          <w:noProof/>
          <w:sz w:val="24"/>
          <w:szCs w:val="24"/>
          <w:vertAlign w:val="superscript"/>
        </w:rPr>
        <w:footnoteReference w:id="2"/>
      </w:r>
      <w:r>
        <w:rPr>
          <w:rFonts w:ascii="Times New Roman" w:hAnsi="Times New Roman"/>
          <w:noProof/>
          <w:sz w:val="24"/>
          <w:szCs w:val="24"/>
        </w:rPr>
        <w:t xml:space="preserve"> (ОСТ), държавите членки, с които те са свързани, и Европейския съюз. В съответствие с Договора за функционирането на Европейския съюз</w:t>
      </w:r>
      <w:r>
        <w:rPr>
          <w:rFonts w:ascii="Times New Roman" w:eastAsia="Calibri" w:hAnsi="Times New Roman" w:cs="Times New Roman"/>
          <w:noProof/>
          <w:sz w:val="24"/>
          <w:szCs w:val="24"/>
          <w:vertAlign w:val="superscript"/>
        </w:rPr>
        <w:footnoteReference w:id="3"/>
      </w:r>
      <w:r>
        <w:rPr>
          <w:rFonts w:ascii="Times New Roman" w:hAnsi="Times New Roman"/>
          <w:noProof/>
          <w:sz w:val="24"/>
          <w:szCs w:val="24"/>
        </w:rPr>
        <w:t xml:space="preserve"> (ДФЕС) целта на Решението за отвъдморско асоцииране е да се подкрепи устойчивото развитие на ОСТ и да се утвърдят ценностите на Съюза по света. </w:t>
      </w:r>
    </w:p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Финансова помощ за ОСТ се предоставя основно чрез Европейския фонд за развитие (ЕФР), като в рамките на 11-ия ЕФР за програмния период 2014—2020 г. за тях е предвидена сума в размер на 364,5 милиона евро</w:t>
      </w:r>
      <w:r>
        <w:rPr>
          <w:rFonts w:ascii="Times New Roman" w:eastAsia="Calibri" w:hAnsi="Times New Roman" w:cs="Times New Roman"/>
          <w:noProof/>
          <w:sz w:val="24"/>
          <w:szCs w:val="24"/>
          <w:vertAlign w:val="superscript"/>
        </w:rPr>
        <w:footnoteReference w:id="4"/>
      </w:r>
      <w:r>
        <w:rPr>
          <w:rFonts w:ascii="Times New Roman" w:hAnsi="Times New Roman"/>
          <w:noProof/>
          <w:sz w:val="24"/>
          <w:szCs w:val="24"/>
        </w:rPr>
        <w:t>.</w:t>
      </w:r>
    </w:p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В съответствие с член 91 от Решението за отвъдморско асоцииране в настоящия доклад се представя напредъкът, постигнат във връзка с изпълнението на средствата за OCT от 11-ия ЕФР за 2018 г.</w:t>
      </w:r>
    </w:p>
    <w:p>
      <w:pPr>
        <w:keepNext/>
        <w:keepLines/>
        <w:spacing w:after="12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 xml:space="preserve">Финансови средства по линия на 11-ия ЕФР—ОСТ </w:t>
      </w:r>
    </w:p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В съответствие с приложение 2 от Решението за отвъдморско асоцииране заделените за ОСТ средства от 11-ия ЕФР се разпределят, както следва:</w:t>
      </w:r>
    </w:p>
    <w:p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229,5 милиона евро за териториално (двустранно) разпределение;</w:t>
      </w:r>
    </w:p>
    <w:p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100 милиона евро за регионално сътрудничество и интеграция;</w:t>
      </w:r>
    </w:p>
    <w:p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21,5 милиона евро за финансиране на хуманитарна и спешна помощ или помощ за колебания в приходите от износ;</w:t>
      </w:r>
    </w:p>
    <w:p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5 милиона евро за финансиране на лихвени субсидии и техническа помощ чрез Инвестиционния механизъм на ЕИБ за ОСТ;</w:t>
      </w:r>
    </w:p>
    <w:p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8,5 милиона евро за изследвания и техническа помощ в съответствие с член 81 от Решението за отвъдморско асоцииране.</w:t>
      </w:r>
    </w:p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В съответствие с критериите, определени в Решението за отвъдморско асоцииране, шестнадесет OCT се считат за допустими за териториално разпределение по линия на 11-ия ЕФР.</w:t>
      </w:r>
      <w:r>
        <w:rPr>
          <w:rFonts w:ascii="Times New Roman" w:hAnsi="Times New Roman"/>
          <w:noProof/>
          <w:sz w:val="24"/>
          <w:szCs w:val="24"/>
        </w:rPr>
        <w:t xml:space="preserve"> Следва да се отбележи, че Гренландия се финансира пряко от общия бюджет на Съюза въз основа на Решението за Гренландия</w:t>
      </w:r>
      <w:r>
        <w:rPr>
          <w:rFonts w:ascii="Times New Roman" w:eastAsia="Calibri" w:hAnsi="Times New Roman" w:cs="Times New Roman"/>
          <w:noProof/>
          <w:sz w:val="24"/>
          <w:szCs w:val="24"/>
          <w:vertAlign w:val="superscript"/>
        </w:rPr>
        <w:footnoteReference w:id="5"/>
      </w:r>
      <w:r>
        <w:rPr>
          <w:rFonts w:ascii="Times New Roman" w:hAnsi="Times New Roman"/>
          <w:noProof/>
          <w:sz w:val="24"/>
          <w:szCs w:val="24"/>
        </w:rPr>
        <w:t>.</w:t>
      </w:r>
    </w:p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Трите регионални програми</w:t>
      </w:r>
      <w:r>
        <w:rPr>
          <w:rFonts w:ascii="Times New Roman" w:hAnsi="Times New Roman"/>
          <w:noProof/>
          <w:sz w:val="24"/>
          <w:szCs w:val="24"/>
        </w:rPr>
        <w:t xml:space="preserve"> имат за цел да се насърчи сътрудничеството между ОСТ от един и същ регион, изправени пред сходни предизвикателства и имащи сходни приоритети. С действията, финансирани в рамките на регионалното разпределение, се подпомагат разработването и изпълнението на всеобхватни регионални програми и проекти за справяне с тези предизвикателства. Насърчават се партньорства с други източници на финансиране, включително други финансови инструменти на Европейския съюз, чрез сътрудничество със съседни държави от АКТБ и/или трети държави, както и с най-отдалечените региони на ЕС. </w:t>
      </w:r>
    </w:p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В допълнение към териториалните и регионалните програми </w:t>
      </w:r>
      <w:r>
        <w:rPr>
          <w:rFonts w:ascii="Times New Roman" w:hAnsi="Times New Roman"/>
          <w:b/>
          <w:noProof/>
          <w:sz w:val="24"/>
          <w:szCs w:val="24"/>
        </w:rPr>
        <w:t>тематичната програма</w:t>
      </w:r>
      <w:r>
        <w:rPr>
          <w:rFonts w:ascii="Times New Roman" w:hAnsi="Times New Roman"/>
          <w:noProof/>
          <w:sz w:val="24"/>
          <w:szCs w:val="24"/>
        </w:rPr>
        <w:t xml:space="preserve"> — единствената програма за всички ОСТ по линия на 11-ия ЕФР, ще насърчи сътрудничеството между ОСТ в целия регион.</w:t>
      </w:r>
    </w:p>
    <w:p>
      <w:pPr>
        <w:keepNext/>
        <w:keepLines/>
        <w:spacing w:after="12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Процес на програмиране за 11-ия ЕФР—ОСТ</w:t>
      </w:r>
    </w:p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В част четвърта от Решението за отвъдморско асоцииране се установява </w:t>
      </w:r>
      <w:r>
        <w:rPr>
          <w:rFonts w:ascii="Times New Roman" w:hAnsi="Times New Roman"/>
          <w:b/>
          <w:noProof/>
          <w:sz w:val="24"/>
          <w:szCs w:val="24"/>
        </w:rPr>
        <w:t>процес на програмиране, който е специфичен за ОСТ</w:t>
      </w:r>
      <w:r>
        <w:rPr>
          <w:rFonts w:ascii="Times New Roman" w:hAnsi="Times New Roman"/>
          <w:noProof/>
          <w:sz w:val="24"/>
          <w:szCs w:val="24"/>
        </w:rPr>
        <w:t xml:space="preserve">. За разлика от групата на държавите от Африка, Карибите и Тихоокеанския басейн (АКТБ) програмирането не се основава на национални индикативни програми, а е организирано около </w:t>
      </w:r>
      <w:r>
        <w:rPr>
          <w:rFonts w:ascii="Times New Roman" w:hAnsi="Times New Roman"/>
          <w:b/>
          <w:noProof/>
          <w:sz w:val="24"/>
          <w:szCs w:val="24"/>
        </w:rPr>
        <w:t>еднократно действие, а именно изработването на документ за програмиране, който се състои от два компонента: а) стратегията на ЕС за реакция (част А) и б) документа за действие (част Б).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За одобряването на всеки документ за програмиране на ОСТ се взема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само</w:t>
      </w:r>
      <w:r>
        <w:rPr>
          <w:rFonts w:ascii="Times New Roman" w:hAnsi="Times New Roman"/>
          <w:b/>
          <w:noProof/>
          <w:sz w:val="24"/>
          <w:szCs w:val="24"/>
        </w:rPr>
        <w:t xml:space="preserve"> едно официално решение на Комисията</w:t>
      </w:r>
      <w:r>
        <w:rPr>
          <w:rFonts w:ascii="Times New Roman" w:hAnsi="Times New Roman"/>
          <w:noProof/>
          <w:sz w:val="24"/>
          <w:szCs w:val="24"/>
        </w:rPr>
        <w:t xml:space="preserve">, което обхваща както стратегическите насоки, така и подробната структура на програмата. </w:t>
      </w:r>
    </w:p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Бюджетната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подкрепа</w:t>
      </w:r>
      <w:r>
        <w:rPr>
          <w:rFonts w:ascii="Times New Roman" w:hAnsi="Times New Roman"/>
          <w:noProof/>
          <w:sz w:val="24"/>
          <w:szCs w:val="24"/>
        </w:rPr>
        <w:t xml:space="preserve"> е предпочитаният начин за изпълнение по отношение на териториалното разпределение в ОСТ (към днешна дата дванадесет от общо 16-те ОСТ, които се възползват от ЕФР). Това представлява положителна промяна в сравнение с използвания преди това проектен способ. Бюджетната подкрепа предлага ефикасен начин за преодоляване на хоризонталните, дългосрочните и структурните предизвикателства и заплахи и за поддържане на конструктивен политически диалог.</w:t>
      </w:r>
    </w:p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ОСТ носят основната отговорност за изготвянето на документите за програмиране</w:t>
      </w:r>
      <w:r>
        <w:rPr>
          <w:rFonts w:ascii="Times New Roman" w:hAnsi="Times New Roman"/>
          <w:noProof/>
          <w:sz w:val="24"/>
          <w:szCs w:val="24"/>
        </w:rPr>
        <w:t>, в това число за приоритетите, на които се основават техните стратегии, и за осигуряването на необходимите консултации на местно равнище. В съответствие с член 81 от Решението за отвъдморско асоцииране по искане на ОСТ беше предоставена техническа помощ за ОСТ в процеса на програмиране.</w:t>
      </w:r>
    </w:p>
    <w:p>
      <w:pPr>
        <w:keepNext/>
        <w:keepLines/>
        <w:spacing w:after="12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 xml:space="preserve">Положението през 2018 г. </w:t>
      </w:r>
    </w:p>
    <w:p>
      <w:pPr>
        <w:pStyle w:val="ListParagraph"/>
        <w:keepNext/>
        <w:keepLines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Териториално изпълнение на 11-ия ЕФР </w:t>
      </w:r>
    </w:p>
    <w:p>
      <w:pPr>
        <w:spacing w:after="12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Благодарение на общата ангажираност на всички заинтересовани страни през 2018 г. бе постигнат напредък при програмирането на 11-ия ЕФР чрез засилена координация и диалог. </w:t>
      </w:r>
      <w:r>
        <w:rPr>
          <w:rFonts w:ascii="Times New Roman" w:hAnsi="Times New Roman"/>
          <w:bCs/>
          <w:noProof/>
          <w:sz w:val="24"/>
          <w:szCs w:val="24"/>
        </w:rPr>
        <w:t>С приемането на документите за програмиране по 11-ия ЕФР за Света Елена и Монтсерат дванадесет от общо 16-те ОСТ с териториално разпределение приключиха своето програмиране до края на 2018 г. Няколко други ОСТ постигнаха значителен напредък във финализирането в началото на 2019 г.</w:t>
      </w:r>
      <w:r>
        <w:rPr>
          <w:rStyle w:val="FootnoteReference"/>
          <w:rFonts w:ascii="Times New Roman" w:hAnsi="Times New Roman" w:cs="Times New Roman"/>
          <w:bCs/>
          <w:noProof/>
          <w:sz w:val="24"/>
          <w:szCs w:val="24"/>
        </w:rPr>
        <w:footnoteReference w:id="6"/>
      </w:r>
      <w:r>
        <w:rPr>
          <w:rFonts w:ascii="Times New Roman" w:hAnsi="Times New Roman"/>
          <w:bCs/>
          <w:noProof/>
          <w:sz w:val="24"/>
          <w:szCs w:val="24"/>
        </w:rPr>
        <w:t xml:space="preserve"> Що се отнася до изпълнението, през 2018 г. бяха изплатени 58,62 милиона евро по линия на 11-ия ЕФР за ОСТ (вж. приложение 1).</w:t>
      </w:r>
    </w:p>
    <w:p>
      <w:pPr>
        <w:spacing w:after="12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>Що се отнася до изпълнението през 2018 г.:</w:t>
      </w:r>
    </w:p>
    <w:p>
      <w:pPr>
        <w:keepNext/>
        <w:keepLines/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>Карибски регион:</w:t>
      </w:r>
    </w:p>
    <w:p>
      <w:pPr>
        <w:pStyle w:val="ListParagraph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В сектора на </w:t>
      </w:r>
      <w:r>
        <w:rPr>
          <w:rFonts w:ascii="Times New Roman" w:hAnsi="Times New Roman"/>
          <w:b/>
          <w:noProof/>
          <w:sz w:val="24"/>
          <w:szCs w:val="24"/>
        </w:rPr>
        <w:t>устойчивата енергетика</w:t>
      </w:r>
      <w:r>
        <w:rPr>
          <w:rFonts w:ascii="Times New Roman" w:hAnsi="Times New Roman"/>
          <w:noProof/>
          <w:sz w:val="24"/>
          <w:szCs w:val="24"/>
        </w:rPr>
        <w:t xml:space="preserve"> бяха завършени плащанията по програмите за бюджетна подкрепа в Синт Еустациус (първи и втори фиксиран транш: 2,2 милиона евро) и Саба (втори фиксиран транш: 1,4 милиона евро), с което се повиши устойчивостта на сектора и се увеличиха производството на възобновяема енергия и стабилността на електропреносните мрежи.</w:t>
      </w:r>
    </w:p>
    <w:p>
      <w:pPr>
        <w:pStyle w:val="ListParagraph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В сектора на </w:t>
      </w:r>
      <w:r>
        <w:rPr>
          <w:rFonts w:ascii="Times New Roman" w:hAnsi="Times New Roman"/>
          <w:b/>
          <w:noProof/>
          <w:sz w:val="24"/>
          <w:szCs w:val="24"/>
        </w:rPr>
        <w:t>образованието</w:t>
      </w:r>
      <w:r>
        <w:rPr>
          <w:rFonts w:ascii="Times New Roman" w:hAnsi="Times New Roman"/>
          <w:noProof/>
          <w:sz w:val="24"/>
          <w:szCs w:val="24"/>
        </w:rPr>
        <w:t xml:space="preserve"> бе постигнат напредък, подкрепен от текущите програми за бюджетна подкрепа на Ангила (втори фиксиран транш: 1,75 милиона евро + 2,8 милиона евро допълнително по пакет Б) и на Търкс и Кайкос (втори фиксиран транш: 1 милион евро + първи променлив транш: 3,8 милиона евро + 2 милиона евро допълнително по пакет Б), с което </w:t>
      </w:r>
      <w:r>
        <w:rPr>
          <w:rFonts w:ascii="Times New Roman" w:hAnsi="Times New Roman"/>
          <w:b/>
          <w:noProof/>
          <w:sz w:val="24"/>
          <w:szCs w:val="24"/>
        </w:rPr>
        <w:t xml:space="preserve">основното и средното образование и </w:t>
      </w:r>
      <w:r>
        <w:rPr>
          <w:rFonts w:ascii="Times New Roman" w:hAnsi="Times New Roman"/>
          <w:b/>
          <w:bCs/>
          <w:noProof/>
          <w:sz w:val="24"/>
          <w:szCs w:val="24"/>
        </w:rPr>
        <w:t>техническото и професионално образование и обучение</w:t>
      </w:r>
      <w:r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бяха приведени в по-голяма степен на съответствие с текущите и бъдещите нужди на пазара на труда.</w:t>
      </w:r>
    </w:p>
    <w:p>
      <w:pPr>
        <w:pStyle w:val="ListParagraph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Освен това през 2018 г. беше </w:t>
      </w:r>
      <w:r>
        <w:rPr>
          <w:rFonts w:ascii="Times New Roman" w:hAnsi="Times New Roman"/>
          <w:b/>
          <w:noProof/>
          <w:sz w:val="24"/>
          <w:szCs w:val="24"/>
        </w:rPr>
        <w:t>приет и подписан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документът за програмиране по 11-ия ЕФР за Монтсерат</w:t>
      </w:r>
      <w:r>
        <w:rPr>
          <w:rFonts w:ascii="Times New Roman" w:hAnsi="Times New Roman"/>
          <w:noProof/>
          <w:sz w:val="24"/>
          <w:szCs w:val="24"/>
        </w:rPr>
        <w:t xml:space="preserve"> (18,4 млн. евро) за подпомагане на </w:t>
      </w:r>
      <w:r>
        <w:rPr>
          <w:rFonts w:ascii="Times New Roman" w:hAnsi="Times New Roman"/>
          <w:b/>
          <w:noProof/>
          <w:sz w:val="24"/>
          <w:szCs w:val="24"/>
        </w:rPr>
        <w:t>икономическия растеж</w:t>
      </w:r>
      <w:r>
        <w:rPr>
          <w:rFonts w:ascii="Times New Roman" w:hAnsi="Times New Roman"/>
          <w:noProof/>
          <w:sz w:val="24"/>
          <w:szCs w:val="24"/>
        </w:rPr>
        <w:t xml:space="preserve"> и насърчаване на развитието на политиките за целеви отрасли като енергията от възобновяеми източници и туризма. Първото плащане е направено (първи фиксиран транш: 5,4 милиона евро + 0,32 милиона допълнително по пакет Б). Тази програма за бюджетна подкрепа представлява продължение на програмата за бюджетна подкрепа по линия на 10-ия ЕФР, която допринася за плана за устойчиво развитие на острова. </w:t>
      </w:r>
    </w:p>
    <w:p>
      <w:pPr>
        <w:keepNext/>
        <w:keepLines/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>Тихоокеански регион:</w:t>
      </w:r>
    </w:p>
    <w:p>
      <w:pPr>
        <w:pStyle w:val="ListParagraph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Френска Полинезия отбеляза напредък в своята секторна политика за </w:t>
      </w:r>
      <w:r>
        <w:rPr>
          <w:rFonts w:ascii="Times New Roman" w:hAnsi="Times New Roman"/>
          <w:b/>
          <w:noProof/>
          <w:sz w:val="24"/>
          <w:szCs w:val="24"/>
        </w:rPr>
        <w:t>туризма</w:t>
      </w:r>
      <w:r>
        <w:rPr>
          <w:rFonts w:ascii="Times New Roman" w:hAnsi="Times New Roman"/>
          <w:noProof/>
          <w:sz w:val="24"/>
          <w:szCs w:val="24"/>
        </w:rPr>
        <w:t xml:space="preserve"> (първи фиксиран транш: 7,45 милиона евро) с помощта на секторна програма за бюджетна подкрепа, с която се привличат туристи и се създават работни места. Документът за програмиране по 11-ия ЕФР относно туризма за островите Питкерн беше приет през 2017 г. и подписан през 2018 г. и представлява продължение на програмата за бюджетна подкрепа по линия на 10-ия ЕФР в същия сектор, която беше завършена през 2018 г. </w:t>
      </w:r>
    </w:p>
    <w:p>
      <w:pPr>
        <w:pStyle w:val="ListParagraph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В </w:t>
      </w:r>
      <w:r>
        <w:rPr>
          <w:rFonts w:ascii="Times New Roman" w:hAnsi="Times New Roman"/>
          <w:b/>
          <w:noProof/>
          <w:sz w:val="24"/>
          <w:szCs w:val="24"/>
        </w:rPr>
        <w:t>сектора на заетостта</w:t>
      </w:r>
      <w:r>
        <w:rPr>
          <w:rFonts w:ascii="Times New Roman" w:hAnsi="Times New Roman"/>
          <w:noProof/>
          <w:sz w:val="24"/>
          <w:szCs w:val="24"/>
        </w:rPr>
        <w:t xml:space="preserve"> Нова Каледония продължи да прилага своята политика, имаща за цел повишаване на пригодността за заетост, по-специално чрез техническо и професионално обучение. </w:t>
      </w:r>
    </w:p>
    <w:p>
      <w:pPr>
        <w:pStyle w:val="ListParagraph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Що се отнася до </w:t>
      </w:r>
      <w:r>
        <w:rPr>
          <w:rFonts w:ascii="Times New Roman" w:hAnsi="Times New Roman"/>
          <w:b/>
          <w:noProof/>
          <w:sz w:val="24"/>
          <w:szCs w:val="24"/>
        </w:rPr>
        <w:t>развитието на цифровите технологии и свързаността</w:t>
      </w:r>
      <w:r>
        <w:rPr>
          <w:rFonts w:ascii="Times New Roman" w:hAnsi="Times New Roman"/>
          <w:noProof/>
          <w:sz w:val="24"/>
          <w:szCs w:val="24"/>
        </w:rPr>
        <w:t>, Уолис и Футуна постигна значителен напредък по отношение на своята стратегия в областта на цифровите технологии (изплащане на първия фиксиран транш: 12 милиона евро). Във време, когато цифровата достъпност е от съществено значение и предлага нови икономически възможности, програмата подпомага по-конкретно полагането на широколентовия кабел от Самоа до Уолис и Футуна, осигуряващ високоскоростна широколентова връзка.</w:t>
      </w:r>
    </w:p>
    <w:p>
      <w:pPr>
        <w:keepNext/>
        <w:keepLines/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>Други ОСТ:</w:t>
      </w:r>
    </w:p>
    <w:p>
      <w:pPr>
        <w:pStyle w:val="ListParagraph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И Фолкландските острови, и остров Света Елена се възползваха от програми за </w:t>
      </w:r>
      <w:r>
        <w:rPr>
          <w:rFonts w:ascii="Times New Roman" w:hAnsi="Times New Roman"/>
          <w:b/>
          <w:noProof/>
          <w:sz w:val="24"/>
          <w:szCs w:val="24"/>
        </w:rPr>
        <w:t>свързаност</w:t>
      </w:r>
      <w:r>
        <w:rPr>
          <w:rFonts w:ascii="Times New Roman" w:hAnsi="Times New Roman"/>
          <w:noProof/>
          <w:sz w:val="24"/>
          <w:szCs w:val="24"/>
        </w:rPr>
        <w:t xml:space="preserve"> в рамките на 11-ия ЕФР. В началото на 2018 г. </w:t>
      </w:r>
      <w:r>
        <w:rPr>
          <w:rFonts w:ascii="Times New Roman" w:hAnsi="Times New Roman"/>
          <w:b/>
          <w:noProof/>
          <w:sz w:val="24"/>
          <w:szCs w:val="24"/>
        </w:rPr>
        <w:t>беше приет документът за програмиране</w:t>
      </w:r>
      <w:r>
        <w:rPr>
          <w:rFonts w:ascii="Times New Roman" w:hAnsi="Times New Roman"/>
          <w:noProof/>
          <w:sz w:val="24"/>
          <w:szCs w:val="24"/>
        </w:rPr>
        <w:t xml:space="preserve"> на Света Елена и беше постигнат напредък в изпълнението на стратегията в областта на цифровите технологии (изплащане на първия фиксиран транш: 10 милиона евро). На Фолкландските острови бяха направени първите стъпки към по-активното изграждане на транспортна инфраструктура и инфраструктура за свързаност (изплащане на първия фиксиран транш: 2 милиона евро).</w:t>
      </w:r>
    </w:p>
    <w:p>
      <w:pPr>
        <w:pStyle w:val="ListParagraph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По отношение на </w:t>
      </w:r>
      <w:r>
        <w:rPr>
          <w:rFonts w:ascii="Times New Roman" w:hAnsi="Times New Roman"/>
          <w:b/>
          <w:noProof/>
          <w:sz w:val="24"/>
          <w:szCs w:val="24"/>
        </w:rPr>
        <w:t>туризма</w:t>
      </w:r>
      <w:r>
        <w:rPr>
          <w:rFonts w:ascii="Times New Roman" w:hAnsi="Times New Roman"/>
          <w:noProof/>
          <w:sz w:val="24"/>
          <w:szCs w:val="24"/>
        </w:rPr>
        <w:t xml:space="preserve"> в Сен Пиер и Микелон беше подобрена достъпността за туристите, в резултат на което през пиковия сезон легловата база на Сейнт Пиер вече е „изцяло резервирана“ (изплащане на първия променлив транш: 3,25 милиона евро + трети фиксиран транш: 3,25 милиона евро).</w:t>
      </w:r>
    </w:p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Най-общо и целогодишно програмите за бюджетна подкрепа доведоха до редовни политически диалози с партньорските ОСТ относно реформите в управлението на публичните финанси, секторните политики и макроикономическата ситуация.</w:t>
      </w:r>
    </w:p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През 2018 г. имаше мобилизация на </w:t>
      </w:r>
      <w:r>
        <w:rPr>
          <w:rFonts w:ascii="Times New Roman" w:hAnsi="Times New Roman"/>
          <w:b/>
          <w:noProof/>
          <w:sz w:val="24"/>
          <w:szCs w:val="24"/>
        </w:rPr>
        <w:t>техническата помощ</w:t>
      </w:r>
      <w:r>
        <w:rPr>
          <w:rFonts w:ascii="Times New Roman" w:hAnsi="Times New Roman"/>
          <w:noProof/>
          <w:sz w:val="24"/>
          <w:szCs w:val="24"/>
        </w:rPr>
        <w:t xml:space="preserve"> в подкрепа на териториалните и регионалните разпоредители с бюджетни кредити в процеса на програмиране. В края на 2018 г. бяха възложени договори за техническа помощ или за проучвания, с които да се определят секторните стратегии на ОСТ или да се установи дали ОСТ отговарят на условията за получаване на бюджетна подкрепа, с обща стойност на отпуснатите средства 3,6 милиона евро по линия на инструменти за техническо сътрудничество I и II на 11-ия ЕФР. </w:t>
      </w:r>
    </w:p>
    <w:p>
      <w:pPr>
        <w:pStyle w:val="ListParagraph"/>
        <w:keepNext/>
        <w:keepLines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Регионално сътрудничество по линия на 11-ия ЕФР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През 2018 г. бе постигнат значителен напредък с приемането на трите регионални програми за ОСТ по линия на 11-ия ЕФР: </w:t>
      </w:r>
    </w:p>
    <w:p>
      <w:pPr>
        <w:pStyle w:val="ListParagraph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Регионалната програма за </w:t>
      </w:r>
      <w:r>
        <w:rPr>
          <w:rFonts w:ascii="Times New Roman" w:hAnsi="Times New Roman"/>
          <w:b/>
          <w:noProof/>
          <w:sz w:val="24"/>
          <w:szCs w:val="24"/>
        </w:rPr>
        <w:t>Тихоокеанския регион</w:t>
      </w:r>
      <w:r>
        <w:rPr>
          <w:rFonts w:ascii="Times New Roman" w:hAnsi="Times New Roman"/>
          <w:noProof/>
          <w:sz w:val="24"/>
          <w:szCs w:val="24"/>
        </w:rPr>
        <w:t xml:space="preserve"> PROTEGE (</w:t>
      </w:r>
      <w:r>
        <w:rPr>
          <w:rFonts w:ascii="Times New Roman" w:hAnsi="Times New Roman"/>
          <w:i/>
          <w:noProof/>
          <w:sz w:val="24"/>
          <w:szCs w:val="24"/>
        </w:rPr>
        <w:t>Projet régional océanien des territoires pour la gestion matioystes</w:t>
      </w:r>
      <w:r>
        <w:rPr>
          <w:rFonts w:ascii="Times New Roman" w:hAnsi="Times New Roman"/>
          <w:noProof/>
          <w:sz w:val="24"/>
          <w:szCs w:val="24"/>
        </w:rPr>
        <w:t xml:space="preserve"> — 36 милиона евро), подписана през февруари 2018 г., ще подкрепя устойчивото и жизнеспособно развитие на региона чрез опазване на биологичното разнообразие и възобновяемите природни ресурси. Тя е приемник на регионалната програма по 10-ия ЕФР INTEGRE (</w:t>
      </w:r>
      <w:r>
        <w:rPr>
          <w:rFonts w:ascii="Times New Roman" w:hAnsi="Times New Roman"/>
          <w:i/>
          <w:noProof/>
          <w:sz w:val="24"/>
          <w:szCs w:val="24"/>
        </w:rPr>
        <w:t>Initiative des territoires pour la gestion régionale de l’environnement</w:t>
      </w:r>
      <w:r>
        <w:rPr>
          <w:rFonts w:ascii="Times New Roman" w:hAnsi="Times New Roman"/>
          <w:noProof/>
          <w:sz w:val="24"/>
          <w:szCs w:val="24"/>
        </w:rPr>
        <w:t xml:space="preserve"> — 12 милиона евро), която бе съсредоточена върху интегрираното крайбрежно управление и развитието на регионални мрежи (за биологично селско стопанство, отпадъци и адаптиране към изменението на климата). </w:t>
      </w:r>
    </w:p>
    <w:p>
      <w:pPr>
        <w:pStyle w:val="ListParagraph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Регионалната програма за </w:t>
      </w:r>
      <w:r>
        <w:rPr>
          <w:rFonts w:ascii="Times New Roman" w:hAnsi="Times New Roman"/>
          <w:b/>
          <w:noProof/>
          <w:sz w:val="24"/>
          <w:szCs w:val="24"/>
        </w:rPr>
        <w:t>Индийския океан</w:t>
      </w:r>
      <w:r>
        <w:rPr>
          <w:rFonts w:ascii="Times New Roman" w:hAnsi="Times New Roman"/>
          <w:noProof/>
          <w:sz w:val="24"/>
          <w:szCs w:val="24"/>
        </w:rPr>
        <w:t xml:space="preserve"> на стойност 4 милиона евро, подписана през февруари 2018 г., има за цел да се подобрят надзорът и наблюдението на сухоземните и морските екосистеми във Френските южни и антарктически територии, да се възстановят екосистемите и да се укрепят механизмите за предотвратяване на въздействия. Предишната регионална програма по 10-ия ЕФР имаше за цел подобряване на устойчивото управление на природното наследство (както на сушата, така и в морето) на Майот и на Разпръснатите острови (3 милиона евро) чрез инструменти за оценка и подпомагане на вземането на решения.</w:t>
      </w:r>
    </w:p>
    <w:p>
      <w:pPr>
        <w:pStyle w:val="ListParagraph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В </w:t>
      </w:r>
      <w:r>
        <w:rPr>
          <w:rFonts w:ascii="Times New Roman" w:hAnsi="Times New Roman"/>
          <w:b/>
          <w:noProof/>
          <w:sz w:val="24"/>
          <w:szCs w:val="24"/>
        </w:rPr>
        <w:t>Карибския басейн</w:t>
      </w:r>
      <w:r>
        <w:rPr>
          <w:rFonts w:ascii="Times New Roman" w:hAnsi="Times New Roman"/>
          <w:noProof/>
          <w:sz w:val="24"/>
          <w:szCs w:val="24"/>
        </w:rPr>
        <w:t xml:space="preserve"> регионалната програма ReSEMBID (Жизнеспособност, устойчива енергия и морско биоразнообразие — 40 милиона евро), подписана през октомври 2018 г., ще засили устойчивото от гледна точка на околната среда икономическо развитие, като се съсредоточи върху жизнеспособността, устойчивата енергия и морското биологично разнообразие. Чрез програмата ще се повиши енергийната ефективност на инфраструктурата, която има голямо отражение върху потреблението на енергия, ще се подобрят защитата и устойчивото управление на морското биологично разнообразие и ще се увеличи капацитетът за адаптиране към екстремните и цикличните природни явления. 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През 2018 г. бе постигнат напредък и в изготвянето на </w:t>
      </w:r>
      <w:r>
        <w:rPr>
          <w:rFonts w:ascii="Times New Roman" w:hAnsi="Times New Roman"/>
          <w:b/>
          <w:noProof/>
          <w:sz w:val="24"/>
          <w:szCs w:val="24"/>
        </w:rPr>
        <w:t>тематичната програма за всички ОСТ по 11-ия ЕФР</w:t>
      </w:r>
      <w:r>
        <w:rPr>
          <w:rFonts w:ascii="Times New Roman" w:hAnsi="Times New Roman"/>
          <w:noProof/>
          <w:sz w:val="24"/>
          <w:szCs w:val="24"/>
        </w:rPr>
        <w:t xml:space="preserve"> със съгласието на всички ОСТ по отношение на двата целеви сектора на устойчивата енергия и изменението на климата (включително жизнеспособността)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7"/>
      </w:r>
      <w:r>
        <w:rPr>
          <w:rFonts w:ascii="Times New Roman" w:hAnsi="Times New Roman"/>
          <w:noProof/>
          <w:sz w:val="24"/>
          <w:szCs w:val="24"/>
        </w:rPr>
        <w:t>.</w:t>
      </w:r>
      <w:r>
        <w:rPr>
          <w:rFonts w:ascii="Times New Roman" w:hAnsi="Times New Roman"/>
          <w:i/>
          <w:noProof/>
          <w:sz w:val="24"/>
          <w:szCs w:val="24"/>
        </w:rPr>
        <w:t xml:space="preserve"> 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И накрая, през 2018 г. с подкрепата на ЕС за </w:t>
      </w:r>
      <w:r>
        <w:rPr>
          <w:rFonts w:ascii="Times New Roman" w:hAnsi="Times New Roman"/>
          <w:b/>
          <w:noProof/>
          <w:sz w:val="24"/>
          <w:szCs w:val="24"/>
        </w:rPr>
        <w:t>Асоциацията на отвъдморските страни и територии (OCTA)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с безвъзмездни средства за оперативни разходи</w:t>
      </w:r>
      <w:r>
        <w:rPr>
          <w:rFonts w:ascii="Times New Roman" w:hAnsi="Times New Roman"/>
          <w:noProof/>
          <w:sz w:val="24"/>
          <w:szCs w:val="24"/>
        </w:rPr>
        <w:t xml:space="preserve"> (1,1милиона евро за две години) на Асоциацията бе дадена възможност да укрепи своя капацитета си за изпълнение на своя мандат. Това бе свързано по-конкретно за координирането на партньорските ОСТ с цел улесняване на диалога с ЕС, насърчаване на партньорството и подкрепа на колективната работа на членовете на Асоциацията в няколко области от взаимен интерес в рамките на асоциирането ЕС-ОСТ.</w:t>
      </w:r>
    </w:p>
    <w:p>
      <w:pPr>
        <w:pStyle w:val="ListParagraph"/>
        <w:keepNext/>
        <w:keepLines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Урагани в Карибския регион</w:t>
      </w:r>
    </w:p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През септември 2017 г. два урагана от категория 5 връхлетяха няколко карибски отвъдморски страни и територии с животозастрашаващи ветрове, бури и обилни валежи, нанасяйки огромни щети на жилища и основна инфраструктура. Най-тежко засегнатите ОСТ бяха островите Ангила, Синт Мартен, Търкс и Кайкос, Сен Бартелеми и Британските Вирджински острови. Монтсерат, Саба и Синт Еустациус също пострадаха. </w:t>
      </w:r>
    </w:p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Стратегията за възстановяване се основаваше на съчетание от ответни действия при извънредни ситуации до април 2018 г. и допълнителни действия на национално и регионално равнище, които продължиха през цялата 2018 г. </w:t>
      </w:r>
      <w:r>
        <w:rPr>
          <w:rFonts w:ascii="Times New Roman" w:hAnsi="Times New Roman"/>
          <w:b/>
          <w:noProof/>
          <w:sz w:val="24"/>
          <w:szCs w:val="24"/>
        </w:rPr>
        <w:t>От неразпределените средства от пакет Б в размер на 21,5 милиона евро по линия на 11-ия ЕФР през 2018 г. бяха мобилизирани 15,04 милиона евро</w:t>
      </w:r>
      <w:r>
        <w:rPr>
          <w:rFonts w:ascii="Times New Roman" w:hAnsi="Times New Roman"/>
          <w:noProof/>
          <w:sz w:val="24"/>
          <w:szCs w:val="24"/>
        </w:rPr>
        <w:t xml:space="preserve"> в полза на Ангила (2,8 милиона евро), Монтсерат (320 000 EUR), Синт Мартен (7 милиона евро), Британски Вирджински острови (2 милиона евро) и островите Търкс и Кайкос (2,92 милиона евро) за предоставяне на </w:t>
      </w:r>
      <w:r>
        <w:rPr>
          <w:rFonts w:ascii="Times New Roman" w:hAnsi="Times New Roman"/>
          <w:b/>
          <w:noProof/>
          <w:sz w:val="24"/>
          <w:szCs w:val="24"/>
        </w:rPr>
        <w:t>следкризисна помощ</w:t>
      </w:r>
      <w:r>
        <w:rPr>
          <w:rStyle w:val="FootnoteReference"/>
          <w:rFonts w:ascii="Times New Roman" w:eastAsia="Calibri" w:hAnsi="Times New Roman" w:cs="Times New Roman"/>
          <w:noProof/>
          <w:sz w:val="24"/>
          <w:szCs w:val="24"/>
        </w:rPr>
        <w:footnoteReference w:id="8"/>
      </w:r>
      <w:r>
        <w:rPr>
          <w:noProof/>
        </w:rPr>
        <w:t>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Освен това службите на Комисията работиха активно заедно с органите на ОСТ, за да гарантират, че териториалните и регионалните програми на 11-ия ЕФР са коригирани така, че да се справят с последиците от урагана в ОСТ и да ги подкрепят в усилията им за постигане на издръжливост. В рамките на регионалната програма за Карибския басейн по линия на 11-ия ЕФР (40 милиона евро) бе включен хоризонтален компонент относно издръжливостта. В съответствие с Европейския консенсус за развитие половината от общия бюджет (20 милиона евро) беше пренасочена към този компонент, за да се осигури дългосрочната издръжливост на сградите в ОСТ. В рамките на Инструмента за природни бедствия на ЕФР през 2018 г. бяха започнати редица регионални действия за готовност при бедствия, в които участваха Ангила, Британските Вирджински острови, Монтсерат и Търкс и Кайкос.</w:t>
      </w:r>
    </w:p>
    <w:p>
      <w:pPr>
        <w:pStyle w:val="ListParagraph"/>
        <w:keepNext/>
        <w:keepLines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Институционален диалог</w:t>
      </w:r>
    </w:p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От началото на процеса на програмиране през декември 2013 г. службите на Комисията активно подкрепят OCT през целия процес на програмиране чрез подпомагане на организирането на специални семинари, работни срещи и конференции с цел да се даде възможност за размисъл относно общите приоритети и цели. През 2018 г. тези възможности за обмен бяха многобройни.</w:t>
      </w:r>
    </w:p>
    <w:p>
      <w:pPr>
        <w:keepNext/>
        <w:keepLines/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>Форум ОСТ—ЕС</w:t>
      </w:r>
    </w:p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С оглед на резултатите от различни консултативни заседания през 2017 г. седмицата на </w:t>
      </w:r>
      <w:r>
        <w:rPr>
          <w:rFonts w:ascii="Times New Roman" w:hAnsi="Times New Roman"/>
          <w:b/>
          <w:noProof/>
          <w:sz w:val="24"/>
          <w:szCs w:val="24"/>
        </w:rPr>
        <w:t>16-ия форум ОСТ—ЕС</w:t>
      </w:r>
      <w:r>
        <w:rPr>
          <w:rFonts w:ascii="Times New Roman" w:hAnsi="Times New Roman"/>
          <w:noProof/>
          <w:sz w:val="24"/>
          <w:szCs w:val="24"/>
        </w:rPr>
        <w:t xml:space="preserve"> (19—23 февруари 2018 г.) беше добър повод за обмен на мнения и обсъждане на отношенията между ОСТ и ЕС в периода след 2020 г. </w:t>
      </w:r>
    </w:p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В </w:t>
      </w:r>
      <w:r>
        <w:rPr>
          <w:rFonts w:ascii="Times New Roman" w:hAnsi="Times New Roman"/>
          <w:b/>
          <w:noProof/>
          <w:sz w:val="24"/>
          <w:szCs w:val="24"/>
        </w:rPr>
        <w:t>заключенията от 16-ия форум ОСТ—ЕС</w:t>
      </w:r>
      <w:r>
        <w:rPr>
          <w:rFonts w:ascii="Times New Roman" w:hAnsi="Times New Roman"/>
          <w:noProof/>
          <w:sz w:val="24"/>
          <w:szCs w:val="24"/>
        </w:rPr>
        <w:t xml:space="preserve"> (23 февруари 2018 г.) ЕС, ОСТ и държавите членки, с които са свързани ОСТ, потвърдиха категоричния си ангажимент за намиране на устойчиви решения на все по-сложните и взаимосвързани предизвикателства и изтъкнаха своята ангажираност за провеждането на устойчив енергиен преход, включително по-голям достъп до модерни енергийни услуги, енергия от възобновяеми източници и енергийна ефективност. </w:t>
      </w:r>
    </w:p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На </w:t>
      </w:r>
      <w:r>
        <w:rPr>
          <w:rFonts w:ascii="Times New Roman" w:hAnsi="Times New Roman"/>
          <w:b/>
          <w:noProof/>
          <w:sz w:val="24"/>
          <w:szCs w:val="24"/>
        </w:rPr>
        <w:t>техническо равнище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тристранните срещи</w:t>
      </w:r>
      <w:r>
        <w:rPr>
          <w:rFonts w:ascii="Times New Roman" w:hAnsi="Times New Roman"/>
          <w:noProof/>
          <w:sz w:val="24"/>
          <w:szCs w:val="24"/>
        </w:rPr>
        <w:t xml:space="preserve"> , проведени в рамките на 16-ия форум ОСТ—ЕС между представителите на Комисията, териториалните/регионалните разпоредители с бюджетни кредити на ОСТ и държавите членки, с които са свързани ОСТ, предоставиха възможност за обсъждане на въпроси, свързани с програмирането и изпълнението на сътрудничеството, и за планиране на предстоящите действия. </w:t>
      </w:r>
    </w:p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На </w:t>
      </w:r>
      <w:r>
        <w:rPr>
          <w:rFonts w:ascii="Times New Roman" w:hAnsi="Times New Roman"/>
          <w:b/>
          <w:noProof/>
          <w:sz w:val="24"/>
          <w:szCs w:val="24"/>
        </w:rPr>
        <w:t>политическо равнище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тристранните срещи</w:t>
      </w:r>
      <w:r>
        <w:rPr>
          <w:rFonts w:ascii="Times New Roman" w:hAnsi="Times New Roman"/>
          <w:noProof/>
          <w:sz w:val="24"/>
          <w:szCs w:val="24"/>
        </w:rPr>
        <w:t xml:space="preserve"> (22 февруари 2018 г.) между отговарящия за международното сътрудничество и развитие член на Европейската комисия Невен Мимица, ръководителите на делегациите в ОСТ и държавите членки, с които са свързани ОСТ, бяха полезна възможност да се подчертаят политическите приоритети за ОСТ и да се чуят техните мнения относно периода след 2020 г. </w:t>
      </w:r>
    </w:p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Освен това в деня преди тристранните срещи (21 февруари 2018 г.) беше проведено важно</w:t>
      </w:r>
      <w:r>
        <w:rPr>
          <w:rFonts w:ascii="Times New Roman" w:hAnsi="Times New Roman"/>
          <w:b/>
          <w:noProof/>
          <w:sz w:val="24"/>
          <w:szCs w:val="24"/>
        </w:rPr>
        <w:t xml:space="preserve"> събитие, свързано с политиката за океаните, тяхното управление и потенциала на синия растеж</w:t>
      </w:r>
      <w:r>
        <w:rPr>
          <w:rFonts w:ascii="Times New Roman" w:hAnsi="Times New Roman"/>
          <w:noProof/>
          <w:sz w:val="24"/>
          <w:szCs w:val="24"/>
        </w:rPr>
        <w:t xml:space="preserve">, в което взеха участие ОСТ, държавите членки, Комисията и Организацията по прехрана и земеделие (ФАО). </w:t>
      </w:r>
    </w:p>
    <w:p>
      <w:pPr>
        <w:keepNext/>
        <w:keepLines/>
        <w:tabs>
          <w:tab w:val="left" w:pos="8292"/>
        </w:tabs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>Тристранни срещи</w:t>
      </w:r>
    </w:p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В допълнение обсъжданията относно общите стратегически приоритети напреднаха благодарение на структурите за диалог на Асоциацията, създадени по силата на Решението за отвъдморско асоцииране. </w:t>
      </w:r>
      <w:r>
        <w:rPr>
          <w:rFonts w:ascii="Times New Roman" w:hAnsi="Times New Roman"/>
          <w:b/>
          <w:noProof/>
          <w:sz w:val="24"/>
          <w:szCs w:val="24"/>
        </w:rPr>
        <w:t>На техническо равнище през 2018 г. бяха организирани пет тристранни срещи между Комисията, представители на ОСТ и държавите членки, свързани с тях</w:t>
      </w:r>
      <w:r>
        <w:rPr>
          <w:rFonts w:ascii="Times New Roman" w:hAnsi="Times New Roman"/>
          <w:noProof/>
          <w:sz w:val="24"/>
          <w:szCs w:val="24"/>
        </w:rPr>
        <w:t xml:space="preserve"> (през януари, април, юли, октомври и декември</w:t>
      </w:r>
      <w:r>
        <w:rPr>
          <w:rStyle w:val="FootnoteReference"/>
          <w:rFonts w:ascii="Times New Roman" w:eastAsia="Calibri" w:hAnsi="Times New Roman" w:cs="Times New Roman"/>
          <w:noProof/>
          <w:sz w:val="24"/>
          <w:szCs w:val="24"/>
        </w:rPr>
        <w:footnoteReference w:id="9"/>
      </w:r>
      <w:r>
        <w:rPr>
          <w:rFonts w:ascii="Times New Roman" w:hAnsi="Times New Roman"/>
          <w:noProof/>
          <w:sz w:val="24"/>
          <w:szCs w:val="24"/>
        </w:rPr>
        <w:t xml:space="preserve">), предоставяйки платформа за диалог между Комисията, ОСТ и представителите на държавите членки, по-специално за проследяване на напредъка по програмирането и изпълнението на 11-ия ЕФР. </w:t>
      </w:r>
    </w:p>
    <w:p>
      <w:pPr>
        <w:keepNext/>
        <w:keepLines/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highlight w:val="yellow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>Партньорски работни групи и семинари</w:t>
      </w:r>
    </w:p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На 16 януари 2018 г. се проведе заседание на партньорска работна група относно </w:t>
      </w:r>
      <w:r>
        <w:rPr>
          <w:rFonts w:ascii="Times New Roman" w:hAnsi="Times New Roman"/>
          <w:b/>
          <w:noProof/>
          <w:sz w:val="24"/>
          <w:szCs w:val="24"/>
        </w:rPr>
        <w:t>търговията и регионалната интеграция</w:t>
      </w:r>
      <w:r>
        <w:rPr>
          <w:rFonts w:ascii="Times New Roman" w:hAnsi="Times New Roman"/>
          <w:noProof/>
          <w:sz w:val="24"/>
          <w:szCs w:val="24"/>
        </w:rPr>
        <w:t xml:space="preserve"> с цел размяна на мнения относно различните аспекти, свързани с преференциалния статут на ОСТ в търговията с ЕС и по всички по-обширни въпроси от общ интерес в областта на търговията. </w:t>
      </w:r>
    </w:p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На 13 март 2018 г. беше проведено заседание на партньорска работна група относно </w:t>
      </w:r>
      <w:r>
        <w:rPr>
          <w:rFonts w:ascii="Times New Roman" w:hAnsi="Times New Roman"/>
          <w:b/>
          <w:noProof/>
          <w:sz w:val="24"/>
          <w:szCs w:val="24"/>
        </w:rPr>
        <w:t>финансовите услуги</w:t>
      </w:r>
      <w:r>
        <w:rPr>
          <w:rFonts w:ascii="Times New Roman" w:hAnsi="Times New Roman"/>
          <w:noProof/>
          <w:sz w:val="24"/>
          <w:szCs w:val="24"/>
        </w:rPr>
        <w:t xml:space="preserve">, на което беше обсъден процесът по общия списък на ЕС на юрисдикциите, които не оказват съдействие за данъчни цели. В края на май в Брюксел се проведе </w:t>
      </w:r>
      <w:r>
        <w:rPr>
          <w:rFonts w:ascii="Times New Roman" w:hAnsi="Times New Roman"/>
          <w:b/>
          <w:noProof/>
          <w:sz w:val="24"/>
          <w:szCs w:val="24"/>
        </w:rPr>
        <w:t>международен данъчен семинар</w:t>
      </w:r>
      <w:r>
        <w:rPr>
          <w:rFonts w:ascii="Times New Roman" w:hAnsi="Times New Roman"/>
          <w:noProof/>
          <w:sz w:val="24"/>
          <w:szCs w:val="24"/>
        </w:rPr>
        <w:t>, на който на ОСТ бяха представени международните стандарти и критерии, на които ЕС основава своите критерии за скрининг, с цел да се улесни диалогът между техническите експерти на ОСТ и международните партньори.</w:t>
      </w:r>
    </w:p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През ноември 2018 г. OCTA организира </w:t>
      </w:r>
      <w:r>
        <w:rPr>
          <w:rFonts w:ascii="Times New Roman" w:hAnsi="Times New Roman"/>
          <w:b/>
          <w:noProof/>
          <w:sz w:val="24"/>
          <w:szCs w:val="24"/>
        </w:rPr>
        <w:t>семинар относно програмите на ЕС</w:t>
      </w:r>
      <w:r>
        <w:rPr>
          <w:rFonts w:ascii="Times New Roman" w:hAnsi="Times New Roman"/>
          <w:noProof/>
          <w:sz w:val="24"/>
          <w:szCs w:val="24"/>
        </w:rPr>
        <w:t xml:space="preserve"> с подкрепата на Комисията. Неговата цел беше да се подобри капацитетът на ОСТ за кандидатстване по основните програми на ЕС от интерес за ОСТ, като например научните изследвания и иновациите, COSME и „Еразъм+“. </w:t>
      </w:r>
    </w:p>
    <w:p>
      <w:pPr>
        <w:keepNext/>
        <w:keepLines/>
        <w:spacing w:after="12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Европейска инвестиционна банка (ЕИБ)</w:t>
      </w:r>
    </w:p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В Решението за отвъдморско асоцииране се предвижда предоставянето на финансова помощ чрез финансови механизми, управлявани от ЕИБ, а именно Инвестиционния механизъм за ОСТ (понастоящем на стойност 48,5 милиона евро), финансиране за лихвени субсидии и техническа помощ (5 милиона евро) и собствените ресурси на ЕИБ (до 100 милиона евро за периода 2014—2020 г. по 3-тия Финансов протокол). </w:t>
      </w:r>
    </w:p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В рамките на тези три пакета през 2018 г. не бяха подписани нови операции. В рамките на Инвестиционния механизъм на ЕИБ за ОСТ операциите продължават да се изпълняват, възлизайки на 61,4 милиона евро в края на 2018 г. (тази сума надвишава началния капитал, тъй като фондът е револвиращ и някои обратни постъпления отново са били предоставени като заеми). Що се отнася до пакета за лихвени субсидии и техническа помощ, само 25 497 EUR от наличните 5 милиона евро бяха използвани през 2014 г. за операция по лихвена субсидия във Френска Полинезия. В рамките на пакета от собствени ресурси на ЕИБ за OCT през 2015 г. ЕИБ сключи споразумение за заем с Нова Каледония, като предостави инвестиционен заем в размер на 20 милиона евро за строежа на нова болница. </w:t>
      </w:r>
    </w:p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По отношение на останалите средства се извършват мониторинг и оценка на планираните проекти с цел пълноценно използване на наличните средства до края на 2020 г. </w:t>
      </w:r>
    </w:p>
    <w:p>
      <w:pPr>
        <w:keepNext/>
        <w:keepLines/>
        <w:spacing w:after="12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Перспективи</w:t>
      </w:r>
    </w:p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2019 година ще бъде от решаващо значение за ОСТ, тъй като тогава ще се договарят новото решение за отвъдморско асоцииране, многогодишната финансова рамка на ЕС за периода 2021—2027 г. и рамката за периода след Котону, успоредно с процеса на оттегляне на Обединеното кралство от ЕС. </w:t>
      </w:r>
    </w:p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В този контекст поддържането на диалога с ОСТ ще бъде от първостепенно значение и политическа значимост. Този процес ще бъде подпомогнат с постоянна подкрепа за Асоциацията на ОСТ и за самите ОСТ чрез Механизма за техническо сътрудничество.</w:t>
      </w:r>
    </w:p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Успоредно с това Комисията ще продължи да оказва помощ на пострадалите от урагани или извънредни ситуации ОСТ в усилията им за възстановяване и да работи в тясно сътрудничество с тях за задоволяване на нуждите им по възможно най-добрия начин. </w:t>
      </w:r>
    </w:p>
    <w:p>
      <w:pPr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И накрая, през 2019 г. напредъкът по програмирането за останалите две териториални програми ще бъде от съществено значение, за да се гарантира поемането на задължения за изразходване на целия пакет, който е на разположение на ОСТ по линия на 11-ия ЕФР</w:t>
      </w:r>
      <w:r>
        <w:rPr>
          <w:rStyle w:val="FootnoteReference"/>
          <w:rFonts w:ascii="Times New Roman" w:eastAsia="Calibri" w:hAnsi="Times New Roman" w:cs="Times New Roman"/>
          <w:noProof/>
          <w:sz w:val="24"/>
          <w:szCs w:val="24"/>
        </w:rPr>
        <w:footnoteReference w:id="10"/>
      </w:r>
      <w:r>
        <w:rPr>
          <w:rFonts w:ascii="Times New Roman" w:hAnsi="Times New Roman"/>
          <w:noProof/>
          <w:sz w:val="24"/>
          <w:szCs w:val="24"/>
        </w:rPr>
        <w:t xml:space="preserve">. </w:t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7229138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>
    <w:pPr>
      <w:pStyle w:val="Footer"/>
      <w:jc w:val="center"/>
      <w:rPr>
        <w:lang w:val="fr-BE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743448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FootnoteReference"/>
          <w:rFonts w:ascii="Times New Roman" w:hAnsi="Times New Roman" w:cs="Times New Roman"/>
          <w:color w:val="auto"/>
          <w:sz w:val="20"/>
          <w:szCs w:val="20"/>
          <w:lang w:eastAsia="en-US"/>
        </w:rPr>
        <w:footnoteRef/>
      </w:r>
      <w:r>
        <w:rPr>
          <w:rStyle w:val="FootnoteReference"/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color w:val="auto"/>
          <w:sz w:val="20"/>
          <w:szCs w:val="20"/>
        </w:rPr>
        <w:t>Решение 2013/755/ЕС на Съвета за асоцииране на отвъдморските страни и територии към Европейския съюз.</w:t>
      </w:r>
    </w:p>
  </w:footnote>
  <w:footnote w:id="2">
    <w:p>
      <w:pPr>
        <w:pStyle w:val="FootnoteText"/>
        <w:spacing w:after="0" w:line="240" w:lineRule="auto"/>
        <w:jc w:val="both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Отвъдморските страни и територии на ЕС са Гренландия, Нова Каледония и зависимите територии, Френска Полинезия, Френските южни и антарктически територии, островите Уолис и Футуна, Сен Пиер и Микелон, Сен Бартелеми, Аруба, Бонер, Кюрасао, Саба, Синт Еустациус, Синт Мартен, Ангила, Кайманови острови, Фолкландски острови, Южна Джорджия и Южни Сандвичеви острови, Монтсерат, островите Питкерн, Света Елена и зависимите територии (с настоящо наименование Света Елена, Възнесение и Тристан да Куня), Британска антарктическа територия, Британски територии в Индийския океан, Търкс и Кайкос, Британски Вирджински острови, Бермуда.</w:t>
      </w:r>
    </w:p>
  </w:footnote>
  <w:footnote w:id="3">
    <w:p>
      <w:pPr>
        <w:pStyle w:val="FootnoteText"/>
        <w:spacing w:after="0" w:line="240" w:lineRule="auto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Част четвърта от </w:t>
      </w:r>
      <w:r>
        <w:rPr>
          <w:rFonts w:ascii="Times New Roman" w:hAnsi="Times New Roman"/>
          <w:color w:val="000000"/>
        </w:rPr>
        <w:t>Договора за функционирането на Европейския съюз</w:t>
      </w:r>
      <w:r>
        <w:rPr>
          <w:rFonts w:ascii="Times New Roman" w:hAnsi="Times New Roman"/>
        </w:rPr>
        <w:t xml:space="preserve"> (ОВ С 326, 26.10.2012 г., стр. 47).</w:t>
      </w:r>
    </w:p>
  </w:footnote>
  <w:footnote w:id="4">
    <w:p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Вътрешно споразумение </w:t>
      </w:r>
      <w:r>
        <w:rPr>
          <w:rFonts w:ascii="Times New Roman" w:hAnsi="Times New Roman"/>
          <w:bCs/>
          <w:sz w:val="20"/>
          <w:szCs w:val="20"/>
        </w:rPr>
        <w:t>между представителите на правителствата на държавите — членки на Европейския съюз, заседаващи в рамките на Съвета, относно финансирането на помощта от Европейския съюз съгласно многогодишната финансова рамка за периода 2014—2020 г. в съответствие със Споразумението за партньорство АКТБ—ЕС и за разпределението на финансовата помощ за отвъдморските страни и територии, за които се прилага част четвърта от Договора за функционирането на Европейския съюз (ОВ L 210, 6.8.2013 г., стр. 1).</w:t>
      </w:r>
    </w:p>
  </w:footnote>
  <w:footnote w:id="5">
    <w:p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С Решение 2014/137/ЕС на Съвета за отношенията между ЕС, от една страна, и Гренландия и Кралство Дания, от друга страна, се отпускат 217,8 милиона евро за периода 2014—2020 г. за сътрудничество между Съюза и Гренландия в област от взаимен интерес. </w:t>
      </w:r>
    </w:p>
  </w:footnote>
  <w:footnote w:id="6">
    <w:p>
      <w:pPr>
        <w:pStyle w:val="FootnoteText"/>
        <w:spacing w:after="0" w:line="240" w:lineRule="auto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Териториалните програми за Аруба (13,05 милиона евро) и Бонер (3,95 милиона евро) бяха приети през февруари 2019 г. Процесът на програмиране за Кюрасао (16,95 милиона евро) и Синт Мартен (7 милиона евро) е в ход, с планирана дата на приемане през 2019/2020 г.</w:t>
      </w:r>
    </w:p>
  </w:footnote>
  <w:footnote w:id="7">
    <w:p>
      <w:pPr>
        <w:pStyle w:val="FootnoteText"/>
        <w:spacing w:after="0" w:line="240" w:lineRule="auto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Решението на Комисията за финансиране на тази програма (C(2019)1595) беше прието през февруари 2019 г.</w:t>
      </w:r>
    </w:p>
  </w:footnote>
  <w:footnote w:id="8">
    <w:p>
      <w:pPr>
        <w:pStyle w:val="FootnoteText"/>
        <w:spacing w:after="0" w:line="240" w:lineRule="auto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Двете специални мерки за подкрепа за Синт Мартен и Британските Вирджински острови бяха приети преди 17-ия форум ОСТ—ЕС през 2019 г.</w:t>
      </w:r>
    </w:p>
  </w:footnote>
  <w:footnote w:id="9">
    <w:p>
      <w:pPr>
        <w:pStyle w:val="FootnoteText"/>
        <w:spacing w:after="0" w:line="240" w:lineRule="auto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Style w:val="FootnoteReference"/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Предвидената за началото на 2019 г. тристранна среща беше организирана по-рано — през декември 2018 г., за да се подготви по-добре предстоящият форум. </w:t>
      </w:r>
    </w:p>
  </w:footnote>
  <w:footnote w:id="10">
    <w:p>
      <w:pPr>
        <w:pStyle w:val="FootnoteText"/>
        <w:spacing w:after="0" w:line="240" w:lineRule="auto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Процесът на програмиране за Кюрасао (16,95 милиона евро) и Синт Мартен (7 милиона евро) е в ход, с планирана дата на приемане през 2019/2020 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EA9"/>
    <w:multiLevelType w:val="hybridMultilevel"/>
    <w:tmpl w:val="1BA4B8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245B2"/>
    <w:multiLevelType w:val="hybridMultilevel"/>
    <w:tmpl w:val="18C45D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36CE9"/>
    <w:multiLevelType w:val="hybridMultilevel"/>
    <w:tmpl w:val="F95262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8798B"/>
    <w:multiLevelType w:val="hybridMultilevel"/>
    <w:tmpl w:val="25A8F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61D45"/>
    <w:multiLevelType w:val="hybridMultilevel"/>
    <w:tmpl w:val="3F60BC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4351F"/>
    <w:multiLevelType w:val="hybridMultilevel"/>
    <w:tmpl w:val="C9705D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B5624"/>
    <w:multiLevelType w:val="hybridMultilevel"/>
    <w:tmpl w:val="D7883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A5166"/>
    <w:multiLevelType w:val="hybridMultilevel"/>
    <w:tmpl w:val="CD2A66D0"/>
    <w:lvl w:ilvl="0" w:tplc="E006F17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B0680"/>
    <w:multiLevelType w:val="hybridMultilevel"/>
    <w:tmpl w:val="FFACF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6257A"/>
    <w:multiLevelType w:val="hybridMultilevel"/>
    <w:tmpl w:val="97E47D1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566DC"/>
    <w:multiLevelType w:val="hybridMultilevel"/>
    <w:tmpl w:val="9530CC48"/>
    <w:lvl w:ilvl="0" w:tplc="7B5CDDF0">
      <w:start w:val="1"/>
      <w:numFmt w:val="decimal"/>
      <w:lvlText w:val="%1."/>
      <w:lvlJc w:val="left"/>
      <w:pPr>
        <w:ind w:left="720" w:hanging="360"/>
      </w:pPr>
      <w:rPr>
        <w:b w:val="0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94F1C"/>
    <w:multiLevelType w:val="hybridMultilevel"/>
    <w:tmpl w:val="AF222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F80440"/>
    <w:multiLevelType w:val="hybridMultilevel"/>
    <w:tmpl w:val="EE92E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190469"/>
    <w:multiLevelType w:val="hybridMultilevel"/>
    <w:tmpl w:val="DF1A727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E01C5"/>
    <w:multiLevelType w:val="hybridMultilevel"/>
    <w:tmpl w:val="1FA69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DD7201"/>
    <w:multiLevelType w:val="hybridMultilevel"/>
    <w:tmpl w:val="005AE64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82547C"/>
    <w:multiLevelType w:val="hybridMultilevel"/>
    <w:tmpl w:val="97E47D1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12"/>
  </w:num>
  <w:num w:numId="7">
    <w:abstractNumId w:val="7"/>
  </w:num>
  <w:num w:numId="8">
    <w:abstractNumId w:val="2"/>
  </w:num>
  <w:num w:numId="9">
    <w:abstractNumId w:val="14"/>
  </w:num>
  <w:num w:numId="10">
    <w:abstractNumId w:val="11"/>
  </w:num>
  <w:num w:numId="11">
    <w:abstractNumId w:val="4"/>
  </w:num>
  <w:num w:numId="12">
    <w:abstractNumId w:val="10"/>
  </w:num>
  <w:num w:numId="13">
    <w:abstractNumId w:val="15"/>
  </w:num>
  <w:num w:numId="14">
    <w:abstractNumId w:val="5"/>
  </w:num>
  <w:num w:numId="15">
    <w:abstractNumId w:val="16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FEE38E39-DEE1-420F-81F3-DE8644589CC6"/>
    <w:docVar w:name="LW_COVERPAGE_TYPE" w:val="1"/>
    <w:docVar w:name="LW_CROSSREFERENCE" w:val="&lt;UNUSED&gt;"/>
    <w:docVar w:name="LW_DocType" w:val="NORMAL"/>
    <w:docVar w:name="LW_EMISSION" w:val="15.7.2019"/>
    <w:docVar w:name="LW_EMISSION_ISODATE" w:val="2019-07-15"/>
    <w:docVar w:name="LW_EMISSION_LOCATION" w:val="BRX"/>
    <w:docVar w:name="LW_EMISSION_PREFIX" w:val="Брюксел, "/>
    <w:docVar w:name="LW_EMISSION_SUFFIX" w:val=" \u1075?."/>
    <w:docVar w:name="LW_ID_DOCTYPE_NONLW" w:val="CP-004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9) 33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OUS.TITRE.OBJ.CP" w:val="&lt;UNUSED&gt;"/>
    <w:docVar w:name="LW_SUPERTITRE" w:val="&lt;UNUSED&gt;"/>
    <w:docVar w:name="LW_TITRE.OBJ.CP" w:val="&lt;FMT:Font=Calibri Cyr&gt;\u1086?\u1090?\u1085?\u1086?\u1089?\u1085?\u1086? \u1080?\u1079?\u1087?\u1098?\u1083?\u1085?\u1077?\u1085?\u1080?\u1077?\u1090?\u1086? \u1085?\u1072? \u1092?\u1080?\u1085?\u1072?\u1085?\u1089?\u1086?\u1074?\u1072?\u1090?\u1072? \u1087?\u1086?\u1084?\u1086?\u1097?, \u1087?\u1088?\u1077?\u1076?\u1086?\u1089?\u1090?\u1072?\u1074?\u1077?\u1085?\u1072? \u1085?\u1072? \u1086?\u1090?\u1074?\u1098?\u1076?\u1084?\u1086?\u1088?\u1089?\u1082?\u1080?\u1090?\u1077? \u1089?\u1090?\u1088?\u1072?\u1085?\u1080? \u1080? \u1090?\u1077?\u1088?\u1080?\u1090?\u1086?\u1088?\u1080?\u1080? \u1087?\u1086? \u1083?\u1080?\u1085?\u1080?\u1103? \u1085?\u1072? 11-\u1080?\u1103? \u1045?\u1074?\u1088?\u1086?\u1087?\u1077?\u1081?\u1089?\u1082?\u1080? \u1092?\u1086?\u1085?\u1076? \u1079?\u1072? \u1088?\u1072?\u1079?\u1074?\u1080?\u1090?\u1080?\u1077?&lt;/FMT&gt;_x000b_"/>
    <w:docVar w:name="LW_TYPE.DOC.CP" w:val="\u1044?\u1054?\u1050?\u1051?\u1040?\u1044? \u1053?\u1040? \u1050?\u1054?\u1052?\u1048?\u1057?\u1048?\u1071?\u1058?\u1040? \u1044?\u1054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D4531-6E5A-423F-A48C-224CD100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2968</Words>
  <Characters>16894</Characters>
  <Application>Microsoft Office Word</Application>
  <DocSecurity>0</DocSecurity>
  <Lines>296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WES PDFC Administrator</cp:lastModifiedBy>
  <cp:revision>18</cp:revision>
  <cp:lastPrinted>2019-05-21T15:16:00Z</cp:lastPrinted>
  <dcterms:created xsi:type="dcterms:W3CDTF">2019-07-08T08:52:00Z</dcterms:created>
  <dcterms:modified xsi:type="dcterms:W3CDTF">2019-07-12T11:02:00Z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Level of sensitivity">
    <vt:lpwstr>Standard treatment</vt:lpwstr>
  </property>
  <property fmtid="{D5CDD505-2E9C-101B-9397-08002B2CF9AE}" pid="6" name="Last edited using">
    <vt:lpwstr>LW 6.0.1, Build 20180503</vt:lpwstr>
  </property>
  <property fmtid="{D5CDD505-2E9C-101B-9397-08002B2CF9AE}" pid="7" name="Created using">
    <vt:lpwstr>LW 6.0.1, Build 20180503</vt:lpwstr>
  </property>
</Properties>
</file>