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030F23A3-4806-4832-BDCE-3851025AC4CC" style="width:450.35pt;height:334.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и по-специално член 44 от него,</w:t>
      </w:r>
    </w:p>
    <w:p>
      <w:pPr>
        <w:pStyle w:val="Tiret0"/>
        <w:tabs>
          <w:tab w:val="clear" w:pos="850"/>
          <w:tab w:val="num" w:pos="927"/>
        </w:tabs>
        <w:rPr>
          <w:noProof/>
        </w:rPr>
      </w:pPr>
      <w:r>
        <w:rPr>
          <w:noProof/>
        </w:rPr>
        <w:t>общия бюджет на Европейския съюз за 2019 финансова година, приет на 12 декември 2018 г.</w:t>
      </w:r>
      <w:r>
        <w:rPr>
          <w:rStyle w:val="FootnoteReference"/>
          <w:noProof/>
        </w:rPr>
        <w:footnoteReference w:id="3"/>
      </w:r>
      <w:r>
        <w:rPr>
          <w:noProof/>
        </w:rPr>
        <w:t>,</w:t>
      </w:r>
    </w:p>
    <w:p>
      <w:pPr>
        <w:pStyle w:val="Tiret0"/>
        <w:tabs>
          <w:tab w:val="clear" w:pos="850"/>
          <w:tab w:val="num" w:pos="927"/>
        </w:tabs>
        <w:rPr>
          <w:noProof/>
        </w:rPr>
      </w:pPr>
      <w:r>
        <w:rPr>
          <w:noProof/>
        </w:rPr>
        <w:t>проект на коригиращ бюджет № 1/2019</w:t>
      </w:r>
      <w:r>
        <w:rPr>
          <w:rStyle w:val="FootnoteReference"/>
          <w:noProof/>
        </w:rPr>
        <w:footnoteReference w:id="4"/>
      </w:r>
      <w:r>
        <w:rPr>
          <w:noProof/>
        </w:rPr>
        <w:t>, приет на 15 април 2019 г.,</w:t>
      </w:r>
    </w:p>
    <w:p>
      <w:pPr>
        <w:pStyle w:val="Tiret0"/>
        <w:tabs>
          <w:tab w:val="clear" w:pos="850"/>
          <w:tab w:val="num" w:pos="927"/>
        </w:tabs>
        <w:rPr>
          <w:noProof/>
        </w:rPr>
      </w:pPr>
      <w:r>
        <w:rPr>
          <w:noProof/>
        </w:rPr>
        <w:t>проект на коригиращ бюджет № 2/2019</w:t>
      </w:r>
      <w:r>
        <w:rPr>
          <w:rStyle w:val="FootnoteReference"/>
          <w:noProof/>
        </w:rPr>
        <w:footnoteReference w:id="5"/>
      </w:r>
      <w:r>
        <w:rPr>
          <w:noProof/>
        </w:rPr>
        <w:t>, приет на 15 май 2019 г.,</w:t>
      </w:r>
    </w:p>
    <w:p>
      <w:pPr>
        <w:pStyle w:val="Tiret0"/>
        <w:tabs>
          <w:tab w:val="clear" w:pos="850"/>
          <w:tab w:val="num" w:pos="927"/>
        </w:tabs>
        <w:rPr>
          <w:noProof/>
        </w:rPr>
      </w:pPr>
      <w:r>
        <w:rPr>
          <w:noProof/>
        </w:rPr>
        <w:t>проект на коригиращ бюджет № 3/2019</w:t>
      </w:r>
      <w:r>
        <w:rPr>
          <w:rStyle w:val="FootnoteReference"/>
          <w:noProof/>
        </w:rPr>
        <w:footnoteReference w:id="6"/>
      </w:r>
      <w:r>
        <w:rPr>
          <w:noProof/>
        </w:rPr>
        <w:t>, приет на 22 май 2019 г.,</w:t>
      </w:r>
    </w:p>
    <w:p>
      <w:pPr>
        <w:jc w:val="both"/>
        <w:rPr>
          <w:noProof/>
        </w:rPr>
      </w:pPr>
      <w:r>
        <w:rPr>
          <w:noProof/>
        </w:rPr>
        <w:t>С настоящото Европейската комисия представя на Европейския парламент и на Съвета проект на коригиращ бюджет № 4 към бюджета за 2019 г.</w:t>
      </w:r>
    </w:p>
    <w:p>
      <w:pPr>
        <w:rPr>
          <w:b/>
          <w:noProof/>
          <w:u w:val="single"/>
        </w:rPr>
      </w:pPr>
    </w:p>
    <w:p>
      <w:pPr>
        <w:jc w:val="both"/>
        <w:rPr>
          <w:b/>
          <w:noProof/>
          <w:u w:val="single"/>
        </w:rPr>
      </w:pPr>
      <w:r>
        <w:rPr>
          <w:b/>
          <w:noProof/>
          <w:u w:val="single"/>
        </w:rPr>
        <w:t>ПРОМЕНИ В ПРИХОДНАТА И РАЗХОДНАТА ЧАСТ НА БЮДЖЕТА ПО РАЗДЕЛИ</w:t>
      </w:r>
    </w:p>
    <w:p>
      <w:pPr>
        <w:rPr>
          <w:b/>
          <w:noProof/>
          <w:u w:val="single"/>
        </w:rPr>
      </w:pPr>
    </w:p>
    <w:p>
      <w:pPr>
        <w:jc w:val="both"/>
        <w:rPr>
          <w:noProof/>
        </w:rPr>
      </w:pPr>
      <w:r>
        <w:rPr>
          <w:noProof/>
        </w:rPr>
        <w:t>Промените в общия разчет за приходната част на бюджета и в отделни раздели (I, III, V и X) са достъпни в EUR-Lex (</w:t>
      </w:r>
      <w:hyperlink r:id="rId19">
        <w:r>
          <w:rPr>
            <w:rStyle w:val="Hyperlink"/>
            <w:noProof/>
            <w:color w:val="auto"/>
          </w:rPr>
          <w:t>https://eur-lex.europa.eu/budget/www/index-bg.htm</w:t>
        </w:r>
      </w:hyperlink>
      <w:r>
        <w:rPr>
          <w:noProof/>
        </w:rPr>
        <w:t>).</w:t>
      </w:r>
    </w:p>
    <w:p>
      <w:pPr>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OCHeading"/>
        <w:rPr>
          <w:noProof/>
        </w:rPr>
      </w:pPr>
      <w:bookmarkStart w:id="2" w:name="_Toc194220890"/>
      <w:bookmarkStart w:id="3" w:name="_Toc294675429"/>
      <w:bookmarkStart w:id="4" w:name="_Toc378575883"/>
      <w:r>
        <w:rPr>
          <w:noProof/>
        </w:rPr>
        <w:t>СЪДЪРЖАНИЕ</w:t>
      </w:r>
    </w:p>
    <w:sdt>
      <w:sdtPr>
        <w:rPr>
          <w:b w:val="0"/>
          <w:bCs w:val="0"/>
          <w:caps w:val="0"/>
          <w:noProof/>
          <w:sz w:val="24"/>
          <w:szCs w:val="24"/>
        </w:rPr>
        <w:id w:val="1054431299"/>
        <w:docPartObj>
          <w:docPartGallery w:val="Table of Contents"/>
          <w:docPartUnique/>
        </w:docPartObj>
      </w:sdt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13833743"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_Toc13833743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13833744"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Актуализация на разходите</w:t>
            </w:r>
            <w:r>
              <w:rPr>
                <w:noProof/>
                <w:webHidden/>
              </w:rPr>
              <w:tab/>
            </w:r>
            <w:r>
              <w:rPr>
                <w:noProof/>
                <w:webHidden/>
              </w:rPr>
              <w:fldChar w:fldCharType="begin"/>
            </w:r>
            <w:r>
              <w:rPr>
                <w:noProof/>
                <w:webHidden/>
              </w:rPr>
              <w:instrText xml:space="preserve"> PAGEREF _Toc13833744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45"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Намаляване на бюджетните кредити за поети задължения и за плащания</w:t>
            </w:r>
            <w:r>
              <w:rPr>
                <w:noProof/>
                <w:webHidden/>
              </w:rPr>
              <w:tab/>
            </w:r>
            <w:r>
              <w:rPr>
                <w:noProof/>
                <w:webHidden/>
              </w:rPr>
              <w:fldChar w:fldCharType="begin"/>
            </w:r>
            <w:r>
              <w:rPr>
                <w:noProof/>
                <w:webHidden/>
              </w:rPr>
              <w:instrText xml:space="preserve"> PAGEREF _Toc13833745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46" w:history="1">
            <w:r>
              <w:rPr>
                <w:rStyle w:val="Hyperlink"/>
                <w:i/>
                <w:noProof/>
              </w:rPr>
              <w:t>2.1.1</w:t>
            </w:r>
            <w:r>
              <w:rPr>
                <w:rFonts w:asciiTheme="minorHAnsi" w:eastAsiaTheme="minorEastAsia" w:hAnsiTheme="minorHAnsi" w:cstheme="minorBidi"/>
                <w:smallCaps w:val="0"/>
                <w:noProof/>
                <w:sz w:val="22"/>
                <w:szCs w:val="22"/>
                <w:lang w:val="en-GB" w:eastAsia="en-GB" w:bidi="ar-SA"/>
              </w:rPr>
              <w:tab/>
            </w:r>
            <w:r>
              <w:rPr>
                <w:rStyle w:val="Hyperlink"/>
                <w:i/>
                <w:noProof/>
              </w:rPr>
              <w:t>Органи за финансов надзор (ЕБО, EIOPA и ESMA)</w:t>
            </w:r>
            <w:r>
              <w:rPr>
                <w:noProof/>
                <w:webHidden/>
              </w:rPr>
              <w:tab/>
            </w:r>
            <w:r>
              <w:rPr>
                <w:noProof/>
                <w:webHidden/>
              </w:rPr>
              <w:fldChar w:fldCharType="begin"/>
            </w:r>
            <w:r>
              <w:rPr>
                <w:noProof/>
                <w:webHidden/>
              </w:rPr>
              <w:instrText xml:space="preserve"> PAGEREF _Toc13833746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47" w:history="1">
            <w:r>
              <w:rPr>
                <w:rStyle w:val="Hyperlink"/>
                <w:i/>
                <w:noProof/>
              </w:rPr>
              <w:t>2.1.2</w:t>
            </w:r>
            <w:r>
              <w:rPr>
                <w:rFonts w:asciiTheme="minorHAnsi" w:eastAsiaTheme="minorEastAsia" w:hAnsiTheme="minorHAnsi" w:cstheme="minorBidi"/>
                <w:smallCaps w:val="0"/>
                <w:noProof/>
                <w:sz w:val="22"/>
                <w:szCs w:val="22"/>
                <w:lang w:val="en-GB" w:eastAsia="en-GB" w:bidi="ar-SA"/>
              </w:rPr>
              <w:tab/>
            </w:r>
            <w:r>
              <w:rPr>
                <w:rStyle w:val="Hyperlink"/>
                <w:i/>
                <w:noProof/>
              </w:rPr>
              <w:t>Европейска агенция за гранична и брегова охрана (Frontex)</w:t>
            </w:r>
            <w:r>
              <w:rPr>
                <w:noProof/>
                <w:webHidden/>
              </w:rPr>
              <w:tab/>
            </w:r>
            <w:r>
              <w:rPr>
                <w:noProof/>
                <w:webHidden/>
              </w:rPr>
              <w:fldChar w:fldCharType="begin"/>
            </w:r>
            <w:r>
              <w:rPr>
                <w:noProof/>
                <w:webHidden/>
              </w:rPr>
              <w:instrText xml:space="preserve"> PAGEREF _Toc13833747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48" w:history="1">
            <w:r>
              <w:rPr>
                <w:rStyle w:val="Hyperlink"/>
                <w:i/>
                <w:noProof/>
              </w:rPr>
              <w:t>2.1.3</w:t>
            </w:r>
            <w:r>
              <w:rPr>
                <w:rFonts w:asciiTheme="minorHAnsi" w:eastAsiaTheme="minorEastAsia" w:hAnsiTheme="minorHAnsi" w:cstheme="minorBidi"/>
                <w:smallCaps w:val="0"/>
                <w:noProof/>
                <w:sz w:val="22"/>
                <w:szCs w:val="22"/>
                <w:lang w:val="en-GB" w:eastAsia="en-GB" w:bidi="ar-SA"/>
              </w:rPr>
              <w:tab/>
            </w:r>
            <w:r>
              <w:rPr>
                <w:rStyle w:val="Hyperlink"/>
                <w:i/>
                <w:noProof/>
              </w:rPr>
              <w:t>Преработване на регламент „Дъблин III“</w:t>
            </w:r>
            <w:r>
              <w:rPr>
                <w:noProof/>
                <w:webHidden/>
              </w:rPr>
              <w:tab/>
            </w:r>
            <w:r>
              <w:rPr>
                <w:noProof/>
                <w:webHidden/>
              </w:rPr>
              <w:fldChar w:fldCharType="begin"/>
            </w:r>
            <w:r>
              <w:rPr>
                <w:noProof/>
                <w:webHidden/>
              </w:rPr>
              <w:instrText xml:space="preserve"> PAGEREF _Toc13833748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49" w:history="1">
            <w:r>
              <w:rPr>
                <w:rStyle w:val="Hyperlink"/>
                <w:i/>
                <w:noProof/>
              </w:rPr>
              <w:t>2.1.4.</w:t>
            </w:r>
            <w:r>
              <w:rPr>
                <w:rFonts w:asciiTheme="minorHAnsi" w:eastAsiaTheme="minorEastAsia" w:hAnsiTheme="minorHAnsi" w:cstheme="minorBidi"/>
                <w:smallCaps w:val="0"/>
                <w:noProof/>
                <w:sz w:val="22"/>
                <w:szCs w:val="22"/>
                <w:lang w:val="en-GB" w:eastAsia="en-GB" w:bidi="ar-SA"/>
              </w:rPr>
              <w:tab/>
            </w:r>
            <w:r>
              <w:rPr>
                <w:rStyle w:val="Hyperlink"/>
                <w:i/>
                <w:noProof/>
              </w:rPr>
              <w:t>Европейска прокуратура</w:t>
            </w:r>
            <w:r>
              <w:rPr>
                <w:noProof/>
                <w:webHidden/>
              </w:rPr>
              <w:tab/>
            </w:r>
            <w:r>
              <w:rPr>
                <w:noProof/>
                <w:webHidden/>
              </w:rPr>
              <w:fldChar w:fldCharType="begin"/>
            </w:r>
            <w:r>
              <w:rPr>
                <w:noProof/>
                <w:webHidden/>
              </w:rPr>
              <w:instrText xml:space="preserve"> PAGEREF _Toc13833749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0" w:history="1">
            <w:r>
              <w:rPr>
                <w:rStyle w:val="Hyperlink"/>
                <w:i/>
                <w:noProof/>
              </w:rPr>
              <w:t>2.1.5.</w:t>
            </w:r>
            <w:r>
              <w:rPr>
                <w:rFonts w:asciiTheme="minorHAnsi" w:eastAsiaTheme="minorEastAsia" w:hAnsiTheme="minorHAnsi" w:cstheme="minorBidi"/>
                <w:smallCaps w:val="0"/>
                <w:noProof/>
                <w:sz w:val="22"/>
                <w:szCs w:val="22"/>
                <w:lang w:val="en-GB" w:eastAsia="en-GB" w:bidi="ar-SA"/>
              </w:rPr>
              <w:tab/>
            </w:r>
            <w:r>
              <w:rPr>
                <w:rStyle w:val="Hyperlink"/>
                <w:i/>
                <w:noProof/>
              </w:rPr>
              <w:t>Европейски социален фонд — Оперативна техническа помощ</w:t>
            </w:r>
            <w:r>
              <w:rPr>
                <w:noProof/>
                <w:webHidden/>
              </w:rPr>
              <w:tab/>
            </w:r>
            <w:r>
              <w:rPr>
                <w:noProof/>
                <w:webHidden/>
              </w:rPr>
              <w:fldChar w:fldCharType="begin"/>
            </w:r>
            <w:r>
              <w:rPr>
                <w:noProof/>
                <w:webHidden/>
              </w:rPr>
              <w:instrText xml:space="preserve"> PAGEREF _Toc13833750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1" w:history="1">
            <w:r>
              <w:rPr>
                <w:rStyle w:val="Hyperlink"/>
                <w:i/>
                <w:noProof/>
              </w:rPr>
              <w:t>2.1.6.</w:t>
            </w:r>
            <w:r>
              <w:rPr>
                <w:rFonts w:asciiTheme="minorHAnsi" w:eastAsiaTheme="minorEastAsia" w:hAnsiTheme="minorHAnsi" w:cstheme="minorBidi"/>
                <w:smallCaps w:val="0"/>
                <w:noProof/>
                <w:sz w:val="22"/>
                <w:szCs w:val="22"/>
                <w:lang w:val="en-GB" w:eastAsia="en-GB" w:bidi="ar-SA"/>
              </w:rPr>
              <w:tab/>
            </w:r>
            <w:r>
              <w:rPr>
                <w:rStyle w:val="Hyperlink"/>
                <w:i/>
                <w:noProof/>
              </w:rPr>
              <w:t>Инструмент за спешна подкрепа (ИСП)</w:t>
            </w:r>
            <w:r>
              <w:rPr>
                <w:noProof/>
                <w:webHidden/>
              </w:rPr>
              <w:tab/>
            </w:r>
            <w:r>
              <w:rPr>
                <w:noProof/>
                <w:webHidden/>
              </w:rPr>
              <w:fldChar w:fldCharType="begin"/>
            </w:r>
            <w:r>
              <w:rPr>
                <w:noProof/>
                <w:webHidden/>
              </w:rPr>
              <w:instrText xml:space="preserve"> PAGEREF _Toc13833751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2" w:history="1">
            <w:r>
              <w:rPr>
                <w:rStyle w:val="Hyperlink"/>
                <w:i/>
                <w:noProof/>
              </w:rPr>
              <w:t>2.1.7.</w:t>
            </w:r>
            <w:r>
              <w:rPr>
                <w:rFonts w:asciiTheme="minorHAnsi" w:eastAsiaTheme="minorEastAsia" w:hAnsiTheme="minorHAnsi" w:cstheme="minorBidi"/>
                <w:smallCaps w:val="0"/>
                <w:noProof/>
                <w:sz w:val="22"/>
                <w:szCs w:val="22"/>
                <w:lang w:val="en-GB" w:eastAsia="en-GB" w:bidi="ar-SA"/>
              </w:rPr>
              <w:tab/>
            </w:r>
            <w:r>
              <w:rPr>
                <w:rStyle w:val="Hyperlink"/>
                <w:i/>
                <w:noProof/>
              </w:rPr>
              <w:t>Механизъм за гражданска защита на Съюза (МГЗС)</w:t>
            </w:r>
            <w:r>
              <w:rPr>
                <w:noProof/>
                <w:webHidden/>
              </w:rPr>
              <w:tab/>
            </w:r>
            <w:r>
              <w:rPr>
                <w:noProof/>
                <w:webHidden/>
              </w:rPr>
              <w:fldChar w:fldCharType="begin"/>
            </w:r>
            <w:r>
              <w:rPr>
                <w:noProof/>
                <w:webHidden/>
              </w:rPr>
              <w:instrText xml:space="preserve"> PAGEREF _Toc13833752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3" w:history="1">
            <w:r>
              <w:rPr>
                <w:rStyle w:val="Hyperlink"/>
                <w:i/>
                <w:noProof/>
              </w:rPr>
              <w:t>2.1.8.</w:t>
            </w:r>
            <w:r>
              <w:rPr>
                <w:rFonts w:asciiTheme="minorHAnsi" w:eastAsiaTheme="minorEastAsia" w:hAnsiTheme="minorHAnsi" w:cstheme="minorBidi"/>
                <w:smallCaps w:val="0"/>
                <w:noProof/>
                <w:sz w:val="22"/>
                <w:szCs w:val="22"/>
                <w:lang w:val="en-GB" w:eastAsia="en-GB" w:bidi="ar-SA"/>
              </w:rPr>
              <w:tab/>
            </w:r>
            <w:r>
              <w:rPr>
                <w:rStyle w:val="Hyperlink"/>
                <w:i/>
                <w:noProof/>
              </w:rPr>
              <w:t>Фонд „Солидарност“ на Европейския съюз (ФСЕС)</w:t>
            </w:r>
            <w:r>
              <w:rPr>
                <w:noProof/>
                <w:webHidden/>
              </w:rPr>
              <w:tab/>
            </w:r>
            <w:r>
              <w:rPr>
                <w:noProof/>
                <w:webHidden/>
              </w:rPr>
              <w:fldChar w:fldCharType="begin"/>
            </w:r>
            <w:r>
              <w:rPr>
                <w:noProof/>
                <w:webHidden/>
              </w:rPr>
              <w:instrText xml:space="preserve"> PAGEREF _Toc13833753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4" w:history="1">
            <w:r>
              <w:rPr>
                <w:rStyle w:val="Hyperlink"/>
                <w:i/>
                <w:noProof/>
              </w:rPr>
              <w:t>2.1.9.</w:t>
            </w:r>
            <w:r>
              <w:rPr>
                <w:rFonts w:asciiTheme="minorHAnsi" w:eastAsiaTheme="minorEastAsia" w:hAnsiTheme="minorHAnsi" w:cstheme="minorBidi"/>
                <w:smallCaps w:val="0"/>
                <w:noProof/>
                <w:sz w:val="22"/>
                <w:szCs w:val="22"/>
                <w:lang w:val="en-GB" w:eastAsia="en-GB" w:bidi="ar-SA"/>
              </w:rPr>
              <w:tab/>
            </w:r>
            <w:r>
              <w:rPr>
                <w:rStyle w:val="Hyperlink"/>
                <w:i/>
                <w:noProof/>
              </w:rPr>
              <w:t>Коригиране на мобилизирането на специалните инструменти</w:t>
            </w:r>
            <w:r>
              <w:rPr>
                <w:noProof/>
                <w:webHidden/>
              </w:rPr>
              <w:tab/>
            </w:r>
            <w:r>
              <w:rPr>
                <w:noProof/>
                <w:webHidden/>
              </w:rPr>
              <w:fldChar w:fldCharType="begin"/>
            </w:r>
            <w:r>
              <w:rPr>
                <w:noProof/>
                <w:webHidden/>
              </w:rPr>
              <w:instrText xml:space="preserve"> PAGEREF _Toc13833754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5"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Отлагане на оттеглянето на Обединеното кралство от Европейския съюз: въздействие върху институциите на ЕС</w:t>
            </w:r>
            <w:r>
              <w:rPr>
                <w:noProof/>
                <w:webHidden/>
              </w:rPr>
              <w:tab/>
            </w:r>
            <w:r>
              <w:rPr>
                <w:noProof/>
                <w:webHidden/>
              </w:rPr>
              <w:fldChar w:fldCharType="begin"/>
            </w:r>
            <w:r>
              <w:rPr>
                <w:noProof/>
                <w:webHidden/>
              </w:rPr>
              <w:instrText xml:space="preserve"> PAGEREF _Toc13833755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6" w:history="1">
            <w:r>
              <w:rPr>
                <w:rStyle w:val="Hyperlink"/>
                <w:i/>
                <w:noProof/>
              </w:rPr>
              <w:t>2.2.1</w:t>
            </w:r>
            <w:r>
              <w:rPr>
                <w:rFonts w:asciiTheme="minorHAnsi" w:eastAsiaTheme="minorEastAsia" w:hAnsiTheme="minorHAnsi" w:cstheme="minorBidi"/>
                <w:smallCaps w:val="0"/>
                <w:noProof/>
                <w:sz w:val="22"/>
                <w:szCs w:val="22"/>
                <w:lang w:val="en-GB" w:eastAsia="en-GB" w:bidi="ar-SA"/>
              </w:rPr>
              <w:tab/>
            </w:r>
            <w:r>
              <w:rPr>
                <w:rStyle w:val="Hyperlink"/>
                <w:i/>
                <w:noProof/>
              </w:rPr>
              <w:t>Европейски парламент (ЕП)</w:t>
            </w:r>
            <w:r>
              <w:rPr>
                <w:noProof/>
                <w:webHidden/>
              </w:rPr>
              <w:tab/>
            </w:r>
            <w:r>
              <w:rPr>
                <w:noProof/>
                <w:webHidden/>
              </w:rPr>
              <w:fldChar w:fldCharType="begin"/>
            </w:r>
            <w:r>
              <w:rPr>
                <w:noProof/>
                <w:webHidden/>
              </w:rPr>
              <w:instrText xml:space="preserve"> PAGEREF _Toc13833756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7" w:history="1">
            <w:r>
              <w:rPr>
                <w:rStyle w:val="Hyperlink"/>
                <w:i/>
                <w:noProof/>
              </w:rPr>
              <w:t>2.2.</w:t>
            </w:r>
            <w:r>
              <w:rPr>
                <w:rStyle w:val="Hyperlink"/>
                <w:i/>
                <w:noProof/>
                <w:lang w:val="en-US"/>
              </w:rPr>
              <w:t>2</w:t>
            </w:r>
            <w:r>
              <w:rPr>
                <w:rFonts w:asciiTheme="minorHAnsi" w:eastAsiaTheme="minorEastAsia" w:hAnsiTheme="minorHAnsi" w:cstheme="minorBidi"/>
                <w:smallCaps w:val="0"/>
                <w:noProof/>
                <w:sz w:val="22"/>
                <w:szCs w:val="22"/>
                <w:lang w:val="en-GB" w:eastAsia="en-GB" w:bidi="ar-SA"/>
              </w:rPr>
              <w:tab/>
            </w:r>
            <w:r>
              <w:rPr>
                <w:rStyle w:val="Hyperlink"/>
                <w:i/>
                <w:noProof/>
              </w:rPr>
              <w:t>Европейска сметна палата (ЕСП)</w:t>
            </w:r>
            <w:r>
              <w:rPr>
                <w:noProof/>
                <w:webHidden/>
              </w:rPr>
              <w:tab/>
            </w:r>
            <w:r>
              <w:rPr>
                <w:noProof/>
                <w:webHidden/>
              </w:rPr>
              <w:fldChar w:fldCharType="begin"/>
            </w:r>
            <w:r>
              <w:rPr>
                <w:noProof/>
                <w:webHidden/>
              </w:rPr>
              <w:instrText xml:space="preserve"> PAGEREF _Toc13833757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8" w:history="1">
            <w:r>
              <w:rPr>
                <w:rStyle w:val="Hyperlink"/>
                <w:i/>
                <w:noProof/>
              </w:rPr>
              <w:t>2.2.3</w:t>
            </w:r>
            <w:r>
              <w:rPr>
                <w:rFonts w:asciiTheme="minorHAnsi" w:eastAsiaTheme="minorEastAsia" w:hAnsiTheme="minorHAnsi" w:cstheme="minorBidi"/>
                <w:smallCaps w:val="0"/>
                <w:noProof/>
                <w:sz w:val="22"/>
                <w:szCs w:val="22"/>
                <w:lang w:val="en-GB" w:eastAsia="en-GB" w:bidi="ar-SA"/>
              </w:rPr>
              <w:tab/>
            </w:r>
            <w:r>
              <w:rPr>
                <w:rStyle w:val="Hyperlink"/>
                <w:i/>
                <w:noProof/>
              </w:rPr>
              <w:t>Европейска служба за външна дейност (ЕСВД)</w:t>
            </w:r>
            <w:r>
              <w:rPr>
                <w:noProof/>
                <w:webHidden/>
              </w:rPr>
              <w:tab/>
            </w:r>
            <w:r>
              <w:rPr>
                <w:noProof/>
                <w:webHidden/>
              </w:rPr>
              <w:fldChar w:fldCharType="begin"/>
            </w:r>
            <w:r>
              <w:rPr>
                <w:noProof/>
                <w:webHidden/>
              </w:rPr>
              <w:instrText xml:space="preserve"> PAGEREF _Toc13833758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59" w:history="1">
            <w:r>
              <w:rPr>
                <w:rStyle w:val="Hyperlink"/>
                <w:i/>
                <w:noProof/>
              </w:rPr>
              <w:t>2.2.4</w:t>
            </w:r>
            <w:r>
              <w:rPr>
                <w:rFonts w:asciiTheme="minorHAnsi" w:eastAsiaTheme="minorEastAsia" w:hAnsiTheme="minorHAnsi" w:cstheme="minorBidi"/>
                <w:smallCaps w:val="0"/>
                <w:noProof/>
                <w:sz w:val="22"/>
                <w:szCs w:val="22"/>
                <w:lang w:val="en-GB" w:eastAsia="en-GB" w:bidi="ar-SA"/>
              </w:rPr>
              <w:tab/>
            </w:r>
            <w:r>
              <w:rPr>
                <w:rStyle w:val="Hyperlink"/>
                <w:i/>
                <w:noProof/>
              </w:rPr>
              <w:t xml:space="preserve"> Общ преглед</w:t>
            </w:r>
            <w:r>
              <w:rPr>
                <w:noProof/>
                <w:webHidden/>
              </w:rPr>
              <w:tab/>
            </w:r>
            <w:r>
              <w:rPr>
                <w:noProof/>
                <w:webHidden/>
              </w:rPr>
              <w:fldChar w:fldCharType="begin"/>
            </w:r>
            <w:r>
              <w:rPr>
                <w:noProof/>
                <w:webHidden/>
              </w:rPr>
              <w:instrText xml:space="preserve"> PAGEREF _Toc13833759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13833760"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Актуализация на приходите</w:t>
            </w:r>
            <w:r>
              <w:rPr>
                <w:noProof/>
                <w:webHidden/>
              </w:rPr>
              <w:tab/>
            </w:r>
            <w:r>
              <w:rPr>
                <w:noProof/>
                <w:webHidden/>
              </w:rPr>
              <w:fldChar w:fldCharType="begin"/>
            </w:r>
            <w:r>
              <w:rPr>
                <w:noProof/>
                <w:webHidden/>
              </w:rPr>
              <w:instrText xml:space="preserve"> PAGEREF _Toc13833760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13833761" w:history="1">
            <w:r>
              <w:rPr>
                <w:rStyle w:val="Hyperlink"/>
                <w:b/>
                <w:noProof/>
              </w:rPr>
              <w:t>3.1</w:t>
            </w:r>
            <w:r>
              <w:rPr>
                <w:rFonts w:asciiTheme="minorHAnsi" w:eastAsiaTheme="minorEastAsia" w:hAnsiTheme="minorHAnsi" w:cstheme="minorBidi"/>
                <w:smallCaps w:val="0"/>
                <w:noProof/>
                <w:sz w:val="22"/>
                <w:szCs w:val="22"/>
                <w:lang w:val="en-GB" w:eastAsia="en-GB" w:bidi="ar-SA"/>
              </w:rPr>
              <w:tab/>
            </w:r>
            <w:r>
              <w:rPr>
                <w:rStyle w:val="Hyperlink"/>
                <w:b/>
                <w:noProof/>
              </w:rPr>
              <w:t>Общо отражение на ПКБ 4/2019 върху разпределението на общите плащания по собствените ресурси между държавите членки</w:t>
            </w:r>
            <w:r>
              <w:rPr>
                <w:noProof/>
                <w:webHidden/>
              </w:rPr>
              <w:tab/>
            </w:r>
            <w:r>
              <w:rPr>
                <w:noProof/>
                <w:webHidden/>
              </w:rPr>
              <w:fldChar w:fldCharType="begin"/>
            </w:r>
            <w:r>
              <w:rPr>
                <w:noProof/>
                <w:webHidden/>
              </w:rPr>
              <w:instrText xml:space="preserve"> PAGEREF _Toc13833761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13833762" w:history="1">
            <w:r>
              <w:rPr>
                <w:rStyle w:val="Hyperlink"/>
                <w:b/>
                <w:noProof/>
              </w:rPr>
              <w:t>3.2</w:t>
            </w:r>
            <w:r>
              <w:rPr>
                <w:rFonts w:asciiTheme="minorHAnsi" w:eastAsiaTheme="minorEastAsia" w:hAnsiTheme="minorHAnsi" w:cstheme="minorBidi"/>
                <w:smallCaps w:val="0"/>
                <w:noProof/>
                <w:sz w:val="22"/>
                <w:szCs w:val="22"/>
                <w:lang w:val="en-GB" w:eastAsia="en-GB" w:bidi="ar-SA"/>
              </w:rPr>
              <w:tab/>
            </w:r>
            <w:r>
              <w:rPr>
                <w:rStyle w:val="Hyperlink"/>
                <w:b/>
                <w:noProof/>
              </w:rPr>
              <w:t>Преразглеждане на прогнозата за ТСР, за базите за ДДС и БНД</w:t>
            </w:r>
            <w:r>
              <w:rPr>
                <w:noProof/>
                <w:webHidden/>
              </w:rPr>
              <w:tab/>
            </w:r>
            <w:r>
              <w:rPr>
                <w:noProof/>
                <w:webHidden/>
              </w:rPr>
              <w:fldChar w:fldCharType="begin"/>
            </w:r>
            <w:r>
              <w:rPr>
                <w:noProof/>
                <w:webHidden/>
              </w:rPr>
              <w:instrText xml:space="preserve"> PAGEREF _Toc13833762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13833763" w:history="1">
            <w:r>
              <w:rPr>
                <w:rStyle w:val="Hyperlink"/>
                <w:b/>
                <w:noProof/>
              </w:rPr>
              <w:t>3.3</w:t>
            </w:r>
            <w:r>
              <w:rPr>
                <w:rFonts w:asciiTheme="minorHAnsi" w:eastAsiaTheme="minorEastAsia" w:hAnsiTheme="minorHAnsi" w:cstheme="minorBidi"/>
                <w:smallCaps w:val="0"/>
                <w:noProof/>
                <w:sz w:val="22"/>
                <w:szCs w:val="22"/>
                <w:lang w:val="en-GB" w:eastAsia="en-GB" w:bidi="ar-SA"/>
              </w:rPr>
              <w:tab/>
            </w:r>
            <w:r>
              <w:rPr>
                <w:rStyle w:val="Hyperlink"/>
                <w:b/>
                <w:noProof/>
              </w:rPr>
              <w:t>Корекция за Обединеното кралство за 2018 г. и 2015 г.</w:t>
            </w:r>
            <w:r>
              <w:rPr>
                <w:noProof/>
                <w:webHidden/>
              </w:rPr>
              <w:tab/>
            </w:r>
            <w:r>
              <w:rPr>
                <w:noProof/>
                <w:webHidden/>
              </w:rPr>
              <w:fldChar w:fldCharType="begin"/>
            </w:r>
            <w:r>
              <w:rPr>
                <w:noProof/>
                <w:webHidden/>
              </w:rPr>
              <w:instrText xml:space="preserve"> PAGEREF _Toc13833763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64" w:history="1">
            <w:r>
              <w:rPr>
                <w:rStyle w:val="Hyperlink"/>
                <w:i/>
                <w:noProof/>
              </w:rPr>
              <w:t>3.3.1</w:t>
            </w:r>
            <w:r>
              <w:rPr>
                <w:rFonts w:asciiTheme="minorHAnsi" w:eastAsiaTheme="minorEastAsia" w:hAnsiTheme="minorHAnsi" w:cstheme="minorBidi"/>
                <w:smallCaps w:val="0"/>
                <w:noProof/>
                <w:sz w:val="22"/>
                <w:szCs w:val="22"/>
                <w:lang w:val="en-GB" w:eastAsia="en-GB" w:bidi="ar-SA"/>
              </w:rPr>
              <w:tab/>
            </w:r>
            <w:r>
              <w:rPr>
                <w:rStyle w:val="Hyperlink"/>
                <w:i/>
                <w:noProof/>
              </w:rPr>
              <w:t>Въведение</w:t>
            </w:r>
            <w:r>
              <w:rPr>
                <w:noProof/>
                <w:webHidden/>
              </w:rPr>
              <w:tab/>
            </w:r>
            <w:r>
              <w:rPr>
                <w:noProof/>
                <w:webHidden/>
              </w:rPr>
              <w:fldChar w:fldCharType="begin"/>
            </w:r>
            <w:r>
              <w:rPr>
                <w:noProof/>
                <w:webHidden/>
              </w:rPr>
              <w:instrText xml:space="preserve"> PAGEREF _Toc13833764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65" w:history="1">
            <w:r>
              <w:rPr>
                <w:rStyle w:val="Hyperlink"/>
                <w:i/>
                <w:noProof/>
              </w:rPr>
              <w:t>3.3.2</w:t>
            </w:r>
            <w:r>
              <w:rPr>
                <w:rFonts w:asciiTheme="minorHAnsi" w:eastAsiaTheme="minorEastAsia" w:hAnsiTheme="minorHAnsi" w:cstheme="minorBidi"/>
                <w:smallCaps w:val="0"/>
                <w:noProof/>
                <w:sz w:val="22"/>
                <w:szCs w:val="22"/>
                <w:lang w:val="en-GB" w:eastAsia="en-GB" w:bidi="ar-SA"/>
              </w:rPr>
              <w:tab/>
            </w:r>
            <w:r>
              <w:rPr>
                <w:rStyle w:val="Hyperlink"/>
                <w:i/>
                <w:noProof/>
              </w:rPr>
              <w:t>Изчисляване на корекциите</w:t>
            </w:r>
            <w:r>
              <w:rPr>
                <w:noProof/>
                <w:webHidden/>
              </w:rPr>
              <w:tab/>
            </w:r>
            <w:r>
              <w:rPr>
                <w:noProof/>
                <w:webHidden/>
              </w:rPr>
              <w:fldChar w:fldCharType="begin"/>
            </w:r>
            <w:r>
              <w:rPr>
                <w:noProof/>
                <w:webHidden/>
              </w:rPr>
              <w:instrText xml:space="preserve"> PAGEREF _Toc13833765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GB" w:eastAsia="en-GB" w:bidi="ar-SA"/>
            </w:rPr>
          </w:pPr>
          <w:hyperlink w:anchor="_Toc13833766" w:history="1">
            <w:r>
              <w:rPr>
                <w:rStyle w:val="Hyperlink"/>
                <w:i/>
                <w:noProof/>
              </w:rPr>
              <w:t>3.3.3</w:t>
            </w:r>
            <w:r>
              <w:rPr>
                <w:rFonts w:asciiTheme="minorHAnsi" w:eastAsiaTheme="minorEastAsia" w:hAnsiTheme="minorHAnsi" w:cstheme="minorBidi"/>
                <w:smallCaps w:val="0"/>
                <w:noProof/>
                <w:sz w:val="22"/>
                <w:szCs w:val="22"/>
                <w:lang w:val="en-GB" w:eastAsia="en-GB" w:bidi="ar-SA"/>
              </w:rPr>
              <w:tab/>
            </w:r>
            <w:r>
              <w:rPr>
                <w:rStyle w:val="Hyperlink"/>
                <w:i/>
                <w:noProof/>
              </w:rPr>
              <w:t>Вписване в ПКБ 4/2019 на първата актуализация на корекцията за Обединеното кралство за 2018 г. и на окончателния размер на корекцията за Обединеното кралство за 2015 г.</w:t>
            </w:r>
            <w:r>
              <w:rPr>
                <w:noProof/>
                <w:webHidden/>
              </w:rPr>
              <w:tab/>
            </w:r>
            <w:r>
              <w:rPr>
                <w:noProof/>
                <w:webHidden/>
              </w:rPr>
              <w:fldChar w:fldCharType="begin"/>
            </w:r>
            <w:r>
              <w:rPr>
                <w:noProof/>
                <w:webHidden/>
              </w:rPr>
              <w:instrText xml:space="preserve"> PAGEREF _Toc13833766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13833767"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_Toc13833767 \h </w:instrText>
            </w:r>
            <w:r>
              <w:rPr>
                <w:noProof/>
                <w:webHidden/>
              </w:rPr>
            </w:r>
            <w:r>
              <w:rPr>
                <w:noProof/>
                <w:webHidden/>
              </w:rPr>
              <w:fldChar w:fldCharType="separate"/>
            </w:r>
            <w:r>
              <w:rPr>
                <w:noProof/>
                <w:webHidden/>
              </w:rPr>
              <w:t>23</w:t>
            </w:r>
            <w:r>
              <w:rPr>
                <w:noProof/>
                <w:webHidden/>
              </w:rPr>
              <w:fldChar w:fldCharType="end"/>
            </w:r>
          </w:hyperlink>
        </w:p>
        <w:p>
          <w:pPr>
            <w:rPr>
              <w:noProof/>
            </w:rPr>
          </w:pPr>
          <w:r>
            <w:rPr>
              <w:b/>
              <w:bCs/>
              <w:noProof/>
            </w:rPr>
            <w:fldChar w:fldCharType="end"/>
          </w:r>
        </w:p>
      </w:sdtContent>
    </w:sdt>
    <w:p>
      <w:pPr>
        <w:rPr>
          <w:b/>
          <w:noProof/>
          <w:u w:val="single"/>
        </w:rPr>
        <w:sectPr>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pPr>
        <w:pStyle w:val="Exposdesmotifstitre"/>
        <w:rPr>
          <w:noProof/>
        </w:rPr>
      </w:pPr>
      <w:r>
        <w:rPr>
          <w:noProof/>
        </w:rPr>
        <w:t>ОБЯСНИТЕЛЕН МЕМОРАНДУМ</w:t>
      </w:r>
    </w:p>
    <w:p>
      <w:pPr>
        <w:pStyle w:val="ManualHeading1"/>
        <w:rPr>
          <w:noProof/>
        </w:rPr>
      </w:pPr>
      <w:bookmarkStart w:id="5" w:name="_Toc385506031"/>
      <w:bookmarkStart w:id="6" w:name="_Toc430865946"/>
      <w:bookmarkStart w:id="7" w:name="_Toc430867524"/>
      <w:bookmarkStart w:id="8" w:name="_Toc514181799"/>
      <w:bookmarkStart w:id="9" w:name="_Toc12620994"/>
      <w:bookmarkStart w:id="10" w:name="_Toc13833743"/>
      <w:bookmarkStart w:id="11" w:name="_Toc351469332"/>
      <w:bookmarkStart w:id="12" w:name="_Toc361649879"/>
      <w:bookmarkEnd w:id="2"/>
      <w:r>
        <w:rPr>
          <w:noProof/>
        </w:rPr>
        <w:t>1.</w:t>
      </w:r>
      <w:r>
        <w:rPr>
          <w:noProof/>
        </w:rPr>
        <w:tab/>
        <w:t>Въведение</w:t>
      </w:r>
      <w:bookmarkEnd w:id="5"/>
      <w:bookmarkEnd w:id="6"/>
      <w:bookmarkEnd w:id="7"/>
      <w:bookmarkEnd w:id="8"/>
      <w:bookmarkEnd w:id="9"/>
      <w:bookmarkEnd w:id="10"/>
    </w:p>
    <w:p>
      <w:pPr>
        <w:pStyle w:val="ListDash"/>
        <w:numPr>
          <w:ilvl w:val="0"/>
          <w:numId w:val="0"/>
        </w:numPr>
        <w:rPr>
          <w:noProof/>
        </w:rPr>
      </w:pPr>
      <w:bookmarkStart w:id="13" w:name="_Toc514181800"/>
      <w:bookmarkStart w:id="14" w:name="_Toc462410050"/>
      <w:bookmarkStart w:id="15" w:name="_Toc430865947"/>
      <w:bookmarkStart w:id="16" w:name="_Toc430867525"/>
      <w:r>
        <w:rPr>
          <w:noProof/>
        </w:rPr>
        <w:t>Целта на проект на коригиращ бюджет (ПКБ) № 4 за 2019 г. е да се актуализират както разходната, така и приходната част на бюджета, за да се вземат предвид последните промени:</w:t>
      </w:r>
    </w:p>
    <w:p>
      <w:pPr>
        <w:pStyle w:val="Tiret0"/>
        <w:rPr>
          <w:noProof/>
        </w:rPr>
      </w:pPr>
      <w:r>
        <w:rPr>
          <w:noProof/>
        </w:rPr>
        <w:t>що се отнася до разходите:</w:t>
      </w:r>
    </w:p>
    <w:p>
      <w:pPr>
        <w:pStyle w:val="Tiret0"/>
        <w:tabs>
          <w:tab w:val="clear" w:pos="850"/>
          <w:tab w:val="num" w:pos="1570"/>
        </w:tabs>
        <w:ind w:left="1570"/>
        <w:rPr>
          <w:noProof/>
        </w:rPr>
      </w:pPr>
      <w:r>
        <w:rPr>
          <w:noProof/>
        </w:rPr>
        <w:t>за да се освободят бюджетни кредити за поети задължения и за плащания по бюджетни редове за функции 1а „Конкурентоспособност за растеж и работни места“ , 1б „Икономическо, социално и териториално сближаване“, 3 „Сигурност и гражданство“ и 4 „Глобална Европа“, както и за фонд „Солидарност“ на Европейския съюз;</w:t>
      </w:r>
    </w:p>
    <w:p>
      <w:pPr>
        <w:pStyle w:val="Tiret0"/>
        <w:tabs>
          <w:tab w:val="clear" w:pos="850"/>
          <w:tab w:val="num" w:pos="1570"/>
        </w:tabs>
        <w:ind w:left="1570"/>
        <w:rPr>
          <w:noProof/>
        </w:rPr>
      </w:pPr>
      <w:r>
        <w:rPr>
          <w:noProof/>
        </w:rPr>
        <w:t>за да се коригира бюджетът за 2019 г. на някои институции в резултат на отлагането на оттеглянето на Обединеното кралство от Европейския съюз за 31 октомври 2019 г.</w:t>
      </w:r>
    </w:p>
    <w:p>
      <w:pPr>
        <w:pStyle w:val="Tiret0"/>
        <w:rPr>
          <w:noProof/>
        </w:rPr>
      </w:pPr>
      <w:r>
        <w:rPr>
          <w:noProof/>
        </w:rPr>
        <w:t>що се отнася до приходите, за да се преразгледат прогнозите за традиционните собствени ресурси (т.е. мита и налози в сектора на захарта), за базите за данъка върху добавената стойност (ДДС) и за брутния национален доход (БНД), както и за да се включат в бюджета съответните корекции за Обединеното кралство и тяхното финансиране, всички те засягащи разпределението на вноските собствени ресурси от държавите членки в бюджета на ЕС.</w:t>
      </w:r>
    </w:p>
    <w:p>
      <w:pPr>
        <w:keepNext/>
        <w:tabs>
          <w:tab w:val="left" w:pos="850"/>
        </w:tabs>
        <w:spacing w:before="240" w:after="120"/>
        <w:ind w:left="851" w:hanging="851"/>
        <w:jc w:val="both"/>
        <w:outlineLvl w:val="0"/>
        <w:rPr>
          <w:b/>
          <w:smallCaps/>
          <w:noProof/>
        </w:rPr>
      </w:pPr>
      <w:bookmarkStart w:id="17" w:name="_Toc12620995"/>
      <w:bookmarkStart w:id="18" w:name="_Toc13833744"/>
      <w:r>
        <w:rPr>
          <w:b/>
          <w:smallCaps/>
          <w:noProof/>
        </w:rPr>
        <w:t>2.</w:t>
      </w:r>
      <w:r>
        <w:rPr>
          <w:noProof/>
        </w:rPr>
        <w:tab/>
      </w:r>
      <w:r>
        <w:rPr>
          <w:b/>
          <w:smallCaps/>
          <w:noProof/>
        </w:rPr>
        <w:t>Актуализация на разходите</w:t>
      </w:r>
      <w:bookmarkEnd w:id="17"/>
      <w:bookmarkEnd w:id="18"/>
    </w:p>
    <w:p>
      <w:pPr>
        <w:keepNext/>
        <w:tabs>
          <w:tab w:val="left" w:pos="850"/>
        </w:tabs>
        <w:spacing w:before="360" w:after="120"/>
        <w:ind w:left="850" w:hanging="850"/>
        <w:jc w:val="both"/>
        <w:outlineLvl w:val="1"/>
        <w:rPr>
          <w:rFonts w:eastAsia="Calibri"/>
          <w:b/>
          <w:noProof/>
        </w:rPr>
      </w:pPr>
      <w:bookmarkStart w:id="19" w:name="_Toc12620996"/>
      <w:bookmarkStart w:id="20" w:name="_Toc13833745"/>
      <w:r>
        <w:rPr>
          <w:b/>
          <w:noProof/>
        </w:rPr>
        <w:t>2.1.</w:t>
      </w:r>
      <w:r>
        <w:rPr>
          <w:noProof/>
        </w:rPr>
        <w:tab/>
      </w:r>
      <w:r>
        <w:rPr>
          <w:b/>
          <w:noProof/>
        </w:rPr>
        <w:t>Намаляване на бюджетните кредити за поети задължения и за плащания</w:t>
      </w:r>
      <w:bookmarkEnd w:id="19"/>
      <w:bookmarkEnd w:id="20"/>
    </w:p>
    <w:p>
      <w:pPr>
        <w:keepNext/>
        <w:tabs>
          <w:tab w:val="left" w:pos="850"/>
        </w:tabs>
        <w:spacing w:before="240" w:after="120"/>
        <w:ind w:left="850" w:hanging="850"/>
        <w:jc w:val="both"/>
        <w:outlineLvl w:val="1"/>
        <w:rPr>
          <w:rFonts w:eastAsia="Calibri"/>
          <w:i/>
          <w:noProof/>
        </w:rPr>
      </w:pPr>
      <w:bookmarkStart w:id="21" w:name="_Toc12620997"/>
      <w:bookmarkStart w:id="22" w:name="_Toc13833746"/>
      <w:r>
        <w:rPr>
          <w:i/>
          <w:noProof/>
        </w:rPr>
        <w:t>2.1.1</w:t>
      </w:r>
      <w:r>
        <w:rPr>
          <w:noProof/>
        </w:rPr>
        <w:tab/>
      </w:r>
      <w:r>
        <w:rPr>
          <w:i/>
          <w:noProof/>
        </w:rPr>
        <w:t>Органи за финансов надзор (ЕБО, EIOPA и ESMA)</w:t>
      </w:r>
      <w:bookmarkEnd w:id="21"/>
      <w:bookmarkEnd w:id="22"/>
    </w:p>
    <w:p>
      <w:pPr>
        <w:spacing w:before="120" w:after="240"/>
        <w:jc w:val="both"/>
        <w:rPr>
          <w:noProof/>
        </w:rPr>
      </w:pPr>
      <w:r>
        <w:rPr>
          <w:noProof/>
        </w:rPr>
        <w:t>През септември 2017 г.</w:t>
      </w:r>
      <w:r>
        <w:rPr>
          <w:rStyle w:val="FootnoteReference"/>
          <w:noProof/>
        </w:rPr>
        <w:footnoteReference w:id="7"/>
      </w:r>
      <w:r>
        <w:rPr>
          <w:noProof/>
        </w:rPr>
        <w:t xml:space="preserve"> Комисията предложи основно преразглеждане на мандатите на Европейския банков орган (ЕБО), Европейския орган за застраховане и професионално пенсионно осигуряване (EIOPA) и Европейския орган за ценни книжа и пазари (ESMA), което изисква значително увеличаване на човешките и финансовите ресурси, в частност за ESMA. Ключов елемент на предложението е преходът към нов модел на финансиране, при който настоящото съотношение за финансиране между вноската от бюджета на ЕС (40 %) и вноската от националните надзорни органи (60 %) ще бъде заменено от комбинация от финансиране чрез такси и изравнителна вноска от бюджета на ЕС. Успоредно с това</w:t>
      </w:r>
      <w:r>
        <w:rPr>
          <w:rStyle w:val="FootnoteReference"/>
          <w:noProof/>
        </w:rPr>
        <w:footnoteReference w:id="8"/>
      </w:r>
      <w:r>
        <w:rPr>
          <w:noProof/>
        </w:rPr>
        <w:t xml:space="preserve"> Комисията предлага и нов мандат на ESMA във връзка с надзора на централните контрагенти (ЦК), което изисква увеличаване на човешките ресурси, както и предварително финансиране на тези финансирани чрез такси дейности, като се вземе предвид времето, необходимо за въвеждането на система за събиране на такси.</w:t>
      </w:r>
    </w:p>
    <w:p>
      <w:pPr>
        <w:spacing w:before="120" w:after="240"/>
        <w:jc w:val="both"/>
        <w:rPr>
          <w:noProof/>
        </w:rPr>
      </w:pPr>
      <w:r>
        <w:rPr>
          <w:noProof/>
        </w:rPr>
        <w:t>Политическо споразумение по предложението бе постигнато през през март 2019 г. Що се отнася до преразглеждането на мандатите на ЕБО, EIOPA и ESMA, компромисният вариант по същество доведе до по-слабо разширяване на обхвата на мандатите със съответно отражение върху необходимите ресурси, а настоящият модел на финансиране (разпределение 40/60 между бюджета на ЕС и националните органи) бе запазен. Мандатът на ESMA по отношение на ЦК ще бъдат леко намален в сравнение с предложението на Комисията. И за двете предложения въздействието върху бюджета ще се усети със закъснение от една година. Предварителният разчет за 2020 г.</w:t>
      </w:r>
      <w:r>
        <w:rPr>
          <w:rStyle w:val="FootnoteReference"/>
          <w:noProof/>
        </w:rPr>
        <w:footnoteReference w:id="9"/>
      </w:r>
      <w:r>
        <w:rPr>
          <w:noProof/>
        </w:rPr>
        <w:t xml:space="preserve"> вече отразява последиците върху бюджета за 2020 г. Предлага се в настоящия ПКБ да се актуализира бюджетът за 2019 г. както за човешките, така и за финансовите ресурси. </w:t>
      </w:r>
    </w:p>
    <w:p>
      <w:pPr>
        <w:spacing w:before="120" w:after="240"/>
        <w:jc w:val="both"/>
        <w:rPr>
          <w:noProof/>
        </w:rPr>
      </w:pPr>
      <w:r>
        <w:rPr>
          <w:noProof/>
        </w:rPr>
        <w:t>Предложеното намаление на вноската на ЕС за ЕБО, EIOPA и ESMA е посочено в таблицата по-долу.</w:t>
      </w:r>
    </w:p>
    <w:p>
      <w:pPr>
        <w:rPr>
          <w:noProof/>
        </w:rPr>
      </w:pPr>
      <w:r>
        <w:rPr>
          <w:noProof/>
        </w:rPr>
        <w:br w:type="page"/>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vAlign w:val="center"/>
          </w:tcPr>
          <w:p>
            <w:pPr>
              <w:widowControl w:val="0"/>
              <w:spacing w:before="15" w:after="15"/>
              <w:ind w:right="-113"/>
              <w:rPr>
                <w:noProof/>
                <w:sz w:val="20"/>
                <w:szCs w:val="20"/>
              </w:rPr>
            </w:pPr>
            <w:r>
              <w:rPr>
                <w:noProof/>
                <w:color w:val="000000"/>
                <w:sz w:val="20"/>
              </w:rPr>
              <w:t>12 02 04</w:t>
            </w:r>
          </w:p>
        </w:tc>
        <w:tc>
          <w:tcPr>
            <w:tcW w:w="5132" w:type="dxa"/>
            <w:vAlign w:val="center"/>
          </w:tcPr>
          <w:p>
            <w:pPr>
              <w:widowControl w:val="0"/>
              <w:tabs>
                <w:tab w:val="left" w:pos="1350"/>
              </w:tabs>
              <w:spacing w:before="15" w:after="15"/>
              <w:jc w:val="both"/>
              <w:rPr>
                <w:noProof/>
                <w:sz w:val="16"/>
                <w:szCs w:val="16"/>
              </w:rPr>
            </w:pPr>
            <w:r>
              <w:rPr>
                <w:noProof/>
                <w:color w:val="000000"/>
                <w:sz w:val="16"/>
              </w:rPr>
              <w:t>Европейски банков орган (ЕБО)</w:t>
            </w:r>
          </w:p>
        </w:tc>
        <w:tc>
          <w:tcPr>
            <w:tcW w:w="1701" w:type="dxa"/>
            <w:vAlign w:val="center"/>
          </w:tcPr>
          <w:p>
            <w:pPr>
              <w:widowControl w:val="0"/>
              <w:spacing w:before="15" w:after="15"/>
              <w:jc w:val="right"/>
              <w:rPr>
                <w:noProof/>
                <w:sz w:val="20"/>
                <w:szCs w:val="20"/>
              </w:rPr>
            </w:pPr>
            <w:r>
              <w:rPr>
                <w:noProof/>
                <w:color w:val="000000"/>
                <w:sz w:val="20"/>
              </w:rPr>
              <w:t>-2 490 000</w:t>
            </w:r>
          </w:p>
        </w:tc>
        <w:tc>
          <w:tcPr>
            <w:tcW w:w="1701" w:type="dxa"/>
            <w:vAlign w:val="center"/>
          </w:tcPr>
          <w:p>
            <w:pPr>
              <w:widowControl w:val="0"/>
              <w:spacing w:before="15" w:after="15"/>
              <w:jc w:val="right"/>
              <w:rPr>
                <w:noProof/>
                <w:sz w:val="20"/>
                <w:szCs w:val="20"/>
              </w:rPr>
            </w:pPr>
            <w:r>
              <w:rPr>
                <w:noProof/>
                <w:color w:val="000000"/>
                <w:sz w:val="20"/>
              </w:rPr>
              <w:t>-2 490 000</w:t>
            </w:r>
          </w:p>
        </w:tc>
      </w:tr>
      <w:tr>
        <w:trPr>
          <w:jc w:val="center"/>
        </w:trPr>
        <w:tc>
          <w:tcPr>
            <w:tcW w:w="1276" w:type="dxa"/>
            <w:vAlign w:val="center"/>
          </w:tcPr>
          <w:p>
            <w:pPr>
              <w:widowControl w:val="0"/>
              <w:spacing w:before="15" w:after="15"/>
              <w:ind w:right="-113"/>
              <w:rPr>
                <w:noProof/>
                <w:sz w:val="20"/>
                <w:szCs w:val="20"/>
              </w:rPr>
            </w:pPr>
            <w:r>
              <w:rPr>
                <w:noProof/>
                <w:color w:val="000000"/>
                <w:sz w:val="20"/>
              </w:rPr>
              <w:t>12 02 05</w:t>
            </w:r>
          </w:p>
        </w:tc>
        <w:tc>
          <w:tcPr>
            <w:tcW w:w="5132" w:type="dxa"/>
            <w:vAlign w:val="center"/>
          </w:tcPr>
          <w:p>
            <w:pPr>
              <w:widowControl w:val="0"/>
              <w:tabs>
                <w:tab w:val="left" w:pos="1350"/>
              </w:tabs>
              <w:spacing w:before="15" w:after="15"/>
              <w:jc w:val="both"/>
              <w:rPr>
                <w:noProof/>
                <w:sz w:val="16"/>
                <w:szCs w:val="16"/>
              </w:rPr>
            </w:pPr>
            <w:r>
              <w:rPr>
                <w:noProof/>
                <w:color w:val="000000"/>
                <w:sz w:val="16"/>
              </w:rPr>
              <w:t>Европейски орган за застраховане и професионално пенсионно осигуряване (ЕIОPA)</w:t>
            </w:r>
          </w:p>
        </w:tc>
        <w:tc>
          <w:tcPr>
            <w:tcW w:w="1701" w:type="dxa"/>
            <w:vAlign w:val="center"/>
          </w:tcPr>
          <w:p>
            <w:pPr>
              <w:widowControl w:val="0"/>
              <w:spacing w:before="15" w:after="15"/>
              <w:jc w:val="right"/>
              <w:rPr>
                <w:noProof/>
                <w:sz w:val="20"/>
                <w:szCs w:val="20"/>
              </w:rPr>
            </w:pPr>
            <w:r>
              <w:rPr>
                <w:noProof/>
                <w:color w:val="000000"/>
                <w:sz w:val="20"/>
              </w:rPr>
              <w:t>-2 360 000</w:t>
            </w:r>
          </w:p>
        </w:tc>
        <w:tc>
          <w:tcPr>
            <w:tcW w:w="1701" w:type="dxa"/>
            <w:vAlign w:val="center"/>
          </w:tcPr>
          <w:p>
            <w:pPr>
              <w:widowControl w:val="0"/>
              <w:spacing w:before="15" w:after="15"/>
              <w:jc w:val="right"/>
              <w:rPr>
                <w:noProof/>
                <w:sz w:val="20"/>
                <w:szCs w:val="20"/>
              </w:rPr>
            </w:pPr>
            <w:r>
              <w:rPr>
                <w:noProof/>
                <w:color w:val="000000"/>
                <w:sz w:val="20"/>
              </w:rPr>
              <w:t>-2 360 000</w:t>
            </w:r>
          </w:p>
        </w:tc>
      </w:tr>
      <w:tr>
        <w:trPr>
          <w:jc w:val="center"/>
        </w:trPr>
        <w:tc>
          <w:tcPr>
            <w:tcW w:w="1276" w:type="dxa"/>
            <w:vAlign w:val="center"/>
          </w:tcPr>
          <w:p>
            <w:pPr>
              <w:widowControl w:val="0"/>
              <w:spacing w:before="15" w:after="15"/>
              <w:ind w:right="-113"/>
              <w:rPr>
                <w:noProof/>
                <w:sz w:val="20"/>
                <w:szCs w:val="20"/>
              </w:rPr>
            </w:pPr>
            <w:r>
              <w:rPr>
                <w:noProof/>
                <w:color w:val="000000"/>
                <w:sz w:val="20"/>
              </w:rPr>
              <w:t>12 02 06</w:t>
            </w:r>
          </w:p>
        </w:tc>
        <w:tc>
          <w:tcPr>
            <w:tcW w:w="5132" w:type="dxa"/>
            <w:vAlign w:val="center"/>
          </w:tcPr>
          <w:p>
            <w:pPr>
              <w:widowControl w:val="0"/>
              <w:tabs>
                <w:tab w:val="left" w:pos="1350"/>
              </w:tabs>
              <w:spacing w:before="15" w:after="15"/>
              <w:jc w:val="both"/>
              <w:rPr>
                <w:noProof/>
                <w:sz w:val="16"/>
                <w:szCs w:val="16"/>
              </w:rPr>
            </w:pPr>
            <w:r>
              <w:rPr>
                <w:noProof/>
                <w:color w:val="000000"/>
                <w:sz w:val="16"/>
              </w:rPr>
              <w:t>Европейски орган за ценни книжа и пазари (ESMA)</w:t>
            </w:r>
          </w:p>
        </w:tc>
        <w:tc>
          <w:tcPr>
            <w:tcW w:w="1701" w:type="dxa"/>
            <w:vAlign w:val="center"/>
          </w:tcPr>
          <w:p>
            <w:pPr>
              <w:widowControl w:val="0"/>
              <w:spacing w:before="15" w:after="15"/>
              <w:jc w:val="right"/>
              <w:rPr>
                <w:noProof/>
                <w:sz w:val="20"/>
                <w:szCs w:val="20"/>
              </w:rPr>
            </w:pPr>
            <w:r>
              <w:rPr>
                <w:noProof/>
                <w:color w:val="000000"/>
                <w:sz w:val="20"/>
              </w:rPr>
              <w:t>-13 670 000</w:t>
            </w:r>
          </w:p>
        </w:tc>
        <w:tc>
          <w:tcPr>
            <w:tcW w:w="1701" w:type="dxa"/>
            <w:vAlign w:val="center"/>
          </w:tcPr>
          <w:p>
            <w:pPr>
              <w:widowControl w:val="0"/>
              <w:spacing w:before="15" w:after="15"/>
              <w:jc w:val="right"/>
              <w:rPr>
                <w:noProof/>
                <w:sz w:val="20"/>
                <w:szCs w:val="20"/>
              </w:rPr>
            </w:pPr>
            <w:r>
              <w:rPr>
                <w:noProof/>
                <w:color w:val="000000"/>
                <w:sz w:val="20"/>
              </w:rPr>
              <w:t>-13 670 000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-18 520 000</w:t>
            </w:r>
          </w:p>
        </w:tc>
        <w:tc>
          <w:tcPr>
            <w:tcW w:w="1701" w:type="dxa"/>
            <w:shd w:val="clear" w:color="auto" w:fill="D9D9D9"/>
          </w:tcPr>
          <w:p>
            <w:pPr>
              <w:widowControl w:val="0"/>
              <w:spacing w:before="15" w:after="15"/>
              <w:jc w:val="right"/>
              <w:rPr>
                <w:b/>
                <w:noProof/>
                <w:sz w:val="20"/>
                <w:szCs w:val="20"/>
              </w:rPr>
            </w:pPr>
            <w:r>
              <w:rPr>
                <w:b/>
                <w:noProof/>
                <w:sz w:val="20"/>
              </w:rPr>
              <w:t>-18 520 000</w:t>
            </w:r>
          </w:p>
        </w:tc>
      </w:tr>
    </w:tbl>
    <w:p>
      <w:pPr>
        <w:spacing w:before="120" w:after="240"/>
        <w:jc w:val="both"/>
        <w:rPr>
          <w:noProof/>
        </w:rPr>
      </w:pPr>
      <w:r>
        <w:rPr>
          <w:noProof/>
        </w:rPr>
        <w:t>Актуализираните щатни разписания на ЕБО (-10 длъжности), EIOPA (-9 длъжности) и ESMA (-27 длъжности) са посочени в бюджетното приложение.</w:t>
      </w:r>
    </w:p>
    <w:p>
      <w:pPr>
        <w:keepNext/>
        <w:tabs>
          <w:tab w:val="left" w:pos="850"/>
        </w:tabs>
        <w:spacing w:before="240" w:after="120"/>
        <w:ind w:left="850" w:hanging="850"/>
        <w:jc w:val="both"/>
        <w:outlineLvl w:val="1"/>
        <w:rPr>
          <w:rFonts w:eastAsia="Calibri"/>
          <w:i/>
          <w:noProof/>
        </w:rPr>
      </w:pPr>
      <w:bookmarkStart w:id="23" w:name="_Toc12620998"/>
      <w:bookmarkStart w:id="24" w:name="_Toc13833747"/>
      <w:r>
        <w:rPr>
          <w:i/>
          <w:noProof/>
        </w:rPr>
        <w:t>2.1.2</w:t>
      </w:r>
      <w:r>
        <w:rPr>
          <w:noProof/>
        </w:rPr>
        <w:tab/>
      </w:r>
      <w:r>
        <w:rPr>
          <w:i/>
          <w:noProof/>
        </w:rPr>
        <w:t>Европейска агенция за гранична и брегова охрана (Frontex)</w:t>
      </w:r>
      <w:bookmarkEnd w:id="23"/>
      <w:bookmarkEnd w:id="24"/>
    </w:p>
    <w:p>
      <w:pPr>
        <w:spacing w:before="120" w:after="240"/>
        <w:jc w:val="both"/>
        <w:rPr>
          <w:noProof/>
        </w:rPr>
      </w:pPr>
      <w:r>
        <w:rPr>
          <w:noProof/>
        </w:rPr>
        <w:t>През септември 2018 г.</w:t>
      </w:r>
      <w:r>
        <w:rPr>
          <w:noProof/>
          <w:vertAlign w:val="superscript"/>
        </w:rPr>
        <w:footnoteReference w:id="10"/>
      </w:r>
      <w:r>
        <w:rPr>
          <w:noProof/>
        </w:rPr>
        <w:t xml:space="preserve"> Комисията предложи да се разшири мандатът на Европейската агенция за гранична и брегова охрана (Frontex), за да се създаде постоянен корпус от 10 000 гранични служители до 2020 г. В очакване на приемането на законодателното предложение в бюджета за 2019 г. беше заделен резерв от 19,3 милиона евро за покриване на разходите по планираното наемане на първата вълна от гранични служители (375 длъжности и 375 договорно наети служители) през последното тримесечие на 2019 г. </w:t>
      </w:r>
    </w:p>
    <w:p>
      <w:pPr>
        <w:spacing w:before="120" w:after="240"/>
        <w:jc w:val="both"/>
        <w:rPr>
          <w:noProof/>
        </w:rPr>
      </w:pPr>
      <w:r>
        <w:rPr>
          <w:noProof/>
        </w:rPr>
        <w:t xml:space="preserve">През март 2019 г. беше постигнато политическо споразумение за постепенното създаване на постоянен корпус от 10 000 гранични служители до 2027 г. Като се има предвид очакваното влизане в сила на регламента около 1 ноември 2019 г., като официална отправна точка за действителното наемане на постоянния корпус от гранични служители, Комисията счита за разумно да запази сума в размер на 7,2 милиона евро в резерва за покриване на разходите за заплати за първото наемане на гранични служители през 2019 г. Следователно оставащата сума в резерва може да бъде отменена в настоящия ПКБ. .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tcPr>
          <w:p>
            <w:pPr>
              <w:widowControl w:val="0"/>
              <w:spacing w:before="15" w:after="15"/>
              <w:ind w:right="-113"/>
              <w:jc w:val="both"/>
              <w:rPr>
                <w:noProof/>
                <w:sz w:val="20"/>
                <w:szCs w:val="20"/>
              </w:rPr>
            </w:pPr>
            <w:r>
              <w:rPr>
                <w:noProof/>
                <w:sz w:val="20"/>
              </w:rPr>
              <w:t>40 02 41</w:t>
            </w:r>
          </w:p>
        </w:tc>
        <w:tc>
          <w:tcPr>
            <w:tcW w:w="5132" w:type="dxa"/>
          </w:tcPr>
          <w:p>
            <w:pPr>
              <w:widowControl w:val="0"/>
              <w:tabs>
                <w:tab w:val="left" w:pos="1350"/>
              </w:tabs>
              <w:spacing w:before="15" w:after="15"/>
              <w:jc w:val="both"/>
              <w:rPr>
                <w:noProof/>
                <w:sz w:val="16"/>
                <w:szCs w:val="16"/>
              </w:rPr>
            </w:pPr>
            <w:r>
              <w:rPr>
                <w:noProof/>
                <w:sz w:val="16"/>
              </w:rPr>
              <w:t>Многогодишни бюджетни кредити (</w:t>
            </w:r>
            <w:r>
              <w:rPr>
                <w:i/>
                <w:noProof/>
                <w:sz w:val="16"/>
              </w:rPr>
              <w:t>Резерв за бюджетна статия 18 02 03 — Европейска агенция за гранична и брегова охрана (FRONTEX)</w:t>
            </w:r>
          </w:p>
        </w:tc>
        <w:tc>
          <w:tcPr>
            <w:tcW w:w="1701" w:type="dxa"/>
          </w:tcPr>
          <w:p>
            <w:pPr>
              <w:widowControl w:val="0"/>
              <w:spacing w:before="15" w:after="15"/>
              <w:jc w:val="right"/>
              <w:rPr>
                <w:noProof/>
                <w:sz w:val="20"/>
                <w:szCs w:val="20"/>
              </w:rPr>
            </w:pPr>
            <w:r>
              <w:rPr>
                <w:noProof/>
                <w:sz w:val="20"/>
              </w:rPr>
              <w:t>-12 121 000</w:t>
            </w:r>
          </w:p>
        </w:tc>
        <w:tc>
          <w:tcPr>
            <w:tcW w:w="1701" w:type="dxa"/>
          </w:tcPr>
          <w:p>
            <w:pPr>
              <w:widowControl w:val="0"/>
              <w:spacing w:before="15" w:after="15"/>
              <w:jc w:val="right"/>
              <w:rPr>
                <w:noProof/>
                <w:sz w:val="20"/>
                <w:szCs w:val="20"/>
              </w:rPr>
            </w:pPr>
            <w:r>
              <w:rPr>
                <w:noProof/>
                <w:sz w:val="20"/>
              </w:rPr>
              <w:t>-12 121 000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-12 121 000</w:t>
            </w:r>
          </w:p>
        </w:tc>
        <w:tc>
          <w:tcPr>
            <w:tcW w:w="1701" w:type="dxa"/>
            <w:shd w:val="clear" w:color="auto" w:fill="D9D9D9"/>
          </w:tcPr>
          <w:p>
            <w:pPr>
              <w:widowControl w:val="0"/>
              <w:spacing w:before="15" w:after="15"/>
              <w:jc w:val="right"/>
              <w:rPr>
                <w:b/>
                <w:noProof/>
                <w:sz w:val="20"/>
                <w:szCs w:val="20"/>
              </w:rPr>
            </w:pPr>
            <w:r>
              <w:rPr>
                <w:b/>
                <w:noProof/>
                <w:sz w:val="20"/>
              </w:rPr>
              <w:t>-12 121 000</w:t>
            </w:r>
          </w:p>
        </w:tc>
      </w:tr>
    </w:tbl>
    <w:p>
      <w:pPr>
        <w:keepNext/>
        <w:tabs>
          <w:tab w:val="left" w:pos="850"/>
        </w:tabs>
        <w:spacing w:before="240" w:after="120"/>
        <w:ind w:left="850" w:hanging="850"/>
        <w:jc w:val="both"/>
        <w:outlineLvl w:val="1"/>
        <w:rPr>
          <w:rFonts w:eastAsia="Calibri"/>
          <w:i/>
          <w:noProof/>
        </w:rPr>
      </w:pPr>
      <w:bookmarkStart w:id="25" w:name="_Toc12620999"/>
      <w:bookmarkStart w:id="26" w:name="_Toc13833748"/>
      <w:r>
        <w:rPr>
          <w:i/>
          <w:noProof/>
        </w:rPr>
        <w:t>2.1.3</w:t>
      </w:r>
      <w:r>
        <w:rPr>
          <w:noProof/>
        </w:rPr>
        <w:tab/>
      </w:r>
      <w:r>
        <w:rPr>
          <w:i/>
          <w:noProof/>
        </w:rPr>
        <w:t>Преработване на регламент „Дъблин III“</w:t>
      </w:r>
      <w:bookmarkEnd w:id="25"/>
      <w:bookmarkEnd w:id="26"/>
    </w:p>
    <w:p>
      <w:pPr>
        <w:spacing w:before="120" w:after="240"/>
        <w:jc w:val="both"/>
        <w:rPr>
          <w:noProof/>
        </w:rPr>
      </w:pPr>
      <w:r>
        <w:rPr>
          <w:noProof/>
        </w:rPr>
        <w:t xml:space="preserve">Гласуваният бюджет за 2019 г. съдържа 460 милиона евро в бюджетни кредити за поети задължения като резерв, свързан с предложението на Комисията за преработване на регламент „Дъблин III“ в очакване на приемането на правното основание. В случай че правният акт не бъде приет до 1 февруари 2019 г., Комисията може да представи едно или повече предложения за трансфери в съответствие с член 31 от Финансовия регламент. </w:t>
      </w:r>
    </w:p>
    <w:p>
      <w:pPr>
        <w:spacing w:before="120" w:after="240"/>
        <w:jc w:val="both"/>
        <w:rPr>
          <w:noProof/>
        </w:rPr>
      </w:pPr>
      <w:r>
        <w:rPr>
          <w:noProof/>
        </w:rPr>
        <w:t xml:space="preserve">Първият транш в размер на 370 милиона евро беше освободен през април 2019 г. Успоредно с настоящия проект на коригиращ бюджет Комисията представя второ и окончателно искане за трансфер (DEC 15/2019) за сума в размер на 82,8 милиона евро, от които 62,8 милиона евро за покриване на допълнителните нужди от финансиране за Гърция през 2019 г. и 20 милиона евро за подготовка на следващото поемане на ангажименти за презаселване. Въз основа на оценката на Комисията на съответните нужди в края на годината в тази област, оставащата сума в резерва може да бъде отменена в настоящия ПКБ. Въпреки това Комисията ще следи отблизо развитието по места и може да предложи допълнителни корективни мерки, ако е необходимо. </w:t>
      </w:r>
    </w:p>
    <w:p>
      <w:pPr>
        <w:rPr>
          <w:noProof/>
        </w:rPr>
      </w:pPr>
      <w:r>
        <w:rPr>
          <w:noProof/>
        </w:rPr>
        <w:br w:type="page"/>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tcPr>
          <w:p>
            <w:pPr>
              <w:widowControl w:val="0"/>
              <w:spacing w:before="15" w:after="15"/>
              <w:ind w:right="-113"/>
              <w:jc w:val="both"/>
              <w:rPr>
                <w:noProof/>
                <w:sz w:val="20"/>
                <w:szCs w:val="20"/>
              </w:rPr>
            </w:pPr>
            <w:r>
              <w:rPr>
                <w:noProof/>
                <w:sz w:val="20"/>
              </w:rPr>
              <w:t>40 02 41</w:t>
            </w:r>
          </w:p>
        </w:tc>
        <w:tc>
          <w:tcPr>
            <w:tcW w:w="5132" w:type="dxa"/>
          </w:tcPr>
          <w:p>
            <w:pPr>
              <w:widowControl w:val="0"/>
              <w:tabs>
                <w:tab w:val="left" w:pos="1350"/>
              </w:tabs>
              <w:spacing w:before="15" w:after="15"/>
              <w:jc w:val="both"/>
              <w:rPr>
                <w:noProof/>
                <w:sz w:val="16"/>
                <w:szCs w:val="16"/>
              </w:rPr>
            </w:pPr>
            <w:r>
              <w:rPr>
                <w:noProof/>
                <w:sz w:val="16"/>
              </w:rPr>
              <w:t>Многогодишни бюджетни кредити (</w:t>
            </w:r>
            <w:r>
              <w:rPr>
                <w:i/>
                <w:noProof/>
                <w:sz w:val="16"/>
              </w:rPr>
              <w:t>Резерв за бюджетна статия 18 03 01 01 — Укрепване и развиване на Общата европейска система за убежище и увеличаване на солидарността и споделянето на отговорност между държавите членки</w:t>
            </w:r>
            <w:r>
              <w:rPr>
                <w:noProof/>
                <w:sz w:val="16"/>
              </w:rPr>
              <w:t>)</w:t>
            </w:r>
          </w:p>
        </w:tc>
        <w:tc>
          <w:tcPr>
            <w:tcW w:w="1701" w:type="dxa"/>
          </w:tcPr>
          <w:p>
            <w:pPr>
              <w:widowControl w:val="0"/>
              <w:spacing w:before="15" w:after="15"/>
              <w:jc w:val="right"/>
              <w:rPr>
                <w:noProof/>
                <w:sz w:val="20"/>
                <w:szCs w:val="20"/>
              </w:rPr>
            </w:pPr>
            <w:r>
              <w:rPr>
                <w:noProof/>
                <w:sz w:val="20"/>
              </w:rPr>
              <w:t>-7 200 000</w:t>
            </w:r>
          </w:p>
        </w:tc>
        <w:tc>
          <w:tcPr>
            <w:tcW w:w="1701" w:type="dxa"/>
          </w:tcPr>
          <w:p>
            <w:pPr>
              <w:widowControl w:val="0"/>
              <w:spacing w:before="15" w:after="15"/>
              <w:jc w:val="right"/>
              <w:rPr>
                <w:noProof/>
                <w:sz w:val="20"/>
                <w:szCs w:val="20"/>
              </w:rPr>
            </w:pPr>
            <w:r>
              <w:rPr>
                <w:noProof/>
                <w:sz w:val="20"/>
              </w:rPr>
              <w:t>-7 200 000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-7 200 000</w:t>
            </w:r>
          </w:p>
        </w:tc>
        <w:tc>
          <w:tcPr>
            <w:tcW w:w="1701" w:type="dxa"/>
            <w:shd w:val="clear" w:color="auto" w:fill="D9D9D9"/>
          </w:tcPr>
          <w:p>
            <w:pPr>
              <w:widowControl w:val="0"/>
              <w:spacing w:before="15" w:after="15"/>
              <w:jc w:val="right"/>
              <w:rPr>
                <w:b/>
                <w:noProof/>
                <w:sz w:val="20"/>
                <w:szCs w:val="20"/>
              </w:rPr>
            </w:pPr>
            <w:r>
              <w:rPr>
                <w:b/>
                <w:noProof/>
                <w:sz w:val="20"/>
              </w:rPr>
              <w:t>-7 200 000</w:t>
            </w:r>
          </w:p>
        </w:tc>
      </w:tr>
    </w:tbl>
    <w:p>
      <w:pPr>
        <w:keepNext/>
        <w:tabs>
          <w:tab w:val="left" w:pos="850"/>
        </w:tabs>
        <w:spacing w:before="240" w:after="120"/>
        <w:ind w:left="850" w:hanging="850"/>
        <w:jc w:val="both"/>
        <w:outlineLvl w:val="1"/>
        <w:rPr>
          <w:rFonts w:eastAsia="Calibri"/>
          <w:i/>
          <w:noProof/>
        </w:rPr>
      </w:pPr>
      <w:bookmarkStart w:id="27" w:name="_Toc12621000"/>
      <w:bookmarkStart w:id="28" w:name="_Toc13833749"/>
      <w:r>
        <w:rPr>
          <w:i/>
          <w:noProof/>
        </w:rPr>
        <w:t>2.1.4.</w:t>
      </w:r>
      <w:r>
        <w:rPr>
          <w:noProof/>
        </w:rPr>
        <w:tab/>
      </w:r>
      <w:r>
        <w:rPr>
          <w:i/>
          <w:noProof/>
        </w:rPr>
        <w:t>Европейска прокуратура</w:t>
      </w:r>
      <w:bookmarkEnd w:id="27"/>
      <w:bookmarkEnd w:id="28"/>
    </w:p>
    <w:p>
      <w:pPr>
        <w:spacing w:before="120" w:after="240"/>
        <w:jc w:val="both"/>
        <w:rPr>
          <w:noProof/>
        </w:rPr>
      </w:pPr>
      <w:r>
        <w:rPr>
          <w:noProof/>
        </w:rPr>
        <w:t>През октомври 2017 г. беше постигнато споразумение за създаването на Европейската прокуратура</w:t>
      </w:r>
      <w:r>
        <w:rPr>
          <w:rFonts w:eastAsiaTheme="minorEastAsia"/>
          <w:noProof/>
          <w:vertAlign w:val="superscript"/>
        </w:rPr>
        <w:footnoteReference w:id="11"/>
      </w:r>
      <w:r>
        <w:rPr>
          <w:noProof/>
        </w:rPr>
        <w:t>. Въпреки че процесът на създаване на административната структура на службата вече е доста напреднал, назначаването на главния прокурор на Европейската прокуратура отнема повече време и понастоящем се очаква това да стане през втората половина на 2019 г. Това има верижен ефект върху някои други назначения, поради което някои от разходите, първоначално планирани за 2019 г., ще възникнат през 2020 г. Вследствие на това бюджетният кредит, включен в бюджета за 2019 г., може да бъде намален с 1 милион евро през 2019 г. Предварителният разчет за 2020 г. вече отразява последиците върху бюджета за 2020 г.</w:t>
      </w:r>
      <w:r>
        <w:rPr>
          <w:rStyle w:val="FootnoteReference"/>
          <w:noProof/>
        </w:rPr>
        <w:footnoteReference w:id="12"/>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rPr>
              <w:t>33 03 05</w:t>
            </w:r>
          </w:p>
        </w:tc>
        <w:tc>
          <w:tcPr>
            <w:tcW w:w="5132" w:type="dxa"/>
            <w:vAlign w:val="center"/>
          </w:tcPr>
          <w:p>
            <w:pPr>
              <w:widowControl w:val="0"/>
              <w:tabs>
                <w:tab w:val="left" w:pos="1350"/>
              </w:tabs>
              <w:spacing w:before="15" w:after="15"/>
              <w:jc w:val="both"/>
              <w:rPr>
                <w:noProof/>
                <w:sz w:val="16"/>
                <w:szCs w:val="16"/>
              </w:rPr>
            </w:pPr>
            <w:r>
              <w:rPr>
                <w:noProof/>
                <w:color w:val="000000"/>
                <w:sz w:val="16"/>
              </w:rPr>
              <w:t>Европейска прокуратура</w:t>
            </w:r>
          </w:p>
        </w:tc>
        <w:tc>
          <w:tcPr>
            <w:tcW w:w="1701" w:type="dxa"/>
            <w:vAlign w:val="center"/>
          </w:tcPr>
          <w:p>
            <w:pPr>
              <w:widowControl w:val="0"/>
              <w:spacing w:before="15" w:after="15"/>
              <w:jc w:val="right"/>
              <w:rPr>
                <w:noProof/>
                <w:sz w:val="20"/>
                <w:szCs w:val="20"/>
              </w:rPr>
            </w:pPr>
            <w:r>
              <w:rPr>
                <w:noProof/>
                <w:color w:val="000000"/>
                <w:sz w:val="20"/>
              </w:rPr>
              <w:t>-1 000 000</w:t>
            </w:r>
          </w:p>
        </w:tc>
        <w:tc>
          <w:tcPr>
            <w:tcW w:w="1701" w:type="dxa"/>
            <w:vAlign w:val="center"/>
          </w:tcPr>
          <w:p>
            <w:pPr>
              <w:widowControl w:val="0"/>
              <w:spacing w:before="15" w:after="15"/>
              <w:jc w:val="right"/>
              <w:rPr>
                <w:noProof/>
                <w:sz w:val="20"/>
                <w:szCs w:val="20"/>
              </w:rPr>
            </w:pPr>
            <w:r>
              <w:rPr>
                <w:noProof/>
                <w:color w:val="000000"/>
                <w:sz w:val="20"/>
              </w:rPr>
              <w:t>-1 000 000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-1 000 000</w:t>
            </w:r>
          </w:p>
        </w:tc>
        <w:tc>
          <w:tcPr>
            <w:tcW w:w="1701" w:type="dxa"/>
            <w:shd w:val="clear" w:color="auto" w:fill="D9D9D9"/>
          </w:tcPr>
          <w:p>
            <w:pPr>
              <w:widowControl w:val="0"/>
              <w:spacing w:before="15" w:after="15"/>
              <w:jc w:val="right"/>
              <w:rPr>
                <w:b/>
                <w:noProof/>
                <w:sz w:val="20"/>
                <w:szCs w:val="20"/>
              </w:rPr>
            </w:pPr>
            <w:r>
              <w:rPr>
                <w:b/>
                <w:noProof/>
                <w:sz w:val="20"/>
              </w:rPr>
              <w:t>-1 000 000</w:t>
            </w:r>
          </w:p>
        </w:tc>
      </w:tr>
    </w:tbl>
    <w:p>
      <w:pPr>
        <w:keepNext/>
        <w:tabs>
          <w:tab w:val="left" w:pos="850"/>
        </w:tabs>
        <w:spacing w:before="240" w:after="120"/>
        <w:ind w:left="850" w:hanging="850"/>
        <w:jc w:val="both"/>
        <w:outlineLvl w:val="1"/>
        <w:rPr>
          <w:rFonts w:eastAsia="Calibri"/>
          <w:i/>
          <w:noProof/>
        </w:rPr>
      </w:pPr>
      <w:bookmarkStart w:id="29" w:name="_Toc12621001"/>
      <w:bookmarkStart w:id="30" w:name="_Toc13833750"/>
      <w:r>
        <w:rPr>
          <w:i/>
          <w:noProof/>
        </w:rPr>
        <w:t>2.1.5.</w:t>
      </w:r>
      <w:r>
        <w:rPr>
          <w:noProof/>
        </w:rPr>
        <w:tab/>
      </w:r>
      <w:r>
        <w:rPr>
          <w:i/>
          <w:noProof/>
        </w:rPr>
        <w:t>Европейски социален фонд — Оперативна техническа помощ</w:t>
      </w:r>
      <w:bookmarkEnd w:id="29"/>
      <w:bookmarkEnd w:id="30"/>
    </w:p>
    <w:p>
      <w:pPr>
        <w:spacing w:before="120" w:after="240"/>
        <w:jc w:val="both"/>
        <w:rPr>
          <w:noProof/>
        </w:rPr>
      </w:pPr>
      <w:r>
        <w:rPr>
          <w:noProof/>
        </w:rPr>
        <w:t>Като се вземе предвид последната оценка на действителните потребности от бюджетни кредити за поети задължения по бюджетна позиция 04 02 63 01, могат да бъдат отменени 8,3 милиона евро, без това да застраши гладкото изпълнение на дейностите за техническа помощ в рамките на Европейския социален фонд.</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rPr>
              <w:t>04 02 63 01</w:t>
            </w:r>
          </w:p>
        </w:tc>
        <w:tc>
          <w:tcPr>
            <w:tcW w:w="5132" w:type="dxa"/>
            <w:vAlign w:val="center"/>
          </w:tcPr>
          <w:p>
            <w:pPr>
              <w:widowControl w:val="0"/>
              <w:tabs>
                <w:tab w:val="left" w:pos="1350"/>
              </w:tabs>
              <w:spacing w:before="15" w:after="15"/>
              <w:jc w:val="both"/>
              <w:rPr>
                <w:noProof/>
                <w:sz w:val="16"/>
                <w:szCs w:val="16"/>
              </w:rPr>
            </w:pPr>
            <w:r>
              <w:rPr>
                <w:noProof/>
                <w:color w:val="000000"/>
                <w:sz w:val="16"/>
              </w:rPr>
              <w:t>Европейски социален фонд — Оперативна техническа помощ</w:t>
            </w:r>
          </w:p>
        </w:tc>
        <w:tc>
          <w:tcPr>
            <w:tcW w:w="1701" w:type="dxa"/>
            <w:vAlign w:val="center"/>
          </w:tcPr>
          <w:p>
            <w:pPr>
              <w:widowControl w:val="0"/>
              <w:spacing w:before="15" w:after="15"/>
              <w:jc w:val="right"/>
              <w:rPr>
                <w:noProof/>
                <w:sz w:val="20"/>
                <w:szCs w:val="20"/>
              </w:rPr>
            </w:pPr>
            <w:r>
              <w:rPr>
                <w:noProof/>
                <w:color w:val="000000"/>
                <w:sz w:val="20"/>
              </w:rPr>
              <w:t>-8 300 000</w:t>
            </w:r>
          </w:p>
        </w:tc>
        <w:tc>
          <w:tcPr>
            <w:tcW w:w="1701" w:type="dxa"/>
            <w:vAlign w:val="center"/>
          </w:tcPr>
          <w:p>
            <w:pPr>
              <w:widowControl w:val="0"/>
              <w:spacing w:before="15" w:after="15"/>
              <w:jc w:val="right"/>
              <w:rPr>
                <w:noProof/>
                <w:sz w:val="20"/>
                <w:szCs w:val="20"/>
              </w:rPr>
            </w:pPr>
            <w:r>
              <w:rPr>
                <w:noProof/>
                <w:color w:val="000000"/>
                <w:sz w:val="20"/>
              </w:rPr>
              <w:t>-</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rPr>
              <w:t>-8 300 000</w:t>
            </w:r>
          </w:p>
        </w:tc>
        <w:tc>
          <w:tcPr>
            <w:tcW w:w="1701" w:type="dxa"/>
            <w:shd w:val="clear" w:color="auto" w:fill="D9D9D9"/>
            <w:vAlign w:val="center"/>
          </w:tcPr>
          <w:p>
            <w:pPr>
              <w:widowControl w:val="0"/>
              <w:spacing w:before="15" w:after="15"/>
              <w:jc w:val="right"/>
              <w:rPr>
                <w:b/>
                <w:noProof/>
                <w:sz w:val="20"/>
                <w:szCs w:val="20"/>
              </w:rPr>
            </w:pPr>
            <w:r>
              <w:rPr>
                <w:b/>
                <w:noProof/>
                <w:color w:val="000000"/>
                <w:sz w:val="20"/>
              </w:rPr>
              <w:t>-</w:t>
            </w:r>
          </w:p>
        </w:tc>
      </w:tr>
    </w:tbl>
    <w:p>
      <w:pPr>
        <w:keepNext/>
        <w:tabs>
          <w:tab w:val="left" w:pos="850"/>
        </w:tabs>
        <w:spacing w:before="240" w:after="120"/>
        <w:ind w:left="850" w:hanging="850"/>
        <w:jc w:val="both"/>
        <w:outlineLvl w:val="1"/>
        <w:rPr>
          <w:rFonts w:eastAsia="Calibri"/>
          <w:i/>
          <w:noProof/>
        </w:rPr>
      </w:pPr>
      <w:bookmarkStart w:id="31" w:name="_Toc12621002"/>
      <w:bookmarkStart w:id="32" w:name="_Toc13833751"/>
      <w:r>
        <w:rPr>
          <w:i/>
          <w:noProof/>
        </w:rPr>
        <w:t>2.1.6.</w:t>
      </w:r>
      <w:r>
        <w:rPr>
          <w:noProof/>
        </w:rPr>
        <w:tab/>
      </w:r>
      <w:r>
        <w:rPr>
          <w:i/>
          <w:noProof/>
        </w:rPr>
        <w:t>Инструмент за спешна подкрепа (ИСП)</w:t>
      </w:r>
      <w:bookmarkEnd w:id="31"/>
      <w:bookmarkEnd w:id="32"/>
    </w:p>
    <w:p>
      <w:pPr>
        <w:spacing w:before="120" w:after="240"/>
        <w:jc w:val="both"/>
        <w:rPr>
          <w:noProof/>
        </w:rPr>
      </w:pPr>
      <w:r>
        <w:rPr>
          <w:noProof/>
        </w:rPr>
        <w:t>Инструментът за спешна подкрепа предоставя основана на нуждите спешна подкрепа, насочена към опазване на човешкия живот, предотвратяване и облекчаване на човешкото страдание и запазване на човешкото достойнство, която допълва реакцията на засегнатите държави членки. Първата намеса по линия на ИСП започна през 2016 г. и понастоящем е в процес на постепенно преустановяване.</w:t>
      </w:r>
    </w:p>
    <w:p>
      <w:pPr>
        <w:spacing w:before="120" w:after="240"/>
        <w:jc w:val="both"/>
        <w:rPr>
          <w:noProof/>
        </w:rPr>
      </w:pPr>
      <w:r>
        <w:rPr>
          <w:noProof/>
        </w:rPr>
        <w:t>Текущите средства за разходите за подкрепа на ИСП са в размер на 250 000 EUR. В съответствие с преразгледаната прогноза за необходимите бюджетни кредити 120 000 EUR могат да бъдат отменени.</w:t>
      </w:r>
    </w:p>
    <w:p>
      <w:pPr>
        <w:rPr>
          <w:noProof/>
        </w:rPr>
      </w:pPr>
      <w:r>
        <w:rPr>
          <w:noProof/>
        </w:rPr>
        <w:br w:type="page"/>
      </w:r>
    </w:p>
    <w:p>
      <w:pPr>
        <w:spacing w:before="120" w:after="240"/>
        <w:jc w:val="both"/>
        <w:rPr>
          <w:noProof/>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rPr>
              <w:t>18 01 04 05</w:t>
            </w:r>
          </w:p>
        </w:tc>
        <w:tc>
          <w:tcPr>
            <w:tcW w:w="5132" w:type="dxa"/>
            <w:vAlign w:val="center"/>
          </w:tcPr>
          <w:p>
            <w:pPr>
              <w:widowControl w:val="0"/>
              <w:tabs>
                <w:tab w:val="left" w:pos="1350"/>
              </w:tabs>
              <w:spacing w:before="15" w:after="15"/>
              <w:jc w:val="both"/>
              <w:rPr>
                <w:noProof/>
                <w:sz w:val="16"/>
                <w:szCs w:val="16"/>
              </w:rPr>
            </w:pPr>
            <w:r>
              <w:rPr>
                <w:noProof/>
                <w:color w:val="000000"/>
                <w:sz w:val="16"/>
              </w:rPr>
              <w:t>Разходи за подкрепа за спешна подкрепа в рамките на Съюза</w:t>
            </w:r>
          </w:p>
        </w:tc>
        <w:tc>
          <w:tcPr>
            <w:tcW w:w="1701" w:type="dxa"/>
            <w:vAlign w:val="center"/>
          </w:tcPr>
          <w:p>
            <w:pPr>
              <w:widowControl w:val="0"/>
              <w:spacing w:before="15" w:after="15"/>
              <w:jc w:val="right"/>
              <w:rPr>
                <w:noProof/>
                <w:sz w:val="20"/>
                <w:szCs w:val="20"/>
              </w:rPr>
            </w:pPr>
            <w:r>
              <w:rPr>
                <w:noProof/>
                <w:color w:val="000000"/>
                <w:sz w:val="20"/>
              </w:rPr>
              <w:t>-120 000</w:t>
            </w:r>
          </w:p>
        </w:tc>
        <w:tc>
          <w:tcPr>
            <w:tcW w:w="1701" w:type="dxa"/>
            <w:vAlign w:val="center"/>
          </w:tcPr>
          <w:p>
            <w:pPr>
              <w:widowControl w:val="0"/>
              <w:spacing w:before="15" w:after="15"/>
              <w:jc w:val="right"/>
              <w:rPr>
                <w:noProof/>
                <w:sz w:val="20"/>
                <w:szCs w:val="20"/>
              </w:rPr>
            </w:pPr>
            <w:r>
              <w:rPr>
                <w:noProof/>
                <w:color w:val="000000"/>
                <w:sz w:val="20"/>
              </w:rPr>
              <w:t>-120 000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rPr>
              <w:t>-120 000</w:t>
            </w:r>
          </w:p>
        </w:tc>
        <w:tc>
          <w:tcPr>
            <w:tcW w:w="1701" w:type="dxa"/>
            <w:shd w:val="clear" w:color="auto" w:fill="D9D9D9"/>
            <w:vAlign w:val="center"/>
          </w:tcPr>
          <w:p>
            <w:pPr>
              <w:widowControl w:val="0"/>
              <w:spacing w:before="15" w:after="15"/>
              <w:jc w:val="right"/>
              <w:rPr>
                <w:b/>
                <w:noProof/>
                <w:sz w:val="20"/>
                <w:szCs w:val="20"/>
              </w:rPr>
            </w:pPr>
            <w:r>
              <w:rPr>
                <w:b/>
                <w:noProof/>
                <w:color w:val="000000"/>
                <w:sz w:val="20"/>
              </w:rPr>
              <w:t>-120 000</w:t>
            </w:r>
          </w:p>
        </w:tc>
      </w:tr>
    </w:tbl>
    <w:p>
      <w:pPr>
        <w:keepNext/>
        <w:tabs>
          <w:tab w:val="left" w:pos="850"/>
        </w:tabs>
        <w:spacing w:before="240" w:after="120"/>
        <w:ind w:left="850" w:hanging="850"/>
        <w:jc w:val="both"/>
        <w:outlineLvl w:val="1"/>
        <w:rPr>
          <w:rFonts w:eastAsia="Calibri"/>
          <w:i/>
          <w:noProof/>
        </w:rPr>
      </w:pPr>
      <w:bookmarkStart w:id="33" w:name="_Toc12621003"/>
      <w:bookmarkStart w:id="34" w:name="_Toc13833752"/>
      <w:r>
        <w:rPr>
          <w:i/>
          <w:noProof/>
        </w:rPr>
        <w:t>2.1.7.</w:t>
      </w:r>
      <w:r>
        <w:rPr>
          <w:noProof/>
        </w:rPr>
        <w:tab/>
      </w:r>
      <w:r>
        <w:rPr>
          <w:i/>
          <w:noProof/>
        </w:rPr>
        <w:t>Механизъм за гражданска защита на Съюза (МГЗС)</w:t>
      </w:r>
      <w:bookmarkEnd w:id="33"/>
      <w:bookmarkEnd w:id="34"/>
    </w:p>
    <w:p>
      <w:pPr>
        <w:spacing w:before="120" w:after="240"/>
        <w:jc w:val="both"/>
        <w:rPr>
          <w:noProof/>
        </w:rPr>
      </w:pPr>
      <w:r>
        <w:rPr>
          <w:noProof/>
        </w:rPr>
        <w:t>Механизмът за гражданска защита на Съюза има за цел засилване на сътрудничеството между участващите държави в областта на гражданската защита с цел подобряване на предотвратяването, готовността и реагирането при бедствия.</w:t>
      </w:r>
    </w:p>
    <w:p>
      <w:pPr>
        <w:spacing w:before="120" w:after="240"/>
        <w:jc w:val="both"/>
        <w:rPr>
          <w:noProof/>
        </w:rPr>
      </w:pPr>
      <w:r>
        <w:rPr>
          <w:noProof/>
        </w:rPr>
        <w:t>С Решение (ЕС) 2019/420 на Европейския парламент и на Съвета от 13 март 2019 г.</w:t>
      </w:r>
      <w:r>
        <w:rPr>
          <w:rFonts w:eastAsiaTheme="minorEastAsia"/>
          <w:noProof/>
          <w:vertAlign w:val="superscript"/>
        </w:rPr>
        <w:footnoteReference w:id="13"/>
      </w:r>
      <w:r>
        <w:rPr>
          <w:noProof/>
        </w:rPr>
        <w:t xml:space="preserve"> финансовият пакет за Механизма за гражданска защита на Съюза за периода 2014—2020 г. бе увеличен до 574 милиона евро. Вследствие на политическото споразумение между Съвета и Европейския парламент и като се има предвид, че горепосоченото решение за изменение бе прието по-късно от предвиденото, средствата за Механизма за гражданска защита на Съюза, разпределени за 2019 г., следва да бъдат съответно намалени. Сумите в резерв, надвишаващи договорените средства за 2019 г., могат да бъдат отменени.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tblHeade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tblHeade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tcPr>
          <w:p>
            <w:pPr>
              <w:widowControl w:val="0"/>
              <w:spacing w:before="15" w:after="15"/>
              <w:ind w:right="-113"/>
              <w:jc w:val="both"/>
              <w:rPr>
                <w:noProof/>
                <w:sz w:val="20"/>
                <w:szCs w:val="20"/>
              </w:rPr>
            </w:pPr>
            <w:r>
              <w:rPr>
                <w:noProof/>
                <w:sz w:val="20"/>
              </w:rPr>
              <w:t>40 02 41</w:t>
            </w:r>
          </w:p>
        </w:tc>
        <w:tc>
          <w:tcPr>
            <w:tcW w:w="5132" w:type="dxa"/>
          </w:tcPr>
          <w:p>
            <w:pPr>
              <w:widowControl w:val="0"/>
              <w:tabs>
                <w:tab w:val="left" w:pos="1350"/>
              </w:tabs>
              <w:spacing w:before="15" w:after="15"/>
              <w:jc w:val="both"/>
              <w:rPr>
                <w:noProof/>
                <w:sz w:val="16"/>
                <w:szCs w:val="16"/>
              </w:rPr>
            </w:pPr>
            <w:r>
              <w:rPr>
                <w:noProof/>
                <w:sz w:val="16"/>
              </w:rPr>
              <w:t>Многогодишни бюджетни кредити (</w:t>
            </w:r>
            <w:r>
              <w:rPr>
                <w:i/>
                <w:noProof/>
                <w:sz w:val="16"/>
              </w:rPr>
              <w:t>Резерв за бюджетна позиция 23 03 01 01 — Предотвратяване и готовност за бедствия в рамките на Съюза</w:t>
            </w:r>
            <w:r>
              <w:rPr>
                <w:noProof/>
                <w:sz w:val="16"/>
              </w:rPr>
              <w:t>)</w:t>
            </w:r>
          </w:p>
        </w:tc>
        <w:tc>
          <w:tcPr>
            <w:tcW w:w="1701" w:type="dxa"/>
          </w:tcPr>
          <w:p>
            <w:pPr>
              <w:widowControl w:val="0"/>
              <w:spacing w:before="15" w:after="15"/>
              <w:jc w:val="right"/>
              <w:rPr>
                <w:noProof/>
                <w:sz w:val="20"/>
                <w:szCs w:val="20"/>
              </w:rPr>
            </w:pPr>
            <w:r>
              <w:rPr>
                <w:noProof/>
                <w:sz w:val="20"/>
              </w:rPr>
              <w:t>-35 000 000</w:t>
            </w:r>
          </w:p>
        </w:tc>
        <w:tc>
          <w:tcPr>
            <w:tcW w:w="1701" w:type="dxa"/>
          </w:tcPr>
          <w:p>
            <w:pPr>
              <w:widowControl w:val="0"/>
              <w:spacing w:before="15" w:after="15"/>
              <w:jc w:val="right"/>
              <w:rPr>
                <w:noProof/>
                <w:sz w:val="20"/>
                <w:szCs w:val="20"/>
              </w:rPr>
            </w:pPr>
            <w:r>
              <w:rPr>
                <w:noProof/>
                <w:color w:val="000000"/>
                <w:sz w:val="20"/>
              </w:rPr>
              <w:t>-26 390 000</w:t>
            </w:r>
          </w:p>
        </w:tc>
      </w:tr>
      <w:tr>
        <w:trPr>
          <w:jc w:val="center"/>
        </w:trPr>
        <w:tc>
          <w:tcPr>
            <w:tcW w:w="1276" w:type="dxa"/>
          </w:tcPr>
          <w:p>
            <w:pPr>
              <w:widowControl w:val="0"/>
              <w:spacing w:before="15" w:after="15"/>
              <w:ind w:right="-113"/>
              <w:jc w:val="both"/>
              <w:rPr>
                <w:noProof/>
                <w:sz w:val="20"/>
                <w:szCs w:val="20"/>
              </w:rPr>
            </w:pPr>
            <w:r>
              <w:rPr>
                <w:noProof/>
                <w:sz w:val="20"/>
              </w:rPr>
              <w:t>40 02 41</w:t>
            </w:r>
          </w:p>
        </w:tc>
        <w:tc>
          <w:tcPr>
            <w:tcW w:w="5132" w:type="dxa"/>
          </w:tcPr>
          <w:p>
            <w:pPr>
              <w:widowControl w:val="0"/>
              <w:tabs>
                <w:tab w:val="left" w:pos="1350"/>
              </w:tabs>
              <w:spacing w:before="15" w:after="15"/>
              <w:jc w:val="both"/>
              <w:rPr>
                <w:noProof/>
                <w:sz w:val="16"/>
                <w:szCs w:val="16"/>
              </w:rPr>
            </w:pPr>
            <w:r>
              <w:rPr>
                <w:noProof/>
                <w:sz w:val="16"/>
              </w:rPr>
              <w:t>Многогодишни бюджетни кредити (</w:t>
            </w:r>
            <w:r>
              <w:rPr>
                <w:i/>
                <w:noProof/>
                <w:sz w:val="16"/>
              </w:rPr>
              <w:t>Резерв за бюджетна позиция 23 03 02 01 — Бързи и ефикасни операции по спешно реагиране при големи бедствия в рамките на Съюза</w:t>
            </w:r>
            <w:r>
              <w:rPr>
                <w:noProof/>
                <w:sz w:val="16"/>
              </w:rPr>
              <w:t>)</w:t>
            </w:r>
          </w:p>
        </w:tc>
        <w:tc>
          <w:tcPr>
            <w:tcW w:w="1701" w:type="dxa"/>
          </w:tcPr>
          <w:p>
            <w:pPr>
              <w:widowControl w:val="0"/>
              <w:spacing w:before="15" w:after="15"/>
              <w:jc w:val="right"/>
              <w:rPr>
                <w:noProof/>
                <w:sz w:val="20"/>
                <w:szCs w:val="20"/>
              </w:rPr>
            </w:pPr>
            <w:r>
              <w:rPr>
                <w:noProof/>
                <w:sz w:val="20"/>
              </w:rPr>
              <w:t>-</w:t>
            </w:r>
          </w:p>
        </w:tc>
        <w:tc>
          <w:tcPr>
            <w:tcW w:w="1701" w:type="dxa"/>
          </w:tcPr>
          <w:p>
            <w:pPr>
              <w:widowControl w:val="0"/>
              <w:spacing w:before="15" w:after="15"/>
              <w:jc w:val="right"/>
              <w:rPr>
                <w:noProof/>
                <w:sz w:val="20"/>
                <w:szCs w:val="20"/>
              </w:rPr>
            </w:pPr>
            <w:r>
              <w:rPr>
                <w:noProof/>
                <w:sz w:val="20"/>
              </w:rPr>
              <w:t>-170 514</w:t>
            </w:r>
          </w:p>
        </w:tc>
      </w:tr>
      <w:tr>
        <w:trPr>
          <w:jc w:val="center"/>
        </w:trPr>
        <w:tc>
          <w:tcPr>
            <w:tcW w:w="1276" w:type="dxa"/>
          </w:tcPr>
          <w:p>
            <w:pPr>
              <w:widowControl w:val="0"/>
              <w:spacing w:before="15" w:after="15"/>
              <w:ind w:right="-113"/>
              <w:jc w:val="both"/>
              <w:rPr>
                <w:noProof/>
                <w:sz w:val="20"/>
                <w:szCs w:val="20"/>
              </w:rPr>
            </w:pPr>
            <w:r>
              <w:rPr>
                <w:noProof/>
                <w:sz w:val="20"/>
              </w:rPr>
              <w:t>40 02 41</w:t>
            </w:r>
          </w:p>
        </w:tc>
        <w:tc>
          <w:tcPr>
            <w:tcW w:w="5132" w:type="dxa"/>
          </w:tcPr>
          <w:p>
            <w:pPr>
              <w:widowControl w:val="0"/>
              <w:tabs>
                <w:tab w:val="left" w:pos="1350"/>
              </w:tabs>
              <w:spacing w:before="15" w:after="15"/>
              <w:jc w:val="both"/>
              <w:rPr>
                <w:noProof/>
                <w:sz w:val="16"/>
                <w:szCs w:val="16"/>
              </w:rPr>
            </w:pPr>
            <w:r>
              <w:rPr>
                <w:noProof/>
                <w:sz w:val="16"/>
              </w:rPr>
              <w:t>Многогодишни бюджетни кредити (</w:t>
            </w:r>
            <w:r>
              <w:rPr>
                <w:i/>
                <w:noProof/>
                <w:sz w:val="16"/>
              </w:rPr>
              <w:t>Резерв за бюджетна позиция 23 03 02 02 — Бързи и ефикасни операции по спешно реагиране при големи бедствия в трети държави</w:t>
            </w:r>
            <w:r>
              <w:rPr>
                <w:noProof/>
                <w:sz w:val="16"/>
              </w:rPr>
              <w:t>)</w:t>
            </w:r>
          </w:p>
        </w:tc>
        <w:tc>
          <w:tcPr>
            <w:tcW w:w="1701" w:type="dxa"/>
          </w:tcPr>
          <w:p>
            <w:pPr>
              <w:widowControl w:val="0"/>
              <w:spacing w:before="15" w:after="15"/>
              <w:jc w:val="right"/>
              <w:rPr>
                <w:noProof/>
                <w:sz w:val="20"/>
                <w:szCs w:val="20"/>
              </w:rPr>
            </w:pPr>
            <w:r>
              <w:rPr>
                <w:noProof/>
                <w:sz w:val="20"/>
              </w:rPr>
              <w:t>-</w:t>
            </w:r>
          </w:p>
        </w:tc>
        <w:tc>
          <w:tcPr>
            <w:tcW w:w="1701" w:type="dxa"/>
          </w:tcPr>
          <w:p>
            <w:pPr>
              <w:widowControl w:val="0"/>
              <w:spacing w:before="15" w:after="15"/>
              <w:jc w:val="right"/>
              <w:rPr>
                <w:noProof/>
                <w:sz w:val="20"/>
                <w:szCs w:val="20"/>
              </w:rPr>
            </w:pPr>
            <w:r>
              <w:rPr>
                <w:noProof/>
                <w:color w:val="000000"/>
                <w:sz w:val="20"/>
              </w:rPr>
              <w:t>-2 000 000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tcPr>
          <w:p>
            <w:pPr>
              <w:widowControl w:val="0"/>
              <w:spacing w:before="15" w:after="15"/>
              <w:jc w:val="right"/>
              <w:rPr>
                <w:b/>
                <w:noProof/>
                <w:sz w:val="20"/>
                <w:szCs w:val="20"/>
              </w:rPr>
            </w:pPr>
            <w:r>
              <w:rPr>
                <w:b/>
                <w:noProof/>
                <w:sz w:val="20"/>
              </w:rPr>
              <w:t>-35 000 000</w:t>
            </w:r>
          </w:p>
        </w:tc>
        <w:tc>
          <w:tcPr>
            <w:tcW w:w="1701" w:type="dxa"/>
            <w:shd w:val="clear" w:color="auto" w:fill="D9D9D9"/>
          </w:tcPr>
          <w:p>
            <w:pPr>
              <w:widowControl w:val="0"/>
              <w:spacing w:before="15" w:after="15"/>
              <w:jc w:val="right"/>
              <w:rPr>
                <w:b/>
                <w:noProof/>
                <w:sz w:val="20"/>
                <w:szCs w:val="20"/>
              </w:rPr>
            </w:pPr>
            <w:r>
              <w:rPr>
                <w:b/>
                <w:noProof/>
                <w:sz w:val="20"/>
              </w:rPr>
              <w:t>-28 560 514</w:t>
            </w:r>
          </w:p>
        </w:tc>
      </w:tr>
    </w:tbl>
    <w:p>
      <w:pPr>
        <w:keepNext/>
        <w:tabs>
          <w:tab w:val="left" w:pos="850"/>
        </w:tabs>
        <w:spacing w:before="240" w:after="120"/>
        <w:ind w:left="850" w:hanging="850"/>
        <w:jc w:val="both"/>
        <w:outlineLvl w:val="1"/>
        <w:rPr>
          <w:rFonts w:eastAsia="Calibri"/>
          <w:i/>
          <w:noProof/>
        </w:rPr>
      </w:pPr>
      <w:bookmarkStart w:id="35" w:name="_Toc12621004"/>
      <w:bookmarkStart w:id="36" w:name="_Toc13833753"/>
      <w:r>
        <w:rPr>
          <w:i/>
          <w:noProof/>
        </w:rPr>
        <w:t>2.1.8.</w:t>
      </w:r>
      <w:r>
        <w:rPr>
          <w:noProof/>
        </w:rPr>
        <w:tab/>
      </w:r>
      <w:r>
        <w:rPr>
          <w:i/>
          <w:noProof/>
        </w:rPr>
        <w:t>Фонд „Солидарност“ на Европейския съюз (ФСЕС)</w:t>
      </w:r>
      <w:bookmarkEnd w:id="35"/>
      <w:bookmarkEnd w:id="36"/>
    </w:p>
    <w:p>
      <w:pPr>
        <w:spacing w:before="120" w:after="240"/>
        <w:jc w:val="both"/>
        <w:rPr>
          <w:noProof/>
        </w:rPr>
      </w:pPr>
      <w:r>
        <w:rPr>
          <w:noProof/>
        </w:rPr>
        <w:t>Съгласно член 4а, параграф 4 от Регламент (ЕО) № 2012/2002 на Съвета от 11 ноември 2002 г. за създаване на фонд „Солидарност“ на Европейския съюз общият размер на авансовите плащания за всяка година е ограничен до 50 милиона евро както в бюджетни кредити за поети задължения, така и в бюджетни кредити за плащания.</w:t>
      </w:r>
    </w:p>
    <w:p>
      <w:pPr>
        <w:spacing w:before="120" w:after="240"/>
        <w:jc w:val="both"/>
        <w:rPr>
          <w:noProof/>
        </w:rPr>
      </w:pPr>
      <w:r>
        <w:rPr>
          <w:noProof/>
        </w:rPr>
        <w:t>Съгласно член 12, параграф 4, буква а) от Финансовия регламент — нова разпоредба в сила от 1 август 2018 г. — за ФСЕС се прави автоматичен пренос на неизползваните бюджетни кредити за поети задължения. В края на 2018 г. бяха налични 29,7 милиона евро бюджетни кредити за поети задължения за ФСЕС, които бяха автоматично пренесени към 2019 г. 50 милиона евро бяха мобилизирани заедно с бюджета за 2019 г.</w:t>
      </w:r>
      <w:r>
        <w:rPr>
          <w:rStyle w:val="FootnoteReference"/>
          <w:noProof/>
        </w:rPr>
        <w:footnoteReference w:id="14"/>
      </w:r>
    </w:p>
    <w:p>
      <w:pPr>
        <w:spacing w:before="120" w:after="240"/>
        <w:jc w:val="both"/>
        <w:rPr>
          <w:noProof/>
        </w:rPr>
      </w:pPr>
      <w:r>
        <w:rPr>
          <w:noProof/>
        </w:rPr>
        <w:t xml:space="preserve">В резултат на това понастоящем има 79,7 милиона евро бюджетни кредити за поети задължения и 50 милиона евро бюджетни кредити за плащания, налични през 2019 г. за авансовите плащания по ФСЕС. Поради това се предлага съкращаване с 29,7 милиона евро на бюджетните кредити за поети задължения, включени в бюджета за 2019 г., за да се намали равнището на бюджетните кредити за поети задължения до сумата от 50 милиона евро, предвидена в основния акт, и до равнището на бюджетните кредити за плащания.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rPr>
              <w:t>Раздел III — Комисия</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rPr>
              <w:t>13 06 01</w:t>
            </w:r>
          </w:p>
        </w:tc>
        <w:tc>
          <w:tcPr>
            <w:tcW w:w="5132" w:type="dxa"/>
            <w:vAlign w:val="center"/>
          </w:tcPr>
          <w:p>
            <w:pPr>
              <w:widowControl w:val="0"/>
              <w:tabs>
                <w:tab w:val="left" w:pos="1350"/>
              </w:tabs>
              <w:spacing w:before="15" w:after="15"/>
              <w:jc w:val="both"/>
              <w:rPr>
                <w:noProof/>
                <w:sz w:val="16"/>
                <w:szCs w:val="16"/>
              </w:rPr>
            </w:pPr>
            <w:r>
              <w:rPr>
                <w:noProof/>
                <w:color w:val="000000"/>
                <w:sz w:val="16"/>
              </w:rPr>
              <w:t>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tc>
        <w:tc>
          <w:tcPr>
            <w:tcW w:w="1701" w:type="dxa"/>
            <w:vAlign w:val="center"/>
          </w:tcPr>
          <w:p>
            <w:pPr>
              <w:widowControl w:val="0"/>
              <w:spacing w:before="15" w:after="15"/>
              <w:jc w:val="right"/>
              <w:rPr>
                <w:noProof/>
                <w:sz w:val="20"/>
                <w:szCs w:val="20"/>
              </w:rPr>
            </w:pPr>
            <w:r>
              <w:rPr>
                <w:noProof/>
                <w:color w:val="000000"/>
                <w:sz w:val="20"/>
              </w:rPr>
              <w:t>-29 748 635</w:t>
            </w:r>
          </w:p>
        </w:tc>
        <w:tc>
          <w:tcPr>
            <w:tcW w:w="1701" w:type="dxa"/>
            <w:vAlign w:val="center"/>
          </w:tcPr>
          <w:p>
            <w:pPr>
              <w:widowControl w:val="0"/>
              <w:spacing w:before="15" w:after="15"/>
              <w:jc w:val="right"/>
              <w:rPr>
                <w:noProof/>
                <w:sz w:val="20"/>
                <w:szCs w:val="20"/>
              </w:rPr>
            </w:pPr>
            <w:r>
              <w:rPr>
                <w:noProof/>
                <w:color w:val="000000"/>
                <w:sz w:val="20"/>
              </w:rPr>
              <w:t>-</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rPr>
              <w:t>-29 748 635</w:t>
            </w:r>
          </w:p>
        </w:tc>
        <w:tc>
          <w:tcPr>
            <w:tcW w:w="1701" w:type="dxa"/>
            <w:shd w:val="clear" w:color="auto" w:fill="D9D9D9"/>
            <w:vAlign w:val="center"/>
          </w:tcPr>
          <w:p>
            <w:pPr>
              <w:widowControl w:val="0"/>
              <w:spacing w:before="15" w:after="15"/>
              <w:jc w:val="right"/>
              <w:rPr>
                <w:b/>
                <w:noProof/>
                <w:sz w:val="20"/>
                <w:szCs w:val="20"/>
              </w:rPr>
            </w:pPr>
            <w:r>
              <w:rPr>
                <w:b/>
                <w:noProof/>
                <w:color w:val="000000"/>
                <w:sz w:val="20"/>
              </w:rPr>
              <w:t>-</w:t>
            </w:r>
          </w:p>
        </w:tc>
      </w:tr>
    </w:tbl>
    <w:p>
      <w:pPr>
        <w:keepNext/>
        <w:tabs>
          <w:tab w:val="left" w:pos="850"/>
        </w:tabs>
        <w:spacing w:before="240" w:after="120"/>
        <w:ind w:left="850" w:hanging="850"/>
        <w:jc w:val="both"/>
        <w:outlineLvl w:val="1"/>
        <w:rPr>
          <w:rFonts w:eastAsia="Calibri"/>
          <w:i/>
          <w:noProof/>
        </w:rPr>
      </w:pPr>
      <w:bookmarkStart w:id="37" w:name="_Toc12621005"/>
      <w:bookmarkStart w:id="38" w:name="_Toc13833754"/>
      <w:bookmarkStart w:id="39" w:name="_Toc494994377"/>
      <w:bookmarkStart w:id="40" w:name="_Toc525202231"/>
      <w:r>
        <w:rPr>
          <w:i/>
          <w:noProof/>
        </w:rPr>
        <w:t>2.1.9.</w:t>
      </w:r>
      <w:r>
        <w:rPr>
          <w:noProof/>
        </w:rPr>
        <w:tab/>
      </w:r>
      <w:r>
        <w:rPr>
          <w:i/>
          <w:noProof/>
        </w:rPr>
        <w:t>Коригиране на мобилизирането на специалните инструменти</w:t>
      </w:r>
      <w:bookmarkEnd w:id="37"/>
      <w:bookmarkEnd w:id="38"/>
    </w:p>
    <w:bookmarkEnd w:id="39"/>
    <w:bookmarkEnd w:id="40"/>
    <w:p>
      <w:pPr>
        <w:autoSpaceDE w:val="0"/>
        <w:autoSpaceDN w:val="0"/>
        <w:adjustRightInd w:val="0"/>
        <w:spacing w:before="120" w:after="240"/>
        <w:jc w:val="both"/>
        <w:rPr>
          <w:noProof/>
        </w:rPr>
      </w:pPr>
      <w:r>
        <w:rPr>
          <w:noProof/>
        </w:rPr>
        <w:t>Като се има предвид намаляването на равнището на бюджетните кредити за поети задължения по функции 1а и 3, включено в настоящия ПКБ, се предлага да се коригира мобилизирането на средства по Инструмента за гъвкавост, както следва:</w:t>
      </w:r>
    </w:p>
    <w:p>
      <w:pPr>
        <w:pStyle w:val="Tiret0"/>
        <w:rPr>
          <w:noProof/>
        </w:rPr>
      </w:pPr>
      <w:r>
        <w:rPr>
          <w:noProof/>
        </w:rPr>
        <w:t>За функция 1а мобилизирането на средства по Инструмента за гъвкавост се намалява с 18,5 милиона евро;</w:t>
      </w:r>
    </w:p>
    <w:p>
      <w:pPr>
        <w:pStyle w:val="Tiret0"/>
        <w:rPr>
          <w:noProof/>
        </w:rPr>
      </w:pPr>
      <w:r>
        <w:rPr>
          <w:noProof/>
        </w:rPr>
        <w:t>За функция 3 мобилизирането на средства по Инструмента за гъвкавост се намалява с 55,4 милиона евро.</w:t>
      </w:r>
    </w:p>
    <w:p>
      <w:pPr>
        <w:autoSpaceDE w:val="0"/>
        <w:autoSpaceDN w:val="0"/>
        <w:adjustRightInd w:val="0"/>
        <w:spacing w:before="120" w:after="240"/>
        <w:jc w:val="both"/>
        <w:rPr>
          <w:bCs/>
          <w:noProof/>
        </w:rPr>
      </w:pPr>
      <w:r>
        <w:rPr>
          <w:noProof/>
        </w:rPr>
        <w:t>Предложеното решение за мобилизиране на средства по Инструмента за гъвкавост</w:t>
      </w:r>
      <w:r>
        <w:rPr>
          <w:rStyle w:val="FootnoteReference"/>
          <w:noProof/>
        </w:rPr>
        <w:footnoteReference w:id="15"/>
      </w:r>
      <w:r>
        <w:rPr>
          <w:noProof/>
        </w:rPr>
        <w:t>, което отменя и заменя Решение (ЕС) 2019/276 от 12 декември 2018 г.</w:t>
      </w:r>
      <w:r>
        <w:rPr>
          <w:rStyle w:val="FootnoteReference"/>
          <w:noProof/>
        </w:rPr>
        <w:footnoteReference w:id="16"/>
      </w:r>
      <w:r>
        <w:rPr>
          <w:noProof/>
        </w:rPr>
        <w:t>, придружава настоящия ПКБ.</w:t>
      </w:r>
    </w:p>
    <w:p>
      <w:pPr>
        <w:pStyle w:val="Tiret0"/>
        <w:numPr>
          <w:ilvl w:val="0"/>
          <w:numId w:val="0"/>
        </w:numPr>
        <w:rPr>
          <w:noProof/>
        </w:rPr>
      </w:pPr>
      <w:r>
        <w:rPr>
          <w:noProof/>
        </w:rPr>
        <w:t>Като се има предвид намаляването на равнището на бюджетните кредити за поети задължения по функция 1б, включено в настоящия ПКБ, използването на общия марж за поетите задължения се намалява с 8,3 милиона евро.</w:t>
      </w:r>
    </w:p>
    <w:p>
      <w:pPr>
        <w:keepNext/>
        <w:tabs>
          <w:tab w:val="left" w:pos="850"/>
        </w:tabs>
        <w:spacing w:before="360" w:after="120"/>
        <w:ind w:left="850" w:hanging="850"/>
        <w:jc w:val="both"/>
        <w:outlineLvl w:val="1"/>
        <w:rPr>
          <w:rFonts w:eastAsia="Calibri"/>
          <w:b/>
          <w:noProof/>
        </w:rPr>
      </w:pPr>
      <w:bookmarkStart w:id="41" w:name="_Toc12621006"/>
      <w:bookmarkStart w:id="42" w:name="_Toc13833755"/>
      <w:r>
        <w:rPr>
          <w:b/>
          <w:noProof/>
        </w:rPr>
        <w:t>2.2.</w:t>
      </w:r>
      <w:r>
        <w:rPr>
          <w:noProof/>
        </w:rPr>
        <w:tab/>
      </w:r>
      <w:bookmarkEnd w:id="13"/>
      <w:r>
        <w:rPr>
          <w:b/>
          <w:noProof/>
        </w:rPr>
        <w:t>Отлагане на оттеглянето на Обединеното кралство от Европейския съюз: въздействие върху институциите на ЕС</w:t>
      </w:r>
      <w:bookmarkEnd w:id="41"/>
      <w:bookmarkEnd w:id="42"/>
    </w:p>
    <w:p>
      <w:pPr>
        <w:pStyle w:val="ListDash"/>
        <w:numPr>
          <w:ilvl w:val="0"/>
          <w:numId w:val="0"/>
        </w:numPr>
        <w:rPr>
          <w:noProof/>
        </w:rPr>
      </w:pPr>
      <w:r>
        <w:rPr>
          <w:noProof/>
        </w:rPr>
        <w:t>По време на изготвянето на бюджета за 2019 г. институциите бяха приканени да отразят в своите съответни предварителни разчети въздействието на оттеглянето на Обединеното кралство от Европейския съюз, предвидено първоначално за 29 март 2019 г., в областите, в които промените са очевидни (напр. съкращаване на един член на Комисията, един член на Сметната палата, коригиране на броя на съдиите в Съда на ЕС, закриване на Представителството и регионалните служби в Обединеното кралство и др.).</w:t>
      </w:r>
    </w:p>
    <w:p>
      <w:pPr>
        <w:pStyle w:val="ListDash"/>
        <w:numPr>
          <w:ilvl w:val="0"/>
          <w:numId w:val="0"/>
        </w:numPr>
        <w:rPr>
          <w:noProof/>
        </w:rPr>
      </w:pPr>
      <w:r>
        <w:rPr>
          <w:noProof/>
        </w:rPr>
        <w:t xml:space="preserve">В резултат на това Европейският парламент, Съветът, Комисията, Съдът на ЕС, Европейската сметна палата и Европейският икономически и социален комитет намалиха своите бюджетни искания с обща сума от около 11,7 милиона евро (от които 10,2 милиона евро за Европейския парламент). Това намаление бе изчислено въз основа на факта, че през 2019 г. Обединеното кралство е държава членка в продължение на 3 месеца. </w:t>
      </w:r>
    </w:p>
    <w:p>
      <w:pPr>
        <w:pStyle w:val="ListDash"/>
        <w:numPr>
          <w:ilvl w:val="0"/>
          <w:numId w:val="0"/>
        </w:numPr>
        <w:rPr>
          <w:noProof/>
        </w:rPr>
      </w:pPr>
      <w:r>
        <w:rPr>
          <w:noProof/>
        </w:rPr>
        <w:t>Европейската служба за външна дейност увеличи своето бюджетно искане с 12,3 милиона евро, за да отрази допълнителните разходи, свързани със създаването на подразделение за Обединеното кралство в централата и на делегация на ЕС в Лондон.</w:t>
      </w:r>
    </w:p>
    <w:p>
      <w:pPr>
        <w:pStyle w:val="ListDash"/>
        <w:numPr>
          <w:ilvl w:val="0"/>
          <w:numId w:val="0"/>
        </w:numPr>
        <w:rPr>
          <w:noProof/>
        </w:rPr>
      </w:pPr>
      <w:r>
        <w:rPr>
          <w:noProof/>
        </w:rPr>
        <w:t>Поради отлагането на оттеглянето на Обединеното кралство</w:t>
      </w:r>
      <w:r>
        <w:rPr>
          <w:rStyle w:val="FootnoteReference"/>
          <w:noProof/>
        </w:rPr>
        <w:footnoteReference w:id="17"/>
      </w:r>
      <w:r>
        <w:rPr>
          <w:noProof/>
        </w:rPr>
        <w:t xml:space="preserve"> сега институциите ще трябва да покрият разходите, свързани с Обединеното кралство като държава — членка на ЕС, за срок от седем допълнителни месеца. </w:t>
      </w:r>
    </w:p>
    <w:p>
      <w:pPr>
        <w:pStyle w:val="ListDash"/>
        <w:numPr>
          <w:ilvl w:val="0"/>
          <w:numId w:val="0"/>
        </w:numPr>
        <w:rPr>
          <w:noProof/>
        </w:rPr>
      </w:pPr>
      <w:r>
        <w:rPr>
          <w:noProof/>
        </w:rPr>
        <w:t xml:space="preserve">Съветът, Комисията, Съдът и Европейският икономически и социален комитет ще се стремят да покрият допълнителните нужди чрез преразпределяне на съществуващите ресурси. По-специално за Съда това е възможно поради постоянното забавяне на назначаването на съдия от една от държавите членки, което е генерирало достатъчно икономии за покриване на допълнителните разходи за членовете от Обединеното кралство до 31 октомври 2019 г. </w:t>
      </w:r>
    </w:p>
    <w:p>
      <w:pPr>
        <w:pStyle w:val="ListDash"/>
        <w:numPr>
          <w:ilvl w:val="0"/>
          <w:numId w:val="0"/>
        </w:numPr>
        <w:rPr>
          <w:noProof/>
        </w:rPr>
      </w:pPr>
      <w:r>
        <w:rPr>
          <w:noProof/>
        </w:rPr>
        <w:t>От друга страна, Европейският парламент и Европейската сметна палата искат допълнителни бюджетни кредити поради причините, изложени по-долу.</w:t>
      </w:r>
    </w:p>
    <w:p>
      <w:pPr>
        <w:keepNext/>
        <w:tabs>
          <w:tab w:val="left" w:pos="850"/>
        </w:tabs>
        <w:spacing w:before="240" w:after="120"/>
        <w:ind w:left="850" w:hanging="850"/>
        <w:jc w:val="both"/>
        <w:outlineLvl w:val="1"/>
        <w:rPr>
          <w:rFonts w:eastAsia="Calibri"/>
          <w:i/>
          <w:noProof/>
        </w:rPr>
      </w:pPr>
      <w:bookmarkStart w:id="43" w:name="_Toc12621007"/>
      <w:bookmarkStart w:id="44" w:name="_Toc13833756"/>
      <w:r>
        <w:rPr>
          <w:i/>
          <w:noProof/>
        </w:rPr>
        <w:t>2.2.1</w:t>
      </w:r>
      <w:r>
        <w:rPr>
          <w:noProof/>
        </w:rPr>
        <w:tab/>
      </w:r>
      <w:r>
        <w:rPr>
          <w:i/>
          <w:noProof/>
        </w:rPr>
        <w:t>Европейски парламент (ЕП)</w:t>
      </w:r>
      <w:bookmarkEnd w:id="43"/>
      <w:bookmarkEnd w:id="44"/>
    </w:p>
    <w:p>
      <w:pPr>
        <w:pStyle w:val="NormalWeb"/>
        <w:spacing w:before="120" w:beforeAutospacing="0" w:after="0" w:afterAutospacing="0"/>
        <w:jc w:val="both"/>
        <w:rPr>
          <w:noProof/>
        </w:rPr>
      </w:pPr>
      <w:r>
        <w:rPr>
          <w:noProof/>
        </w:rPr>
        <w:t>Вследствие на решението на Европейския съвет относно състава на Парламента от 9-ия парламентарен мандат</w:t>
      </w:r>
      <w:r>
        <w:rPr>
          <w:rStyle w:val="FootnoteReference"/>
          <w:noProof/>
        </w:rPr>
        <w:footnoteReference w:id="18"/>
      </w:r>
      <w:r>
        <w:rPr>
          <w:noProof/>
        </w:rPr>
        <w:t xml:space="preserve"> нататък, разделът от бюджета за Парламента включваше бюджетни кредити за 678 членове на ЕП, считано от 30 март, и 705 членове, считано от 2 юли 2019 г. Бюджетните кредити бяха намалени по редица бюджетни редове, свързани с членовете на ЕП, сътрудниците и институционалното представителство; не беше предвиден бюджет за информационна кампания в Обединеното кралство. </w:t>
      </w:r>
    </w:p>
    <w:p>
      <w:pPr>
        <w:pStyle w:val="NormalWeb"/>
        <w:spacing w:before="120" w:beforeAutospacing="0" w:after="0" w:afterAutospacing="0"/>
        <w:jc w:val="both"/>
        <w:rPr>
          <w:noProof/>
        </w:rPr>
      </w:pPr>
      <w:r>
        <w:rPr>
          <w:noProof/>
        </w:rPr>
        <w:t>Отлагането за 31 октомври 2019 г. има отражение не само върху състава на Европейския парламент и разходите за парламентарни сътрудници, но също така наложи запазването на бюрото за връзка на Обединеното кралство и организирането на европейски избори в Обединеното кралство, които изискваха цялостна информационна кампания.</w:t>
      </w:r>
    </w:p>
    <w:p>
      <w:pPr>
        <w:pStyle w:val="NormalWeb"/>
        <w:spacing w:before="120" w:beforeAutospacing="0" w:after="0" w:afterAutospacing="0"/>
        <w:jc w:val="both"/>
        <w:rPr>
          <w:noProof/>
        </w:rPr>
      </w:pPr>
      <w:r>
        <w:rPr>
          <w:noProof/>
        </w:rPr>
        <w:t xml:space="preserve">Горепосочените елементи, които представляват неизбежни, изключителни и непредвидени обстоятелства, изискват допълнителни бюджетни кредити в размер на 15,1 милиона евро. </w:t>
      </w:r>
    </w:p>
    <w:p>
      <w:pPr>
        <w:keepNext/>
        <w:tabs>
          <w:tab w:val="left" w:pos="850"/>
        </w:tabs>
        <w:spacing w:before="240" w:after="120"/>
        <w:ind w:left="850" w:hanging="850"/>
        <w:jc w:val="both"/>
        <w:outlineLvl w:val="1"/>
        <w:rPr>
          <w:rFonts w:eastAsia="Calibri"/>
          <w:i/>
          <w:noProof/>
        </w:rPr>
      </w:pPr>
      <w:bookmarkStart w:id="45" w:name="_Toc12621008"/>
      <w:bookmarkStart w:id="46" w:name="_Toc13833757"/>
      <w:r>
        <w:rPr>
          <w:i/>
          <w:noProof/>
        </w:rPr>
        <w:t>2.2.</w:t>
      </w:r>
      <w:r>
        <w:rPr>
          <w:i/>
          <w:noProof/>
          <w:lang w:val="en-US"/>
        </w:rPr>
        <w:t>2</w:t>
      </w:r>
      <w:r>
        <w:rPr>
          <w:noProof/>
        </w:rPr>
        <w:tab/>
      </w:r>
      <w:r>
        <w:rPr>
          <w:i/>
          <w:noProof/>
        </w:rPr>
        <w:t>Европейска сметна палата (ЕСП)</w:t>
      </w:r>
      <w:bookmarkEnd w:id="45"/>
      <w:bookmarkEnd w:id="46"/>
    </w:p>
    <w:p>
      <w:pPr>
        <w:pStyle w:val="NormalWeb"/>
        <w:spacing w:before="120" w:beforeAutospacing="0" w:after="0" w:afterAutospacing="0"/>
        <w:jc w:val="both"/>
        <w:rPr>
          <w:noProof/>
        </w:rPr>
      </w:pPr>
      <w:r>
        <w:rPr>
          <w:noProof/>
        </w:rPr>
        <w:t>Решението за отлагане на оттеглянето на Обединеното кралство със срок до седем месеца има отражение върху възнагражденията и другите разходи на Колегиума от 28 вместо 27 членове на Сметната палата.</w:t>
      </w:r>
    </w:p>
    <w:p>
      <w:pPr>
        <w:pStyle w:val="NormalWeb"/>
        <w:spacing w:before="120" w:beforeAutospacing="0" w:after="0" w:afterAutospacing="0"/>
        <w:jc w:val="both"/>
        <w:rPr>
          <w:noProof/>
        </w:rPr>
      </w:pPr>
      <w:r>
        <w:rPr>
          <w:noProof/>
        </w:rPr>
        <w:t>Предвид ограничения бюджет, поискан за 2019 г., Сметната палата няма да бъде в състояние да намери допълнителни средства чрез преразпределяне, но иска допълнителни средства в размер на 107 000 EUR за покриване на разходите за заплати и други надбавки, както и разноските за командировки и представителните разходи. От тази сума е приспаднато преразпределението на неизползваните суми от преходни надбавки, които ще бъдат прехвърлени към бюджетния ред за заплата на члена на ЕСП от Обединеното кралство.</w:t>
      </w:r>
    </w:p>
    <w:p>
      <w:pPr>
        <w:keepNext/>
        <w:tabs>
          <w:tab w:val="left" w:pos="850"/>
        </w:tabs>
        <w:spacing w:before="240" w:after="120"/>
        <w:ind w:left="850" w:hanging="850"/>
        <w:jc w:val="both"/>
        <w:outlineLvl w:val="1"/>
        <w:rPr>
          <w:rFonts w:eastAsia="Calibri"/>
          <w:i/>
          <w:noProof/>
        </w:rPr>
      </w:pPr>
      <w:bookmarkStart w:id="47" w:name="_Toc12621009"/>
      <w:bookmarkStart w:id="48" w:name="_Toc13833758"/>
      <w:r>
        <w:rPr>
          <w:i/>
          <w:noProof/>
        </w:rPr>
        <w:t>2.2.3</w:t>
      </w:r>
      <w:r>
        <w:rPr>
          <w:noProof/>
        </w:rPr>
        <w:tab/>
      </w:r>
      <w:r>
        <w:rPr>
          <w:i/>
          <w:noProof/>
        </w:rPr>
        <w:t>Европейска служба за външна дейност (ЕСВД)</w:t>
      </w:r>
      <w:bookmarkEnd w:id="47"/>
      <w:bookmarkEnd w:id="48"/>
    </w:p>
    <w:p>
      <w:pPr>
        <w:pStyle w:val="NormalWeb"/>
        <w:spacing w:before="120" w:beforeAutospacing="0" w:after="0" w:afterAutospacing="0"/>
        <w:jc w:val="both"/>
        <w:rPr>
          <w:noProof/>
        </w:rPr>
      </w:pPr>
      <w:r>
        <w:rPr>
          <w:noProof/>
        </w:rPr>
        <w:t xml:space="preserve">В бюджета на ЕСВД за 2019 г. са предоставени допълнителни бюджетни кредити като пряка последица от оттеглянето на Обединеното кралство с цел: </w:t>
      </w:r>
    </w:p>
    <w:p>
      <w:pPr>
        <w:pStyle w:val="Tiret0"/>
        <w:rPr>
          <w:noProof/>
        </w:rPr>
      </w:pPr>
      <w:r>
        <w:rPr>
          <w:noProof/>
        </w:rPr>
        <w:t xml:space="preserve">откриване и функциониране на делегация в Лондон, </w:t>
      </w:r>
    </w:p>
    <w:p>
      <w:pPr>
        <w:pStyle w:val="Tiret0"/>
        <w:rPr>
          <w:noProof/>
        </w:rPr>
      </w:pPr>
      <w:r>
        <w:rPr>
          <w:noProof/>
        </w:rPr>
        <w:t xml:space="preserve">запазване на съществуващия пункт за присъствие на ЕС в Северна Ирландия, </w:t>
      </w:r>
    </w:p>
    <w:p>
      <w:pPr>
        <w:pStyle w:val="Tiret0"/>
        <w:rPr>
          <w:noProof/>
        </w:rPr>
      </w:pPr>
      <w:r>
        <w:rPr>
          <w:noProof/>
        </w:rPr>
        <w:t>създаване на специализирано подразделение в централата за управление на отношенията с Обединеното кралство като трета държава, и</w:t>
      </w:r>
    </w:p>
    <w:p>
      <w:pPr>
        <w:pStyle w:val="Tiret0"/>
        <w:rPr>
          <w:noProof/>
        </w:rPr>
      </w:pPr>
      <w:r>
        <w:rPr>
          <w:noProof/>
        </w:rPr>
        <w:t>покриване на допълнителните разходи за ротация, произтичащи от необходимостта да се изтеглят служителите с британско гражданство от мрежата на делегациите преди планираната дата на изтичане на техните назначения.</w:t>
      </w:r>
    </w:p>
    <w:p>
      <w:pPr>
        <w:pStyle w:val="NormalWeb"/>
        <w:spacing w:before="120" w:beforeAutospacing="0" w:after="0" w:afterAutospacing="0"/>
        <w:jc w:val="both"/>
        <w:rPr>
          <w:noProof/>
        </w:rPr>
      </w:pPr>
      <w:r>
        <w:rPr>
          <w:noProof/>
        </w:rPr>
        <w:t>Тези суми бяха изчислени въз основа на предположението, че Обединеното кралство ще напусне Европейския съюз на 29 март 2019 г. Тъй като срокът по член 50 беше удължен, ЕСВД понастоящем има натрупани излишъци в бюджета си за 2019 г.</w:t>
      </w:r>
    </w:p>
    <w:p>
      <w:pPr>
        <w:pStyle w:val="NormalWeb"/>
        <w:spacing w:before="120" w:beforeAutospacing="0" w:after="0" w:afterAutospacing="0"/>
        <w:jc w:val="both"/>
        <w:rPr>
          <w:noProof/>
        </w:rPr>
      </w:pPr>
      <w:r>
        <w:rPr>
          <w:noProof/>
        </w:rPr>
        <w:t>Предвид настоящата значителна несигурност, свързана с процеса по член 50, ЕСВД ще трябва да запази сумите за еднократни разходи за откриване на делегацията и за горепосочените допълнителни ротации в бюджета си за 2019 г. Това също така ще изисква достатъчен буфер, ако и двете страни ратифицират споразумението за оттегляне преди 31 октомври 2019 г.</w:t>
      </w:r>
    </w:p>
    <w:p>
      <w:pPr>
        <w:pStyle w:val="NormalWeb"/>
        <w:spacing w:before="120" w:beforeAutospacing="0" w:after="0" w:afterAutospacing="0"/>
        <w:jc w:val="both"/>
        <w:rPr>
          <w:noProof/>
        </w:rPr>
      </w:pPr>
      <w:r>
        <w:rPr>
          <w:noProof/>
        </w:rPr>
        <w:t>Следователно ЕСВД ще намали своя бюджет за 2019 г. с текущите разходи, предвидени от началото на годината до 1 август за подразделението в централата и за пунктовете за присъствие в Обединеното кралство (3 276 000 EUR).</w:t>
      </w:r>
    </w:p>
    <w:p>
      <w:pPr>
        <w:pStyle w:val="NormalWeb"/>
        <w:spacing w:before="120" w:beforeAutospacing="0" w:after="0" w:afterAutospacing="0"/>
        <w:jc w:val="both"/>
        <w:rPr>
          <w:noProof/>
        </w:rPr>
      </w:pPr>
      <w:r>
        <w:rPr>
          <w:noProof/>
        </w:rPr>
        <w:t>Тъй като ситуацията по-късно през годината може да бъде много различна от настоящия сценарий, ЕСВД възнамерява да се обърне отново към бюджетния орган по-късно тази година и да предложи допълнителни корекции на своя бюджет за 2019 г. според това, което е целесъобразно в ситуацията по това време.</w:t>
      </w:r>
    </w:p>
    <w:p>
      <w:pPr>
        <w:keepNext/>
        <w:tabs>
          <w:tab w:val="left" w:pos="850"/>
        </w:tabs>
        <w:spacing w:before="240" w:after="120"/>
        <w:ind w:left="850" w:hanging="850"/>
        <w:jc w:val="both"/>
        <w:outlineLvl w:val="1"/>
        <w:rPr>
          <w:rFonts w:eastAsia="Calibri"/>
          <w:i/>
          <w:noProof/>
        </w:rPr>
      </w:pPr>
      <w:bookmarkStart w:id="49" w:name="_Toc12621010"/>
      <w:bookmarkStart w:id="50" w:name="_Toc13833759"/>
      <w:r>
        <w:rPr>
          <w:i/>
          <w:noProof/>
        </w:rPr>
        <w:t>2.2.4</w:t>
      </w:r>
      <w:r>
        <w:rPr>
          <w:noProof/>
        </w:rPr>
        <w:tab/>
      </w:r>
      <w:r>
        <w:rPr>
          <w:i/>
          <w:noProof/>
        </w:rPr>
        <w:t xml:space="preserve"> Общ преглед</w:t>
      </w:r>
      <w:bookmarkEnd w:id="49"/>
      <w:bookmarkEnd w:id="50"/>
    </w:p>
    <w:tbl>
      <w:tblPr>
        <w:tblW w:w="9938" w:type="dxa"/>
        <w:tblCellMar>
          <w:left w:w="0" w:type="dxa"/>
          <w:right w:w="0" w:type="dxa"/>
        </w:tblCellMar>
        <w:tblLook w:val="04A0" w:firstRow="1" w:lastRow="0" w:firstColumn="1" w:lastColumn="0" w:noHBand="0" w:noVBand="1"/>
      </w:tblPr>
      <w:tblGrid>
        <w:gridCol w:w="960"/>
        <w:gridCol w:w="189"/>
        <w:gridCol w:w="5529"/>
        <w:gridCol w:w="1559"/>
        <w:gridCol w:w="1701"/>
      </w:tblGrid>
      <w:tr>
        <w:trPr>
          <w:trHeight w:val="212"/>
          <w:tblHeader/>
        </w:trPr>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pPr>
              <w:rPr>
                <w:noProof/>
                <w:sz w:val="20"/>
                <w:szCs w:val="20"/>
              </w:rPr>
            </w:pPr>
          </w:p>
        </w:tc>
        <w:tc>
          <w:tcPr>
            <w:tcW w:w="8978" w:type="dxa"/>
            <w:gridSpan w:val="4"/>
            <w:tcBorders>
              <w:top w:val="nil"/>
              <w:left w:val="nil"/>
              <w:bottom w:val="nil"/>
              <w:right w:val="nil"/>
            </w:tcBorders>
            <w:shd w:val="clear" w:color="000000" w:fill="FFFFFF"/>
            <w:tcMar>
              <w:top w:w="0" w:type="dxa"/>
              <w:left w:w="15" w:type="dxa"/>
              <w:bottom w:w="0" w:type="dxa"/>
              <w:right w:w="15" w:type="dxa"/>
            </w:tcMar>
            <w:vAlign w:val="center"/>
            <w:hideMark/>
          </w:tcPr>
          <w:p>
            <w:pPr>
              <w:jc w:val="right"/>
              <w:rPr>
                <w:i/>
                <w:iCs/>
                <w:noProof/>
                <w:color w:val="000000"/>
                <w:sz w:val="16"/>
                <w:szCs w:val="16"/>
              </w:rPr>
            </w:pPr>
            <w:r>
              <w:rPr>
                <w:i/>
                <w:noProof/>
                <w:color w:val="000000"/>
                <w:sz w:val="16"/>
              </w:rPr>
              <w:t>(ЕUR)</w:t>
            </w:r>
          </w:p>
        </w:tc>
      </w:tr>
      <w:tr>
        <w:trPr>
          <w:trHeight w:val="282"/>
          <w:tblHeader/>
        </w:trPr>
        <w:tc>
          <w:tcPr>
            <w:tcW w:w="1149" w:type="dxa"/>
            <w:gridSpan w:val="2"/>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noProof/>
                <w:color w:val="000000"/>
                <w:sz w:val="20"/>
              </w:rPr>
              <w:t>Бюджетен ред</w:t>
            </w:r>
          </w:p>
        </w:tc>
        <w:tc>
          <w:tcPr>
            <w:tcW w:w="552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noProof/>
                <w:color w:val="000000"/>
                <w:sz w:val="20"/>
              </w:rPr>
              <w:t>Наименование</w:t>
            </w:r>
          </w:p>
        </w:tc>
        <w:tc>
          <w:tcPr>
            <w:tcW w:w="155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noProof/>
                <w:color w:val="000000"/>
                <w:sz w:val="20"/>
              </w:rPr>
              <w:t>Бюджетни кредити за поети задължения</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noProof/>
                <w:color w:val="000000"/>
                <w:sz w:val="20"/>
              </w:rPr>
              <w:t>Бюджетни кредити за плащания</w:t>
            </w:r>
          </w:p>
        </w:tc>
      </w:tr>
      <w:tr>
        <w:trPr>
          <w:trHeight w:val="174"/>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widowControl w:val="0"/>
              <w:spacing w:before="15" w:after="15" w:line="276" w:lineRule="auto"/>
              <w:rPr>
                <w:i/>
                <w:noProof/>
                <w:sz w:val="20"/>
                <w:szCs w:val="20"/>
              </w:rPr>
            </w:pPr>
            <w:r>
              <w:rPr>
                <w:i/>
                <w:noProof/>
                <w:sz w:val="20"/>
              </w:rPr>
              <w:t xml:space="preserve">  Раздел I — Европейски парламент</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Възнаграждения</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2 420 000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2 420 000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1 0 0 4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Обикновени пътни разноски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2 100 000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2 100 000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1 0 0 6</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Надбавка за общи разходи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1 200 000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1 200 000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1 0 2 0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Преходни надбавки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-1 800 000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-1 800 000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3 2 2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Разходи за документация</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80 000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80 000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3 2 4 2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Разходи за публикации, разпространяване на информация и участие в обществени мероприятия</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3 000 000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3 000 000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3 2 4 4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Организация и посрещане на групи посетители, програма Euroscola и покани на представители от трети страни, формиращи общественото мнение</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300 000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3 2 5</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Разходи, свързани с бюрата за връзка</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320 000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320 000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4 2 2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Разходи, свързани със сътрудниците на членовете на ЕП</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7 490 000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7 490 000</w:t>
            </w:r>
          </w:p>
        </w:tc>
      </w:tr>
      <w:tr>
        <w:trPr>
          <w:trHeight w:val="21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noProof/>
                <w:color w:val="000000"/>
                <w:sz w:val="20"/>
              </w:rPr>
              <w:t xml:space="preserve">  Междинен сбор раздел I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rPr>
              <w:t>15 110 000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rPr>
              <w:t>15 110 000</w:t>
            </w:r>
          </w:p>
        </w:tc>
      </w:tr>
      <w:tr>
        <w:trPr>
          <w:trHeight w:val="247"/>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rPr>
                <w:i/>
                <w:iCs/>
                <w:noProof/>
                <w:color w:val="000000"/>
                <w:sz w:val="20"/>
                <w:szCs w:val="20"/>
              </w:rPr>
            </w:pPr>
            <w:r>
              <w:rPr>
                <w:i/>
                <w:noProof/>
                <w:color w:val="000000"/>
                <w:sz w:val="20"/>
              </w:rPr>
              <w:t xml:space="preserve">  Раздел V — Европейска сметна палата</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rPr>
              <w:t>Възнаграждение, надбавки и пенсии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rPr>
              <w:t>96 000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rPr>
              <w:t>96 000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rPr>
              <w:t>Командировки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rPr>
              <w:t>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rPr>
              <w:t>6 000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2 5 2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rPr>
              <w:t>Представителни разходи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rPr>
              <w:t>5 000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rPr>
              <w:t>5 000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noProof/>
                <w:color w:val="000000"/>
                <w:sz w:val="20"/>
              </w:rPr>
              <w:t xml:space="preserve">  Междинен сбор раздел V</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rPr>
              <w:t>107 000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rPr>
              <w:t>107 000</w:t>
            </w:r>
          </w:p>
        </w:tc>
      </w:tr>
      <w:tr>
        <w:trPr>
          <w:trHeight w:val="247"/>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rPr>
                <w:i/>
                <w:iCs/>
                <w:noProof/>
                <w:color w:val="000000"/>
                <w:sz w:val="20"/>
                <w:szCs w:val="20"/>
              </w:rPr>
            </w:pPr>
            <w:r>
              <w:rPr>
                <w:i/>
                <w:noProof/>
                <w:color w:val="000000"/>
                <w:sz w:val="20"/>
              </w:rPr>
              <w:t xml:space="preserve">  Раздел X — Европейска служба за външна дейност</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1 1 0 0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Основни заплати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-564 000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-564 000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1 1 0 2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Права според Правилника за длъжностните лица относно личното положение на служителя</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-143 000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-143 000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1 1 0 3</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Разходи за социално осигуряване</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-22 000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-22 000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1 4 0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Командировки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-27 000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Възнаграждения и права на редовния персонал</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-747 000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-747 000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3 0 0 1</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Външен персонал и външни услуги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-568 000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-568 000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3 0 0 2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Други разходи, свързани с персонала</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-97 000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-97 000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3 0 0 3</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Сгради и свързани с тях разходи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-1 070 000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-1 070 000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rPr>
              <w:t xml:space="preserve">  3 0 0 4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rPr>
              <w:t>Други административни разходи</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-38 000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rPr>
              <w:t>-38 000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noProof/>
                <w:color w:val="000000"/>
                <w:sz w:val="20"/>
              </w:rPr>
              <w:t xml:space="preserve">  Междинен сбор раздел X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rPr>
              <w:t>-3 276 000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rPr>
              <w:t>-3 276 000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both"/>
              <w:rPr>
                <w:b/>
                <w:bCs/>
                <w:noProof/>
                <w:color w:val="000000"/>
                <w:sz w:val="20"/>
                <w:szCs w:val="20"/>
              </w:rPr>
            </w:pPr>
            <w:r>
              <w:rPr>
                <w:b/>
                <w:noProof/>
                <w:color w:val="000000"/>
                <w:sz w:val="20"/>
              </w:rPr>
              <w:t xml:space="preserve">  Общо</w:t>
            </w:r>
          </w:p>
        </w:tc>
        <w:tc>
          <w:tcPr>
            <w:tcW w:w="1559"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noProof/>
                <w:color w:val="000000"/>
                <w:sz w:val="20"/>
              </w:rPr>
              <w:t>11 941 000</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noProof/>
                <w:color w:val="000000"/>
                <w:sz w:val="20"/>
              </w:rPr>
              <w:t>11 941 000</w:t>
            </w:r>
          </w:p>
        </w:tc>
      </w:tr>
    </w:tbl>
    <w:p>
      <w:pPr>
        <w:keepNext/>
        <w:tabs>
          <w:tab w:val="left" w:pos="850"/>
        </w:tabs>
        <w:spacing w:before="240" w:after="120"/>
        <w:ind w:left="851" w:hanging="851"/>
        <w:jc w:val="both"/>
        <w:outlineLvl w:val="0"/>
        <w:rPr>
          <w:b/>
          <w:smallCaps/>
          <w:noProof/>
        </w:rPr>
      </w:pPr>
      <w:bookmarkStart w:id="51" w:name="_Toc12621011"/>
      <w:bookmarkStart w:id="52" w:name="_Toc13833760"/>
      <w:bookmarkStart w:id="53" w:name="_Toc460335328"/>
      <w:bookmarkStart w:id="54" w:name="_Toc430865948"/>
      <w:bookmarkStart w:id="55" w:name="_Toc430867526"/>
      <w:bookmarkEnd w:id="14"/>
      <w:r>
        <w:rPr>
          <w:b/>
          <w:smallCaps/>
          <w:noProof/>
        </w:rPr>
        <w:t>3.</w:t>
      </w:r>
      <w:r>
        <w:rPr>
          <w:noProof/>
        </w:rPr>
        <w:tab/>
      </w:r>
      <w:r>
        <w:rPr>
          <w:b/>
          <w:smallCaps/>
          <w:noProof/>
        </w:rPr>
        <w:t>Актуализация на приходите</w:t>
      </w:r>
      <w:bookmarkEnd w:id="51"/>
      <w:bookmarkEnd w:id="52"/>
    </w:p>
    <w:p>
      <w:pPr>
        <w:keepNext/>
        <w:tabs>
          <w:tab w:val="left" w:pos="850"/>
        </w:tabs>
        <w:spacing w:before="360" w:after="120"/>
        <w:ind w:left="850" w:hanging="850"/>
        <w:jc w:val="both"/>
        <w:outlineLvl w:val="1"/>
        <w:rPr>
          <w:rFonts w:eastAsia="Calibri"/>
          <w:b/>
          <w:noProof/>
        </w:rPr>
      </w:pPr>
      <w:bookmarkStart w:id="56" w:name="_Toc462410058"/>
      <w:bookmarkStart w:id="57" w:name="_Toc494994378"/>
      <w:bookmarkStart w:id="58" w:name="_Toc525202232"/>
      <w:bookmarkStart w:id="59" w:name="_Toc12621012"/>
      <w:bookmarkStart w:id="60" w:name="_Toc13833761"/>
      <w:r>
        <w:rPr>
          <w:b/>
          <w:noProof/>
        </w:rPr>
        <w:t>3.1</w:t>
      </w:r>
      <w:r>
        <w:rPr>
          <w:noProof/>
        </w:rPr>
        <w:tab/>
      </w:r>
      <w:r>
        <w:rPr>
          <w:b/>
          <w:noProof/>
        </w:rPr>
        <w:t>Общо отражение на ПКБ 4/2019 върху разпределението на общите плащания по собствените ресурси между държавите членки</w:t>
      </w:r>
      <w:bookmarkEnd w:id="56"/>
      <w:bookmarkEnd w:id="57"/>
      <w:bookmarkEnd w:id="58"/>
      <w:bookmarkEnd w:id="59"/>
      <w:bookmarkEnd w:id="60"/>
    </w:p>
    <w:p>
      <w:pPr>
        <w:autoSpaceDE w:val="0"/>
        <w:autoSpaceDN w:val="0"/>
        <w:adjustRightInd w:val="0"/>
        <w:spacing w:before="120" w:after="240"/>
        <w:jc w:val="both"/>
        <w:rPr>
          <w:noProof/>
        </w:rPr>
      </w:pPr>
      <w:r>
        <w:rPr>
          <w:noProof/>
        </w:rPr>
        <w:t>След 175-ото заседание на Консултативния комитет по собствените ресурси (ККСР) от 24 май 2019 г. е необходимо да бъдат направени две корекции на приходната част на бюджета: първо, актуализация на прогнозите за традиционните собствени ресурси (ТСР), както и за собствените ресурси въз основа на данъка върху добавената стойност (ДДС) и брутния национален доход (БНД), за да се вземат предвид по-актуални икономически прогнози, и, второ, актуализация на корекцията за Обединеното кралство. Тези две корекции са представени в точки 3.2 и 3.3 по-долу.</w:t>
      </w:r>
    </w:p>
    <w:p>
      <w:pPr>
        <w:autoSpaceDE w:val="0"/>
        <w:autoSpaceDN w:val="0"/>
        <w:adjustRightInd w:val="0"/>
        <w:spacing w:before="120" w:after="240"/>
        <w:jc w:val="both"/>
        <w:rPr>
          <w:noProof/>
        </w:rPr>
      </w:pPr>
      <w:r>
        <w:rPr>
          <w:noProof/>
        </w:rPr>
        <w:t>Общото отражение на корекциите на разходите и на приходите в настоящия ПКБ е представено в обобщаващата таблица по-долу. Таблицата показва също така разпределението на общите плащания по собствените ресурси между държавите членки: вписани в бюджета за 2019 г., изменени в проект на коригиращ бюджет № 3 (ПКБ 3/2019)</w:t>
      </w:r>
      <w:r>
        <w:rPr>
          <w:rStyle w:val="FootnoteReference"/>
          <w:noProof/>
        </w:rPr>
        <w:footnoteReference w:id="19"/>
      </w:r>
      <w:r>
        <w:rPr>
          <w:noProof/>
        </w:rPr>
        <w:t xml:space="preserve"> и накрая в настоящия ПКБ.</w:t>
      </w:r>
    </w:p>
    <w:p>
      <w:pPr>
        <w:jc w:val="center"/>
        <w:rPr>
          <w:b/>
          <w:noProof/>
        </w:rPr>
      </w:pPr>
      <w:r>
        <w:rPr>
          <w:b/>
          <w:noProof/>
        </w:rPr>
        <w:t>Разпределение на общите плащания по собствените ресурси по държави членки (в милиони евро)</w:t>
      </w:r>
    </w:p>
    <w:p>
      <w:pPr>
        <w:jc w:val="center"/>
        <w:rPr>
          <w:b/>
          <w:noProof/>
        </w:rPr>
      </w:pPr>
    </w:p>
    <w:tbl>
      <w:tblPr>
        <w:tblW w:w="5440" w:type="dxa"/>
        <w:jc w:val="center"/>
        <w:tblLook w:val="04A0" w:firstRow="1" w:lastRow="0" w:firstColumn="1" w:lastColumn="0" w:noHBand="0" w:noVBand="1"/>
      </w:tblPr>
      <w:tblGrid>
        <w:gridCol w:w="960"/>
        <w:gridCol w:w="1460"/>
        <w:gridCol w:w="1520"/>
        <w:gridCol w:w="1500"/>
      </w:tblGrid>
      <w:tr>
        <w:trPr>
          <w:trHeight w:val="375"/>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rPr>
            </w:pPr>
            <w:bookmarkStart w:id="61" w:name="_Toc462410059"/>
            <w:bookmarkStart w:id="62" w:name="_Toc525202233"/>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noProof/>
                <w:color w:val="000000"/>
                <w:sz w:val="20"/>
              </w:rPr>
              <w:t>Бюджет за 2019 г.</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noProof/>
                <w:color w:val="000000"/>
                <w:sz w:val="20"/>
              </w:rPr>
              <w:t>ПКБ 3/2019</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noProof/>
                <w:color w:val="000000"/>
                <w:sz w:val="20"/>
              </w:rPr>
              <w:t>ПКБ 4/2019</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r>
      <w:tr>
        <w:trPr>
          <w:trHeight w:val="209"/>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BE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6 151,1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6 108,2</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6 096,5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BG</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565,3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560,2</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605,0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CZ</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2 012,3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1 993,3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2 028,3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DK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2 811,0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2 782,1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2 801,5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DE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30 494,7</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30 164,5</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29 792,7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EE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253,3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250,9</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263,1</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2 478,4</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2 453,9</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2 485,6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EL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1 746,1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1 728,6</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1 759,2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ES</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12 172,1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12 056,6</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12 161,9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FR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22 592,6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22 364,4</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22 592,4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HR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496,6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491,8</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494,6</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17 008,2</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16 840,7</w:t>
            </w:r>
          </w:p>
        </w:tc>
        <w:tc>
          <w:tcPr>
            <w:tcW w:w="1500" w:type="dxa"/>
            <w:tcBorders>
              <w:top w:val="nil"/>
              <w:left w:val="nil"/>
              <w:bottom w:val="single" w:sz="4" w:space="0" w:color="auto"/>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16 772,0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CY</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202,2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200,3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206,7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LV</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288,5</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285,7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301,3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LT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459,3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455,2</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481,5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LU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376,9</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373,1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382,6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HU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1 285,1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1 272,7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1 349,3</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116,7</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115,6</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119,3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NL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7 707,0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7 633,3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7 668,9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AT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3 437,6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3 400,7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3 398,3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PL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4 934,2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4 888,0</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5 072,7</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1 914,7</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1 896,0</w:t>
            </w:r>
          </w:p>
        </w:tc>
        <w:tc>
          <w:tcPr>
            <w:tcW w:w="1500" w:type="dxa"/>
            <w:tcBorders>
              <w:top w:val="nil"/>
              <w:left w:val="nil"/>
              <w:bottom w:val="single" w:sz="4" w:space="0" w:color="auto"/>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1 932,0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RO</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1 916,6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1 897,1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1 948,8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SI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480,2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475,8</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488,1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SK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868,0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859,3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873,2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FI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2 186,3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2 163,9</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2 166,7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SE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3 859,3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3 815,1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3 883,5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UK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17 490,2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17 268,1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rPr>
              <w:t>16 614,1</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hideMark/>
          </w:tcPr>
          <w:p>
            <w:pPr>
              <w:jc w:val="center"/>
              <w:rPr>
                <w:b/>
                <w:bCs/>
                <w:noProof/>
                <w:color w:val="000000"/>
                <w:sz w:val="22"/>
                <w:szCs w:val="22"/>
              </w:rPr>
            </w:pPr>
            <w:r>
              <w:rPr>
                <w:b/>
                <w:noProof/>
                <w:color w:val="000000"/>
                <w:sz w:val="22"/>
              </w:rPr>
              <w:t>EС</w:t>
            </w:r>
          </w:p>
        </w:tc>
        <w:tc>
          <w:tcPr>
            <w:tcW w:w="1460" w:type="dxa"/>
            <w:tcBorders>
              <w:top w:val="single" w:sz="4" w:space="0" w:color="auto"/>
              <w:left w:val="nil"/>
              <w:bottom w:val="single" w:sz="8" w:space="0" w:color="auto"/>
              <w:right w:val="single" w:sz="4" w:space="0" w:color="auto"/>
            </w:tcBorders>
            <w:shd w:val="clear" w:color="auto" w:fill="auto"/>
          </w:tcPr>
          <w:p>
            <w:pPr>
              <w:jc w:val="right"/>
              <w:rPr>
                <w:b/>
                <w:bCs/>
                <w:noProof/>
                <w:sz w:val="22"/>
                <w:szCs w:val="22"/>
              </w:rPr>
            </w:pPr>
            <w:r>
              <w:rPr>
                <w:b/>
                <w:noProof/>
                <w:color w:val="000000"/>
                <w:sz w:val="22"/>
              </w:rPr>
              <w:t>146 304,5</w:t>
            </w:r>
          </w:p>
        </w:tc>
        <w:tc>
          <w:tcPr>
            <w:tcW w:w="1520" w:type="dxa"/>
            <w:tcBorders>
              <w:top w:val="single" w:sz="4" w:space="0" w:color="auto"/>
              <w:left w:val="nil"/>
              <w:bottom w:val="single" w:sz="8" w:space="0" w:color="auto"/>
              <w:right w:val="single" w:sz="4" w:space="0" w:color="auto"/>
            </w:tcBorders>
            <w:shd w:val="clear" w:color="auto" w:fill="auto"/>
          </w:tcPr>
          <w:p>
            <w:pPr>
              <w:jc w:val="right"/>
              <w:rPr>
                <w:b/>
                <w:bCs/>
                <w:noProof/>
                <w:sz w:val="22"/>
                <w:szCs w:val="22"/>
              </w:rPr>
            </w:pPr>
            <w:r>
              <w:rPr>
                <w:b/>
                <w:noProof/>
                <w:color w:val="000000"/>
                <w:sz w:val="22"/>
              </w:rPr>
              <w:t>144 795,1</w:t>
            </w:r>
          </w:p>
        </w:tc>
        <w:tc>
          <w:tcPr>
            <w:tcW w:w="1500" w:type="dxa"/>
            <w:tcBorders>
              <w:top w:val="single" w:sz="4" w:space="0" w:color="auto"/>
              <w:left w:val="nil"/>
              <w:bottom w:val="single" w:sz="8" w:space="0" w:color="auto"/>
              <w:right w:val="single" w:sz="4" w:space="0" w:color="auto"/>
            </w:tcBorders>
            <w:shd w:val="clear" w:color="auto" w:fill="FFFFFF" w:themeFill="background1"/>
          </w:tcPr>
          <w:p>
            <w:pPr>
              <w:jc w:val="right"/>
              <w:rPr>
                <w:b/>
                <w:noProof/>
                <w:sz w:val="22"/>
                <w:szCs w:val="22"/>
              </w:rPr>
            </w:pPr>
            <w:r>
              <w:rPr>
                <w:b/>
                <w:noProof/>
                <w:sz w:val="22"/>
              </w:rPr>
              <w:t>144 739,5</w:t>
            </w:r>
          </w:p>
        </w:tc>
      </w:tr>
    </w:tbl>
    <w:p>
      <w:pPr>
        <w:rPr>
          <w:rFonts w:eastAsia="Calibri"/>
          <w:b/>
          <w:noProof/>
        </w:rPr>
      </w:pPr>
      <w:r>
        <w:rPr>
          <w:noProof/>
        </w:rPr>
        <w:br w:type="page"/>
      </w:r>
    </w:p>
    <w:p>
      <w:pPr>
        <w:keepNext/>
        <w:tabs>
          <w:tab w:val="left" w:pos="850"/>
        </w:tabs>
        <w:spacing w:before="360" w:after="120"/>
        <w:ind w:left="850" w:hanging="850"/>
        <w:jc w:val="both"/>
        <w:outlineLvl w:val="1"/>
        <w:rPr>
          <w:rFonts w:eastAsia="Calibri"/>
          <w:b/>
          <w:noProof/>
        </w:rPr>
      </w:pPr>
      <w:bookmarkStart w:id="63" w:name="_Toc12621013"/>
      <w:bookmarkStart w:id="64" w:name="_Toc13833762"/>
      <w:r>
        <w:rPr>
          <w:b/>
          <w:noProof/>
        </w:rPr>
        <w:t>3.2</w:t>
      </w:r>
      <w:r>
        <w:rPr>
          <w:noProof/>
        </w:rPr>
        <w:tab/>
      </w:r>
      <w:r>
        <w:rPr>
          <w:b/>
          <w:noProof/>
        </w:rPr>
        <w:t>Преразглеждане на прогнозата за ТСР, за базите за ДДС и БНД</w:t>
      </w:r>
      <w:bookmarkEnd w:id="61"/>
      <w:bookmarkEnd w:id="62"/>
      <w:bookmarkEnd w:id="63"/>
      <w:bookmarkEnd w:id="64"/>
    </w:p>
    <w:p>
      <w:pPr>
        <w:spacing w:before="120" w:after="120"/>
        <w:jc w:val="both"/>
        <w:rPr>
          <w:noProof/>
        </w:rPr>
      </w:pPr>
      <w:r>
        <w:rPr>
          <w:noProof/>
        </w:rPr>
        <w:t>Съгласно установената практика Комисията предлага да преразгледа финансирането на бюджета въз основа на по-актуални икономически прогнози</w:t>
      </w:r>
      <w:r>
        <w:rPr>
          <w:rStyle w:val="FootnoteReference"/>
          <w:noProof/>
        </w:rPr>
        <w:footnoteReference w:id="20"/>
      </w:r>
      <w:r>
        <w:rPr>
          <w:noProof/>
        </w:rPr>
        <w:t xml:space="preserve">, договорени с държавите членки на заседанието на ККСР. </w:t>
      </w:r>
    </w:p>
    <w:p>
      <w:pPr>
        <w:spacing w:before="120" w:after="120"/>
        <w:jc w:val="both"/>
        <w:rPr>
          <w:noProof/>
        </w:rPr>
      </w:pPr>
      <w:r>
        <w:rPr>
          <w:noProof/>
        </w:rPr>
        <w:t>Преразглеждането се отнася до прогнозата за ТСР, които трябва да бъдат изплатени в бюджета за 2019 г., както и до прогнозата за базите за ДДС и БНД за 2019 г. Прогнозата в бюджета за 2019 г. бе определена на 172-то заседание на ККСР, проведено на 18 май 2018 г. Преразглеждането в настоящия ПКБ взема под внимание договорените прогнози от 175-ото заседание на ККСР, проведено на 24 май 2019 г. Използването на актуализирана прогноза за собствените ресурси подобрява точността на прогнозите за приходите и оттам на плащанията, които се изисква държавите членки да извършват в полза на бюджета на ЕС в хода на бюджетната година.</w:t>
      </w:r>
    </w:p>
    <w:p>
      <w:pPr>
        <w:spacing w:before="120" w:after="120"/>
        <w:jc w:val="both"/>
        <w:rPr>
          <w:noProof/>
        </w:rPr>
      </w:pPr>
      <w:r>
        <w:rPr>
          <w:noProof/>
        </w:rPr>
        <w:t>В сравнение с прогнозите, договорени през май 2018 г., тези за 2019 г. се променят по следния начин:</w:t>
      </w:r>
    </w:p>
    <w:p>
      <w:pPr>
        <w:numPr>
          <w:ilvl w:val="0"/>
          <w:numId w:val="2"/>
        </w:numPr>
        <w:spacing w:before="120" w:after="240"/>
        <w:jc w:val="both"/>
        <w:rPr>
          <w:noProof/>
        </w:rPr>
      </w:pPr>
      <w:r>
        <w:rPr>
          <w:noProof/>
        </w:rPr>
        <w:t>Към момента общата прогноза за нетните мита за 2019 г. възлиза на 21 206,0 милиона евро (след приспадане на 20 % за разходи по събирането), което представлява намаление от 1,23 % спрямо прогнозата от 21 471,2 милиона евро, включена в бюджета за 2019 г. Комисията сравни резултатите от традиционния метод за прогнозиране на ККСР (въз основа на макроикономическите прогнози от пролетта на 2019 г.) с резултатите от метода на екстраполацията на база на най-новите данни за събраните мита (януари—април 2019 г.). Както и през предходните години, беше постигнато съгласие да се прилага консервативен подход и да се използва най-ниската прогноза за ТСР, за да се осигури добро управление на бюджета в контекста на голяма икономическа несигурност и потенциални смущения в търговските модели.</w:t>
      </w:r>
    </w:p>
    <w:p>
      <w:pPr>
        <w:numPr>
          <w:ilvl w:val="0"/>
          <w:numId w:val="2"/>
        </w:numPr>
        <w:spacing w:before="120" w:after="120"/>
        <w:jc w:val="both"/>
        <w:rPr>
          <w:noProof/>
        </w:rPr>
      </w:pPr>
      <w:r>
        <w:rPr>
          <w:noProof/>
        </w:rPr>
        <w:t xml:space="preserve">Сегашната прогноза за общата база за ДДС без таван за 2019 г. за ЕС е на стойност 7 085 193,6 милиона евро, което представлява увеличение с 2,30 % в сравнение с прогнозата от май 2018 г. на стойност 6 925 637,5 милиона евро. Прогнозата за общата база за ДДС </w:t>
      </w:r>
      <w:r>
        <w:rPr>
          <w:i/>
          <w:noProof/>
        </w:rPr>
        <w:t>с таван</w:t>
      </w:r>
      <w:r>
        <w:rPr>
          <w:noProof/>
          <w:vertAlign w:val="superscript"/>
        </w:rPr>
        <w:footnoteReference w:id="21"/>
      </w:r>
      <w:r>
        <w:rPr>
          <w:noProof/>
        </w:rPr>
        <w:t xml:space="preserve"> за 2019 г. за ЕС е на стойност 7 057 535,1 милиона евро, което представлява увеличение с 2,20 % в сравнение с прогнозата от май 2018 г. на стойност 6 905 892,6 милиона евро.</w:t>
      </w:r>
    </w:p>
    <w:p>
      <w:pPr>
        <w:numPr>
          <w:ilvl w:val="0"/>
          <w:numId w:val="2"/>
        </w:numPr>
        <w:spacing w:before="120" w:after="120"/>
        <w:jc w:val="both"/>
        <w:rPr>
          <w:noProof/>
        </w:rPr>
      </w:pPr>
      <w:r>
        <w:rPr>
          <w:noProof/>
        </w:rPr>
        <w:t>Прогнозата за общата база за БНД за 2019 г. за ЕС е на стойност 16 347 197,8 милиона евро, което представлява намаление (-0,60 %) в сравнение с прогнозата от май 2018 г. на стойност 16 446 111,0 милиона евро.</w:t>
      </w:r>
    </w:p>
    <w:p>
      <w:pPr>
        <w:spacing w:before="120" w:after="120"/>
        <w:jc w:val="both"/>
        <w:rPr>
          <w:noProof/>
        </w:rPr>
      </w:pPr>
      <w:r>
        <w:rPr>
          <w:noProof/>
        </w:rPr>
        <w:t>За конвертиране на прогнозите за базите за ДДС и за БНД от национални валути в евро (за деветте държави членки, които не са членки на еврозоната) бяха използвани обменните курсове от 31 декември 2018 г. По този начин се избягва изкривяване, тъй като това е курсът, който се използва за конвертиране на вписаните в бюджета плащания по собствените ресурси от евро в национална валута, когато се изискват сумите (съгласно член 10а, параграф 1 от Регламент № 609/2014 на Съвета).</w:t>
      </w:r>
    </w:p>
    <w:p>
      <w:pPr>
        <w:spacing w:before="120" w:after="120"/>
        <w:jc w:val="both"/>
        <w:rPr>
          <w:noProof/>
        </w:rPr>
      </w:pPr>
      <w:r>
        <w:rPr>
          <w:noProof/>
        </w:rPr>
        <w:t>Преразгледаните прогнози за ТСР, за базите за ДДС без таван и за базите за БНД за 2019 г., приети на 175-ото заседание на ККСР от 24 май 2019 г., са посочени в следната таблица:</w:t>
      </w:r>
    </w:p>
    <w:p>
      <w:pPr>
        <w:keepNext/>
        <w:jc w:val="center"/>
        <w:rPr>
          <w:b/>
          <w:i/>
          <w:noProof/>
        </w:rPr>
      </w:pPr>
      <w:r>
        <w:rPr>
          <w:b/>
          <w:noProof/>
        </w:rPr>
        <w:t xml:space="preserve">Преразгледани прогнози за ТСР и за базите за ДДС и БНД за 2019 г. </w:t>
      </w:r>
      <w:r>
        <w:rPr>
          <w:b/>
          <w:i/>
          <w:noProof/>
        </w:rPr>
        <w:t>(в милиони евро)</w:t>
      </w:r>
    </w:p>
    <w:p>
      <w:pPr>
        <w:keepNext/>
        <w:jc w:val="center"/>
        <w:rPr>
          <w:b/>
          <w:i/>
          <w:noProof/>
        </w:rPr>
      </w:pPr>
    </w:p>
    <w:tbl>
      <w:tblPr>
        <w:tblW w:w="0" w:type="auto"/>
        <w:jc w:val="center"/>
        <w:tblLayout w:type="fixed"/>
        <w:tblLook w:val="0000" w:firstRow="0" w:lastRow="0" w:firstColumn="0" w:lastColumn="0" w:noHBand="0" w:noVBand="0"/>
      </w:tblPr>
      <w:tblGrid>
        <w:gridCol w:w="829"/>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65" w:name="OLE_LINK1"/>
            <w:bookmarkStart w:id="66" w:name="_Toc421699312"/>
            <w:bookmarkStart w:id="67" w:name="_Toc461544621"/>
            <w:bookmarkStart w:id="68" w:name="_Toc462410060"/>
            <w:bookmarkStart w:id="69" w:name="_Toc525202234"/>
            <w:bookmarkStart w:id="70" w:name="_Toc390436796"/>
            <w:bookmarkStart w:id="71" w:name="_Toc420941901"/>
            <w:bookmarkStart w:id="72" w:name="_Toc294673193"/>
            <w:bookmarkStart w:id="73" w:name="_Toc357005413"/>
            <w:bookmarkStart w:id="74" w:name="_Toc35888556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Мита</w:t>
            </w:r>
          </w:p>
          <w:p>
            <w:pPr>
              <w:keepNext/>
              <w:autoSpaceDE w:val="0"/>
              <w:autoSpaceDN w:val="0"/>
              <w:adjustRightInd w:val="0"/>
              <w:jc w:val="center"/>
              <w:rPr>
                <w:b/>
                <w:bCs/>
                <w:i/>
                <w:iCs/>
                <w:noProof/>
                <w:color w:val="000000"/>
                <w:sz w:val="20"/>
              </w:rPr>
            </w:pPr>
            <w:r>
              <w:rPr>
                <w:b/>
                <w:i/>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Бази за ДДС без таван</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Бази за БНД</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i/>
                <w:noProof/>
                <w:color w:val="000000"/>
                <w:sz w:val="20"/>
              </w:rPr>
              <w:t>Бази за ДДС</w:t>
            </w:r>
          </w:p>
          <w:p>
            <w:pPr>
              <w:keepNext/>
              <w:autoSpaceDE w:val="0"/>
              <w:autoSpaceDN w:val="0"/>
              <w:adjustRightInd w:val="0"/>
              <w:jc w:val="center"/>
              <w:rPr>
                <w:b/>
                <w:bCs/>
                <w:i/>
                <w:iCs/>
                <w:noProof/>
                <w:color w:val="000000"/>
                <w:sz w:val="20"/>
              </w:rPr>
            </w:pPr>
            <w:r>
              <w:rPr>
                <w:b/>
                <w:i/>
                <w:noProof/>
                <w:color w:val="000000"/>
                <w:sz w:val="20"/>
              </w:rPr>
              <w:t>с таван</w:t>
            </w:r>
            <w:r>
              <w:rPr>
                <w:b/>
                <w:i/>
                <w:noProof/>
                <w:color w:val="000000"/>
                <w:sz w:val="20"/>
                <w:vertAlign w:val="superscript"/>
              </w:rPr>
              <w:footnoteReference w:id="22"/>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2 173,3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200 164,5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469 186,6</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200 164,5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104,7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27 671,8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58 500,4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27 671,8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293,2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90 821,9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205 917,4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90 821,9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357,7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119 452,0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313 973,3</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119 452,0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4 133,0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1 453 699,2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3 551 074,7</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1 453 699,2</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 xml:space="preserve">  34,9</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 xml:space="preserve"> 13 074,3</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 xml:space="preserve"> 26 649,8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13 074,3</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308,7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91 474,4</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265 877,4</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bottom"/>
          </w:tcPr>
          <w:p>
            <w:pPr>
              <w:jc w:val="right"/>
              <w:rPr>
                <w:noProof/>
                <w:color w:val="000000"/>
                <w:sz w:val="20"/>
              </w:rPr>
            </w:pPr>
            <w:r>
              <w:rPr>
                <w:noProof/>
                <w:color w:val="000000"/>
                <w:sz w:val="20"/>
              </w:rPr>
              <w:t xml:space="preserve"> 91 474,4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185,6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75 007,5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190 421,6</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75 007,5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1 573,9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572 646,4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1 252 795,0</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572 646,4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1 746,2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1 112 113,9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2 472 604,4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1 112 113,9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39,0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33 740,9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52 961,9</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rPr>
              <w:t xml:space="preserve"> 26 481,0</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 xml:space="preserve"> 1 901,2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 xml:space="preserve"> 718 519,6</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1 793 427,3</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 xml:space="preserve"> 718 519,6</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25,3</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14 284,0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21 070,6</w:t>
            </w:r>
          </w:p>
        </w:tc>
        <w:tc>
          <w:tcPr>
            <w:tcW w:w="1404" w:type="dxa"/>
            <w:tcBorders>
              <w:top w:val="single" w:sz="4" w:space="0" w:color="auto"/>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rPr>
              <w:t xml:space="preserve"> 10 535,3</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44,8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12 079,5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31 194,7</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12 079,5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99,5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19 008,6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45 938,8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 xml:space="preserve"> 19 008,6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17,6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30 710,0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42 445,3</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rPr>
              <w:t xml:space="preserve"> 21 222,7</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 xml:space="preserve">  210,4</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 xml:space="preserve"> 57 991,8</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 xml:space="preserve"> 135 913,0</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 xml:space="preserve"> 57 991,8</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13,8</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8 893,3</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12 257,9</w:t>
            </w:r>
          </w:p>
        </w:tc>
        <w:tc>
          <w:tcPr>
            <w:tcW w:w="1404" w:type="dxa"/>
            <w:tcBorders>
              <w:top w:val="single" w:sz="4" w:space="0" w:color="auto"/>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rPr>
              <w:t xml:space="preserve"> 6 129,0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2 607,3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331 589,2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806 725,1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 xml:space="preserve"> 331 589,2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217,5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180 376,1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399 095,3</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 xml:space="preserve"> 180 376,1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781,4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248 536,4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502 207,3</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 xml:space="preserve"> 248 536,4</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188,2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105 998,5</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203 200,7</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szCs w:val="20"/>
              </w:rPr>
            </w:pPr>
            <w:r>
              <w:rPr>
                <w:noProof/>
                <w:color w:val="000000"/>
                <w:sz w:val="20"/>
              </w:rPr>
              <w:t xml:space="preserve"> 101 600,4</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194,6</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76 044,3</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215 341,6</w:t>
            </w:r>
          </w:p>
        </w:tc>
        <w:tc>
          <w:tcPr>
            <w:tcW w:w="1404" w:type="dxa"/>
            <w:tcBorders>
              <w:top w:val="dotted" w:sz="6" w:space="0" w:color="auto"/>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 xml:space="preserve"> 76 044,3</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81,0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22 413,4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47 995,2</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bottom"/>
          </w:tcPr>
          <w:p>
            <w:pPr>
              <w:jc w:val="right"/>
              <w:rPr>
                <w:noProof/>
                <w:color w:val="000000"/>
                <w:sz w:val="20"/>
              </w:rPr>
            </w:pPr>
            <w:r>
              <w:rPr>
                <w:noProof/>
                <w:color w:val="000000"/>
                <w:sz w:val="20"/>
              </w:rPr>
              <w:t xml:space="preserve"> 22 413,4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100,5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34 473,4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94 317,1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 xml:space="preserve"> 34 473,4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150,6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102 046,6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240 879,6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 xml:space="preserve"> 102 046,6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520,7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211 575,9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491 990,2</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 xml:space="preserve"> 211 575,9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 xml:space="preserve"> 3 101,4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1 120 786,2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2 403 235,6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1 120 786,2</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ЕС-28</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color w:val="000000"/>
                <w:sz w:val="20"/>
              </w:rPr>
              <w:t xml:space="preserve"> 21 206,0</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color w:val="000000"/>
                <w:sz w:val="20"/>
              </w:rPr>
              <w:t>7 085 193,6</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color w:val="000000"/>
                <w:sz w:val="20"/>
              </w:rPr>
              <w:t>16 347 197,8</w:t>
            </w:r>
          </w:p>
        </w:tc>
        <w:tc>
          <w:tcPr>
            <w:tcW w:w="1404" w:type="dxa"/>
            <w:tcBorders>
              <w:top w:val="single" w:sz="12" w:space="0" w:color="auto"/>
              <w:left w:val="single" w:sz="2" w:space="0" w:color="000000"/>
              <w:bottom w:val="single" w:sz="12" w:space="0" w:color="auto"/>
              <w:right w:val="single" w:sz="12" w:space="0" w:color="auto"/>
            </w:tcBorders>
            <w:vAlign w:val="bottom"/>
          </w:tcPr>
          <w:p>
            <w:pPr>
              <w:jc w:val="right"/>
              <w:rPr>
                <w:b/>
                <w:bCs/>
                <w:noProof/>
                <w:color w:val="000000"/>
                <w:sz w:val="20"/>
              </w:rPr>
            </w:pPr>
            <w:r>
              <w:rPr>
                <w:b/>
                <w:noProof/>
                <w:color w:val="000000"/>
                <w:sz w:val="20"/>
              </w:rPr>
              <w:t>7 057 535,1</w:t>
            </w:r>
          </w:p>
        </w:tc>
      </w:tr>
    </w:tbl>
    <w:p>
      <w:pPr>
        <w:keepNext/>
        <w:tabs>
          <w:tab w:val="left" w:pos="850"/>
        </w:tabs>
        <w:spacing w:before="360" w:after="120"/>
        <w:ind w:left="850" w:hanging="850"/>
        <w:jc w:val="both"/>
        <w:outlineLvl w:val="1"/>
        <w:rPr>
          <w:rFonts w:eastAsia="Calibri"/>
          <w:b/>
          <w:noProof/>
        </w:rPr>
      </w:pPr>
      <w:bookmarkStart w:id="75" w:name="_Toc12621014"/>
      <w:bookmarkStart w:id="76" w:name="_Toc13833763"/>
      <w:bookmarkEnd w:id="65"/>
      <w:r>
        <w:rPr>
          <w:b/>
          <w:noProof/>
        </w:rPr>
        <w:t>3.3</w:t>
      </w:r>
      <w:r>
        <w:rPr>
          <w:noProof/>
        </w:rPr>
        <w:tab/>
      </w:r>
      <w:r>
        <w:rPr>
          <w:b/>
          <w:noProof/>
        </w:rPr>
        <w:t>Корекция за Обединеното кралство за 2018 г. и 2015 г.</w:t>
      </w:r>
      <w:bookmarkEnd w:id="66"/>
      <w:bookmarkEnd w:id="67"/>
      <w:bookmarkEnd w:id="68"/>
      <w:bookmarkEnd w:id="69"/>
      <w:bookmarkEnd w:id="75"/>
      <w:bookmarkEnd w:id="76"/>
    </w:p>
    <w:p>
      <w:pPr>
        <w:keepNext/>
        <w:tabs>
          <w:tab w:val="left" w:pos="850"/>
        </w:tabs>
        <w:spacing w:before="240" w:after="120"/>
        <w:ind w:left="850" w:hanging="850"/>
        <w:jc w:val="both"/>
        <w:outlineLvl w:val="1"/>
        <w:rPr>
          <w:rFonts w:eastAsia="Calibri"/>
          <w:i/>
          <w:noProof/>
        </w:rPr>
      </w:pPr>
      <w:bookmarkStart w:id="77" w:name="_Toc294673194"/>
      <w:bookmarkStart w:id="78" w:name="_Toc357005414"/>
      <w:bookmarkStart w:id="79" w:name="_Toc390436797"/>
      <w:bookmarkStart w:id="80" w:name="_Toc420941902"/>
      <w:bookmarkStart w:id="81" w:name="_Toc461544622"/>
      <w:bookmarkStart w:id="82" w:name="_Toc12621015"/>
      <w:bookmarkStart w:id="83" w:name="_Toc13833764"/>
      <w:bookmarkEnd w:id="70"/>
      <w:bookmarkEnd w:id="71"/>
      <w:r>
        <w:rPr>
          <w:i/>
          <w:noProof/>
        </w:rPr>
        <w:t>3.3.1</w:t>
      </w:r>
      <w:r>
        <w:rPr>
          <w:noProof/>
        </w:rPr>
        <w:tab/>
      </w:r>
      <w:r>
        <w:rPr>
          <w:i/>
          <w:noProof/>
        </w:rPr>
        <w:t>Въведение</w:t>
      </w:r>
      <w:bookmarkEnd w:id="77"/>
      <w:bookmarkEnd w:id="78"/>
      <w:bookmarkEnd w:id="79"/>
      <w:bookmarkEnd w:id="80"/>
      <w:bookmarkEnd w:id="81"/>
      <w:bookmarkEnd w:id="82"/>
      <w:bookmarkEnd w:id="83"/>
    </w:p>
    <w:p>
      <w:pPr>
        <w:spacing w:before="120" w:after="120"/>
        <w:jc w:val="both"/>
        <w:rPr>
          <w:noProof/>
        </w:rPr>
      </w:pPr>
      <w:r>
        <w:rPr>
          <w:noProof/>
        </w:rPr>
        <w:t>Корекцията на бюджетните дисбаланси в полза на Обединеното кралство (корекция за Обединеното кралство), която следва да бъде включена в настоящия ПКБ, се отнася до две години: 2015 г. и 2018 г.</w:t>
      </w:r>
    </w:p>
    <w:p>
      <w:pPr>
        <w:jc w:val="both"/>
        <w:rPr>
          <w:noProof/>
        </w:rPr>
      </w:pPr>
      <w:r>
        <w:rPr>
          <w:noProof/>
        </w:rPr>
        <w:t>По отношение на корекцията за Обединеното кралство за 2015 г. и 2018 г. се прилагат разпоредбите на Решение 2014/335/ЕС, Евратом на Съвета относно системата на собствените ресурси на Европейския съюз</w:t>
      </w:r>
      <w:r>
        <w:rPr>
          <w:rStyle w:val="FootnoteReference"/>
          <w:noProof/>
        </w:rPr>
        <w:footnoteReference w:id="23"/>
      </w:r>
      <w:r>
        <w:rPr>
          <w:noProof/>
        </w:rPr>
        <w:t xml:space="preserve"> и придружаващият го работен документ (</w:t>
      </w:r>
      <w:r>
        <w:rPr>
          <w:i/>
          <w:noProof/>
        </w:rPr>
        <w:t>Метод за изчисляване от 2014 г.</w:t>
      </w:r>
      <w:r>
        <w:rPr>
          <w:noProof/>
          <w:vertAlign w:val="superscript"/>
        </w:rPr>
        <w:footnoteReference w:id="24"/>
      </w:r>
      <w:r>
        <w:rPr>
          <w:noProof/>
        </w:rPr>
        <w:t xml:space="preserve">). Според разпоредбите на посоченото решение нетните „извънредни приходи“ от ТСР на Обединеното кралство, произтичащи от увеличаването от 2001 г. насам на процента от ТСР, който държавите членки задържат като компенсация за разходите си по събирането, се неутрализират, а разпределените разходи се коригират с общите разпределени разходи в държавите членки, които са се присъединили към ЕС след 30 април 2004 г., с изключение на преките селскостопански плащания и свързаните с пазара разходи, както и частта от разходите за развитие на селските райони, произхождаща от ФЕОГА, секция „Гарантиране“. </w:t>
      </w:r>
    </w:p>
    <w:p>
      <w:pPr>
        <w:spacing w:before="120" w:after="120"/>
        <w:jc w:val="both"/>
        <w:rPr>
          <w:noProof/>
        </w:rPr>
      </w:pPr>
      <w:r>
        <w:rPr>
          <w:noProof/>
        </w:rPr>
        <w:t>Освен това делът на Австрия, Германия, Нидерландия и Швеция във финансирането на корекцията за Обединеното кралство е намален на една четвърт от обичайната му стойност. Това намаление се финансира от другите държави членки, с изключение на Обединеното кралство.</w:t>
      </w:r>
    </w:p>
    <w:p>
      <w:pPr>
        <w:spacing w:before="120" w:after="120"/>
        <w:jc w:val="both"/>
        <w:rPr>
          <w:noProof/>
        </w:rPr>
      </w:pPr>
      <w:r>
        <w:rPr>
          <w:noProof/>
        </w:rPr>
        <w:t xml:space="preserve">В настоящия ПКБ са записани изчислението и финансирането на </w:t>
      </w:r>
      <w:r>
        <w:rPr>
          <w:i/>
          <w:noProof/>
        </w:rPr>
        <w:t>първата актуализация</w:t>
      </w:r>
      <w:r>
        <w:rPr>
          <w:noProof/>
        </w:rPr>
        <w:t xml:space="preserve"> на корекцията за Обединеното кралство </w:t>
      </w:r>
      <w:r>
        <w:rPr>
          <w:i/>
          <w:noProof/>
        </w:rPr>
        <w:t>за 2018 г.</w:t>
      </w:r>
      <w:r>
        <w:rPr>
          <w:noProof/>
        </w:rPr>
        <w:t xml:space="preserve">, както и </w:t>
      </w:r>
      <w:r>
        <w:rPr>
          <w:i/>
          <w:noProof/>
        </w:rPr>
        <w:t>окончателният размер</w:t>
      </w:r>
      <w:r>
        <w:rPr>
          <w:noProof/>
        </w:rPr>
        <w:t xml:space="preserve"> на корекцията за Обединеното кралство </w:t>
      </w:r>
      <w:r>
        <w:rPr>
          <w:i/>
          <w:noProof/>
        </w:rPr>
        <w:t>за 2015 г.</w:t>
      </w:r>
    </w:p>
    <w:p>
      <w:pPr>
        <w:rPr>
          <w:noProof/>
        </w:rPr>
      </w:pPr>
      <w:r>
        <w:rPr>
          <w:noProof/>
        </w:rPr>
        <w:br w:type="page"/>
      </w:r>
    </w:p>
    <w:p>
      <w:pPr>
        <w:spacing w:before="120" w:after="120"/>
        <w:jc w:val="both"/>
        <w:rPr>
          <w:noProof/>
        </w:rPr>
      </w:pPr>
      <w:r>
        <w:rPr>
          <w:noProof/>
        </w:rPr>
        <w:t xml:space="preserve">Разликата между </w:t>
      </w:r>
      <w:r>
        <w:rPr>
          <w:i/>
          <w:noProof/>
        </w:rPr>
        <w:t>окончателния размер</w:t>
      </w:r>
      <w:r>
        <w:rPr>
          <w:noProof/>
        </w:rPr>
        <w:t xml:space="preserve"> </w:t>
      </w:r>
      <w:r>
        <w:rPr>
          <w:i/>
          <w:noProof/>
        </w:rPr>
        <w:t>на корекцията за Обединеното кралство за 2015 г.</w:t>
      </w:r>
      <w:r>
        <w:rPr>
          <w:noProof/>
        </w:rPr>
        <w:t xml:space="preserve"> и сумата, включена преди това в бюджета (</w:t>
      </w:r>
      <w:r>
        <w:rPr>
          <w:i/>
          <w:noProof/>
        </w:rPr>
        <w:t>първата актуализация</w:t>
      </w:r>
      <w:r>
        <w:rPr>
          <w:noProof/>
        </w:rPr>
        <w:t>, записана в КБ 5/2016), е записана в глава 35 (Резултат от окончателното изчисляване на финансирането за коригиране на бюджетния дисбаланс за Обединеното кралство) от настоящия ПКБ.</w:t>
      </w:r>
    </w:p>
    <w:p>
      <w:pPr>
        <w:spacing w:before="120" w:after="120"/>
        <w:jc w:val="both"/>
        <w:rPr>
          <w:noProof/>
        </w:rPr>
      </w:pPr>
      <w:r>
        <w:rPr>
          <w:i/>
          <w:noProof/>
        </w:rPr>
        <w:t>Първата актуализация на размера на корекцията за Обединеното кралство за 2018 г.</w:t>
      </w:r>
      <w:r>
        <w:rPr>
          <w:noProof/>
        </w:rPr>
        <w:t xml:space="preserve"> е записана в глава 15 (Корекция на бюджетни дисбаланси) от настоящия ПКБ и заменя записаната преди това в бюджета </w:t>
      </w:r>
      <w:r>
        <w:rPr>
          <w:i/>
          <w:noProof/>
        </w:rPr>
        <w:t>временна сума</w:t>
      </w:r>
      <w:r>
        <w:rPr>
          <w:noProof/>
        </w:rPr>
        <w:t>.</w:t>
      </w:r>
    </w:p>
    <w:p>
      <w:pPr>
        <w:keepNext/>
        <w:tabs>
          <w:tab w:val="left" w:pos="850"/>
        </w:tabs>
        <w:spacing w:before="240" w:after="120"/>
        <w:ind w:left="850" w:hanging="850"/>
        <w:jc w:val="both"/>
        <w:outlineLvl w:val="1"/>
        <w:rPr>
          <w:rFonts w:eastAsia="Calibri"/>
          <w:i/>
          <w:noProof/>
        </w:rPr>
      </w:pPr>
      <w:bookmarkStart w:id="84" w:name="_Toc231879704"/>
      <w:bookmarkStart w:id="85" w:name="_Toc293417236"/>
      <w:bookmarkStart w:id="86" w:name="_Toc294673195"/>
      <w:bookmarkStart w:id="87" w:name="_Toc357005415"/>
      <w:bookmarkStart w:id="88" w:name="_Toc390436798"/>
      <w:bookmarkStart w:id="89" w:name="_Toc420941903"/>
      <w:bookmarkStart w:id="90" w:name="_Toc461544623"/>
      <w:bookmarkStart w:id="91" w:name="_Toc12621016"/>
      <w:bookmarkStart w:id="92" w:name="_Toc13833765"/>
      <w:r>
        <w:rPr>
          <w:i/>
          <w:noProof/>
        </w:rPr>
        <w:t>3.3.2</w:t>
      </w:r>
      <w:r>
        <w:rPr>
          <w:noProof/>
        </w:rPr>
        <w:tab/>
      </w:r>
      <w:r>
        <w:rPr>
          <w:i/>
          <w:noProof/>
        </w:rPr>
        <w:t>Изчисляване на корекциите</w:t>
      </w:r>
      <w:bookmarkEnd w:id="84"/>
      <w:bookmarkEnd w:id="85"/>
      <w:bookmarkEnd w:id="86"/>
      <w:bookmarkEnd w:id="87"/>
      <w:bookmarkEnd w:id="88"/>
      <w:bookmarkEnd w:id="89"/>
      <w:bookmarkEnd w:id="90"/>
      <w:bookmarkEnd w:id="91"/>
      <w:bookmarkEnd w:id="92"/>
    </w:p>
    <w:p>
      <w:pPr>
        <w:spacing w:before="120" w:after="120"/>
        <w:jc w:val="both"/>
        <w:rPr>
          <w:noProof/>
        </w:rPr>
      </w:pPr>
      <w:r>
        <w:rPr>
          <w:noProof/>
        </w:rPr>
        <w:t xml:space="preserve">Актуализацията на корекциите за 2015 г. и 2018 г. се дължи предимно на актуализацията на базите за ДДС и БНД, изпратени от държавите членки през есента на 2018 г. Освен това в актуализацията на корекцията за 2018 г. са взети предвид и разпределените разходи от 2018 г. </w:t>
      </w:r>
    </w:p>
    <w:p>
      <w:pPr>
        <w:tabs>
          <w:tab w:val="left" w:pos="851"/>
        </w:tabs>
        <w:spacing w:before="120" w:after="120"/>
        <w:rPr>
          <w:bCs/>
          <w:noProof/>
          <w:szCs w:val="28"/>
          <w:u w:val="single"/>
        </w:rPr>
      </w:pPr>
      <w:bookmarkStart w:id="93" w:name="_Toc231879705"/>
      <w:r>
        <w:rPr>
          <w:noProof/>
          <w:u w:val="single"/>
        </w:rPr>
        <w:t>3.3.2.1</w:t>
      </w:r>
      <w:r>
        <w:rPr>
          <w:noProof/>
          <w:u w:val="single"/>
        </w:rPr>
        <w:tab/>
        <w:t>Корекция за Обединеното кралство за 2018 г.</w:t>
      </w:r>
    </w:p>
    <w:bookmarkEnd w:id="93"/>
    <w:p>
      <w:pPr>
        <w:spacing w:before="120" w:after="120"/>
        <w:jc w:val="both"/>
        <w:rPr>
          <w:noProof/>
        </w:rPr>
      </w:pPr>
      <w:r>
        <w:rPr>
          <w:noProof/>
        </w:rPr>
        <w:t xml:space="preserve">В следната таблица се обобщават промените между </w:t>
      </w:r>
      <w:r>
        <w:rPr>
          <w:i/>
          <w:noProof/>
        </w:rPr>
        <w:t>временния размер</w:t>
      </w:r>
      <w:r>
        <w:rPr>
          <w:noProof/>
        </w:rPr>
        <w:t xml:space="preserve"> на корекцията за Обединеното кралство за 2018 г., записан в бюджета за 2019 г., и </w:t>
      </w:r>
      <w:r>
        <w:rPr>
          <w:i/>
          <w:noProof/>
        </w:rPr>
        <w:t>първата актуализация</w:t>
      </w:r>
      <w:r>
        <w:rPr>
          <w:noProof/>
        </w:rPr>
        <w:t xml:space="preserve"> на корекцията за Обединеното кралство за 2018 г., която ще бъде записана в настоящия ПКБ.</w:t>
      </w:r>
    </w:p>
    <w:tbl>
      <w:tblPr>
        <w:tblW w:w="9260" w:type="dxa"/>
        <w:jc w:val="center"/>
        <w:tblInd w:w="-125" w:type="dxa"/>
        <w:tblLayout w:type="fixed"/>
        <w:tblLook w:val="0000" w:firstRow="0" w:lastRow="0" w:firstColumn="0" w:lastColumn="0" w:noHBand="0" w:noVBand="0"/>
      </w:tblPr>
      <w:tblGrid>
        <w:gridCol w:w="675"/>
        <w:gridCol w:w="3185"/>
        <w:gridCol w:w="1800"/>
        <w:gridCol w:w="1800"/>
        <w:gridCol w:w="1800"/>
      </w:tblGrid>
      <w:tr>
        <w:trPr>
          <w:trHeight w:val="727"/>
          <w:tblHeader/>
          <w:jc w:val="center"/>
        </w:trPr>
        <w:tc>
          <w:tcPr>
            <w:tcW w:w="675"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2018 г.</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Корекция за Обединеното кралство за 2018 г.</w:t>
            </w:r>
          </w:p>
          <w:p>
            <w:pPr>
              <w:autoSpaceDE w:val="0"/>
              <w:autoSpaceDN w:val="0"/>
              <w:adjustRightInd w:val="0"/>
              <w:jc w:val="center"/>
              <w:rPr>
                <w:noProof/>
                <w:color w:val="000000"/>
                <w:sz w:val="20"/>
              </w:rPr>
            </w:pPr>
            <w:r>
              <w:rPr>
                <w:b/>
                <w:noProof/>
                <w:color w:val="000000"/>
                <w:sz w:val="20"/>
              </w:rPr>
              <w:t>ВРЕМЕННА СУМА</w:t>
            </w:r>
          </w:p>
          <w:p>
            <w:pPr>
              <w:autoSpaceDE w:val="0"/>
              <w:autoSpaceDN w:val="0"/>
              <w:adjustRightInd w:val="0"/>
              <w:jc w:val="center"/>
              <w:rPr>
                <w:b/>
                <w:noProof/>
                <w:color w:val="000000"/>
                <w:sz w:val="20"/>
              </w:rPr>
            </w:pPr>
            <w:r>
              <w:rPr>
                <w:b/>
                <w:noProof/>
                <w:color w:val="000000"/>
                <w:sz w:val="20"/>
              </w:rPr>
              <w:t>Бюджет за 2019 г.</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Корекция за Обединеното кралство за 2018 г.</w:t>
            </w:r>
          </w:p>
          <w:p>
            <w:pPr>
              <w:autoSpaceDE w:val="0"/>
              <w:autoSpaceDN w:val="0"/>
              <w:adjustRightInd w:val="0"/>
              <w:jc w:val="center"/>
              <w:rPr>
                <w:b/>
                <w:bCs/>
                <w:noProof/>
                <w:color w:val="000000"/>
                <w:sz w:val="20"/>
              </w:rPr>
            </w:pPr>
            <w:r>
              <w:rPr>
                <w:b/>
                <w:noProof/>
                <w:color w:val="000000"/>
                <w:sz w:val="20"/>
              </w:rPr>
              <w:t>ПЪРВА АКТУАЛИЗАЦИЯ</w:t>
            </w:r>
          </w:p>
          <w:p>
            <w:pPr>
              <w:autoSpaceDE w:val="0"/>
              <w:autoSpaceDN w:val="0"/>
              <w:adjustRightInd w:val="0"/>
              <w:jc w:val="center"/>
              <w:rPr>
                <w:b/>
                <w:noProof/>
                <w:color w:val="000000"/>
                <w:sz w:val="20"/>
              </w:rPr>
            </w:pPr>
            <w:r>
              <w:rPr>
                <w:b/>
                <w:noProof/>
                <w:color w:val="000000"/>
                <w:sz w:val="20"/>
              </w:rPr>
              <w:t xml:space="preserve">ПКБ </w:t>
            </w:r>
            <w:r>
              <w:rPr>
                <w:b/>
                <w:noProof/>
                <w:sz w:val="20"/>
              </w:rPr>
              <w:t>4</w:t>
            </w:r>
            <w:r>
              <w:rPr>
                <w:b/>
                <w:noProof/>
                <w:color w:val="000000"/>
                <w:sz w:val="20"/>
              </w:rPr>
              <w:t>/2019</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Разлика</w:t>
            </w:r>
          </w:p>
        </w:tc>
      </w:tr>
      <w:tr>
        <w:trPr>
          <w:jc w:val="center"/>
        </w:trPr>
        <w:tc>
          <w:tcPr>
            <w:tcW w:w="675"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675"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от базата за ДДС без таван</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16,1945 %</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15,9617 %</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-0,2329 %</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в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7,3577 %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6,7300 %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-0,6277 %</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8,8368 %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9,2317 %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+0,3948 %</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127 599 039 596</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129 786 633 964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+ 2 187 594 368</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разширяването</w:t>
            </w:r>
            <w:r>
              <w:rPr>
                <w:noProof/>
                <w:sz w:val="20"/>
              </w:rPr>
              <w:br/>
              <w:t>= (5a) + (5б)</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27 076 886 462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31 101 300 166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+ 4 024 413 704</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27 076 886 462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31 101 300 166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+ 4 024 413 704</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100 522 153 134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98 685 333 798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- 1 836 819 336</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Първоначален размер на корекцията за Обединеното кралство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5 862 761 188</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6 012 789 482</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+ 150 028 294</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854 326 562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616 616 471</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- 237 710 091</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5 008 434 626</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5 396 173 012</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+ 387 738 385</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Извънредни приходи от ТСР</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- 15 094 049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- 35 957 064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- 20 863 015</w:t>
            </w:r>
          </w:p>
        </w:tc>
      </w:tr>
      <w:tr>
        <w:trPr>
          <w:jc w:val="center"/>
        </w:trPr>
        <w:tc>
          <w:tcPr>
            <w:tcW w:w="675"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5 023 528 676</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5 432 130 075</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+ 408 601 399</w:t>
            </w:r>
          </w:p>
        </w:tc>
      </w:tr>
    </w:tbl>
    <w:p>
      <w:pPr>
        <w:tabs>
          <w:tab w:val="num" w:pos="851"/>
        </w:tabs>
        <w:spacing w:before="120" w:after="120"/>
        <w:jc w:val="both"/>
        <w:rPr>
          <w:noProof/>
        </w:rPr>
      </w:pPr>
      <w:r>
        <w:rPr>
          <w:noProof/>
        </w:rPr>
        <w:t xml:space="preserve">Размерът на </w:t>
      </w:r>
      <w:r>
        <w:rPr>
          <w:i/>
          <w:noProof/>
        </w:rPr>
        <w:t>първата актуализация</w:t>
      </w:r>
      <w:r>
        <w:rPr>
          <w:noProof/>
        </w:rPr>
        <w:t xml:space="preserve"> на корекцията за Обединеното кралство за 2018 г. е с около 409 милиона евро по-висок в сравнение с </w:t>
      </w:r>
      <w:r>
        <w:rPr>
          <w:i/>
          <w:noProof/>
        </w:rPr>
        <w:t>временния размер</w:t>
      </w:r>
      <w:r>
        <w:rPr>
          <w:noProof/>
        </w:rPr>
        <w:t xml:space="preserve"> на корекцията за Обединеното кралство за 2018 г., записан в бюджета за 2019 г.</w:t>
      </w:r>
    </w:p>
    <w:p>
      <w:pPr>
        <w:tabs>
          <w:tab w:val="left" w:pos="851"/>
        </w:tabs>
        <w:rPr>
          <w:bCs/>
          <w:noProof/>
          <w:szCs w:val="28"/>
          <w:u w:val="single"/>
        </w:rPr>
      </w:pPr>
      <w:r>
        <w:rPr>
          <w:noProof/>
          <w:u w:val="single"/>
        </w:rPr>
        <w:t>3.3.2.2</w:t>
      </w:r>
      <w:r>
        <w:rPr>
          <w:noProof/>
          <w:u w:val="single"/>
        </w:rPr>
        <w:tab/>
        <w:t>Корекция за Обединеното кралство за 2015 г.</w:t>
      </w:r>
    </w:p>
    <w:p>
      <w:pPr>
        <w:spacing w:before="120" w:after="120"/>
        <w:jc w:val="both"/>
        <w:rPr>
          <w:noProof/>
        </w:rPr>
      </w:pPr>
      <w:r>
        <w:rPr>
          <w:noProof/>
        </w:rPr>
        <w:t xml:space="preserve">В следната таблица се обобщават промените между </w:t>
      </w:r>
      <w:r>
        <w:rPr>
          <w:i/>
          <w:noProof/>
        </w:rPr>
        <w:t>първата актуализация</w:t>
      </w:r>
      <w:r>
        <w:rPr>
          <w:noProof/>
        </w:rPr>
        <w:t xml:space="preserve"> на корекцията за Обединеното кралство за 2015 г., записана в коригиращ бюджет 5/2016, и </w:t>
      </w:r>
      <w:r>
        <w:rPr>
          <w:i/>
          <w:noProof/>
        </w:rPr>
        <w:t>окончателния размер</w:t>
      </w:r>
      <w:r>
        <w:rPr>
          <w:noProof/>
        </w:rPr>
        <w:t xml:space="preserve"> на корекцията за Обединеното кралство за 2015 г., който ще бъде записан в настоящия ПКБ.</w:t>
      </w:r>
    </w:p>
    <w:tbl>
      <w:tblPr>
        <w:tblW w:w="9260" w:type="dxa"/>
        <w:jc w:val="center"/>
        <w:tblInd w:w="-125" w:type="dxa"/>
        <w:tblLayout w:type="fixed"/>
        <w:tblLook w:val="0000" w:firstRow="0" w:lastRow="0" w:firstColumn="0" w:lastColumn="0" w:noHBand="0" w:noVBand="0"/>
      </w:tblPr>
      <w:tblGrid>
        <w:gridCol w:w="675"/>
        <w:gridCol w:w="3185"/>
        <w:gridCol w:w="1800"/>
        <w:gridCol w:w="1680"/>
        <w:gridCol w:w="1920"/>
      </w:tblGrid>
      <w:tr>
        <w:trPr>
          <w:trHeight w:val="831"/>
          <w:tblHeader/>
          <w:jc w:val="center"/>
        </w:trPr>
        <w:tc>
          <w:tcPr>
            <w:tcW w:w="675"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2015 г.</w:t>
            </w:r>
          </w:p>
          <w:p>
            <w:pPr>
              <w:rPr>
                <w:noProof/>
              </w:rPr>
            </w:pP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noProof/>
                <w:sz w:val="20"/>
              </w:rPr>
              <w:t>Корекция за Обединеното кралство за 2015 г.</w:t>
            </w:r>
            <w:r>
              <w:rPr>
                <w:b/>
                <w:bCs/>
                <w:noProof/>
                <w:sz w:val="20"/>
              </w:rPr>
              <w:br/>
            </w:r>
            <w:r>
              <w:rPr>
                <w:b/>
                <w:noProof/>
                <w:sz w:val="20"/>
              </w:rPr>
              <w:t xml:space="preserve">ПЪРВА АКТУАЛИЗАЦИЯ </w:t>
            </w:r>
            <w:r>
              <w:rPr>
                <w:b/>
                <w:bCs/>
                <w:noProof/>
                <w:sz w:val="20"/>
              </w:rPr>
              <w:br/>
            </w:r>
            <w:r>
              <w:rPr>
                <w:b/>
                <w:noProof/>
                <w:sz w:val="20"/>
              </w:rPr>
              <w:t>КБ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noProof/>
                <w:sz w:val="20"/>
              </w:rPr>
              <w:t>Корекция за Обединеното кралство за 2015 г.</w:t>
            </w:r>
            <w:r>
              <w:rPr>
                <w:b/>
                <w:bCs/>
                <w:noProof/>
                <w:sz w:val="20"/>
              </w:rPr>
              <w:br/>
            </w:r>
            <w:r>
              <w:rPr>
                <w:b/>
                <w:noProof/>
                <w:sz w:val="20"/>
              </w:rPr>
              <w:t>ОКОНЧАТЕЛЕН РАЗМЕР</w:t>
            </w:r>
            <w:r>
              <w:rPr>
                <w:b/>
                <w:bCs/>
                <w:noProof/>
                <w:sz w:val="20"/>
              </w:rPr>
              <w:br/>
            </w:r>
            <w:r>
              <w:rPr>
                <w:b/>
                <w:noProof/>
                <w:sz w:val="20"/>
              </w:rPr>
              <w:t>ПКБ 4/2019</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i/>
                <w:noProof/>
                <w:sz w:val="20"/>
              </w:rPr>
              <w:t>Разлика</w:t>
            </w:r>
          </w:p>
        </w:tc>
      </w:tr>
      <w:tr>
        <w:trPr>
          <w:jc w:val="center"/>
        </w:trPr>
        <w:tc>
          <w:tcPr>
            <w:tcW w:w="675"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675"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от базата за ДДС без таван</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19,2145 %</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19,1419 %</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- 0,0726 %</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в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7,5910 %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7,5894 %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- 0,0016 %</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11,6235 %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11,5525 %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- 0,0710 %</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129 194 773 448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129 135 893 336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- 58 880 112</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разширяването</w:t>
            </w:r>
            <w:r>
              <w:rPr>
                <w:noProof/>
                <w:sz w:val="20"/>
              </w:rPr>
              <w:br/>
              <w:t>= (5a) + (5б)</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31 733 179 803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31 639 878 296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- 93 301 507</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31 733 179 803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31 639 878 296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- 93 301 507</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97 461 593 645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97 496 015 040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+ 34 421 395</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Първоначален размер на корекцията за Обединеното кралство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7 476 753 663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7 433 724 758</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- 43 028 905</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1 496 521 393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1 381 345 015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- 115 176 378</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5 980 232 270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6 052 379 743</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+ 72 147 473</w:t>
            </w:r>
          </w:p>
        </w:tc>
      </w:tr>
      <w:tr>
        <w:trPr>
          <w:jc w:val="center"/>
        </w:trPr>
        <w:tc>
          <w:tcPr>
            <w:tcW w:w="675"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Извънредни приходи от ТСР</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-76 109 576</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-74 320 246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+ 1 789 330</w:t>
            </w:r>
          </w:p>
        </w:tc>
      </w:tr>
      <w:tr>
        <w:trPr>
          <w:jc w:val="center"/>
        </w:trPr>
        <w:tc>
          <w:tcPr>
            <w:tcW w:w="675"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6 056 341 847</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6 126 699 989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+70 358 142</w:t>
            </w:r>
          </w:p>
        </w:tc>
      </w:tr>
    </w:tbl>
    <w:p>
      <w:pPr>
        <w:spacing w:before="120" w:after="120"/>
        <w:jc w:val="both"/>
        <w:rPr>
          <w:noProof/>
        </w:rPr>
      </w:pPr>
      <w:r>
        <w:rPr>
          <w:i/>
          <w:noProof/>
        </w:rPr>
        <w:t>Окончателният размер</w:t>
      </w:r>
      <w:r>
        <w:rPr>
          <w:noProof/>
        </w:rPr>
        <w:t xml:space="preserve"> на корекцията за Обединеното кралство за 2015 г. е с около 70 милиона евро по-висок от </w:t>
      </w:r>
      <w:r>
        <w:rPr>
          <w:i/>
          <w:noProof/>
        </w:rPr>
        <w:t>първата актуализация</w:t>
      </w:r>
      <w:r>
        <w:rPr>
          <w:noProof/>
        </w:rPr>
        <w:t xml:space="preserve"> на корекцията за Обединеното кралство за 2015 г., записана в КБ 5/2016, най-вече вследствие на актуализациите на базите за ДДС и БНД, изпратени от държавите членки през есента на 2018 г.</w:t>
      </w:r>
    </w:p>
    <w:p>
      <w:pPr>
        <w:keepNext/>
        <w:tabs>
          <w:tab w:val="left" w:pos="850"/>
        </w:tabs>
        <w:spacing w:before="240" w:after="120"/>
        <w:ind w:left="850" w:hanging="850"/>
        <w:jc w:val="both"/>
        <w:outlineLvl w:val="1"/>
        <w:rPr>
          <w:rFonts w:eastAsia="Calibri"/>
          <w:i/>
          <w:noProof/>
        </w:rPr>
      </w:pPr>
      <w:bookmarkStart w:id="94" w:name="_Toc231879708"/>
      <w:bookmarkStart w:id="95" w:name="_Toc293417237"/>
      <w:bookmarkStart w:id="96" w:name="_Toc294673196"/>
      <w:bookmarkStart w:id="97" w:name="_Toc357005416"/>
      <w:bookmarkStart w:id="98" w:name="_Toc390436799"/>
      <w:bookmarkStart w:id="99" w:name="_Toc420941904"/>
      <w:bookmarkStart w:id="100" w:name="_Toc461544624"/>
      <w:bookmarkStart w:id="101" w:name="_Toc12621017"/>
      <w:bookmarkStart w:id="102" w:name="_Toc13833766"/>
      <w:r>
        <w:rPr>
          <w:i/>
          <w:noProof/>
        </w:rPr>
        <w:t>3.3.3</w:t>
      </w:r>
      <w:r>
        <w:rPr>
          <w:noProof/>
        </w:rPr>
        <w:tab/>
      </w:r>
      <w:r>
        <w:rPr>
          <w:i/>
          <w:noProof/>
        </w:rPr>
        <w:t>Вписване в ПКБ 4/2019 на първата актуализация на корекцията за Обединеното кралство за 2018 г. и на окончателния размер на корекцията за Обединеното кралство за 2015 г.</w:t>
      </w:r>
      <w:bookmarkEnd w:id="94"/>
      <w:bookmarkEnd w:id="95"/>
      <w:bookmarkEnd w:id="96"/>
      <w:bookmarkEnd w:id="97"/>
      <w:bookmarkEnd w:id="98"/>
      <w:bookmarkEnd w:id="99"/>
      <w:bookmarkEnd w:id="100"/>
      <w:bookmarkEnd w:id="101"/>
      <w:bookmarkEnd w:id="102"/>
      <w:r>
        <w:rPr>
          <w:i/>
          <w:noProof/>
        </w:rPr>
        <w:t xml:space="preserve"> </w:t>
      </w:r>
    </w:p>
    <w:p>
      <w:pPr>
        <w:tabs>
          <w:tab w:val="left" w:pos="851"/>
        </w:tabs>
        <w:spacing w:before="120" w:after="120"/>
        <w:rPr>
          <w:bCs/>
          <w:noProof/>
          <w:szCs w:val="28"/>
          <w:u w:val="single"/>
        </w:rPr>
      </w:pPr>
      <w:bookmarkStart w:id="103" w:name="_Toc231879709"/>
      <w:r>
        <w:rPr>
          <w:noProof/>
          <w:u w:val="single"/>
        </w:rPr>
        <w:t>3.3.3.1</w:t>
      </w:r>
      <w:r>
        <w:rPr>
          <w:noProof/>
          <w:u w:val="single"/>
        </w:rPr>
        <w:tab/>
        <w:t>Корекция за Обединеното кралство за 2015 г. (глава 35)</w:t>
      </w:r>
    </w:p>
    <w:p>
      <w:pPr>
        <w:spacing w:before="120" w:after="120"/>
        <w:jc w:val="both"/>
        <w:rPr>
          <w:noProof/>
        </w:rPr>
      </w:pPr>
      <w:r>
        <w:rPr>
          <w:noProof/>
        </w:rPr>
        <w:t xml:space="preserve">Размерът на корекцията за Обединеното кралство, който подлежи на включване в глава 35 от настоящия ПКБ, е разликата между </w:t>
      </w:r>
      <w:r>
        <w:rPr>
          <w:i/>
          <w:noProof/>
        </w:rPr>
        <w:t>окончателния размер</w:t>
      </w:r>
      <w:r>
        <w:rPr>
          <w:noProof/>
        </w:rPr>
        <w:t xml:space="preserve"> на корекцията за Обединеното кралство за 2015 г. (т.е. 6 126 699 989 EUR) и </w:t>
      </w:r>
      <w:r>
        <w:rPr>
          <w:i/>
          <w:noProof/>
        </w:rPr>
        <w:t>първата актуализация</w:t>
      </w:r>
      <w:r>
        <w:rPr>
          <w:noProof/>
        </w:rPr>
        <w:t xml:space="preserve"> на корекцията за Обединеното кралство за 2015 г. (т.е. 6 056 341 847 EUR, записани в КБ № 5/2016), която възлиза на 70 358 142 EUR.</w:t>
      </w:r>
    </w:p>
    <w:p>
      <w:pPr>
        <w:spacing w:before="120" w:after="240"/>
        <w:jc w:val="both"/>
        <w:rPr>
          <w:noProof/>
        </w:rPr>
      </w:pPr>
      <w:r>
        <w:rPr>
          <w:noProof/>
        </w:rPr>
        <w:t>Тази сума следва да бъде финансирана съобразно преразгледаните бази за БНД за 2015 г., известни в края на 2018 г. Включването на тази сума в глава 35 от бюджета е обобщено по-долу:</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noProof/>
                <w:sz w:val="20"/>
              </w:rPr>
              <w:t>Корекция за Обединеното кралство за 2015 г. — глава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1 267 154</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866 089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3 148 896</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2 764 651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4 903 895</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310 080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6 556 672</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-260 138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4 385 985</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1 362 429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303 635</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-9 542 201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20 284 145</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476 355</w:t>
            </w:r>
          </w:p>
        </w:tc>
      </w:tr>
      <w:tr>
        <w:trPr>
          <w:trHeight w:val="255"/>
          <w:jc w:val="center"/>
        </w:trPr>
        <w:tc>
          <w:tcPr>
            <w:tcW w:w="549" w:type="dxa"/>
            <w:tcBorders>
              <w:top w:val="nil"/>
              <w:left w:val="single" w:sz="8" w:space="0" w:color="auto"/>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right w:val="nil"/>
            </w:tcBorders>
            <w:shd w:val="clear" w:color="auto" w:fill="auto"/>
            <w:noWrap/>
            <w:vAlign w:val="center"/>
          </w:tcPr>
          <w:p>
            <w:pPr>
              <w:jc w:val="right"/>
              <w:rPr>
                <w:noProof/>
                <w:sz w:val="20"/>
              </w:rPr>
            </w:pPr>
            <w:r>
              <w:rPr>
                <w:noProof/>
                <w:sz w:val="20"/>
              </w:rPr>
              <w:t>504 408</w:t>
            </w:r>
          </w:p>
        </w:tc>
        <w:tc>
          <w:tcPr>
            <w:tcW w:w="809" w:type="dxa"/>
            <w:tcBorders>
              <w:top w:val="nil"/>
              <w:left w:val="nil"/>
              <w:right w:val="nil"/>
            </w:tcBorders>
            <w:shd w:val="clear" w:color="auto" w:fill="auto"/>
            <w:noWrap/>
          </w:tcPr>
          <w:p>
            <w:pPr>
              <w:jc w:val="center"/>
              <w:rPr>
                <w:b/>
                <w:noProof/>
                <w:sz w:val="20"/>
              </w:rPr>
            </w:pPr>
            <w:r>
              <w:rPr>
                <w:b/>
                <w:noProof/>
                <w:sz w:val="20"/>
              </w:rPr>
              <w:t>RO</w:t>
            </w:r>
          </w:p>
        </w:tc>
        <w:tc>
          <w:tcPr>
            <w:tcW w:w="1479" w:type="dxa"/>
            <w:tcBorders>
              <w:top w:val="nil"/>
              <w:left w:val="nil"/>
              <w:right w:val="single" w:sz="8" w:space="0" w:color="auto"/>
            </w:tcBorders>
            <w:shd w:val="clear" w:color="auto" w:fill="auto"/>
            <w:noWrap/>
            <w:vAlign w:val="center"/>
          </w:tcPr>
          <w:p>
            <w:pPr>
              <w:jc w:val="right"/>
              <w:rPr>
                <w:noProof/>
                <w:sz w:val="20"/>
              </w:rPr>
            </w:pPr>
            <w:r>
              <w:rPr>
                <w:noProof/>
                <w:sz w:val="20"/>
              </w:rPr>
              <w:t>1 609 226</w:t>
            </w:r>
          </w:p>
        </w:tc>
      </w:tr>
      <w:tr>
        <w:trPr>
          <w:trHeight w:val="255"/>
          <w:jc w:val="center"/>
        </w:trPr>
        <w:tc>
          <w:tcPr>
            <w:tcW w:w="549" w:type="dxa"/>
            <w:tcBorders>
              <w:top w:val="nil"/>
              <w:left w:val="single" w:sz="8" w:space="0" w:color="auto"/>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right w:val="nil"/>
            </w:tcBorders>
            <w:shd w:val="clear" w:color="auto" w:fill="auto"/>
            <w:noWrap/>
            <w:vAlign w:val="center"/>
          </w:tcPr>
          <w:p>
            <w:pPr>
              <w:jc w:val="right"/>
              <w:rPr>
                <w:noProof/>
                <w:sz w:val="20"/>
              </w:rPr>
            </w:pPr>
            <w:r>
              <w:rPr>
                <w:noProof/>
                <w:sz w:val="20"/>
              </w:rPr>
              <w:t>1 272 857</w:t>
            </w:r>
          </w:p>
        </w:tc>
        <w:tc>
          <w:tcPr>
            <w:tcW w:w="809" w:type="dxa"/>
            <w:tcBorders>
              <w:top w:val="nil"/>
              <w:left w:val="nil"/>
              <w:right w:val="nil"/>
            </w:tcBorders>
            <w:shd w:val="clear" w:color="auto" w:fill="auto"/>
            <w:noWrap/>
          </w:tcPr>
          <w:p>
            <w:pPr>
              <w:jc w:val="center"/>
              <w:rPr>
                <w:b/>
                <w:noProof/>
                <w:sz w:val="20"/>
              </w:rPr>
            </w:pPr>
            <w:r>
              <w:rPr>
                <w:b/>
                <w:noProof/>
                <w:sz w:val="20"/>
              </w:rPr>
              <w:t>SI</w:t>
            </w:r>
          </w:p>
        </w:tc>
        <w:tc>
          <w:tcPr>
            <w:tcW w:w="1479" w:type="dxa"/>
            <w:tcBorders>
              <w:top w:val="nil"/>
              <w:left w:val="nil"/>
              <w:right w:val="single" w:sz="8" w:space="0" w:color="auto"/>
            </w:tcBorders>
            <w:shd w:val="clear" w:color="auto" w:fill="auto"/>
            <w:noWrap/>
            <w:vAlign w:val="center"/>
          </w:tcPr>
          <w:p>
            <w:pPr>
              <w:jc w:val="right"/>
              <w:rPr>
                <w:noProof/>
                <w:sz w:val="20"/>
              </w:rPr>
            </w:pPr>
            <w:r>
              <w:rPr>
                <w:noProof/>
                <w:sz w:val="20"/>
              </w:rPr>
              <w:t>123 083</w:t>
            </w:r>
          </w:p>
        </w:tc>
      </w:tr>
      <w:tr>
        <w:trPr>
          <w:trHeight w:val="255"/>
          <w:jc w:val="center"/>
        </w:trPr>
        <w:tc>
          <w:tcPr>
            <w:tcW w:w="549" w:type="dxa"/>
            <w:tcBorders>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left w:val="nil"/>
              <w:bottom w:val="nil"/>
              <w:right w:val="nil"/>
            </w:tcBorders>
            <w:shd w:val="clear" w:color="auto" w:fill="auto"/>
            <w:noWrap/>
            <w:vAlign w:val="center"/>
          </w:tcPr>
          <w:p>
            <w:pPr>
              <w:jc w:val="right"/>
              <w:rPr>
                <w:noProof/>
                <w:sz w:val="20"/>
              </w:rPr>
            </w:pPr>
            <w:r>
              <w:rPr>
                <w:noProof/>
                <w:sz w:val="20"/>
              </w:rPr>
              <w:t>5 838 257</w:t>
            </w:r>
          </w:p>
        </w:tc>
        <w:tc>
          <w:tcPr>
            <w:tcW w:w="809" w:type="dxa"/>
            <w:tcBorders>
              <w:left w:val="nil"/>
              <w:bottom w:val="nil"/>
              <w:right w:val="nil"/>
            </w:tcBorders>
            <w:shd w:val="clear" w:color="auto" w:fill="auto"/>
            <w:noWrap/>
          </w:tcPr>
          <w:p>
            <w:pPr>
              <w:jc w:val="center"/>
              <w:rPr>
                <w:b/>
                <w:noProof/>
                <w:sz w:val="20"/>
              </w:rPr>
            </w:pPr>
            <w:r>
              <w:rPr>
                <w:b/>
                <w:noProof/>
                <w:sz w:val="20"/>
              </w:rPr>
              <w:t>SK</w:t>
            </w:r>
          </w:p>
        </w:tc>
        <w:tc>
          <w:tcPr>
            <w:tcW w:w="1479" w:type="dxa"/>
            <w:tcBorders>
              <w:left w:val="nil"/>
              <w:bottom w:val="nil"/>
              <w:right w:val="single" w:sz="8" w:space="0" w:color="auto"/>
            </w:tcBorders>
            <w:shd w:val="clear" w:color="auto" w:fill="auto"/>
            <w:noWrap/>
            <w:vAlign w:val="center"/>
          </w:tcPr>
          <w:p>
            <w:pPr>
              <w:jc w:val="right"/>
              <w:rPr>
                <w:noProof/>
                <w:sz w:val="20"/>
              </w:rPr>
            </w:pPr>
            <w:r>
              <w:rPr>
                <w:noProof/>
                <w:sz w:val="20"/>
              </w:rPr>
              <w:t>1 555 233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1 207 446</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4 733 265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19 287 491</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-2 400 255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627 536</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-619 579</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- 70 358 142</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-208 473</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spacing w:before="120" w:after="120"/>
        <w:rPr>
          <w:bCs/>
          <w:noProof/>
          <w:szCs w:val="28"/>
          <w:u w:val="single"/>
        </w:rPr>
      </w:pPr>
      <w:r>
        <w:rPr>
          <w:noProof/>
          <w:u w:val="single"/>
        </w:rPr>
        <w:t>3.3.3.2</w:t>
      </w:r>
      <w:r>
        <w:rPr>
          <w:noProof/>
          <w:u w:val="single"/>
        </w:rPr>
        <w:tab/>
        <w:t>Корекция за Обединеното кралство за 2018 г. (глава 15)</w:t>
      </w:r>
    </w:p>
    <w:bookmarkEnd w:id="103"/>
    <w:p>
      <w:pPr>
        <w:spacing w:before="120" w:after="120"/>
        <w:jc w:val="both"/>
        <w:rPr>
          <w:noProof/>
        </w:rPr>
      </w:pPr>
      <w:r>
        <w:rPr>
          <w:noProof/>
        </w:rPr>
        <w:t xml:space="preserve">Размерът на </w:t>
      </w:r>
      <w:r>
        <w:rPr>
          <w:i/>
          <w:noProof/>
        </w:rPr>
        <w:t>първата актуализация</w:t>
      </w:r>
      <w:r>
        <w:rPr>
          <w:noProof/>
        </w:rPr>
        <w:t xml:space="preserve"> на корекцията за Обединеното кралство за 2018 г. съответства на 5 432 130 075 EUR, което е с 408 601 399 EUR повече от сумата, записана в бюджета за 2019 г. (5 023 528 676 EUR).</w:t>
      </w:r>
    </w:p>
    <w:p>
      <w:pPr>
        <w:spacing w:before="120" w:after="240"/>
        <w:jc w:val="both"/>
        <w:rPr>
          <w:noProof/>
        </w:rPr>
      </w:pPr>
      <w:r>
        <w:rPr>
          <w:noProof/>
        </w:rPr>
        <w:t>Тази сума следва да бъде финансирана съобразно преразгледаните бази за БНД за 2019 г. в настоящия ПКБ. Включването на тази сума в глава 15 от бюджета е обобщено по-долу:</w:t>
      </w:r>
    </w:p>
    <w:p>
      <w:pPr>
        <w:rPr>
          <w:noProof/>
        </w:rPr>
      </w:pPr>
      <w:r>
        <w:rPr>
          <w:noProof/>
        </w:rPr>
        <w:br w:type="page"/>
      </w:r>
    </w:p>
    <w:p>
      <w:pPr>
        <w:spacing w:before="120" w:after="240"/>
        <w:jc w:val="both"/>
        <w:rPr>
          <w:noProof/>
        </w:rPr>
      </w:pP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jc w:val="center"/>
              <w:rPr>
                <w:noProof/>
                <w:sz w:val="20"/>
                <w:szCs w:val="20"/>
              </w:rPr>
            </w:pPr>
            <w:r>
              <w:rPr>
                <w:b/>
                <w:noProof/>
                <w:sz w:val="20"/>
              </w:rPr>
              <w:t>Корекция за Обединеното кралство за 2018 г. — глава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rPr>
            </w:pPr>
            <w:r>
              <w:rPr>
                <w:noProof/>
                <w:sz w:val="20"/>
              </w:rPr>
              <w:t>265 533 515</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24 021 679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33 107 972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76 919 197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116 537 793</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6 937 290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177 691 422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78 568 695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345 846 816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38 868 751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15 082 304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284 221 395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150 471 818</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115 000 292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107 768 033</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121 871 366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709 012 279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27 162 613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1 399 356 542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53 378 232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29 973 489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136 324 454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1 014 980 086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47 915 985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11 924 787</w:t>
            </w:r>
          </w:p>
        </w:tc>
        <w:tc>
          <w:tcPr>
            <w:tcW w:w="793" w:type="dxa"/>
            <w:vMerge w:val="restart"/>
            <w:tcBorders>
              <w:top w:val="nil"/>
              <w:left w:val="nil"/>
              <w:right w:val="nil"/>
            </w:tcBorders>
            <w:shd w:val="clear" w:color="auto" w:fill="auto"/>
            <w:noWrap/>
            <w:vAlign w:val="center"/>
          </w:tcPr>
          <w:p>
            <w:pPr>
              <w:jc w:val="center"/>
              <w:rPr>
                <w:b/>
                <w:bCs/>
                <w:noProof/>
                <w:sz w:val="20"/>
              </w:rPr>
            </w:pPr>
            <w:r>
              <w:rPr>
                <w:b/>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- 5 432 130 075</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17 654 465</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25 998 805</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noProof/>
                <w:sz w:val="20"/>
              </w:rPr>
              <w:t xml:space="preserve">Общо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noProof/>
                <w:sz w:val="20"/>
              </w:rPr>
              <w:t>0</w:t>
            </w:r>
          </w:p>
        </w:tc>
      </w:tr>
    </w:tbl>
    <w:p>
      <w:pPr>
        <w:pStyle w:val="ManualHeading1"/>
        <w:pageBreakBefore/>
        <w:rPr>
          <w:noProof/>
        </w:rPr>
      </w:pPr>
      <w:bookmarkStart w:id="104" w:name="_Toc514181802"/>
      <w:bookmarkStart w:id="105" w:name="_Toc12621018"/>
      <w:bookmarkStart w:id="106" w:name="_Toc13833767"/>
      <w:bookmarkEnd w:id="72"/>
      <w:bookmarkEnd w:id="73"/>
      <w:bookmarkEnd w:id="74"/>
      <w:bookmarkEnd w:id="53"/>
      <w:bookmarkEnd w:id="54"/>
      <w:bookmarkEnd w:id="55"/>
      <w:r>
        <w:rPr>
          <w:noProof/>
        </w:rPr>
        <w:t>4.</w:t>
      </w:r>
      <w:r>
        <w:rPr>
          <w:noProof/>
        </w:rPr>
        <w:tab/>
        <w:t>Обобщаваща таблица по функции от МФР</w:t>
      </w:r>
      <w:bookmarkEnd w:id="104"/>
      <w:bookmarkEnd w:id="105"/>
      <w:bookmarkEnd w:id="106"/>
    </w:p>
    <w:tbl>
      <w:tblPr>
        <w:tblW w:w="10780" w:type="dxa"/>
        <w:jc w:val="center"/>
        <w:tblLook w:val="04A0" w:firstRow="1" w:lastRow="0" w:firstColumn="1" w:lastColumn="0" w:noHBand="0" w:noVBand="1"/>
      </w:tblPr>
      <w:tblGrid>
        <w:gridCol w:w="358"/>
        <w:gridCol w:w="2680"/>
        <w:gridCol w:w="1360"/>
        <w:gridCol w:w="1360"/>
        <w:gridCol w:w="1200"/>
        <w:gridCol w:w="1200"/>
        <w:gridCol w:w="1360"/>
        <w:gridCol w:w="1262"/>
      </w:tblGrid>
      <w:tr>
        <w:trPr>
          <w:trHeight w:val="180"/>
          <w:jc w:val="center"/>
        </w:trPr>
        <w:tc>
          <w:tcPr>
            <w:tcW w:w="10780" w:type="dxa"/>
            <w:gridSpan w:val="8"/>
            <w:tcBorders>
              <w:top w:val="nil"/>
              <w:left w:val="nil"/>
              <w:bottom w:val="single" w:sz="4" w:space="0" w:color="auto"/>
              <w:right w:val="nil"/>
            </w:tcBorders>
            <w:shd w:val="clear" w:color="auto" w:fill="auto"/>
            <w:noWrap/>
            <w:vAlign w:val="bottom"/>
            <w:hideMark/>
          </w:tcPr>
          <w:bookmarkEnd w:id="11"/>
          <w:bookmarkEnd w:id="12"/>
          <w:bookmarkEnd w:id="15"/>
          <w:bookmarkEnd w:id="16"/>
          <w:bookmarkEnd w:id="3"/>
          <w:bookmarkEnd w:id="4"/>
          <w:p>
            <w:pPr>
              <w:jc w:val="right"/>
              <w:rPr>
                <w:i/>
                <w:iCs/>
                <w:noProof/>
                <w:color w:val="000000"/>
                <w:sz w:val="14"/>
                <w:szCs w:val="14"/>
              </w:rPr>
            </w:pPr>
            <w:r>
              <w:rPr>
                <w:i/>
                <w:noProof/>
                <w:color w:val="000000"/>
                <w:sz w:val="14"/>
              </w:rPr>
              <w:t>(ЕUR)</w:t>
            </w:r>
          </w:p>
        </w:tc>
      </w:tr>
      <w:tr>
        <w:trPr>
          <w:trHeight w:val="210"/>
          <w:jc w:val="center"/>
        </w:trPr>
        <w:tc>
          <w:tcPr>
            <w:tcW w:w="294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Функция</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2019 г.</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Проект на коригиращ бюджет 4/2019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2019 г.</w:t>
            </w:r>
          </w:p>
        </w:tc>
      </w:tr>
      <w:tr>
        <w:trPr>
          <w:trHeight w:val="210"/>
          <w:jc w:val="center"/>
        </w:trPr>
        <w:tc>
          <w:tcPr>
            <w:tcW w:w="294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ПКБ 1—3/2019)</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ПКБ 1—4/2019)</w:t>
            </w:r>
          </w:p>
        </w:tc>
      </w:tr>
      <w:tr>
        <w:trPr>
          <w:trHeight w:val="210"/>
          <w:jc w:val="center"/>
        </w:trPr>
        <w:tc>
          <w:tcPr>
            <w:tcW w:w="294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Интелигентен и приобщаващ растеж</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67 556 947 173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- 26 820 000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- 18 520 000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80 600 629 848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67 538 427 173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160 195 475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516 434 373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Таван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Конкурентоспособност за растеж и работни места</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20 521 537 455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- 18 520 000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23 416 929 848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20 503 017 455</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160 195 475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1б </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Икономическо, социално и териториално сближаване</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47 035 409 718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57 183 700 000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47 035 409 718</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341 700 000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Устойчив растеж: природни ресурси</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57 399 857 331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57 399 857 331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Европейски фонд за гарантиране на земеделието (ЕФГЗ) — Разходи, свързани с пазара, и преки плащания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43 116 399 417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43 116 399 417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Разлика от закръгляне, изключена от изчислението на маржа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 за ЕФГЗ</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Сигурност и гражданство</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3 527 434 894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- 55 441 000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- 47 001 514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3 731 188 138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3 480 433 380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- 55 441 000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930 188 138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Глобална Европа</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9 358 295 603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9 356 295 603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Администрация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9 944 904 743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11 941 000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11 941 000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9 954 915 723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9 956 845 743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577 202 121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Административни разходи на институциите</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7 749 215 823</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7 749 215 823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Общо</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147 787 439 744</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- 70 320 000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- 55 580 514</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165 248 077 322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147 731 859 230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961 862 659</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- 73 961 000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- 37 271 858</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1 090 383 613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924 590 801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1 576 000 000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- 8 300 000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1 567 700 000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Таван</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166 709 000 000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r>
      <w:tr>
        <w:trPr>
          <w:trHeight w:val="225"/>
          <w:jc w:val="center"/>
        </w:trPr>
        <w:tc>
          <w:tcPr>
            <w:tcW w:w="294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Марж</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19 883 422 915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1 279 124 135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19 901 731 571</w:t>
            </w:r>
          </w:p>
        </w:tc>
      </w:tr>
      <w:tr>
        <w:trPr>
          <w:trHeight w:val="225"/>
          <w:jc w:val="center"/>
        </w:trPr>
        <w:tc>
          <w:tcPr>
            <w:tcW w:w="260" w:type="dxa"/>
            <w:tcBorders>
              <w:top w:val="nil"/>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680" w:type="dxa"/>
            <w:tcBorders>
              <w:top w:val="nil"/>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Други специални инструменти</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870 799 794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705 051 794</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- 29 748 635</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841 051 159</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705 051 794</w:t>
            </w:r>
          </w:p>
        </w:tc>
      </w:tr>
      <w:tr>
        <w:trPr>
          <w:trHeight w:val="225"/>
          <w:jc w:val="center"/>
        </w:trPr>
        <w:tc>
          <w:tcPr>
            <w:tcW w:w="29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Всичко общо</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166 189 197 116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148 492 491 538</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- 100 068 635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- 55 580 514</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166 089 128 481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148 436 911 024</w:t>
            </w:r>
          </w:p>
        </w:tc>
      </w:tr>
    </w:tbl>
    <w:p>
      <w:pPr>
        <w:pStyle w:val="Text1"/>
        <w:ind w:left="0"/>
        <w:rPr>
          <w:noProof/>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enter" w:pos="4820"/>
      </w:tabs>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23</w:t>
    </w:r>
    <w:r>
      <w:rPr>
        <w:noProof/>
      </w:rP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 xml:space="preserve"> </w:t>
      </w:r>
      <w:r>
        <w:tab/>
      </w:r>
      <w:r>
        <w:rPr>
          <w:sz w:val="18"/>
        </w:rPr>
        <w:t>ОВ L 193, 30.7.2018 г., стр. 1.</w:t>
      </w:r>
    </w:p>
  </w:footnote>
  <w:footnote w:id="3">
    <w:p>
      <w:pPr>
        <w:pStyle w:val="FootnoteText"/>
        <w:rPr>
          <w:lang w:val="pt-PT"/>
        </w:rPr>
      </w:pPr>
      <w:r>
        <w:rPr>
          <w:rStyle w:val="FootnoteReference"/>
        </w:rPr>
        <w:footnoteRef/>
      </w:r>
      <w:r>
        <w:t>.</w:t>
      </w:r>
      <w:r>
        <w:tab/>
      </w:r>
      <w:r>
        <w:rPr>
          <w:sz w:val="18"/>
        </w:rPr>
        <w:t>ОВ L 67, 7.3.2019 г.</w:t>
      </w:r>
    </w:p>
  </w:footnote>
  <w:footnote w:id="4">
    <w:p>
      <w:pPr>
        <w:pStyle w:val="FootnoteText"/>
        <w:rPr>
          <w:lang w:val="pt-PT"/>
        </w:rPr>
      </w:pPr>
      <w:r>
        <w:rPr>
          <w:rStyle w:val="FootnoteReference"/>
        </w:rPr>
        <w:footnoteRef/>
      </w:r>
      <w:r>
        <w:t xml:space="preserve"> </w:t>
      </w:r>
      <w:r>
        <w:tab/>
      </w:r>
      <w:r>
        <w:rPr>
          <w:sz w:val="18"/>
        </w:rPr>
        <w:t>COM(2019) 300, 15.4.2019 г.</w:t>
      </w:r>
    </w:p>
  </w:footnote>
  <w:footnote w:id="5">
    <w:p>
      <w:pPr>
        <w:pStyle w:val="FootnoteText"/>
        <w:rPr>
          <w:lang w:val="pt-PT"/>
        </w:rPr>
      </w:pPr>
      <w:r>
        <w:rPr>
          <w:rStyle w:val="FootnoteReference"/>
        </w:rPr>
        <w:footnoteRef/>
      </w:r>
      <w:r>
        <w:t xml:space="preserve"> </w:t>
      </w:r>
      <w:r>
        <w:tab/>
      </w:r>
      <w:r>
        <w:rPr>
          <w:sz w:val="18"/>
        </w:rPr>
        <w:t>COM(2019) 320, 15.5.2019 г.</w:t>
      </w:r>
    </w:p>
  </w:footnote>
  <w:footnote w:id="6">
    <w:p>
      <w:pPr>
        <w:pStyle w:val="FootnoteText"/>
        <w:rPr>
          <w:lang w:val="pt-PT"/>
        </w:rPr>
      </w:pPr>
      <w:r>
        <w:rPr>
          <w:rStyle w:val="FootnoteReference"/>
        </w:rPr>
        <w:footnoteRef/>
      </w:r>
      <w:r>
        <w:t xml:space="preserve"> </w:t>
      </w:r>
      <w:r>
        <w:tab/>
      </w:r>
      <w:r>
        <w:rPr>
          <w:sz w:val="18"/>
        </w:rPr>
        <w:t>COM(2019) 205, 22.5.2019 г.</w:t>
      </w:r>
    </w:p>
  </w:footnote>
  <w:footnote w:id="7">
    <w:p>
      <w:pPr>
        <w:pStyle w:val="FootnoteText"/>
        <w:rPr>
          <w:lang w:val="pt-PT"/>
        </w:rPr>
      </w:pPr>
      <w:r>
        <w:rPr>
          <w:rStyle w:val="FootnoteReference"/>
        </w:rPr>
        <w:footnoteRef/>
      </w:r>
      <w:r>
        <w:t xml:space="preserve"> </w:t>
      </w:r>
      <w:r>
        <w:tab/>
        <w:t>COM(2017) 536, 20.9.2017 г.</w:t>
      </w:r>
    </w:p>
  </w:footnote>
  <w:footnote w:id="8">
    <w:p>
      <w:pPr>
        <w:pStyle w:val="FootnoteText"/>
        <w:rPr>
          <w:lang w:val="pt-PT"/>
        </w:rPr>
      </w:pPr>
      <w:r>
        <w:rPr>
          <w:rStyle w:val="FootnoteReference"/>
        </w:rPr>
        <w:footnoteRef/>
      </w:r>
      <w:r>
        <w:t xml:space="preserve"> </w:t>
      </w:r>
      <w:r>
        <w:tab/>
        <w:t>COM(2017) 331, 13.6.2017 г.</w:t>
      </w:r>
    </w:p>
  </w:footnote>
  <w:footnote w:id="9">
    <w:p>
      <w:pPr>
        <w:pStyle w:val="FootnoteText"/>
        <w:rPr>
          <w:lang w:val="pt-PT"/>
        </w:rPr>
      </w:pPr>
      <w:r>
        <w:rPr>
          <w:rStyle w:val="FootnoteReference"/>
        </w:rPr>
        <w:footnoteRef/>
      </w:r>
      <w:r>
        <w:t xml:space="preserve"> </w:t>
      </w:r>
      <w:r>
        <w:tab/>
        <w:t>SEC(2019) 250, 5.6.2019 г.</w:t>
      </w:r>
    </w:p>
  </w:footnote>
  <w:footnote w:id="10">
    <w:p>
      <w:pPr>
        <w:pStyle w:val="FootnoteText"/>
      </w:pPr>
      <w:r>
        <w:rPr>
          <w:rStyle w:val="FootnoteReference"/>
        </w:rPr>
        <w:footnoteRef/>
      </w:r>
      <w:r>
        <w:t xml:space="preserve"> </w:t>
      </w:r>
      <w:r>
        <w:tab/>
        <w:t>COM (2018) 631, 12.9.2018 г.</w:t>
      </w:r>
    </w:p>
  </w:footnote>
  <w:footnote w:id="11">
    <w:p>
      <w:pPr>
        <w:pStyle w:val="FootnoteText"/>
      </w:pPr>
      <w:r>
        <w:rPr>
          <w:rStyle w:val="FootnoteReference"/>
        </w:rPr>
        <w:footnoteRef/>
      </w:r>
      <w:r>
        <w:t xml:space="preserve"> </w:t>
      </w:r>
      <w:r>
        <w:tab/>
        <w:t>Регламент (ЕС) 2017/1939 на Съвета от 12 октомври 2017 г. за установяване на засилено сътрудничество за създаване на Европейска прокуратура (OВ L 283, 31.10.2017 г.).</w:t>
      </w:r>
    </w:p>
  </w:footnote>
  <w:footnote w:id="12">
    <w:p>
      <w:pPr>
        <w:pStyle w:val="FootnoteText"/>
      </w:pPr>
      <w:r>
        <w:rPr>
          <w:rStyle w:val="FootnoteReference"/>
        </w:rPr>
        <w:footnoteRef/>
      </w:r>
      <w:r>
        <w:t xml:space="preserve"> </w:t>
      </w:r>
      <w:r>
        <w:tab/>
        <w:t>SEC(2019) 250, 5.6.2019 г.</w:t>
      </w:r>
    </w:p>
  </w:footnote>
  <w:footnote w:id="13">
    <w:p>
      <w:pPr>
        <w:pStyle w:val="FootnoteText"/>
        <w:ind w:left="709" w:hanging="709"/>
      </w:pPr>
      <w:r>
        <w:rPr>
          <w:rStyle w:val="FootnoteReference"/>
        </w:rPr>
        <w:footnoteRef/>
      </w:r>
      <w:r>
        <w:t xml:space="preserve"> </w:t>
      </w:r>
      <w:r>
        <w:tab/>
        <w:t xml:space="preserve">Решение (ЕС) 2019/420 на Европейския парламент и на Съвета от 13 март 2019 г. за изменение на Решение № 1313/2013/ЕС относно Механизъм за гражданска защита на Съюза (ОВ L 77, 20.3.2019 г., стр. 1). Финансовият пакет е определен в член 1, параграф 11. </w:t>
      </w:r>
    </w:p>
  </w:footnote>
  <w:footnote w:id="14">
    <w:p>
      <w:pPr>
        <w:pStyle w:val="FootnoteText"/>
      </w:pPr>
      <w:r>
        <w:rPr>
          <w:rStyle w:val="FootnoteReference"/>
        </w:rPr>
        <w:footnoteRef/>
      </w:r>
      <w:r>
        <w:t xml:space="preserve"> </w:t>
      </w:r>
      <w:r>
        <w:tab/>
        <w:t>COM(2019) 252, 5.6.2019 г.</w:t>
      </w:r>
    </w:p>
  </w:footnote>
  <w:footnote w:id="15">
    <w:p>
      <w:pPr>
        <w:pStyle w:val="FootnoteText"/>
      </w:pPr>
      <w:r>
        <w:rPr>
          <w:rStyle w:val="FootnoteReference"/>
        </w:rPr>
        <w:footnoteRef/>
      </w:r>
      <w:r>
        <w:t xml:space="preserve"> </w:t>
      </w:r>
      <w:r>
        <w:tab/>
        <w:t>COM(2019) 600, 2.7.2019 г.</w:t>
      </w:r>
    </w:p>
  </w:footnote>
  <w:footnote w:id="16">
    <w:p>
      <w:pPr>
        <w:pStyle w:val="FootnoteText"/>
      </w:pPr>
      <w:r>
        <w:rPr>
          <w:rStyle w:val="FootnoteReference"/>
        </w:rPr>
        <w:footnoteRef/>
      </w:r>
      <w:r>
        <w:t xml:space="preserve"> </w:t>
      </w:r>
      <w:r>
        <w:tab/>
        <w:t>ОВ L 54, 22.2.2019 г., стр. 3.</w:t>
      </w:r>
    </w:p>
  </w:footnote>
  <w:footnote w:id="17">
    <w:p>
      <w:pPr>
        <w:pStyle w:val="FootnoteText"/>
        <w:rPr>
          <w:sz w:val="24"/>
          <w:szCs w:val="24"/>
        </w:rPr>
      </w:pPr>
      <w:r>
        <w:rPr>
          <w:rStyle w:val="FootnoteReference"/>
        </w:rPr>
        <w:footnoteRef/>
      </w:r>
      <w:r>
        <w:rPr>
          <w:rStyle w:val="FootnoteReference"/>
        </w:rPr>
        <w:t xml:space="preserve"> </w:t>
      </w:r>
      <w:r>
        <w:tab/>
      </w:r>
      <w:r>
        <w:rPr>
          <w:sz w:val="18"/>
        </w:rPr>
        <w:t>Заключения от извънредното заседание на Европейския съвет (член 50) (10 април 2019 г.) — EUCO XT 20015/19.</w:t>
      </w:r>
    </w:p>
  </w:footnote>
  <w:footnote w:id="18">
    <w:p>
      <w:pPr>
        <w:pStyle w:val="FootnoteText"/>
      </w:pPr>
      <w:r>
        <w:rPr>
          <w:rStyle w:val="FootnoteReference"/>
        </w:rPr>
        <w:footnoteRef/>
      </w:r>
      <w:r>
        <w:rPr>
          <w:rStyle w:val="FootnoteReference"/>
        </w:rPr>
        <w:t xml:space="preserve"> </w:t>
      </w:r>
      <w:r>
        <w:tab/>
      </w:r>
      <w:r>
        <w:rPr>
          <w:sz w:val="18"/>
        </w:rPr>
        <w:t>Решение (ЕС) 2018/937 от 28 юни 2018 г.</w:t>
      </w:r>
    </w:p>
  </w:footnote>
  <w:footnote w:id="19">
    <w:p>
      <w:pPr>
        <w:pStyle w:val="FootnoteText"/>
      </w:pPr>
      <w:r>
        <w:rPr>
          <w:rStyle w:val="FootnoteReference"/>
        </w:rPr>
        <w:footnoteRef/>
      </w:r>
      <w:r>
        <w:t xml:space="preserve"> </w:t>
      </w:r>
      <w:r>
        <w:tab/>
        <w:t>COM(2019) 205, 22.5.2019 г.</w:t>
      </w:r>
    </w:p>
  </w:footnote>
  <w:footnote w:id="20">
    <w:p>
      <w:pPr>
        <w:pStyle w:val="FootnoteText"/>
        <w:ind w:left="284" w:hanging="284"/>
      </w:pPr>
      <w:r>
        <w:rPr>
          <w:rStyle w:val="FootnoteReference"/>
        </w:rPr>
        <w:footnoteRef/>
      </w:r>
      <w:r>
        <w:t xml:space="preserve"> </w:t>
      </w:r>
      <w:r>
        <w:tab/>
        <w:t xml:space="preserve">Европейска комисия, Икономически прогнози от пролетта на 2019 г., </w:t>
      </w:r>
      <w:hyperlink r:id="rId1">
        <w:r>
          <w:rPr>
            <w:rStyle w:val="Hyperlink"/>
          </w:rPr>
          <w:t>https://ec.europa.eu/info/business-economy-euro/economic-performance-and-forecasts/economic-forecasts/spring-2019-economic-forecast_en</w:t>
        </w:r>
      </w:hyperlink>
      <w:r>
        <w:t xml:space="preserve"> </w:t>
      </w:r>
    </w:p>
  </w:footnote>
  <w:footnote w:id="21">
    <w:p>
      <w:pPr>
        <w:pStyle w:val="FootnoteText"/>
        <w:ind w:left="284" w:hanging="284"/>
        <w:rPr>
          <w:sz w:val="18"/>
          <w:szCs w:val="18"/>
        </w:rPr>
      </w:pPr>
      <w:r>
        <w:rPr>
          <w:rStyle w:val="FootnoteReference"/>
          <w:sz w:val="18"/>
        </w:rPr>
        <w:footnoteRef/>
      </w:r>
      <w:r>
        <w:rPr>
          <w:sz w:val="18"/>
        </w:rPr>
        <w:t xml:space="preserve"> </w:t>
      </w:r>
      <w:r>
        <w:tab/>
        <w:t>В съответствие с Решение 2014/335 на Съвета, ако базата за ДДС на държава членка надвиши 50 % от нейния БНД, за тази база се определя таван на равнището на тези 50 %. В ПКБ 4/2019 за пет държави членки ще има таван на базата за ДДС, равен на 50 % от техния БНД: Хърватия, Кипър, Люксембург, Малта и Португалия.</w:t>
      </w:r>
    </w:p>
  </w:footnote>
  <w:footnote w:id="22">
    <w:p>
      <w:pPr>
        <w:pStyle w:val="FootnoteText"/>
        <w:ind w:left="284" w:hanging="295"/>
        <w:rPr>
          <w:rStyle w:val="FootnoteReference"/>
          <w:sz w:val="18"/>
          <w:szCs w:val="18"/>
        </w:rPr>
      </w:pPr>
      <w:r>
        <w:rPr>
          <w:rStyle w:val="FootnoteReference"/>
          <w:sz w:val="18"/>
        </w:rPr>
        <w:footnoteRef/>
      </w:r>
      <w:r>
        <w:tab/>
        <w:t>Сумите в сиво произтичат от базите за ДДС с таван, както е обяснено в предходната бележка под линия.</w:t>
      </w:r>
    </w:p>
  </w:footnote>
  <w:footnote w:id="23">
    <w:p>
      <w:pPr>
        <w:pStyle w:val="FootnoteText"/>
        <w:ind w:left="284" w:hanging="284"/>
        <w:rPr>
          <w:sz w:val="18"/>
          <w:szCs w:val="18"/>
        </w:rPr>
      </w:pPr>
      <w:r>
        <w:rPr>
          <w:rStyle w:val="FootnoteReference"/>
        </w:rPr>
        <w:footnoteRef/>
      </w:r>
      <w:r>
        <w:tab/>
        <w:t>ОВ L 168, 7.6.2014 г., стр. 105—111.</w:t>
      </w:r>
    </w:p>
  </w:footnote>
  <w:footnote w:id="24">
    <w:p>
      <w:pPr>
        <w:pStyle w:val="FootnoteText"/>
        <w:ind w:left="284" w:hanging="284"/>
        <w:rPr>
          <w:sz w:val="18"/>
          <w:szCs w:val="18"/>
        </w:rPr>
      </w:pPr>
      <w:r>
        <w:rPr>
          <w:rStyle w:val="FootnoteReference"/>
        </w:rPr>
        <w:footnoteRef/>
      </w:r>
      <w:r>
        <w:tab/>
        <w:t>Работен документ на Комисията от 14 май 2014 г. относно изчисляването, финансирането, изплащането и вписването в бюджета на корекцията на бюджетните дисбаланси в полза на Обединеното кралство („корекцията“) в съответствие с членове 4 и 5 от Решение 2014/335/ЕС, Евратом на Съвета относно системата на собствените ресурси на Европейския съюз.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3">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6">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8"/>
  </w:num>
  <w:num w:numId="3">
    <w:abstractNumId w:val="11"/>
  </w:num>
  <w:num w:numId="4">
    <w:abstractNumId w:val="7"/>
  </w:num>
  <w:num w:numId="5">
    <w:abstractNumId w:val="4"/>
  </w:num>
  <w:num w:numId="6">
    <w:abstractNumId w:val="12"/>
  </w:num>
  <w:num w:numId="7">
    <w:abstractNumId w:val="9"/>
  </w:num>
  <w:num w:numId="8">
    <w:abstractNumId w:val="13"/>
  </w:num>
  <w:num w:numId="9">
    <w:abstractNumId w:val="10"/>
  </w:num>
  <w:num w:numId="10">
    <w:abstractNumId w:val="0"/>
  </w:num>
  <w:num w:numId="11">
    <w:abstractNumId w:val="1"/>
  </w:num>
  <w:num w:numId="12">
    <w:abstractNumId w:val="2"/>
  </w:num>
  <w:num w:numId="13">
    <w:abstractNumId w:val="6"/>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030F23A3-4806-4832-BDCE-3851025AC4CC"/>
    <w:docVar w:name="LW_COVERPAGE_TYPE" w:val="1"/>
    <w:docVar w:name="LW_CROSSREFERENCE" w:val="&lt;UNUSED&gt;"/>
    <w:docVar w:name="LW_DocType" w:val="NORMAL"/>
    <w:docVar w:name="LW_EMISSION" w:val="2.7.2019"/>
    <w:docVar w:name="LW_EMISSION_ISODATE" w:val="2019-07-02"/>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53?\u1072?\u1084?\u1072?\u1083?\u1103?\u1074?\u1072?\u1085?\u1077? \u1085?\u1072? \u1073?\u1102?\u1076?\u1078?\u1077?\u1090?\u1085?\u1080?\u1090?\u1077? \u1082?\u1088?\u1077?\u1076?\u1080?\u1090?\u1080? \u1079?\u1072? \u1087?\u1086?\u1077?\u1090?\u1080? \u1079?\u1072?\u1076?\u1098?\u1083?\u1078?\u1077?\u1085?\u1080?\u1103? \u1080? \u1079?\u1072? \u1087?\u1083?\u1072?\u1097?\u1072?\u1085?\u1080?\u1103? \u1074? \u1089?\u1098?\u1086?\u1090?\u1074?\u1077?\u1090?\u1089?\u1090?\u1074?\u1080?\u1077? \u1089? \u1072?\u1082?\u1090?\u1091?\u1072?\u1083?\u1080?\u1079?\u1080?\u1088?\u1072?\u1085?\u1080?\u1090?\u1077? \u1087?\u1086?\u1090?\u1088?\u1077?\u1073?\u1085?\u1086?\u1089?\u1090?\u1080? \u1086?\u1090? \u1088?\u1072?\u1079?\u1093?\u1086?\u1076?\u1080? \u1080? \u1072?\u1082?\u1090?\u1091?\u1072?\u1083?\u1080?\u1079?\u1080?\u1088?\u1072?\u1085?\u1080?\u1090?\u1077? \u1087?\u1088?\u1080?\u1093?\u1086?\u1076?\u1080? (\u1089?\u1086?\u1073?\u1089?\u1090?\u1074?\u1077?\u1085?\u1080? \u1088?\u1077?\u1089?\u1091?\u1088?\u1089?\u1080?)&lt;/FMT&gt;"/>
    <w:docVar w:name="LW_TITRE.OBJ.CP_PREVIOUS" w:val="&lt;UNUSED&gt;"/>
    <w:docVar w:name="LW_TYPE.DOC.CP" w:val="\u1055?\u1056?\u1054?\u1045?\u1050?\u1058? \u1053?\u1040? \u1050?\u1054?\u1056?\u1048?\u1043?\u1048?\u1056?\u1040?\u1065? \u1041?\u1070?\u1044?\u1046?\u1045?\u1058? \u8470? 4_x000b_\u1053?\u1040? \u1054?\u1041?\u1065?\u1048?\u1071? \u1041?\u1070?\u1044?\u1046?\u1045?\u1058? \u1047?\u1040? 2019 \u107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7"/>
      </w:numPr>
      <w:spacing w:before="120" w:after="120"/>
      <w:jc w:val="both"/>
    </w:pPr>
  </w:style>
  <w:style w:type="paragraph" w:customStyle="1" w:styleId="ListNumberLevel2">
    <w:name w:val="List Number (Level 2)"/>
    <w:basedOn w:val="Normal"/>
    <w:pPr>
      <w:numPr>
        <w:ilvl w:val="1"/>
        <w:numId w:val="7"/>
      </w:numPr>
      <w:spacing w:before="120" w:after="120"/>
      <w:jc w:val="both"/>
    </w:pPr>
  </w:style>
  <w:style w:type="paragraph" w:customStyle="1" w:styleId="ListNumberLevel3">
    <w:name w:val="List Number (Level 3)"/>
    <w:basedOn w:val="Normal"/>
    <w:pPr>
      <w:numPr>
        <w:ilvl w:val="2"/>
        <w:numId w:val="7"/>
      </w:numPr>
      <w:spacing w:before="120" w:after="120"/>
      <w:jc w:val="both"/>
    </w:pPr>
  </w:style>
  <w:style w:type="paragraph" w:customStyle="1" w:styleId="ListNumberLevel4">
    <w:name w:val="List Number (Level 4)"/>
    <w:basedOn w:val="Normal"/>
    <w:pPr>
      <w:numPr>
        <w:ilvl w:val="3"/>
        <w:numId w:val="7"/>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customStyle="1" w:styleId="Point0number">
    <w:name w:val="Point 0 (number)"/>
    <w:basedOn w:val="Normal"/>
    <w:pPr>
      <w:numPr>
        <w:numId w:val="6"/>
      </w:numPr>
      <w:spacing w:before="120" w:after="120"/>
      <w:jc w:val="both"/>
    </w:pPr>
  </w:style>
  <w:style w:type="paragraph" w:customStyle="1" w:styleId="Point1number">
    <w:name w:val="Point 1 (number)"/>
    <w:basedOn w:val="Normal"/>
    <w:pPr>
      <w:numPr>
        <w:ilvl w:val="2"/>
        <w:numId w:val="6"/>
      </w:numPr>
      <w:spacing w:before="120" w:after="120"/>
      <w:jc w:val="both"/>
    </w:pPr>
  </w:style>
  <w:style w:type="paragraph" w:customStyle="1" w:styleId="Point2number">
    <w:name w:val="Point 2 (number)"/>
    <w:basedOn w:val="Normal"/>
    <w:pPr>
      <w:numPr>
        <w:ilvl w:val="4"/>
        <w:numId w:val="6"/>
      </w:numPr>
      <w:spacing w:before="120" w:after="120"/>
      <w:jc w:val="both"/>
    </w:pPr>
  </w:style>
  <w:style w:type="paragraph" w:customStyle="1" w:styleId="Point3number">
    <w:name w:val="Point 3 (number)"/>
    <w:basedOn w:val="Normal"/>
    <w:pPr>
      <w:numPr>
        <w:ilvl w:val="6"/>
        <w:numId w:val="6"/>
      </w:numPr>
      <w:spacing w:before="120" w:after="120"/>
      <w:jc w:val="both"/>
    </w:pPr>
  </w:style>
  <w:style w:type="paragraph" w:customStyle="1" w:styleId="Point0letter">
    <w:name w:val="Point 0 (letter)"/>
    <w:basedOn w:val="Normal"/>
    <w:pPr>
      <w:numPr>
        <w:ilvl w:val="1"/>
        <w:numId w:val="6"/>
      </w:numPr>
      <w:spacing w:before="120" w:after="120"/>
      <w:jc w:val="both"/>
    </w:pPr>
  </w:style>
  <w:style w:type="paragraph" w:customStyle="1" w:styleId="Point1letter">
    <w:name w:val="Point 1 (letter)"/>
    <w:basedOn w:val="Normal"/>
    <w:pPr>
      <w:numPr>
        <w:ilvl w:val="3"/>
        <w:numId w:val="6"/>
      </w:numPr>
      <w:spacing w:before="120" w:after="120"/>
      <w:jc w:val="both"/>
    </w:pPr>
  </w:style>
  <w:style w:type="paragraph" w:customStyle="1" w:styleId="Point2letter">
    <w:name w:val="Point 2 (letter)"/>
    <w:basedOn w:val="Normal"/>
    <w:pPr>
      <w:numPr>
        <w:ilvl w:val="5"/>
        <w:numId w:val="6"/>
      </w:numPr>
      <w:spacing w:before="120" w:after="120"/>
      <w:jc w:val="both"/>
    </w:pPr>
  </w:style>
  <w:style w:type="paragraph" w:customStyle="1" w:styleId="Point3letter">
    <w:name w:val="Point 3 (letter)"/>
    <w:basedOn w:val="Normal"/>
    <w:pPr>
      <w:numPr>
        <w:ilvl w:val="7"/>
        <w:numId w:val="6"/>
      </w:numPr>
      <w:spacing w:before="120" w:after="120"/>
      <w:jc w:val="both"/>
    </w:pPr>
  </w:style>
  <w:style w:type="paragraph" w:customStyle="1" w:styleId="Point4letter">
    <w:name w:val="Point 4 (letter)"/>
    <w:basedOn w:val="Normal"/>
    <w:pPr>
      <w:numPr>
        <w:ilvl w:val="8"/>
        <w:numId w:val="6"/>
      </w:numPr>
      <w:spacing w:before="120" w:after="120"/>
      <w:jc w:val="both"/>
    </w:pPr>
  </w:style>
  <w:style w:type="paragraph" w:customStyle="1" w:styleId="NumPar1">
    <w:name w:val="NumPar 1"/>
    <w:basedOn w:val="Normal"/>
    <w:next w:val="Text1"/>
    <w:pPr>
      <w:numPr>
        <w:numId w:val="8"/>
      </w:numPr>
      <w:spacing w:before="120" w:after="120"/>
      <w:jc w:val="both"/>
    </w:pPr>
  </w:style>
  <w:style w:type="paragraph" w:customStyle="1" w:styleId="NumPar2">
    <w:name w:val="NumPar 2"/>
    <w:basedOn w:val="Normal"/>
    <w:next w:val="Normal"/>
    <w:pPr>
      <w:numPr>
        <w:ilvl w:val="1"/>
        <w:numId w:val="8"/>
      </w:numPr>
      <w:spacing w:before="120" w:after="120"/>
      <w:jc w:val="both"/>
    </w:pPr>
  </w:style>
  <w:style w:type="paragraph" w:customStyle="1" w:styleId="NumPar3">
    <w:name w:val="NumPar 3"/>
    <w:basedOn w:val="Normal"/>
    <w:next w:val="Normal"/>
    <w:pPr>
      <w:numPr>
        <w:ilvl w:val="2"/>
        <w:numId w:val="8"/>
      </w:numPr>
      <w:spacing w:before="120" w:after="120"/>
      <w:jc w:val="both"/>
    </w:pPr>
  </w:style>
  <w:style w:type="paragraph" w:customStyle="1" w:styleId="NumPar4">
    <w:name w:val="NumPar 4"/>
    <w:basedOn w:val="Normal"/>
    <w:next w:val="Normal"/>
    <w:pPr>
      <w:numPr>
        <w:ilvl w:val="3"/>
        <w:numId w:val="8"/>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rPr>
      <w:rFonts w:eastAsiaTheme="minorHAns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bg-BG"/>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bg-BG"/>
    </w:rPr>
  </w:style>
  <w:style w:type="character" w:customStyle="1" w:styleId="Heading7Char">
    <w:name w:val="Heading 7 Char"/>
    <w:basedOn w:val="DefaultParagraphFont"/>
    <w:link w:val="Heading7"/>
    <w:uiPriority w:val="99"/>
    <w:rPr>
      <w:rFonts w:ascii="Arial" w:eastAsiaTheme="majorEastAsia" w:hAnsi="Arial" w:cs="Arial"/>
      <w:sz w:val="22"/>
      <w:lang w:eastAsia="bg-BG"/>
    </w:rPr>
  </w:style>
  <w:style w:type="character" w:customStyle="1" w:styleId="Heading8Char">
    <w:name w:val="Heading 8 Char"/>
    <w:basedOn w:val="DefaultParagraphFont"/>
    <w:link w:val="Heading8"/>
    <w:uiPriority w:val="99"/>
    <w:rPr>
      <w:rFonts w:ascii="Arial" w:eastAsiaTheme="majorEastAsia" w:hAnsi="Arial" w:cs="Arial"/>
      <w:i/>
      <w:iCs/>
      <w:sz w:val="22"/>
      <w:lang w:eastAsia="bg-BG"/>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bg-BG"/>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Tiret2">
    <w:name w:val="Tiret 2"/>
    <w:basedOn w:val="Normal"/>
    <w:pPr>
      <w:numPr>
        <w:numId w:val="9"/>
      </w:numPr>
      <w:spacing w:before="120" w:after="120"/>
      <w:jc w:val="both"/>
    </w:pPr>
    <w:rPr>
      <w:szCs w:val="22"/>
    </w:rPr>
  </w:style>
  <w:style w:type="paragraph" w:styleId="ListNumber5">
    <w:name w:val="List Number 5"/>
    <w:basedOn w:val="Normal"/>
    <w:pPr>
      <w:numPr>
        <w:numId w:val="10"/>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1"/>
      </w:numPr>
      <w:spacing w:before="120" w:after="120"/>
      <w:contextualSpacing/>
      <w:jc w:val="both"/>
    </w:pPr>
    <w:rPr>
      <w:rFonts w:eastAsia="Calibri"/>
      <w:szCs w:val="22"/>
    </w:rPr>
  </w:style>
  <w:style w:type="paragraph" w:customStyle="1" w:styleId="CM4">
    <w:name w:val="CM4"/>
    <w:basedOn w:val="Normal"/>
    <w:next w:val="Normal"/>
    <w:uiPriority w:val="99"/>
    <w:pPr>
      <w:autoSpaceDE w:val="0"/>
      <w:autoSpaceDN w:val="0"/>
      <w:adjustRightInd w:val="0"/>
    </w:pPr>
    <w:rPr>
      <w:rFonts w:ascii="EUAlbertina" w:hAnsi="EUAlbertina"/>
    </w:rPr>
  </w:style>
  <w:style w:type="paragraph" w:customStyle="1" w:styleId="doc-ti">
    <w:name w:val="doc-ti"/>
    <w:basedOn w:val="Normal"/>
    <w:pPr>
      <w:spacing w:before="240" w:after="120"/>
      <w:jc w:val="center"/>
    </w:pPr>
    <w:rPr>
      <w:b/>
      <w:bC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bg-BG"/>
    </w:rPr>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bg-BG"/>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bg-BG"/>
    </w:rPr>
  </w:style>
  <w:style w:type="paragraph" w:customStyle="1" w:styleId="agbullets">
    <w:name w:val="ag_bullets"/>
    <w:basedOn w:val="Normal"/>
    <w:qFormat/>
    <w:pPr>
      <w:numPr>
        <w:numId w:val="12"/>
      </w:numPr>
    </w:pPr>
    <w:rPr>
      <w:sz w:val="22"/>
      <w:szCs w:val="20"/>
    </w:rPr>
  </w:style>
  <w:style w:type="paragraph" w:customStyle="1" w:styleId="agtabbullets">
    <w:name w:val="ag_tab_bullets"/>
    <w:basedOn w:val="Normal"/>
    <w:qFormat/>
    <w:pPr>
      <w:numPr>
        <w:numId w:val="13"/>
      </w:numPr>
      <w:jc w:val="both"/>
    </w:pPr>
    <w:rPr>
      <w:sz w:val="18"/>
      <w:szCs w:val="20"/>
    </w:rPr>
  </w:style>
  <w:style w:type="paragraph" w:customStyle="1" w:styleId="agfootnote">
    <w:name w:val="ag_footnote"/>
    <w:basedOn w:val="Normal"/>
    <w:qFormat/>
    <w:pPr>
      <w:spacing w:after="120"/>
      <w:jc w:val="both"/>
    </w:pPr>
    <w:rPr>
      <w:sz w:val="16"/>
      <w:szCs w:val="20"/>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7"/>
      </w:numPr>
      <w:spacing w:before="120" w:after="120"/>
      <w:jc w:val="both"/>
    </w:pPr>
  </w:style>
  <w:style w:type="paragraph" w:customStyle="1" w:styleId="ListNumberLevel2">
    <w:name w:val="List Number (Level 2)"/>
    <w:basedOn w:val="Normal"/>
    <w:pPr>
      <w:numPr>
        <w:ilvl w:val="1"/>
        <w:numId w:val="7"/>
      </w:numPr>
      <w:spacing w:before="120" w:after="120"/>
      <w:jc w:val="both"/>
    </w:pPr>
  </w:style>
  <w:style w:type="paragraph" w:customStyle="1" w:styleId="ListNumberLevel3">
    <w:name w:val="List Number (Level 3)"/>
    <w:basedOn w:val="Normal"/>
    <w:pPr>
      <w:numPr>
        <w:ilvl w:val="2"/>
        <w:numId w:val="7"/>
      </w:numPr>
      <w:spacing w:before="120" w:after="120"/>
      <w:jc w:val="both"/>
    </w:pPr>
  </w:style>
  <w:style w:type="paragraph" w:customStyle="1" w:styleId="ListNumberLevel4">
    <w:name w:val="List Number (Level 4)"/>
    <w:basedOn w:val="Normal"/>
    <w:pPr>
      <w:numPr>
        <w:ilvl w:val="3"/>
        <w:numId w:val="7"/>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customStyle="1" w:styleId="Point0number">
    <w:name w:val="Point 0 (number)"/>
    <w:basedOn w:val="Normal"/>
    <w:pPr>
      <w:numPr>
        <w:numId w:val="6"/>
      </w:numPr>
      <w:spacing w:before="120" w:after="120"/>
      <w:jc w:val="both"/>
    </w:pPr>
  </w:style>
  <w:style w:type="paragraph" w:customStyle="1" w:styleId="Point1number">
    <w:name w:val="Point 1 (number)"/>
    <w:basedOn w:val="Normal"/>
    <w:pPr>
      <w:numPr>
        <w:ilvl w:val="2"/>
        <w:numId w:val="6"/>
      </w:numPr>
      <w:spacing w:before="120" w:after="120"/>
      <w:jc w:val="both"/>
    </w:pPr>
  </w:style>
  <w:style w:type="paragraph" w:customStyle="1" w:styleId="Point2number">
    <w:name w:val="Point 2 (number)"/>
    <w:basedOn w:val="Normal"/>
    <w:pPr>
      <w:numPr>
        <w:ilvl w:val="4"/>
        <w:numId w:val="6"/>
      </w:numPr>
      <w:spacing w:before="120" w:after="120"/>
      <w:jc w:val="both"/>
    </w:pPr>
  </w:style>
  <w:style w:type="paragraph" w:customStyle="1" w:styleId="Point3number">
    <w:name w:val="Point 3 (number)"/>
    <w:basedOn w:val="Normal"/>
    <w:pPr>
      <w:numPr>
        <w:ilvl w:val="6"/>
        <w:numId w:val="6"/>
      </w:numPr>
      <w:spacing w:before="120" w:after="120"/>
      <w:jc w:val="both"/>
    </w:pPr>
  </w:style>
  <w:style w:type="paragraph" w:customStyle="1" w:styleId="Point0letter">
    <w:name w:val="Point 0 (letter)"/>
    <w:basedOn w:val="Normal"/>
    <w:pPr>
      <w:numPr>
        <w:ilvl w:val="1"/>
        <w:numId w:val="6"/>
      </w:numPr>
      <w:spacing w:before="120" w:after="120"/>
      <w:jc w:val="both"/>
    </w:pPr>
  </w:style>
  <w:style w:type="paragraph" w:customStyle="1" w:styleId="Point1letter">
    <w:name w:val="Point 1 (letter)"/>
    <w:basedOn w:val="Normal"/>
    <w:pPr>
      <w:numPr>
        <w:ilvl w:val="3"/>
        <w:numId w:val="6"/>
      </w:numPr>
      <w:spacing w:before="120" w:after="120"/>
      <w:jc w:val="both"/>
    </w:pPr>
  </w:style>
  <w:style w:type="paragraph" w:customStyle="1" w:styleId="Point2letter">
    <w:name w:val="Point 2 (letter)"/>
    <w:basedOn w:val="Normal"/>
    <w:pPr>
      <w:numPr>
        <w:ilvl w:val="5"/>
        <w:numId w:val="6"/>
      </w:numPr>
      <w:spacing w:before="120" w:after="120"/>
      <w:jc w:val="both"/>
    </w:pPr>
  </w:style>
  <w:style w:type="paragraph" w:customStyle="1" w:styleId="Point3letter">
    <w:name w:val="Point 3 (letter)"/>
    <w:basedOn w:val="Normal"/>
    <w:pPr>
      <w:numPr>
        <w:ilvl w:val="7"/>
        <w:numId w:val="6"/>
      </w:numPr>
      <w:spacing w:before="120" w:after="120"/>
      <w:jc w:val="both"/>
    </w:pPr>
  </w:style>
  <w:style w:type="paragraph" w:customStyle="1" w:styleId="Point4letter">
    <w:name w:val="Point 4 (letter)"/>
    <w:basedOn w:val="Normal"/>
    <w:pPr>
      <w:numPr>
        <w:ilvl w:val="8"/>
        <w:numId w:val="6"/>
      </w:numPr>
      <w:spacing w:before="120" w:after="120"/>
      <w:jc w:val="both"/>
    </w:pPr>
  </w:style>
  <w:style w:type="paragraph" w:customStyle="1" w:styleId="NumPar1">
    <w:name w:val="NumPar 1"/>
    <w:basedOn w:val="Normal"/>
    <w:next w:val="Text1"/>
    <w:pPr>
      <w:numPr>
        <w:numId w:val="8"/>
      </w:numPr>
      <w:spacing w:before="120" w:after="120"/>
      <w:jc w:val="both"/>
    </w:pPr>
  </w:style>
  <w:style w:type="paragraph" w:customStyle="1" w:styleId="NumPar2">
    <w:name w:val="NumPar 2"/>
    <w:basedOn w:val="Normal"/>
    <w:next w:val="Normal"/>
    <w:pPr>
      <w:numPr>
        <w:ilvl w:val="1"/>
        <w:numId w:val="8"/>
      </w:numPr>
      <w:spacing w:before="120" w:after="120"/>
      <w:jc w:val="both"/>
    </w:pPr>
  </w:style>
  <w:style w:type="paragraph" w:customStyle="1" w:styleId="NumPar3">
    <w:name w:val="NumPar 3"/>
    <w:basedOn w:val="Normal"/>
    <w:next w:val="Normal"/>
    <w:pPr>
      <w:numPr>
        <w:ilvl w:val="2"/>
        <w:numId w:val="8"/>
      </w:numPr>
      <w:spacing w:before="120" w:after="120"/>
      <w:jc w:val="both"/>
    </w:pPr>
  </w:style>
  <w:style w:type="paragraph" w:customStyle="1" w:styleId="NumPar4">
    <w:name w:val="NumPar 4"/>
    <w:basedOn w:val="Normal"/>
    <w:next w:val="Normal"/>
    <w:pPr>
      <w:numPr>
        <w:ilvl w:val="3"/>
        <w:numId w:val="8"/>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rPr>
      <w:rFonts w:eastAsiaTheme="minorHAns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bg-BG"/>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bg-BG"/>
    </w:rPr>
  </w:style>
  <w:style w:type="character" w:customStyle="1" w:styleId="Heading7Char">
    <w:name w:val="Heading 7 Char"/>
    <w:basedOn w:val="DefaultParagraphFont"/>
    <w:link w:val="Heading7"/>
    <w:uiPriority w:val="99"/>
    <w:rPr>
      <w:rFonts w:ascii="Arial" w:eastAsiaTheme="majorEastAsia" w:hAnsi="Arial" w:cs="Arial"/>
      <w:sz w:val="22"/>
      <w:lang w:eastAsia="bg-BG"/>
    </w:rPr>
  </w:style>
  <w:style w:type="character" w:customStyle="1" w:styleId="Heading8Char">
    <w:name w:val="Heading 8 Char"/>
    <w:basedOn w:val="DefaultParagraphFont"/>
    <w:link w:val="Heading8"/>
    <w:uiPriority w:val="99"/>
    <w:rPr>
      <w:rFonts w:ascii="Arial" w:eastAsiaTheme="majorEastAsia" w:hAnsi="Arial" w:cs="Arial"/>
      <w:i/>
      <w:iCs/>
      <w:sz w:val="22"/>
      <w:lang w:eastAsia="bg-BG"/>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bg-BG"/>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Tiret2">
    <w:name w:val="Tiret 2"/>
    <w:basedOn w:val="Normal"/>
    <w:pPr>
      <w:numPr>
        <w:numId w:val="9"/>
      </w:numPr>
      <w:spacing w:before="120" w:after="120"/>
      <w:jc w:val="both"/>
    </w:pPr>
    <w:rPr>
      <w:szCs w:val="22"/>
    </w:rPr>
  </w:style>
  <w:style w:type="paragraph" w:styleId="ListNumber5">
    <w:name w:val="List Number 5"/>
    <w:basedOn w:val="Normal"/>
    <w:pPr>
      <w:numPr>
        <w:numId w:val="10"/>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1"/>
      </w:numPr>
      <w:spacing w:before="120" w:after="120"/>
      <w:contextualSpacing/>
      <w:jc w:val="both"/>
    </w:pPr>
    <w:rPr>
      <w:rFonts w:eastAsia="Calibri"/>
      <w:szCs w:val="22"/>
    </w:rPr>
  </w:style>
  <w:style w:type="paragraph" w:customStyle="1" w:styleId="CM4">
    <w:name w:val="CM4"/>
    <w:basedOn w:val="Normal"/>
    <w:next w:val="Normal"/>
    <w:uiPriority w:val="99"/>
    <w:pPr>
      <w:autoSpaceDE w:val="0"/>
      <w:autoSpaceDN w:val="0"/>
      <w:adjustRightInd w:val="0"/>
    </w:pPr>
    <w:rPr>
      <w:rFonts w:ascii="EUAlbertina" w:hAnsi="EUAlbertina"/>
    </w:rPr>
  </w:style>
  <w:style w:type="paragraph" w:customStyle="1" w:styleId="doc-ti">
    <w:name w:val="doc-ti"/>
    <w:basedOn w:val="Normal"/>
    <w:pPr>
      <w:spacing w:before="240" w:after="120"/>
      <w:jc w:val="center"/>
    </w:pPr>
    <w:rPr>
      <w:b/>
      <w:bC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bg-BG"/>
    </w:rPr>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bg-BG"/>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bg-BG"/>
    </w:rPr>
  </w:style>
  <w:style w:type="paragraph" w:customStyle="1" w:styleId="agbullets">
    <w:name w:val="ag_bullets"/>
    <w:basedOn w:val="Normal"/>
    <w:qFormat/>
    <w:pPr>
      <w:numPr>
        <w:numId w:val="12"/>
      </w:numPr>
    </w:pPr>
    <w:rPr>
      <w:sz w:val="22"/>
      <w:szCs w:val="20"/>
    </w:rPr>
  </w:style>
  <w:style w:type="paragraph" w:customStyle="1" w:styleId="agtabbullets">
    <w:name w:val="ag_tab_bullets"/>
    <w:basedOn w:val="Normal"/>
    <w:qFormat/>
    <w:pPr>
      <w:numPr>
        <w:numId w:val="13"/>
      </w:numPr>
      <w:jc w:val="both"/>
    </w:pPr>
    <w:rPr>
      <w:sz w:val="18"/>
      <w:szCs w:val="20"/>
    </w:rPr>
  </w:style>
  <w:style w:type="paragraph" w:customStyle="1" w:styleId="agfootnote">
    <w:name w:val="ag_footnote"/>
    <w:basedOn w:val="Normal"/>
    <w:qFormat/>
    <w:pPr>
      <w:spacing w:after="120"/>
      <w:jc w:val="both"/>
    </w:pPr>
    <w:rPr>
      <w:sz w:val="16"/>
      <w:szCs w:val="20"/>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4637">
      <w:bodyDiv w:val="1"/>
      <w:marLeft w:val="0"/>
      <w:marRight w:val="0"/>
      <w:marTop w:val="0"/>
      <w:marBottom w:val="0"/>
      <w:divBdr>
        <w:top w:val="none" w:sz="0" w:space="0" w:color="auto"/>
        <w:left w:val="none" w:sz="0" w:space="0" w:color="auto"/>
        <w:bottom w:val="none" w:sz="0" w:space="0" w:color="auto"/>
        <w:right w:val="none" w:sz="0" w:space="0" w:color="auto"/>
      </w:divBdr>
    </w:div>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157232737">
      <w:bodyDiv w:val="1"/>
      <w:marLeft w:val="0"/>
      <w:marRight w:val="0"/>
      <w:marTop w:val="0"/>
      <w:marBottom w:val="0"/>
      <w:divBdr>
        <w:top w:val="none" w:sz="0" w:space="0" w:color="auto"/>
        <w:left w:val="none" w:sz="0" w:space="0" w:color="auto"/>
        <w:bottom w:val="none" w:sz="0" w:space="0" w:color="auto"/>
        <w:right w:val="none" w:sz="0" w:space="0" w:color="auto"/>
      </w:divBdr>
    </w:div>
    <w:div w:id="267927783">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51643793">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44714103">
      <w:bodyDiv w:val="1"/>
      <w:marLeft w:val="0"/>
      <w:marRight w:val="0"/>
      <w:marTop w:val="0"/>
      <w:marBottom w:val="0"/>
      <w:divBdr>
        <w:top w:val="none" w:sz="0" w:space="0" w:color="auto"/>
        <w:left w:val="none" w:sz="0" w:space="0" w:color="auto"/>
        <w:bottom w:val="none" w:sz="0" w:space="0" w:color="auto"/>
        <w:right w:val="none" w:sz="0" w:space="0" w:color="auto"/>
      </w:divBdr>
    </w:div>
    <w:div w:id="872612478">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04336155">
      <w:bodyDiv w:val="1"/>
      <w:marLeft w:val="0"/>
      <w:marRight w:val="0"/>
      <w:marTop w:val="0"/>
      <w:marBottom w:val="0"/>
      <w:divBdr>
        <w:top w:val="none" w:sz="0" w:space="0" w:color="auto"/>
        <w:left w:val="none" w:sz="0" w:space="0" w:color="auto"/>
        <w:bottom w:val="none" w:sz="0" w:space="0" w:color="auto"/>
        <w:right w:val="none" w:sz="0" w:space="0" w:color="auto"/>
      </w:divBdr>
    </w:div>
    <w:div w:id="1000935606">
      <w:bodyDiv w:val="1"/>
      <w:marLeft w:val="0"/>
      <w:marRight w:val="0"/>
      <w:marTop w:val="0"/>
      <w:marBottom w:val="0"/>
      <w:divBdr>
        <w:top w:val="none" w:sz="0" w:space="0" w:color="auto"/>
        <w:left w:val="none" w:sz="0" w:space="0" w:color="auto"/>
        <w:bottom w:val="none" w:sz="0" w:space="0" w:color="auto"/>
        <w:right w:val="none" w:sz="0" w:space="0" w:color="auto"/>
      </w:divBdr>
    </w:div>
    <w:div w:id="1017465266">
      <w:bodyDiv w:val="1"/>
      <w:marLeft w:val="0"/>
      <w:marRight w:val="0"/>
      <w:marTop w:val="0"/>
      <w:marBottom w:val="0"/>
      <w:divBdr>
        <w:top w:val="none" w:sz="0" w:space="0" w:color="auto"/>
        <w:left w:val="none" w:sz="0" w:space="0" w:color="auto"/>
        <w:bottom w:val="none" w:sz="0" w:space="0" w:color="auto"/>
        <w:right w:val="none" w:sz="0" w:space="0" w:color="auto"/>
      </w:divBdr>
    </w:div>
    <w:div w:id="1051805765">
      <w:bodyDiv w:val="1"/>
      <w:marLeft w:val="0"/>
      <w:marRight w:val="0"/>
      <w:marTop w:val="0"/>
      <w:marBottom w:val="0"/>
      <w:divBdr>
        <w:top w:val="none" w:sz="0" w:space="0" w:color="auto"/>
        <w:left w:val="none" w:sz="0" w:space="0" w:color="auto"/>
        <w:bottom w:val="none" w:sz="0" w:space="0" w:color="auto"/>
        <w:right w:val="none" w:sz="0" w:space="0" w:color="auto"/>
      </w:divBdr>
      <w:divsChild>
        <w:div w:id="1326399010">
          <w:marLeft w:val="0"/>
          <w:marRight w:val="0"/>
          <w:marTop w:val="0"/>
          <w:marBottom w:val="0"/>
          <w:divBdr>
            <w:top w:val="none" w:sz="0" w:space="0" w:color="auto"/>
            <w:left w:val="none" w:sz="0" w:space="0" w:color="auto"/>
            <w:bottom w:val="none" w:sz="0" w:space="0" w:color="auto"/>
            <w:right w:val="none" w:sz="0" w:space="0" w:color="auto"/>
          </w:divBdr>
          <w:divsChild>
            <w:div w:id="10768024">
              <w:marLeft w:val="0"/>
              <w:marRight w:val="0"/>
              <w:marTop w:val="0"/>
              <w:marBottom w:val="0"/>
              <w:divBdr>
                <w:top w:val="none" w:sz="0" w:space="0" w:color="auto"/>
                <w:left w:val="none" w:sz="0" w:space="0" w:color="auto"/>
                <w:bottom w:val="none" w:sz="0" w:space="0" w:color="auto"/>
                <w:right w:val="none" w:sz="0" w:space="0" w:color="auto"/>
              </w:divBdr>
              <w:divsChild>
                <w:div w:id="1110509085">
                  <w:marLeft w:val="-225"/>
                  <w:marRight w:val="-225"/>
                  <w:marTop w:val="0"/>
                  <w:marBottom w:val="0"/>
                  <w:divBdr>
                    <w:top w:val="none" w:sz="0" w:space="0" w:color="auto"/>
                    <w:left w:val="none" w:sz="0" w:space="0" w:color="auto"/>
                    <w:bottom w:val="none" w:sz="0" w:space="0" w:color="auto"/>
                    <w:right w:val="none" w:sz="0" w:space="0" w:color="auto"/>
                  </w:divBdr>
                  <w:divsChild>
                    <w:div w:id="2092005566">
                      <w:marLeft w:val="0"/>
                      <w:marRight w:val="0"/>
                      <w:marTop w:val="0"/>
                      <w:marBottom w:val="0"/>
                      <w:divBdr>
                        <w:top w:val="none" w:sz="0" w:space="0" w:color="auto"/>
                        <w:left w:val="none" w:sz="0" w:space="0" w:color="auto"/>
                        <w:bottom w:val="none" w:sz="0" w:space="0" w:color="auto"/>
                        <w:right w:val="none" w:sz="0" w:space="0" w:color="auto"/>
                      </w:divBdr>
                      <w:divsChild>
                        <w:div w:id="1084764764">
                          <w:marLeft w:val="0"/>
                          <w:marRight w:val="0"/>
                          <w:marTop w:val="0"/>
                          <w:marBottom w:val="0"/>
                          <w:divBdr>
                            <w:top w:val="none" w:sz="0" w:space="0" w:color="auto"/>
                            <w:left w:val="none" w:sz="0" w:space="0" w:color="auto"/>
                            <w:bottom w:val="none" w:sz="0" w:space="0" w:color="auto"/>
                            <w:right w:val="none" w:sz="0" w:space="0" w:color="auto"/>
                          </w:divBdr>
                          <w:divsChild>
                            <w:div w:id="1888908354">
                              <w:marLeft w:val="0"/>
                              <w:marRight w:val="0"/>
                              <w:marTop w:val="0"/>
                              <w:marBottom w:val="0"/>
                              <w:divBdr>
                                <w:top w:val="none" w:sz="0" w:space="0" w:color="auto"/>
                                <w:left w:val="none" w:sz="0" w:space="0" w:color="auto"/>
                                <w:bottom w:val="none" w:sz="0" w:space="0" w:color="auto"/>
                                <w:right w:val="none" w:sz="0" w:space="0" w:color="auto"/>
                              </w:divBdr>
                              <w:divsChild>
                                <w:div w:id="982350976">
                                  <w:marLeft w:val="0"/>
                                  <w:marRight w:val="0"/>
                                  <w:marTop w:val="0"/>
                                  <w:marBottom w:val="133"/>
                                  <w:divBdr>
                                    <w:top w:val="none" w:sz="0" w:space="0" w:color="auto"/>
                                    <w:left w:val="none" w:sz="0" w:space="0" w:color="auto"/>
                                    <w:bottom w:val="none" w:sz="0" w:space="0" w:color="auto"/>
                                    <w:right w:val="none" w:sz="0" w:space="0" w:color="auto"/>
                                  </w:divBdr>
                                  <w:divsChild>
                                    <w:div w:id="49118662">
                                      <w:marLeft w:val="0"/>
                                      <w:marRight w:val="0"/>
                                      <w:marTop w:val="0"/>
                                      <w:marBottom w:val="0"/>
                                      <w:divBdr>
                                        <w:top w:val="none" w:sz="0" w:space="0" w:color="auto"/>
                                        <w:left w:val="none" w:sz="0" w:space="0" w:color="auto"/>
                                        <w:bottom w:val="none" w:sz="0" w:space="0" w:color="auto"/>
                                        <w:right w:val="none" w:sz="0" w:space="0" w:color="auto"/>
                                      </w:divBdr>
                                      <w:divsChild>
                                        <w:div w:id="83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365363">
      <w:bodyDiv w:val="1"/>
      <w:marLeft w:val="0"/>
      <w:marRight w:val="0"/>
      <w:marTop w:val="0"/>
      <w:marBottom w:val="0"/>
      <w:divBdr>
        <w:top w:val="none" w:sz="0" w:space="0" w:color="auto"/>
        <w:left w:val="none" w:sz="0" w:space="0" w:color="auto"/>
        <w:bottom w:val="none" w:sz="0" w:space="0" w:color="auto"/>
        <w:right w:val="none" w:sz="0" w:space="0" w:color="auto"/>
      </w:divBdr>
    </w:div>
    <w:div w:id="12692372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08601875">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 w:id="201059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eur-lex.europa.eu/budget/www/index-bg.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usiness-economy-euro/economic-performance-and-forecasts/economic-forecasts/spring-2019-economic-forecas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85EF0364217924BAD471D1695637112" ma:contentTypeVersion="1" ma:contentTypeDescription="Create a new document in this library." ma:contentTypeScope="" ma:versionID="205d5bdeabaca534a5226ddab7fc3cab">
  <xsd:schema xmlns:xsd="http://www.w3.org/2001/XMLSchema" xmlns:xs="http://www.w3.org/2001/XMLSchema" xmlns:p="http://schemas.microsoft.com/office/2006/metadata/properties" xmlns:ns3="d9606faa-45a1-44ba-9f56-4f4a8f4034dc" targetNamespace="http://schemas.microsoft.com/office/2006/metadata/properties" ma:root="true" ma:fieldsID="2dd27c47d5134ace2527d0f4f98d29d2" ns3:_="">
    <xsd:import namespace="d9606faa-45a1-44ba-9f56-4f4a8f4034d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6faa-45a1-44ba-9f56-4f4a8f4034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9606faa-45a1-44ba-9f56-4f4a8f4034dc">EN</EC_Collab_DocumentLanguage>
    <EC_Collab_Reference xmlns="d9606faa-45a1-44ba-9f56-4f4a8f4034dc" xsi:nil="true"/>
    <EC_Collab_Status xmlns="d9606faa-45a1-44ba-9f56-4f4a8f4034dc">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1116-EBCB-4080-853B-DEAA17D1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6faa-45a1-44ba-9f56-4f4a8f40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7BA85-4E09-4A59-BEF7-0E1E6301EDD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606faa-45a1-44ba-9f56-4f4a8f4034dc"/>
    <ds:schemaRef ds:uri="http://www.w3.org/XML/1998/namespace"/>
    <ds:schemaRef ds:uri="http://purl.org/dc/dcmitype/"/>
  </ds:schemaRefs>
</ds:datastoreItem>
</file>

<file path=customXml/itemProps3.xml><?xml version="1.0" encoding="utf-8"?>
<ds:datastoreItem xmlns:ds="http://schemas.openxmlformats.org/officeDocument/2006/customXml" ds:itemID="{C6F60D5B-412D-4C96-96FC-1DDF56CE96D9}">
  <ds:schemaRefs>
    <ds:schemaRef ds:uri="http://schemas.microsoft.com/sharepoint/v3/contenttype/forms"/>
  </ds:schemaRefs>
</ds:datastoreItem>
</file>

<file path=customXml/itemProps4.xml><?xml version="1.0" encoding="utf-8"?>
<ds:datastoreItem xmlns:ds="http://schemas.openxmlformats.org/officeDocument/2006/customXml" ds:itemID="{8963E191-061C-4791-82DC-625EDE34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7481</Words>
  <Characters>35761</Characters>
  <Application>Microsoft Office Word</Application>
  <DocSecurity>0</DocSecurity>
  <Lines>1788</Lines>
  <Paragraphs>1394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41848</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30</cp:revision>
  <cp:lastPrinted>2019-04-26T13:48:00Z</cp:lastPrinted>
  <dcterms:created xsi:type="dcterms:W3CDTF">2019-07-01T14:42:00Z</dcterms:created>
  <dcterms:modified xsi:type="dcterms:W3CDTF">2019-07-15T07:19:00Z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0x010100258AA79CEB83498886A3A0868112325000885EF0364217924BAD471D1695637112</vt:lpwstr>
  </property>
</Properties>
</file>