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AD237A9-C447-4E01-A23A-5644AFFD3FF0"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С Регламент (EС) 2019/124 на Съвета се определят възможностите за риболов за 2019 г. на определени рибни запаси и групи от рибни запаси, приложими във водите на Съюза, както и за корабите на Съюза в някои води извън Съюза. Обичайна практика е тези възможности за риболов да се изменят неколкократно по време на периода, за който са в сила. С Регламент (ЕС) 2018/2025 на Съвета се определят възможностите за риболов за 2019 и 2020 г. на определени дълбоководни рибни запаси за риболовните кораби на Съюза. В предложението се включва изменение на ОДУ за един от запасите на северен пагел след становище на ICES за този запас.</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noProof/>
        </w:rPr>
      </w:pPr>
      <w:r>
        <w:rPr>
          <w:noProof/>
        </w:rPr>
        <w:t>Предложените мерки са разработени в съответствие с целите и правилата на общата политика в областта на рибарството (ОПОР) и са съгласувани с политиката на Съюза за устойчиво развитие.</w:t>
      </w:r>
    </w:p>
    <w:p>
      <w:pPr>
        <w:pStyle w:val="ManualHeading2"/>
        <w:rPr>
          <w:rFonts w:eastAsia="Arial Unicode MS"/>
          <w:noProof/>
        </w:rPr>
      </w:pPr>
      <w:r>
        <w:rPr>
          <w:noProof/>
          <w:color w:val="000000"/>
          <w:u w:color="000000"/>
          <w:bdr w:val="nil"/>
        </w:rPr>
        <w:t>•</w:t>
      </w:r>
      <w:r>
        <w:rPr>
          <w:noProof/>
        </w:rPr>
        <w:tab/>
        <w:t>Съгласуваност с политиките на Съюза в други области</w:t>
      </w:r>
    </w:p>
    <w:p>
      <w:pPr>
        <w:rPr>
          <w:noProof/>
        </w:rPr>
      </w:pPr>
      <w:r>
        <w:rPr>
          <w:noProof/>
        </w:rPr>
        <w:t>Предложените мерки са съгласувани с политиките на Съюза в други области — по-специално с политиката в областта на околната среда.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Правното основание на настоящото предложение е член 43, параграф 3 от Договора за функционирането на Европейския съюз.</w:t>
      </w:r>
    </w:p>
    <w:p>
      <w:pPr>
        <w:rPr>
          <w:noProof/>
        </w:rPr>
      </w:pPr>
      <w:r>
        <w:rPr>
          <w:noProof/>
        </w:rPr>
        <w:t>Ангажиментите на Съюза към устойчивата експлоатация на живите водни ресурси произтичат от задълженията съгласно член 2 от новия основен регламент за ОПОР.</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spacing w:after="0"/>
        <w:rPr>
          <w:noProof/>
        </w:rPr>
      </w:pPr>
      <w:r>
        <w:rPr>
          <w:noProof/>
        </w:rPr>
        <w:t>Предложението попада в обхвата на изключителната компетентност на Съюза в съответствие с член 3, параграф 1, буква г) от Договора. Следователно принципът на субсидиарност не се прилага.</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Настоящото предложение е в съответствие с принципа на пропорционалност поради следната причина: ОПОР е обща политика. Съгласно член 43, параграф 3 от Договора мерките за определянето и разпределянето на възможностите за риболов се приемат от Съвета.</w:t>
      </w:r>
    </w:p>
    <w:p>
      <w:pPr>
        <w:pStyle w:val="ManualHeading2"/>
        <w:rPr>
          <w:rFonts w:eastAsia="Arial Unicode MS"/>
          <w:noProof/>
          <w:u w:color="000000"/>
          <w:bdr w:val="nil"/>
        </w:rPr>
      </w:pPr>
      <w:r>
        <w:rPr>
          <w:noProof/>
        </w:rPr>
        <w:t>•</w:t>
      </w:r>
      <w:r>
        <w:rPr>
          <w:noProof/>
        </w:rPr>
        <w:tab/>
        <w:t>Избор на инструмент</w:t>
      </w:r>
    </w:p>
    <w:p>
      <w:pPr>
        <w:spacing w:after="0"/>
        <w:rPr>
          <w:noProof/>
        </w:rPr>
      </w:pPr>
      <w:r>
        <w:rPr>
          <w:noProof/>
        </w:rPr>
        <w:t xml:space="preserve">Предложен инструмент: регламент. </w:t>
      </w:r>
    </w:p>
    <w:p>
      <w:pPr>
        <w:pStyle w:val="ManualHeading1"/>
        <w:rPr>
          <w:noProof/>
        </w:rPr>
      </w:pPr>
      <w:r>
        <w:rPr>
          <w:noProof/>
        </w:rPr>
        <w:lastRenderedPageBreak/>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Не се прилага.</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Както при изготвянето на предложението, така и при определянето на възможностите за риболов е взета предвид обратната информация, представена през годината от заинтересованите страни, консултативните съвети, националните администрации, рибарските и неправителствените организации.</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Предложението се основава на научното становище на Международния съвет за изследване на морето (ICES).</w:t>
      </w:r>
    </w:p>
    <w:p>
      <w:pPr>
        <w:pStyle w:val="ManualHeading2"/>
        <w:rPr>
          <w:rFonts w:eastAsia="Arial Unicode MS"/>
          <w:noProof/>
          <w:u w:color="000000"/>
          <w:bdr w:val="nil"/>
        </w:rPr>
      </w:pPr>
      <w:r>
        <w:rPr>
          <w:noProof/>
        </w:rPr>
        <w:t>•</w:t>
      </w:r>
      <w:r>
        <w:rPr>
          <w:noProof/>
        </w:rPr>
        <w:tab/>
        <w:t>Оценка на въздействието</w:t>
      </w:r>
    </w:p>
    <w:p>
      <w:pPr>
        <w:rPr>
          <w:noProof/>
        </w:rPr>
      </w:pPr>
      <w:r>
        <w:rPr>
          <w:noProof/>
        </w:rPr>
        <w:t>Обхватът на Регламента относно възможностите за риболов е ограничен от член 43, параграф 3 от Договора.</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Не се прилага.</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noProof/>
        </w:rPr>
      </w:pPr>
      <w:r>
        <w:rPr>
          <w:noProof/>
        </w:rPr>
        <w:t>Не се прилага.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Предложените мерки няма да имат отражение върху бюджета.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Подробно разяснение на специфичните разпоредби на предложението</w:t>
      </w:r>
    </w:p>
    <w:p>
      <w:pPr>
        <w:rPr>
          <w:noProof/>
        </w:rPr>
      </w:pPr>
      <w:r>
        <w:rPr>
          <w:noProof/>
        </w:rPr>
        <w:t>Целта на предложението е Регламент (ЕС) 2019/124 да бъде изменен, както е описано по-долу.</w:t>
      </w:r>
    </w:p>
    <w:p>
      <w:pPr>
        <w:rPr>
          <w:noProof/>
        </w:rPr>
      </w:pPr>
      <w:r>
        <w:rPr>
          <w:noProof/>
        </w:rPr>
        <w:t>Хамсията в подзони 9 и 10 на ICES и във водите на Съюза от CECAF 34.1.1 е вид с кратък живот, наблюдения над който се извършват през май. Поради това с промяната на периода, за който се определя общият допустим улов („ОДУ“), от една календарна година на период от 1 юли до 30 юни на следващата година, се гарантира, че възможностите за риболов се основават на възможно най-добрата оценка на годишното възпроизводство на този вид с кратък живот.</w:t>
      </w:r>
    </w:p>
    <w:p>
      <w:pPr>
        <w:rPr>
          <w:noProof/>
        </w:rPr>
      </w:pPr>
      <w:r>
        <w:rPr>
          <w:noProof/>
        </w:rPr>
        <w:t xml:space="preserve">В Регламент (ЕС) 2018/120, изменен с Регламент (ЕС) 2018/1628, ОДУ за хамсия е определен по изключение за период от 18 месеца — от 1 януари 2018 г. до 30 юни 2019 г., с цел с цел ОДУ да бъде адаптиран към определения в новото научно становище период от юли до юни на следващата година. </w:t>
      </w:r>
    </w:p>
    <w:p>
      <w:pPr>
        <w:rPr>
          <w:noProof/>
        </w:rPr>
      </w:pPr>
      <w:r>
        <w:rPr>
          <w:noProof/>
        </w:rPr>
        <w:t xml:space="preserve">В Регламент (ЕС) 2019/124 на Съвета ОДУ за хамсия в подзони 9 и 10 на ICES и във водите на Съюза от CECAF 34.1.1, приложим от 1 юли 2019 г. до 30 юни 2020 г., беше </w:t>
      </w:r>
      <w:r>
        <w:rPr>
          <w:noProof/>
        </w:rPr>
        <w:lastRenderedPageBreak/>
        <w:t>определен на нула в очакване на новото научно становище. С второто изменение на възможностите за риболов за 2019 г. беше установен временен ОДУ, за да може риболовът да продължи. Научното становище беше представено на 28 юни 2019 г. ОДУ за периода с начало 1 юли 2019 г. следва да бъде изменен с оглед на най-новото научно становище на ICES.</w:t>
      </w:r>
    </w:p>
    <w:p>
      <w:pPr>
        <w:rPr>
          <w:noProof/>
        </w:rPr>
      </w:pPr>
      <w:r>
        <w:rPr>
          <w:noProof/>
        </w:rPr>
        <w:t>С предложените изменения се цели промяна и на Регламент (ЕС) 2018/2025, с който се определят възможностите за риболов за 2019 и 2020 г. на определени дълбоководни рибни запаси за риболовните кораби на Съюза. Към момента на установяване на възможностите за риболов имаше издадено научно становище за северен пагел в подзона 10 на ICES само за 2019 г. Беше взето решение възможностите за риболов за този запас да бъдат установени на 576 тона както за 2019 г., така и за 2020 г. и при необходимост да бъдат изменени след представянето на научното становище за 2020 г. Научното становище на ICES за 553 тона беше публикувано на 11 юни 2019 г. Възможностите за риболов на северен пагел в подзона 10 на ICES трябва да бъдат изменени, за да се вземе предвид най-новото научно становище.</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2019/0154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изменение на регламенти (ЕС) 2019/124 и (ЕС) 2018/2025 по отношение на определени възможности за риболов</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Регламент (EС) 2019/124 на Съвета</w:t>
      </w:r>
      <w:r>
        <w:rPr>
          <w:rStyle w:val="FootnoteReference"/>
          <w:noProof/>
        </w:rPr>
        <w:footnoteReference w:id="1"/>
      </w:r>
      <w:r>
        <w:rPr>
          <w:noProof/>
        </w:rPr>
        <w:t xml:space="preserve"> се определят възможностите за риболов през 2019 г. на определени рибни запаси и групи от рибни запаси, приложими във водите на Съюза, както и за корабите на Съюза в някои води извън Съюза.</w:t>
      </w:r>
    </w:p>
    <w:p>
      <w:pPr>
        <w:pStyle w:val="ManualConsidrant"/>
        <w:rPr>
          <w:noProof/>
        </w:rPr>
      </w:pPr>
      <w:r>
        <w:t>(2)</w:t>
      </w:r>
      <w:r>
        <w:tab/>
      </w:r>
      <w:r>
        <w:rPr>
          <w:noProof/>
        </w:rPr>
        <w:t>В Регламент (ЕС) 2019/124 общият допустим улов (ОДУ) на хамсия (</w:t>
      </w:r>
      <w:r>
        <w:rPr>
          <w:i/>
          <w:noProof/>
        </w:rPr>
        <w:t>Engraulis encrasicolus</w:t>
      </w:r>
      <w:r>
        <w:rPr>
          <w:noProof/>
        </w:rPr>
        <w:t>) в подзони 9 и 10 на ICES и във водите на Съюза от CECAF 34.1.1 е определен на нула. С второто изменение на възможностите за риболов беше установен временен ОДУ, за да може риболовът да продължи. Хамсията е вид с кратък живот, за който приложимото научно становище беше издадено на 28 юни 2019 г. Ограниченията на улова на хамсия в подзони 9 и 10 на ICES и във водите на Съюза от CECAF 34.1.1 следва да бъдат изменени в съответствие с най-новото научно становище на Международния съвет за изследване на морето („ICES“).</w:t>
      </w:r>
    </w:p>
    <w:p>
      <w:pPr>
        <w:pStyle w:val="ManualConsidrant"/>
        <w:rPr>
          <w:noProof/>
        </w:rPr>
      </w:pPr>
      <w:r>
        <w:t>(3)</w:t>
      </w:r>
      <w:r>
        <w:tab/>
      </w:r>
      <w:r>
        <w:rPr>
          <w:noProof/>
        </w:rPr>
        <w:t>В Регламент (ЕС) 2018/2025 на Съвета</w:t>
      </w:r>
      <w:r>
        <w:rPr>
          <w:rStyle w:val="FootnoteReference"/>
          <w:noProof/>
        </w:rPr>
        <w:footnoteReference w:id="2"/>
      </w:r>
      <w:r>
        <w:rPr>
          <w:noProof/>
        </w:rPr>
        <w:t xml:space="preserve"> се определят възможностите за риболов за 2019 и 2020 г. на определени дълбоководни рибни запаси за риболовните кораби на Съюза. В този регламент ОДУ за северен пагел в подзона 10 на ICES и за двете години беше определен въз основа на научното становище за 2019 г. в очакване на научното становище за 2020 г. На 11 юни 2019 г. ICES публикува научното становище за 2020 г. ОДУ следва да бъде установен в съответствие с най-новото научно становище. </w:t>
      </w:r>
    </w:p>
    <w:p>
      <w:pPr>
        <w:pStyle w:val="ManualConsidrant"/>
        <w:rPr>
          <w:noProof/>
        </w:rPr>
      </w:pPr>
      <w:r>
        <w:t>(4)</w:t>
      </w:r>
      <w:r>
        <w:tab/>
      </w:r>
      <w:r>
        <w:rPr>
          <w:noProof/>
        </w:rPr>
        <w:t>Регламенти (ЕС) 2019/124 и (ЕС) 2018/2025 следва да бъдат съответно изменени.</w:t>
      </w:r>
    </w:p>
    <w:p>
      <w:pPr>
        <w:pStyle w:val="ManualConsidrant"/>
        <w:rPr>
          <w:noProof/>
        </w:rPr>
      </w:pPr>
      <w:r>
        <w:t>(5)</w:t>
      </w:r>
      <w:r>
        <w:tab/>
      </w:r>
      <w:r>
        <w:rPr>
          <w:noProof/>
        </w:rPr>
        <w:t xml:space="preserve">Ограниченията на улова на хамсия в подзони 9 и 10 на ICES и във водите на Съюза от CECAF 34.1.1, предвидени в Регламент (ЕС) 2019/124, се прилагат от 1 юли 2019 г. Ето защо настоящият регламент за изменение следва да се прилага от същата дата. Това прилагане с обратно действие не засяга принципите на </w:t>
      </w:r>
      <w:r>
        <w:rPr>
          <w:noProof/>
        </w:rPr>
        <w:lastRenderedPageBreak/>
        <w:t>правна сигурност и защита на оправданите правни очаквания, тъй като съответните възможности за риболов все още не са изчерпани,</w:t>
      </w:r>
    </w:p>
    <w:p>
      <w:pPr>
        <w:pStyle w:val="Formuledadoption"/>
        <w:rPr>
          <w:noProof/>
        </w:rPr>
      </w:pPr>
      <w:r>
        <w:rPr>
          <w:noProof/>
        </w:rPr>
        <w:t>ПРИЕ НАСТОЯЩИЯ РЕГЛАМЕНТ:</w:t>
      </w:r>
    </w:p>
    <w:p>
      <w:pPr>
        <w:pStyle w:val="Titrearticle"/>
        <w:rPr>
          <w:noProof/>
        </w:rPr>
      </w:pPr>
      <w:r>
        <w:rPr>
          <w:noProof/>
        </w:rPr>
        <w:t>Член 1</w:t>
      </w:r>
      <w:r>
        <w:rPr>
          <w:noProof/>
        </w:rPr>
        <w:br/>
      </w:r>
    </w:p>
    <w:p>
      <w:pPr>
        <w:rPr>
          <w:noProof/>
        </w:rPr>
      </w:pPr>
      <w:r>
        <w:rPr>
          <w:noProof/>
        </w:rPr>
        <w:t>В приложение IA към Регламент (ЕС) 2019/124 таблицата за възможностите за риболов на хамсия в подзони 9 и 10 на ICES и във водите на Съюза от участък 34.1.1 на CECAF се заменя със следната таблица:</w:t>
      </w:r>
    </w:p>
    <w:tbl>
      <w:tblPr>
        <w:tblW w:w="8956" w:type="dxa"/>
        <w:tblInd w:w="108" w:type="dxa"/>
        <w:tblLook w:val="04A0" w:firstRow="1" w:lastRow="0" w:firstColumn="1" w:lastColumn="0" w:noHBand="0" w:noVBand="1"/>
      </w:tblPr>
      <w:tblGrid>
        <w:gridCol w:w="1118"/>
        <w:gridCol w:w="976"/>
        <w:gridCol w:w="976"/>
        <w:gridCol w:w="1325"/>
        <w:gridCol w:w="850"/>
        <w:gridCol w:w="993"/>
        <w:gridCol w:w="1275"/>
        <w:gridCol w:w="1585"/>
      </w:tblGrid>
      <w:tr>
        <w:trPr>
          <w:trHeight w:val="255"/>
        </w:trPr>
        <w:tc>
          <w:tcPr>
            <w:tcW w:w="976" w:type="dxa"/>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Вид:</w:t>
            </w:r>
          </w:p>
        </w:tc>
        <w:tc>
          <w:tcPr>
            <w:tcW w:w="976" w:type="dxa"/>
            <w:tcBorders>
              <w:top w:val="single" w:sz="8" w:space="0" w:color="000000"/>
              <w:left w:val="nil"/>
              <w:bottom w:val="nil"/>
              <w:right w:val="nil"/>
            </w:tcBorders>
            <w:noWrap/>
            <w:hideMark/>
          </w:tcPr>
          <w:p>
            <w:pPr>
              <w:spacing w:after="0"/>
              <w:rPr>
                <w:rFonts w:eastAsia="Times New Roman"/>
                <w:noProof/>
                <w:sz w:val="18"/>
                <w:szCs w:val="18"/>
              </w:rPr>
            </w:pPr>
            <w:r>
              <w:rPr>
                <w:noProof/>
                <w:sz w:val="18"/>
              </w:rPr>
              <w:t>Хамсия</w:t>
            </w:r>
          </w:p>
        </w:tc>
        <w:tc>
          <w:tcPr>
            <w:tcW w:w="976" w:type="dxa"/>
            <w:tcBorders>
              <w:top w:val="single" w:sz="8" w:space="0" w:color="000000"/>
              <w:left w:val="nil"/>
              <w:bottom w:val="nil"/>
              <w:right w:val="nil"/>
            </w:tcBorders>
            <w:noWrap/>
            <w:hideMark/>
          </w:tcPr>
          <w:p>
            <w:pPr>
              <w:spacing w:after="0"/>
              <w:jc w:val="right"/>
              <w:rPr>
                <w:rFonts w:eastAsia="Times New Roman"/>
                <w:noProof/>
                <w:color w:val="000000"/>
                <w:sz w:val="18"/>
                <w:szCs w:val="18"/>
              </w:rPr>
            </w:pPr>
            <w:r>
              <w:rPr>
                <w:noProof/>
                <w:color w:val="000000"/>
                <w:sz w:val="18"/>
              </w:rPr>
              <w:t> </w:t>
            </w:r>
          </w:p>
        </w:tc>
        <w:tc>
          <w:tcPr>
            <w:tcW w:w="1325" w:type="dxa"/>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 </w:t>
            </w:r>
          </w:p>
        </w:tc>
        <w:tc>
          <w:tcPr>
            <w:tcW w:w="850" w:type="dxa"/>
            <w:tcBorders>
              <w:top w:val="single" w:sz="8" w:space="0" w:color="000000"/>
              <w:left w:val="single" w:sz="8" w:space="0" w:color="000000"/>
              <w:bottom w:val="nil"/>
              <w:right w:val="nil"/>
            </w:tcBorders>
            <w:noWrap/>
            <w:hideMark/>
          </w:tcPr>
          <w:p>
            <w:pPr>
              <w:spacing w:after="0"/>
              <w:rPr>
                <w:rFonts w:eastAsia="Times New Roman"/>
                <w:noProof/>
                <w:color w:val="000000"/>
                <w:sz w:val="18"/>
                <w:szCs w:val="18"/>
              </w:rPr>
            </w:pPr>
            <w:r>
              <w:rPr>
                <w:noProof/>
                <w:color w:val="000000"/>
                <w:sz w:val="18"/>
              </w:rPr>
              <w:t>Зона:</w:t>
            </w:r>
          </w:p>
        </w:tc>
        <w:tc>
          <w:tcPr>
            <w:tcW w:w="3853" w:type="dxa"/>
            <w:gridSpan w:val="3"/>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9 и 10; води на Съюза от CECAF 34.1.1</w:t>
            </w:r>
          </w:p>
        </w:tc>
      </w:tr>
      <w:tr>
        <w:trPr>
          <w:trHeight w:val="270"/>
        </w:trPr>
        <w:tc>
          <w:tcPr>
            <w:tcW w:w="976"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1952" w:type="dxa"/>
            <w:gridSpan w:val="2"/>
            <w:tcBorders>
              <w:top w:val="nil"/>
              <w:left w:val="nil"/>
              <w:bottom w:val="single" w:sz="8" w:space="0" w:color="000000"/>
              <w:right w:val="nil"/>
            </w:tcBorders>
            <w:noWrap/>
            <w:hideMark/>
          </w:tcPr>
          <w:p>
            <w:pPr>
              <w:spacing w:after="0"/>
              <w:rPr>
                <w:rFonts w:eastAsia="Times New Roman"/>
                <w:i/>
                <w:iCs/>
                <w:noProof/>
                <w:sz w:val="18"/>
                <w:szCs w:val="18"/>
              </w:rPr>
            </w:pPr>
            <w:r>
              <w:rPr>
                <w:i/>
                <w:noProof/>
                <w:sz w:val="18"/>
              </w:rPr>
              <w:t>Engraulis encrasicolus</w:t>
            </w:r>
          </w:p>
        </w:tc>
        <w:tc>
          <w:tcPr>
            <w:tcW w:w="1325" w:type="dxa"/>
            <w:tcBorders>
              <w:top w:val="nil"/>
              <w:left w:val="nil"/>
              <w:bottom w:val="single" w:sz="8" w:space="0" w:color="000000"/>
              <w:right w:val="nil"/>
            </w:tcBorders>
            <w:noWrap/>
            <w:hideMark/>
          </w:tcPr>
          <w:p>
            <w:pPr>
              <w:spacing w:after="0"/>
              <w:rPr>
                <w:rFonts w:eastAsia="Times New Roman"/>
                <w:i/>
                <w:iCs/>
                <w:noProof/>
                <w:color w:val="000000"/>
                <w:sz w:val="18"/>
                <w:szCs w:val="18"/>
              </w:rPr>
            </w:pPr>
            <w:r>
              <w:rPr>
                <w:i/>
                <w:noProof/>
                <w:color w:val="000000"/>
                <w:sz w:val="18"/>
              </w:rPr>
              <w:t> </w:t>
            </w:r>
          </w:p>
        </w:tc>
        <w:tc>
          <w:tcPr>
            <w:tcW w:w="850" w:type="dxa"/>
            <w:tcBorders>
              <w:top w:val="nil"/>
              <w:left w:val="single" w:sz="8" w:space="0" w:color="000000"/>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2268" w:type="dxa"/>
            <w:gridSpan w:val="2"/>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(ANE/9/3411)</w:t>
            </w:r>
          </w:p>
        </w:tc>
        <w:tc>
          <w:tcPr>
            <w:tcW w:w="1585"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r>
      <w:tr>
        <w:trPr>
          <w:trHeight w:val="270"/>
        </w:trPr>
        <w:tc>
          <w:tcPr>
            <w:tcW w:w="976" w:type="dxa"/>
            <w:noWrap/>
            <w:hideMark/>
          </w:tcPr>
          <w:p>
            <w:pPr>
              <w:spacing w:after="0"/>
              <w:rPr>
                <w:rFonts w:eastAsia="Times New Roman"/>
                <w:noProof/>
                <w:color w:val="000000"/>
                <w:sz w:val="18"/>
                <w:szCs w:val="18"/>
              </w:rPr>
            </w:pPr>
            <w:r>
              <w:rPr>
                <w:noProof/>
                <w:color w:val="000000"/>
                <w:sz w:val="18"/>
              </w:rPr>
              <w:t>Испания</w:t>
            </w:r>
          </w:p>
        </w:tc>
        <w:tc>
          <w:tcPr>
            <w:tcW w:w="976" w:type="dxa"/>
            <w:noWrap/>
            <w:hideMark/>
          </w:tcPr>
          <w:p>
            <w:pPr>
              <w:spacing w:after="0"/>
              <w:rPr>
                <w:rFonts w:eastAsia="Times New Roman"/>
                <w:noProof/>
                <w:sz w:val="18"/>
                <w:szCs w:val="18"/>
              </w:rPr>
            </w:pPr>
            <w:r>
              <w:rPr>
                <w:noProof/>
                <w:sz w:val="18"/>
              </w:rPr>
              <w:t> </w:t>
            </w:r>
          </w:p>
        </w:tc>
        <w:tc>
          <w:tcPr>
            <w:tcW w:w="976" w:type="dxa"/>
            <w:noWrap/>
            <w:hideMark/>
          </w:tcPr>
          <w:p>
            <w:pPr>
              <w:spacing w:after="0"/>
              <w:jc w:val="right"/>
              <w:rPr>
                <w:rFonts w:eastAsia="Times New Roman"/>
                <w:noProof/>
                <w:color w:val="000000"/>
                <w:sz w:val="18"/>
                <w:szCs w:val="18"/>
              </w:rPr>
            </w:pPr>
            <w:r>
              <w:rPr>
                <w:noProof/>
                <w:color w:val="000000"/>
                <w:sz w:val="18"/>
              </w:rPr>
              <w:t>4 281</w:t>
            </w:r>
          </w:p>
        </w:tc>
        <w:tc>
          <w:tcPr>
            <w:tcW w:w="1325" w:type="dxa"/>
            <w:noWrap/>
            <w:hideMark/>
          </w:tcPr>
          <w:p>
            <w:pPr>
              <w:spacing w:after="0"/>
              <w:rPr>
                <w:rFonts w:eastAsia="Times New Roman"/>
                <w:noProof/>
                <w:color w:val="000000"/>
                <w:sz w:val="18"/>
                <w:szCs w:val="18"/>
              </w:rPr>
            </w:pPr>
            <w:r>
              <w:rPr>
                <w:noProof/>
                <w:color w:val="000000"/>
                <w:sz w:val="18"/>
                <w:vertAlign w:val="superscript"/>
              </w:rPr>
              <w:t>(1)</w:t>
            </w:r>
          </w:p>
        </w:tc>
        <w:tc>
          <w:tcPr>
            <w:tcW w:w="1843" w:type="dxa"/>
            <w:gridSpan w:val="2"/>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Предпазен ОДУ</w:t>
            </w:r>
          </w:p>
        </w:tc>
        <w:tc>
          <w:tcPr>
            <w:tcW w:w="1275" w:type="dxa"/>
            <w:noWrap/>
            <w:hideMark/>
          </w:tcPr>
          <w:p>
            <w:pPr>
              <w:spacing w:after="0"/>
              <w:rPr>
                <w:rFonts w:eastAsia="Times New Roman"/>
                <w:noProof/>
                <w:color w:val="000000"/>
                <w:sz w:val="18"/>
                <w:szCs w:val="18"/>
              </w:rPr>
            </w:pPr>
            <w:r>
              <w:rPr>
                <w:noProof/>
                <w:color w:val="000000"/>
                <w:sz w:val="18"/>
              </w:rPr>
              <w:t> </w:t>
            </w:r>
          </w:p>
        </w:tc>
        <w:tc>
          <w:tcPr>
            <w:tcW w:w="1585" w:type="dxa"/>
            <w:noWrap/>
            <w:hideMark/>
          </w:tcPr>
          <w:p>
            <w:pPr>
              <w:spacing w:after="0"/>
              <w:rPr>
                <w:rFonts w:eastAsia="Times New Roman"/>
                <w:noProof/>
                <w:color w:val="000000"/>
                <w:sz w:val="18"/>
                <w:szCs w:val="18"/>
              </w:rPr>
            </w:pPr>
            <w:r>
              <w:rPr>
                <w:noProof/>
                <w:color w:val="000000"/>
                <w:sz w:val="18"/>
              </w:rPr>
              <w:t> </w:t>
            </w:r>
          </w:p>
        </w:tc>
      </w:tr>
      <w:tr>
        <w:trPr>
          <w:trHeight w:val="270"/>
        </w:trPr>
        <w:tc>
          <w:tcPr>
            <w:tcW w:w="976" w:type="dxa"/>
            <w:noWrap/>
            <w:hideMark/>
          </w:tcPr>
          <w:p>
            <w:pPr>
              <w:spacing w:after="0"/>
              <w:rPr>
                <w:rFonts w:eastAsia="Times New Roman"/>
                <w:noProof/>
                <w:color w:val="000000"/>
                <w:sz w:val="18"/>
                <w:szCs w:val="18"/>
              </w:rPr>
            </w:pPr>
            <w:r>
              <w:rPr>
                <w:noProof/>
                <w:color w:val="000000"/>
                <w:sz w:val="18"/>
              </w:rPr>
              <w:t>Португалия</w:t>
            </w:r>
          </w:p>
        </w:tc>
        <w:tc>
          <w:tcPr>
            <w:tcW w:w="976" w:type="dxa"/>
            <w:noWrap/>
            <w:hideMark/>
          </w:tcPr>
          <w:p>
            <w:pPr>
              <w:rPr>
                <w:rFonts w:eastAsia="Times New Roman"/>
                <w:noProof/>
                <w:color w:val="000000"/>
                <w:sz w:val="18"/>
                <w:szCs w:val="18"/>
              </w:rPr>
            </w:pPr>
          </w:p>
        </w:tc>
        <w:tc>
          <w:tcPr>
            <w:tcW w:w="976" w:type="dxa"/>
            <w:noWrap/>
            <w:hideMark/>
          </w:tcPr>
          <w:p>
            <w:pPr>
              <w:spacing w:after="0"/>
              <w:jc w:val="right"/>
              <w:rPr>
                <w:rFonts w:eastAsia="Times New Roman"/>
                <w:noProof/>
                <w:color w:val="000000"/>
                <w:sz w:val="18"/>
                <w:szCs w:val="18"/>
              </w:rPr>
            </w:pPr>
            <w:r>
              <w:rPr>
                <w:noProof/>
                <w:color w:val="000000"/>
                <w:sz w:val="18"/>
              </w:rPr>
              <w:t>4 671</w:t>
            </w:r>
          </w:p>
        </w:tc>
        <w:tc>
          <w:tcPr>
            <w:tcW w:w="1325" w:type="dxa"/>
            <w:noWrap/>
            <w:hideMark/>
          </w:tcPr>
          <w:p>
            <w:pPr>
              <w:spacing w:after="0"/>
              <w:rPr>
                <w:rFonts w:eastAsia="Times New Roman"/>
                <w:noProof/>
                <w:color w:val="000000"/>
                <w:sz w:val="18"/>
                <w:szCs w:val="18"/>
              </w:rPr>
            </w:pPr>
            <w:r>
              <w:rPr>
                <w:noProof/>
                <w:color w:val="000000"/>
                <w:sz w:val="18"/>
                <w:vertAlign w:val="superscript"/>
              </w:rPr>
              <w:t>(1)</w:t>
            </w:r>
          </w:p>
        </w:tc>
        <w:tc>
          <w:tcPr>
            <w:tcW w:w="850" w:type="dxa"/>
            <w:noWrap/>
            <w:hideMark/>
          </w:tcPr>
          <w:p>
            <w:pPr>
              <w:rPr>
                <w:rFonts w:eastAsia="Times New Roman"/>
                <w:noProof/>
                <w:color w:val="000000"/>
                <w:sz w:val="18"/>
                <w:szCs w:val="18"/>
              </w:rPr>
            </w:pPr>
          </w:p>
        </w:tc>
        <w:tc>
          <w:tcPr>
            <w:tcW w:w="993" w:type="dxa"/>
            <w:noWrap/>
            <w:hideMark/>
          </w:tcPr>
          <w:p>
            <w:pPr>
              <w:spacing w:after="0"/>
              <w:rPr>
                <w:noProof/>
                <w:sz w:val="20"/>
                <w:szCs w:val="20"/>
              </w:rPr>
            </w:pPr>
          </w:p>
        </w:tc>
        <w:tc>
          <w:tcPr>
            <w:tcW w:w="1275" w:type="dxa"/>
            <w:noWrap/>
            <w:hideMark/>
          </w:tcPr>
          <w:p>
            <w:pPr>
              <w:spacing w:after="0"/>
              <w:rPr>
                <w:noProof/>
                <w:sz w:val="20"/>
                <w:szCs w:val="20"/>
              </w:rPr>
            </w:pPr>
          </w:p>
        </w:tc>
        <w:tc>
          <w:tcPr>
            <w:tcW w:w="1585" w:type="dxa"/>
            <w:noWrap/>
            <w:hideMark/>
          </w:tcPr>
          <w:p>
            <w:pPr>
              <w:spacing w:after="0"/>
              <w:rPr>
                <w:noProof/>
                <w:sz w:val="20"/>
                <w:szCs w:val="20"/>
              </w:rPr>
            </w:pPr>
          </w:p>
        </w:tc>
      </w:tr>
      <w:tr>
        <w:trPr>
          <w:trHeight w:val="270"/>
        </w:trPr>
        <w:tc>
          <w:tcPr>
            <w:tcW w:w="976" w:type="dxa"/>
            <w:noWrap/>
            <w:hideMark/>
          </w:tcPr>
          <w:p>
            <w:pPr>
              <w:spacing w:after="0"/>
              <w:rPr>
                <w:rFonts w:eastAsia="Times New Roman"/>
                <w:noProof/>
                <w:color w:val="000000"/>
                <w:sz w:val="18"/>
                <w:szCs w:val="18"/>
              </w:rPr>
            </w:pPr>
            <w:r>
              <w:rPr>
                <w:noProof/>
                <w:color w:val="000000"/>
                <w:sz w:val="18"/>
              </w:rPr>
              <w:t>Съюз</w:t>
            </w:r>
          </w:p>
        </w:tc>
        <w:tc>
          <w:tcPr>
            <w:tcW w:w="976" w:type="dxa"/>
            <w:noWrap/>
            <w:hideMark/>
          </w:tcPr>
          <w:p>
            <w:pPr>
              <w:rPr>
                <w:rFonts w:eastAsia="Times New Roman"/>
                <w:noProof/>
                <w:color w:val="000000"/>
                <w:sz w:val="18"/>
                <w:szCs w:val="18"/>
              </w:rPr>
            </w:pPr>
          </w:p>
        </w:tc>
        <w:tc>
          <w:tcPr>
            <w:tcW w:w="976" w:type="dxa"/>
            <w:noWrap/>
            <w:hideMark/>
          </w:tcPr>
          <w:p>
            <w:pPr>
              <w:spacing w:after="0"/>
              <w:jc w:val="right"/>
              <w:rPr>
                <w:rFonts w:eastAsia="Times New Roman"/>
                <w:noProof/>
                <w:color w:val="000000"/>
                <w:sz w:val="18"/>
                <w:szCs w:val="18"/>
              </w:rPr>
            </w:pPr>
            <w:r>
              <w:rPr>
                <w:noProof/>
                <w:color w:val="000000"/>
                <w:sz w:val="18"/>
              </w:rPr>
              <w:t>8 952</w:t>
            </w:r>
          </w:p>
        </w:tc>
        <w:tc>
          <w:tcPr>
            <w:tcW w:w="1325" w:type="dxa"/>
            <w:noWrap/>
            <w:hideMark/>
          </w:tcPr>
          <w:p>
            <w:pPr>
              <w:spacing w:after="0"/>
              <w:rPr>
                <w:rFonts w:eastAsia="Times New Roman"/>
                <w:noProof/>
                <w:color w:val="000000"/>
                <w:sz w:val="18"/>
                <w:szCs w:val="18"/>
              </w:rPr>
            </w:pPr>
            <w:r>
              <w:rPr>
                <w:noProof/>
                <w:color w:val="000000"/>
                <w:sz w:val="18"/>
                <w:vertAlign w:val="superscript"/>
              </w:rPr>
              <w:t>(1)</w:t>
            </w:r>
          </w:p>
        </w:tc>
        <w:tc>
          <w:tcPr>
            <w:tcW w:w="850" w:type="dxa"/>
            <w:noWrap/>
            <w:hideMark/>
          </w:tcPr>
          <w:p>
            <w:pPr>
              <w:rPr>
                <w:rFonts w:eastAsia="Times New Roman"/>
                <w:noProof/>
                <w:color w:val="000000"/>
                <w:sz w:val="18"/>
                <w:szCs w:val="18"/>
              </w:rPr>
            </w:pPr>
          </w:p>
        </w:tc>
        <w:tc>
          <w:tcPr>
            <w:tcW w:w="993" w:type="dxa"/>
            <w:noWrap/>
            <w:hideMark/>
          </w:tcPr>
          <w:p>
            <w:pPr>
              <w:spacing w:after="0"/>
              <w:rPr>
                <w:noProof/>
                <w:sz w:val="20"/>
                <w:szCs w:val="20"/>
              </w:rPr>
            </w:pPr>
          </w:p>
        </w:tc>
        <w:tc>
          <w:tcPr>
            <w:tcW w:w="1275" w:type="dxa"/>
            <w:noWrap/>
            <w:hideMark/>
          </w:tcPr>
          <w:p>
            <w:pPr>
              <w:spacing w:after="0"/>
              <w:rPr>
                <w:noProof/>
                <w:sz w:val="20"/>
                <w:szCs w:val="20"/>
              </w:rPr>
            </w:pPr>
          </w:p>
        </w:tc>
        <w:tc>
          <w:tcPr>
            <w:tcW w:w="1585" w:type="dxa"/>
            <w:noWrap/>
            <w:hideMark/>
          </w:tcPr>
          <w:p>
            <w:pPr>
              <w:spacing w:after="0"/>
              <w:rPr>
                <w:noProof/>
                <w:sz w:val="20"/>
                <w:szCs w:val="20"/>
              </w:rPr>
            </w:pPr>
          </w:p>
        </w:tc>
      </w:tr>
      <w:tr>
        <w:trPr>
          <w:trHeight w:val="255"/>
        </w:trPr>
        <w:tc>
          <w:tcPr>
            <w:tcW w:w="976" w:type="dxa"/>
            <w:noWrap/>
            <w:hideMark/>
          </w:tcPr>
          <w:p>
            <w:pPr>
              <w:spacing w:after="0"/>
              <w:rPr>
                <w:noProof/>
                <w:sz w:val="20"/>
                <w:szCs w:val="20"/>
              </w:rPr>
            </w:pPr>
          </w:p>
        </w:tc>
        <w:tc>
          <w:tcPr>
            <w:tcW w:w="976" w:type="dxa"/>
            <w:noWrap/>
            <w:hideMark/>
          </w:tcPr>
          <w:p>
            <w:pPr>
              <w:spacing w:after="0"/>
              <w:rPr>
                <w:noProof/>
                <w:sz w:val="20"/>
                <w:szCs w:val="20"/>
              </w:rPr>
            </w:pPr>
          </w:p>
        </w:tc>
        <w:tc>
          <w:tcPr>
            <w:tcW w:w="976" w:type="dxa"/>
            <w:noWrap/>
            <w:hideMark/>
          </w:tcPr>
          <w:p>
            <w:pPr>
              <w:spacing w:after="0"/>
              <w:rPr>
                <w:noProof/>
                <w:sz w:val="20"/>
                <w:szCs w:val="20"/>
              </w:rPr>
            </w:pPr>
          </w:p>
        </w:tc>
        <w:tc>
          <w:tcPr>
            <w:tcW w:w="1325" w:type="dxa"/>
            <w:noWrap/>
            <w:hideMark/>
          </w:tcPr>
          <w:p>
            <w:pPr>
              <w:spacing w:after="0"/>
              <w:rPr>
                <w:noProof/>
                <w:sz w:val="20"/>
                <w:szCs w:val="20"/>
              </w:rPr>
            </w:pPr>
          </w:p>
        </w:tc>
        <w:tc>
          <w:tcPr>
            <w:tcW w:w="850" w:type="dxa"/>
            <w:noWrap/>
            <w:hideMark/>
          </w:tcPr>
          <w:p>
            <w:pPr>
              <w:spacing w:after="0"/>
              <w:rPr>
                <w:noProof/>
                <w:sz w:val="20"/>
                <w:szCs w:val="20"/>
              </w:rPr>
            </w:pPr>
          </w:p>
        </w:tc>
        <w:tc>
          <w:tcPr>
            <w:tcW w:w="993" w:type="dxa"/>
            <w:noWrap/>
            <w:hideMark/>
          </w:tcPr>
          <w:p>
            <w:pPr>
              <w:spacing w:after="0"/>
              <w:rPr>
                <w:noProof/>
                <w:sz w:val="20"/>
                <w:szCs w:val="20"/>
              </w:rPr>
            </w:pPr>
          </w:p>
        </w:tc>
        <w:tc>
          <w:tcPr>
            <w:tcW w:w="1275" w:type="dxa"/>
            <w:noWrap/>
            <w:hideMark/>
          </w:tcPr>
          <w:p>
            <w:pPr>
              <w:spacing w:after="0"/>
              <w:rPr>
                <w:noProof/>
                <w:sz w:val="20"/>
                <w:szCs w:val="20"/>
              </w:rPr>
            </w:pPr>
          </w:p>
        </w:tc>
        <w:tc>
          <w:tcPr>
            <w:tcW w:w="1585" w:type="dxa"/>
            <w:noWrap/>
            <w:hideMark/>
          </w:tcPr>
          <w:p>
            <w:pPr>
              <w:spacing w:after="0"/>
              <w:rPr>
                <w:noProof/>
                <w:sz w:val="20"/>
                <w:szCs w:val="20"/>
              </w:rPr>
            </w:pPr>
          </w:p>
        </w:tc>
      </w:tr>
      <w:tr>
        <w:trPr>
          <w:trHeight w:val="270"/>
        </w:trPr>
        <w:tc>
          <w:tcPr>
            <w:tcW w:w="976" w:type="dxa"/>
            <w:noWrap/>
            <w:hideMark/>
          </w:tcPr>
          <w:p>
            <w:pPr>
              <w:spacing w:after="0"/>
              <w:rPr>
                <w:rFonts w:eastAsia="Times New Roman"/>
                <w:noProof/>
                <w:color w:val="000000"/>
                <w:sz w:val="18"/>
                <w:szCs w:val="18"/>
              </w:rPr>
            </w:pPr>
            <w:r>
              <w:rPr>
                <w:noProof/>
                <w:color w:val="000000"/>
                <w:sz w:val="18"/>
              </w:rPr>
              <w:t>ОДУ</w:t>
            </w:r>
          </w:p>
        </w:tc>
        <w:tc>
          <w:tcPr>
            <w:tcW w:w="976" w:type="dxa"/>
            <w:noWrap/>
            <w:hideMark/>
          </w:tcPr>
          <w:p>
            <w:pPr>
              <w:rPr>
                <w:rFonts w:eastAsia="Times New Roman"/>
                <w:noProof/>
                <w:color w:val="000000"/>
                <w:sz w:val="18"/>
                <w:szCs w:val="18"/>
              </w:rPr>
            </w:pPr>
          </w:p>
        </w:tc>
        <w:tc>
          <w:tcPr>
            <w:tcW w:w="976" w:type="dxa"/>
            <w:noWrap/>
            <w:hideMark/>
          </w:tcPr>
          <w:p>
            <w:pPr>
              <w:spacing w:after="0"/>
              <w:jc w:val="right"/>
              <w:rPr>
                <w:rFonts w:eastAsia="Times New Roman"/>
                <w:noProof/>
                <w:color w:val="000000"/>
                <w:sz w:val="18"/>
                <w:szCs w:val="18"/>
              </w:rPr>
            </w:pPr>
            <w:r>
              <w:rPr>
                <w:noProof/>
                <w:color w:val="000000"/>
                <w:sz w:val="18"/>
              </w:rPr>
              <w:t>8 952</w:t>
            </w:r>
          </w:p>
        </w:tc>
        <w:tc>
          <w:tcPr>
            <w:tcW w:w="1325" w:type="dxa"/>
            <w:noWrap/>
            <w:hideMark/>
          </w:tcPr>
          <w:p>
            <w:pPr>
              <w:spacing w:after="0"/>
              <w:rPr>
                <w:rFonts w:eastAsia="Times New Roman"/>
                <w:noProof/>
                <w:color w:val="000000"/>
                <w:sz w:val="18"/>
                <w:szCs w:val="18"/>
              </w:rPr>
            </w:pPr>
            <w:r>
              <w:rPr>
                <w:noProof/>
                <w:color w:val="000000"/>
                <w:sz w:val="18"/>
                <w:vertAlign w:val="superscript"/>
              </w:rPr>
              <w:t>(1)</w:t>
            </w:r>
          </w:p>
        </w:tc>
        <w:tc>
          <w:tcPr>
            <w:tcW w:w="850" w:type="dxa"/>
            <w:noWrap/>
            <w:hideMark/>
          </w:tcPr>
          <w:p>
            <w:pPr>
              <w:rPr>
                <w:rFonts w:eastAsia="Times New Roman"/>
                <w:noProof/>
                <w:color w:val="000000"/>
                <w:sz w:val="18"/>
                <w:szCs w:val="18"/>
              </w:rPr>
            </w:pPr>
          </w:p>
        </w:tc>
        <w:tc>
          <w:tcPr>
            <w:tcW w:w="993" w:type="dxa"/>
            <w:noWrap/>
            <w:hideMark/>
          </w:tcPr>
          <w:p>
            <w:pPr>
              <w:spacing w:after="0"/>
              <w:rPr>
                <w:noProof/>
                <w:sz w:val="20"/>
                <w:szCs w:val="20"/>
              </w:rPr>
            </w:pPr>
          </w:p>
        </w:tc>
        <w:tc>
          <w:tcPr>
            <w:tcW w:w="1275" w:type="dxa"/>
            <w:noWrap/>
            <w:hideMark/>
          </w:tcPr>
          <w:p>
            <w:pPr>
              <w:spacing w:after="0"/>
              <w:rPr>
                <w:noProof/>
                <w:sz w:val="20"/>
                <w:szCs w:val="20"/>
              </w:rPr>
            </w:pPr>
          </w:p>
        </w:tc>
        <w:tc>
          <w:tcPr>
            <w:tcW w:w="1585" w:type="dxa"/>
            <w:noWrap/>
            <w:hideMark/>
          </w:tcPr>
          <w:p>
            <w:pPr>
              <w:spacing w:after="0"/>
              <w:rPr>
                <w:noProof/>
                <w:sz w:val="20"/>
                <w:szCs w:val="20"/>
              </w:rPr>
            </w:pPr>
          </w:p>
        </w:tc>
      </w:tr>
      <w:tr>
        <w:trPr>
          <w:trHeight w:val="285"/>
        </w:trPr>
        <w:tc>
          <w:tcPr>
            <w:tcW w:w="976" w:type="dxa"/>
            <w:noWrap/>
            <w:hideMark/>
          </w:tcPr>
          <w:p>
            <w:pPr>
              <w:spacing w:after="0"/>
              <w:rPr>
                <w:rFonts w:eastAsia="Times New Roman"/>
                <w:noProof/>
                <w:color w:val="000000"/>
                <w:sz w:val="18"/>
                <w:szCs w:val="18"/>
              </w:rPr>
            </w:pPr>
            <w:r>
              <w:rPr>
                <w:noProof/>
                <w:color w:val="000000"/>
                <w:sz w:val="18"/>
                <w:vertAlign w:val="superscript"/>
              </w:rPr>
              <w:t>(1)</w:t>
            </w:r>
          </w:p>
        </w:tc>
        <w:tc>
          <w:tcPr>
            <w:tcW w:w="4127" w:type="dxa"/>
            <w:gridSpan w:val="4"/>
            <w:noWrap/>
            <w:hideMark/>
          </w:tcPr>
          <w:p>
            <w:pPr>
              <w:spacing w:after="0"/>
              <w:rPr>
                <w:rFonts w:eastAsia="Times New Roman"/>
                <w:noProof/>
                <w:sz w:val="18"/>
                <w:szCs w:val="18"/>
              </w:rPr>
            </w:pPr>
            <w:r>
              <w:rPr>
                <w:noProof/>
                <w:sz w:val="18"/>
                <w:vertAlign w:val="superscript"/>
              </w:rPr>
              <w:t>Риболов по тази квота може да се извършва само от 1 юли 2019 г. до 30 юни 2020 г.</w:t>
            </w:r>
          </w:p>
        </w:tc>
        <w:tc>
          <w:tcPr>
            <w:tcW w:w="993" w:type="dxa"/>
            <w:noWrap/>
            <w:hideMark/>
          </w:tcPr>
          <w:p>
            <w:pPr>
              <w:rPr>
                <w:rFonts w:eastAsia="Times New Roman"/>
                <w:noProof/>
                <w:sz w:val="18"/>
                <w:szCs w:val="18"/>
              </w:rPr>
            </w:pPr>
          </w:p>
        </w:tc>
        <w:tc>
          <w:tcPr>
            <w:tcW w:w="1275" w:type="dxa"/>
            <w:noWrap/>
            <w:hideMark/>
          </w:tcPr>
          <w:p>
            <w:pPr>
              <w:spacing w:after="0"/>
              <w:rPr>
                <w:noProof/>
                <w:sz w:val="20"/>
                <w:szCs w:val="20"/>
              </w:rPr>
            </w:pPr>
          </w:p>
        </w:tc>
        <w:tc>
          <w:tcPr>
            <w:tcW w:w="1585" w:type="dxa"/>
            <w:noWrap/>
            <w:hideMark/>
          </w:tcPr>
          <w:p>
            <w:pPr>
              <w:spacing w:after="0"/>
              <w:rPr>
                <w:noProof/>
                <w:sz w:val="20"/>
                <w:szCs w:val="20"/>
              </w:rPr>
            </w:pPr>
          </w:p>
        </w:tc>
      </w:tr>
      <w:tr>
        <w:trPr>
          <w:trHeight w:val="270"/>
        </w:trPr>
        <w:tc>
          <w:tcPr>
            <w:tcW w:w="976" w:type="dxa"/>
            <w:tcBorders>
              <w:top w:val="single" w:sz="8" w:space="0" w:color="000000"/>
              <w:left w:val="nil"/>
              <w:bottom w:val="single" w:sz="8" w:space="0" w:color="000000"/>
              <w:right w:val="nil"/>
            </w:tcBorders>
            <w:noWrap/>
            <w:hideMark/>
          </w:tcPr>
          <w:p>
            <w:pPr>
              <w:spacing w:after="0"/>
              <w:rPr>
                <w:rFonts w:ascii="Calibri" w:eastAsia="Times New Roman" w:hAnsi="Calibri" w:cs="Calibri"/>
                <w:noProof/>
                <w:color w:val="000000"/>
                <w:sz w:val="18"/>
                <w:szCs w:val="18"/>
              </w:rPr>
            </w:pPr>
            <w:r>
              <w:rPr>
                <w:rFonts w:ascii="Calibri" w:hAnsi="Calibri"/>
                <w:noProof/>
                <w:color w:val="000000"/>
                <w:sz w:val="18"/>
              </w:rPr>
              <w:t> </w:t>
            </w:r>
          </w:p>
        </w:tc>
        <w:tc>
          <w:tcPr>
            <w:tcW w:w="976" w:type="dxa"/>
            <w:tcBorders>
              <w:top w:val="single" w:sz="8" w:space="0" w:color="000000"/>
              <w:left w:val="nil"/>
              <w:bottom w:val="single" w:sz="8" w:space="0" w:color="000000"/>
              <w:right w:val="nil"/>
            </w:tcBorders>
            <w:noWrap/>
            <w:hideMark/>
          </w:tcPr>
          <w:p>
            <w:pPr>
              <w:spacing w:after="0"/>
              <w:rPr>
                <w:rFonts w:ascii="Calibri" w:eastAsia="Times New Roman" w:hAnsi="Calibri" w:cs="Calibri"/>
                <w:noProof/>
                <w:sz w:val="18"/>
                <w:szCs w:val="18"/>
              </w:rPr>
            </w:pPr>
            <w:r>
              <w:rPr>
                <w:rFonts w:ascii="Calibri" w:hAnsi="Calibri"/>
                <w:noProof/>
                <w:sz w:val="18"/>
              </w:rPr>
              <w:t> </w:t>
            </w:r>
          </w:p>
        </w:tc>
        <w:tc>
          <w:tcPr>
            <w:tcW w:w="976" w:type="dxa"/>
            <w:tcBorders>
              <w:top w:val="single" w:sz="8" w:space="0" w:color="000000"/>
              <w:left w:val="nil"/>
              <w:bottom w:val="single" w:sz="8" w:space="0" w:color="000000"/>
              <w:right w:val="nil"/>
            </w:tcBorders>
            <w:noWrap/>
            <w:hideMark/>
          </w:tcPr>
          <w:p>
            <w:pPr>
              <w:spacing w:after="0"/>
              <w:jc w:val="right"/>
              <w:rPr>
                <w:rFonts w:ascii="Calibri" w:eastAsia="Times New Roman" w:hAnsi="Calibri" w:cs="Calibri"/>
                <w:noProof/>
                <w:color w:val="000000"/>
                <w:sz w:val="18"/>
                <w:szCs w:val="18"/>
              </w:rPr>
            </w:pPr>
            <w:r>
              <w:rPr>
                <w:rFonts w:ascii="Calibri" w:hAnsi="Calibri"/>
                <w:noProof/>
                <w:color w:val="000000"/>
                <w:sz w:val="18"/>
              </w:rPr>
              <w:t> </w:t>
            </w:r>
          </w:p>
        </w:tc>
        <w:tc>
          <w:tcPr>
            <w:tcW w:w="1325" w:type="dxa"/>
            <w:tcBorders>
              <w:top w:val="single" w:sz="8" w:space="0" w:color="000000"/>
              <w:left w:val="nil"/>
              <w:bottom w:val="single" w:sz="8" w:space="0" w:color="000000"/>
              <w:right w:val="nil"/>
            </w:tcBorders>
            <w:noWrap/>
            <w:hideMark/>
          </w:tcPr>
          <w:p>
            <w:pPr>
              <w:spacing w:after="0"/>
              <w:rPr>
                <w:rFonts w:ascii="Calibri" w:eastAsia="Times New Roman" w:hAnsi="Calibri" w:cs="Calibri"/>
                <w:noProof/>
                <w:color w:val="000000"/>
                <w:sz w:val="18"/>
                <w:szCs w:val="18"/>
              </w:rPr>
            </w:pPr>
            <w:r>
              <w:rPr>
                <w:rFonts w:ascii="Calibri" w:hAnsi="Calibri"/>
                <w:noProof/>
                <w:color w:val="000000"/>
                <w:sz w:val="18"/>
              </w:rPr>
              <w:t> </w:t>
            </w:r>
          </w:p>
        </w:tc>
        <w:tc>
          <w:tcPr>
            <w:tcW w:w="850" w:type="dxa"/>
            <w:tcBorders>
              <w:top w:val="single" w:sz="8" w:space="0" w:color="000000"/>
              <w:left w:val="nil"/>
              <w:bottom w:val="single" w:sz="8" w:space="0" w:color="000000"/>
              <w:right w:val="nil"/>
            </w:tcBorders>
            <w:noWrap/>
            <w:hideMark/>
          </w:tcPr>
          <w:p>
            <w:pPr>
              <w:spacing w:after="0"/>
              <w:rPr>
                <w:rFonts w:ascii="Calibri" w:eastAsia="Times New Roman" w:hAnsi="Calibri" w:cs="Calibri"/>
                <w:noProof/>
                <w:color w:val="000000"/>
                <w:sz w:val="18"/>
                <w:szCs w:val="18"/>
              </w:rPr>
            </w:pPr>
            <w:r>
              <w:rPr>
                <w:rFonts w:ascii="Calibri" w:hAnsi="Calibri"/>
                <w:noProof/>
                <w:color w:val="000000"/>
                <w:sz w:val="18"/>
              </w:rPr>
              <w:t> </w:t>
            </w:r>
          </w:p>
        </w:tc>
        <w:tc>
          <w:tcPr>
            <w:tcW w:w="993" w:type="dxa"/>
            <w:tcBorders>
              <w:top w:val="single" w:sz="8" w:space="0" w:color="000000"/>
              <w:left w:val="nil"/>
              <w:bottom w:val="single" w:sz="8" w:space="0" w:color="000000"/>
              <w:right w:val="nil"/>
            </w:tcBorders>
            <w:noWrap/>
            <w:hideMark/>
          </w:tcPr>
          <w:p>
            <w:pPr>
              <w:spacing w:after="0"/>
              <w:rPr>
                <w:rFonts w:ascii="Calibri" w:eastAsia="Times New Roman" w:hAnsi="Calibri" w:cs="Calibri"/>
                <w:noProof/>
                <w:color w:val="000000"/>
                <w:sz w:val="18"/>
                <w:szCs w:val="18"/>
              </w:rPr>
            </w:pPr>
            <w:r>
              <w:rPr>
                <w:rFonts w:ascii="Calibri" w:hAnsi="Calibri"/>
                <w:noProof/>
                <w:color w:val="000000"/>
                <w:sz w:val="18"/>
              </w:rPr>
              <w:t> </w:t>
            </w:r>
          </w:p>
        </w:tc>
        <w:tc>
          <w:tcPr>
            <w:tcW w:w="1275" w:type="dxa"/>
            <w:tcBorders>
              <w:top w:val="single" w:sz="8" w:space="0" w:color="000000"/>
              <w:left w:val="nil"/>
              <w:bottom w:val="single" w:sz="8" w:space="0" w:color="000000"/>
              <w:right w:val="nil"/>
            </w:tcBorders>
            <w:noWrap/>
            <w:hideMark/>
          </w:tcPr>
          <w:p>
            <w:pPr>
              <w:spacing w:after="0"/>
              <w:rPr>
                <w:rFonts w:ascii="Calibri" w:eastAsia="Times New Roman" w:hAnsi="Calibri" w:cs="Calibri"/>
                <w:noProof/>
                <w:color w:val="000000"/>
                <w:sz w:val="18"/>
                <w:szCs w:val="18"/>
              </w:rPr>
            </w:pPr>
            <w:r>
              <w:rPr>
                <w:rFonts w:ascii="Calibri" w:hAnsi="Calibri"/>
                <w:noProof/>
                <w:color w:val="000000"/>
                <w:sz w:val="18"/>
              </w:rPr>
              <w:t> </w:t>
            </w:r>
          </w:p>
        </w:tc>
        <w:tc>
          <w:tcPr>
            <w:tcW w:w="1585" w:type="dxa"/>
            <w:tcBorders>
              <w:top w:val="single" w:sz="8" w:space="0" w:color="000000"/>
              <w:left w:val="nil"/>
              <w:bottom w:val="single" w:sz="8" w:space="0" w:color="000000"/>
              <w:right w:val="nil"/>
            </w:tcBorders>
            <w:noWrap/>
            <w:hideMark/>
          </w:tcPr>
          <w:p>
            <w:pPr>
              <w:spacing w:after="0"/>
              <w:rPr>
                <w:rFonts w:ascii="Calibri" w:eastAsia="Times New Roman" w:hAnsi="Calibri" w:cs="Calibri"/>
                <w:noProof/>
                <w:color w:val="000000"/>
                <w:sz w:val="18"/>
                <w:szCs w:val="18"/>
              </w:rPr>
            </w:pPr>
            <w:r>
              <w:rPr>
                <w:rFonts w:ascii="Calibri" w:hAnsi="Calibri"/>
                <w:noProof/>
                <w:color w:val="000000"/>
                <w:sz w:val="18"/>
              </w:rPr>
              <w:t> </w:t>
            </w:r>
          </w:p>
        </w:tc>
      </w:tr>
    </w:tbl>
    <w:p>
      <w:pPr>
        <w:pStyle w:val="Titrearticle"/>
        <w:rPr>
          <w:noProof/>
        </w:rPr>
      </w:pPr>
      <w:r>
        <w:rPr>
          <w:noProof/>
        </w:rPr>
        <w:t>Член 2</w:t>
      </w:r>
    </w:p>
    <w:p>
      <w:pPr>
        <w:rPr>
          <w:noProof/>
        </w:rPr>
      </w:pPr>
      <w:r>
        <w:rPr>
          <w:noProof/>
        </w:rPr>
        <w:t>В приложението към Регламент (ЕС) 2018/2025 таблицата за възможностите за риболов на северен пагел в подзона 10 на ICES се заменя със следната таблица:</w:t>
      </w:r>
    </w:p>
    <w:tbl>
      <w:tblPr>
        <w:tblW w:w="8946" w:type="dxa"/>
        <w:tblInd w:w="93" w:type="dxa"/>
        <w:tblLook w:val="04A0" w:firstRow="1" w:lastRow="0" w:firstColumn="1" w:lastColumn="0" w:noHBand="0" w:noVBand="1"/>
      </w:tblPr>
      <w:tblGrid>
        <w:gridCol w:w="1294"/>
        <w:gridCol w:w="1397"/>
        <w:gridCol w:w="636"/>
        <w:gridCol w:w="1017"/>
        <w:gridCol w:w="636"/>
        <w:gridCol w:w="837"/>
        <w:gridCol w:w="3129"/>
      </w:tblGrid>
      <w:tr>
        <w:trPr>
          <w:trHeight w:val="270"/>
        </w:trPr>
        <w:tc>
          <w:tcPr>
            <w:tcW w:w="1294" w:type="dxa"/>
            <w:tcBorders>
              <w:top w:val="single" w:sz="8" w:space="0" w:color="000000"/>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rPr>
              <w:t xml:space="preserve"> </w:t>
            </w:r>
            <w:r>
              <w:rPr>
                <w:noProof/>
                <w:color w:val="000000"/>
                <w:sz w:val="18"/>
              </w:rPr>
              <w:t>Вид:</w:t>
            </w:r>
          </w:p>
        </w:tc>
        <w:tc>
          <w:tcPr>
            <w:tcW w:w="3686" w:type="dxa"/>
            <w:gridSpan w:val="4"/>
            <w:tcBorders>
              <w:top w:val="single" w:sz="8" w:space="0" w:color="000000"/>
              <w:left w:val="nil"/>
              <w:bottom w:val="nil"/>
              <w:right w:val="single" w:sz="8" w:space="0" w:color="000000"/>
            </w:tcBorders>
            <w:shd w:val="clear" w:color="auto" w:fill="auto"/>
            <w:noWrap/>
            <w:vAlign w:val="center"/>
            <w:hideMark/>
          </w:tcPr>
          <w:p>
            <w:pPr>
              <w:spacing w:before="0" w:after="0"/>
              <w:rPr>
                <w:rFonts w:eastAsia="Times New Roman"/>
                <w:noProof/>
                <w:color w:val="000000"/>
                <w:sz w:val="18"/>
                <w:szCs w:val="18"/>
              </w:rPr>
            </w:pPr>
            <w:r>
              <w:rPr>
                <w:noProof/>
                <w:sz w:val="18"/>
              </w:rPr>
              <w:t>Северен пагел</w:t>
            </w:r>
            <w:r>
              <w:rPr>
                <w:noProof/>
                <w:color w:val="000000"/>
                <w:sz w:val="18"/>
                <w:vertAlign w:val="superscript"/>
              </w:rPr>
              <w:t> </w:t>
            </w:r>
          </w:p>
        </w:tc>
        <w:tc>
          <w:tcPr>
            <w:tcW w:w="837" w:type="dxa"/>
            <w:tcBorders>
              <w:top w:val="single" w:sz="8" w:space="0" w:color="000000"/>
              <w:left w:val="single" w:sz="8" w:space="0" w:color="000000"/>
            </w:tcBorders>
            <w:noWrap/>
            <w:vAlign w:val="center"/>
          </w:tcPr>
          <w:p>
            <w:pPr>
              <w:spacing w:before="0" w:after="200" w:line="276" w:lineRule="auto"/>
              <w:jc w:val="left"/>
              <w:rPr>
                <w:noProof/>
              </w:rPr>
            </w:pPr>
            <w:r>
              <w:rPr>
                <w:noProof/>
                <w:color w:val="000000"/>
                <w:sz w:val="18"/>
              </w:rPr>
              <w:t>Зона:</w:t>
            </w:r>
          </w:p>
        </w:tc>
        <w:tc>
          <w:tcPr>
            <w:tcW w:w="3129" w:type="dxa"/>
            <w:tcBorders>
              <w:top w:val="single" w:sz="8" w:space="0" w:color="000000"/>
              <w:left w:val="nil"/>
              <w:right w:val="nil"/>
            </w:tcBorders>
            <w:shd w:val="clear" w:color="auto" w:fill="auto"/>
            <w:noWrap/>
            <w:vAlign w:val="center"/>
          </w:tcPr>
          <w:p>
            <w:pPr>
              <w:spacing w:before="0" w:after="200" w:line="276" w:lineRule="auto"/>
              <w:jc w:val="left"/>
              <w:rPr>
                <w:noProof/>
              </w:rPr>
            </w:pPr>
            <w:r>
              <w:rPr>
                <w:noProof/>
                <w:color w:val="000000"/>
                <w:sz w:val="18"/>
              </w:rPr>
              <w:t>Води на Съюза и международни води от зона 10</w:t>
            </w:r>
          </w:p>
        </w:tc>
      </w:tr>
      <w:tr>
        <w:trPr>
          <w:trHeight w:val="315"/>
        </w:trPr>
        <w:tc>
          <w:tcPr>
            <w:tcW w:w="1294" w:type="dxa"/>
            <w:tcBorders>
              <w:top w:val="nil"/>
              <w:left w:val="nil"/>
              <w:bottom w:val="single" w:sz="8" w:space="0" w:color="000000"/>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rPr>
              <w:t> </w:t>
            </w:r>
          </w:p>
        </w:tc>
        <w:tc>
          <w:tcPr>
            <w:tcW w:w="3686" w:type="dxa"/>
            <w:gridSpan w:val="4"/>
            <w:tcBorders>
              <w:top w:val="nil"/>
              <w:left w:val="nil"/>
              <w:bottom w:val="single" w:sz="8" w:space="0" w:color="000000"/>
              <w:right w:val="single" w:sz="8" w:space="0" w:color="000000"/>
            </w:tcBorders>
            <w:shd w:val="clear" w:color="auto" w:fill="auto"/>
            <w:noWrap/>
            <w:vAlign w:val="center"/>
            <w:hideMark/>
          </w:tcPr>
          <w:p>
            <w:pPr>
              <w:spacing w:before="0" w:after="0"/>
              <w:rPr>
                <w:noProof/>
              </w:rPr>
            </w:pPr>
            <w:r>
              <w:rPr>
                <w:i/>
                <w:noProof/>
                <w:sz w:val="18"/>
              </w:rPr>
              <w:t>Pagellus bogaraveo</w:t>
            </w:r>
            <w:r>
              <w:rPr>
                <w:noProof/>
                <w:color w:val="000000"/>
                <w:sz w:val="18"/>
              </w:rPr>
              <w:t> </w:t>
            </w:r>
          </w:p>
        </w:tc>
        <w:tc>
          <w:tcPr>
            <w:tcW w:w="837" w:type="dxa"/>
            <w:tcBorders>
              <w:left w:val="single" w:sz="8" w:space="0" w:color="000000"/>
              <w:bottom w:val="single" w:sz="8" w:space="0" w:color="000000"/>
            </w:tcBorders>
            <w:noWrap/>
          </w:tcPr>
          <w:p>
            <w:pPr>
              <w:spacing w:before="0" w:after="200" w:line="276" w:lineRule="auto"/>
              <w:jc w:val="left"/>
              <w:rPr>
                <w:noProof/>
              </w:rPr>
            </w:pPr>
          </w:p>
        </w:tc>
        <w:tc>
          <w:tcPr>
            <w:tcW w:w="3129" w:type="dxa"/>
            <w:tcBorders>
              <w:left w:val="nil"/>
              <w:bottom w:val="nil"/>
              <w:right w:val="nil"/>
            </w:tcBorders>
            <w:shd w:val="clear" w:color="auto" w:fill="auto"/>
            <w:noWrap/>
            <w:vAlign w:val="center"/>
          </w:tcPr>
          <w:p>
            <w:pPr>
              <w:spacing w:before="0" w:after="200" w:line="276" w:lineRule="auto"/>
              <w:jc w:val="left"/>
              <w:rPr>
                <w:noProof/>
              </w:rPr>
            </w:pPr>
            <w:r>
              <w:rPr>
                <w:noProof/>
                <w:color w:val="000000"/>
                <w:sz w:val="18"/>
              </w:rPr>
              <w:t>(SBR/10-)</w:t>
            </w:r>
          </w:p>
        </w:tc>
      </w:tr>
      <w:tr>
        <w:trPr>
          <w:trHeight w:val="285"/>
        </w:trPr>
        <w:tc>
          <w:tcPr>
            <w:tcW w:w="1294" w:type="dxa"/>
            <w:tcBorders>
              <w:top w:val="nil"/>
              <w:left w:val="nil"/>
              <w:bottom w:val="nil"/>
              <w:right w:val="nil"/>
            </w:tcBorders>
            <w:shd w:val="clear" w:color="auto" w:fill="auto"/>
            <w:noWrap/>
            <w:vAlign w:val="center"/>
            <w:hideMark/>
          </w:tcPr>
          <w:p>
            <w:pPr>
              <w:spacing w:before="0" w:after="0"/>
              <w:rPr>
                <w:rFonts w:eastAsia="Times New Roman"/>
                <w:b/>
                <w:bCs/>
                <w:noProof/>
                <w:color w:val="000000"/>
                <w:sz w:val="18"/>
                <w:szCs w:val="18"/>
              </w:rPr>
            </w:pPr>
            <w:r>
              <w:rPr>
                <w:b/>
                <w:noProof/>
                <w:color w:val="000000"/>
                <w:sz w:val="18"/>
              </w:rPr>
              <w:t>Година</w:t>
            </w:r>
          </w:p>
        </w:tc>
        <w:tc>
          <w:tcPr>
            <w:tcW w:w="1397" w:type="dxa"/>
            <w:tcBorders>
              <w:top w:val="nil"/>
              <w:left w:val="nil"/>
              <w:bottom w:val="nil"/>
              <w:right w:val="nil"/>
            </w:tcBorders>
            <w:shd w:val="clear" w:color="auto" w:fill="auto"/>
            <w:noWrap/>
            <w:vAlign w:val="center"/>
            <w:hideMark/>
          </w:tcPr>
          <w:p>
            <w:pPr>
              <w:spacing w:before="0" w:after="0"/>
              <w:jc w:val="right"/>
              <w:rPr>
                <w:rFonts w:eastAsia="Times New Roman"/>
                <w:b/>
                <w:bCs/>
                <w:noProof/>
                <w:sz w:val="18"/>
                <w:szCs w:val="18"/>
              </w:rPr>
            </w:pPr>
            <w:r>
              <w:rPr>
                <w:b/>
                <w:noProof/>
                <w:sz w:val="18"/>
              </w:rPr>
              <w:t>2019</w:t>
            </w:r>
          </w:p>
        </w:tc>
        <w:tc>
          <w:tcPr>
            <w:tcW w:w="636" w:type="dxa"/>
            <w:tcBorders>
              <w:top w:val="nil"/>
              <w:left w:val="nil"/>
              <w:bottom w:val="nil"/>
              <w:right w:val="nil"/>
            </w:tcBorders>
            <w:shd w:val="clear" w:color="auto" w:fill="auto"/>
            <w:noWrap/>
            <w:hideMark/>
          </w:tcPr>
          <w:p>
            <w:pPr>
              <w:spacing w:before="0" w:after="0"/>
              <w:jc w:val="left"/>
              <w:rPr>
                <w:rFonts w:eastAsia="Times New Roman"/>
                <w:b/>
                <w:bCs/>
                <w:noProof/>
                <w:sz w:val="18"/>
                <w:szCs w:val="18"/>
              </w:rPr>
            </w:pPr>
          </w:p>
        </w:tc>
        <w:tc>
          <w:tcPr>
            <w:tcW w:w="1017" w:type="dxa"/>
            <w:tcBorders>
              <w:top w:val="nil"/>
              <w:left w:val="nil"/>
              <w:bottom w:val="nil"/>
              <w:right w:val="nil"/>
            </w:tcBorders>
            <w:shd w:val="clear" w:color="auto" w:fill="auto"/>
            <w:noWrap/>
            <w:vAlign w:val="center"/>
            <w:hideMark/>
          </w:tcPr>
          <w:p>
            <w:pPr>
              <w:spacing w:before="0" w:after="0"/>
              <w:jc w:val="right"/>
              <w:rPr>
                <w:rFonts w:eastAsia="Times New Roman"/>
                <w:b/>
                <w:bCs/>
                <w:noProof/>
                <w:color w:val="000000"/>
                <w:sz w:val="18"/>
                <w:szCs w:val="18"/>
              </w:rPr>
            </w:pPr>
            <w:r>
              <w:rPr>
                <w:b/>
                <w:noProof/>
                <w:color w:val="000000"/>
                <w:sz w:val="18"/>
              </w:rPr>
              <w:t>2020</w:t>
            </w:r>
          </w:p>
        </w:tc>
        <w:tc>
          <w:tcPr>
            <w:tcW w:w="636" w:type="dxa"/>
            <w:tcBorders>
              <w:top w:val="single" w:sz="4" w:space="0" w:color="000000"/>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3966" w:type="dxa"/>
            <w:gridSpan w:val="2"/>
            <w:tcBorders>
              <w:top w:val="single" w:sz="8" w:space="0" w:color="000000"/>
              <w:left w:val="nil"/>
              <w:bottom w:val="nil"/>
              <w:right w:val="nil"/>
            </w:tcBorders>
          </w:tcPr>
          <w:p>
            <w:pPr>
              <w:spacing w:before="0" w:after="0"/>
              <w:rPr>
                <w:rFonts w:eastAsia="Times New Roman"/>
                <w:noProof/>
                <w:color w:val="000000"/>
                <w:sz w:val="18"/>
                <w:szCs w:val="18"/>
              </w:rPr>
            </w:pPr>
            <w:r>
              <w:rPr>
                <w:noProof/>
                <w:color w:val="000000"/>
                <w:sz w:val="18"/>
              </w:rPr>
              <w:t>Предпазен ОДУ</w:t>
            </w:r>
          </w:p>
        </w:tc>
      </w:tr>
      <w:tr>
        <w:trPr>
          <w:trHeight w:val="360"/>
        </w:trPr>
        <w:tc>
          <w:tcPr>
            <w:tcW w:w="1294"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rPr>
              <w:t>Испания</w:t>
            </w:r>
          </w:p>
        </w:tc>
        <w:tc>
          <w:tcPr>
            <w:tcW w:w="1397"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rPr>
            </w:pPr>
            <w:r>
              <w:rPr>
                <w:noProof/>
                <w:color w:val="000000"/>
                <w:sz w:val="18"/>
              </w:rPr>
              <w:t>5</w:t>
            </w:r>
          </w:p>
        </w:tc>
        <w:tc>
          <w:tcPr>
            <w:tcW w:w="636"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1017"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rPr>
            </w:pPr>
            <w:r>
              <w:rPr>
                <w:noProof/>
                <w:color w:val="000000"/>
                <w:sz w:val="18"/>
              </w:rPr>
              <w:t>5</w:t>
            </w:r>
          </w:p>
        </w:tc>
        <w:tc>
          <w:tcPr>
            <w:tcW w:w="636" w:type="dxa"/>
            <w:tcBorders>
              <w:top w:val="nil"/>
              <w:left w:val="nil"/>
              <w:bottom w:val="nil"/>
              <w:right w:val="nil"/>
            </w:tcBorders>
            <w:shd w:val="clear" w:color="auto" w:fill="auto"/>
            <w:noWrap/>
            <w:hideMark/>
          </w:tcPr>
          <w:p>
            <w:pPr>
              <w:spacing w:before="0" w:after="0"/>
              <w:jc w:val="left"/>
              <w:rPr>
                <w:rFonts w:eastAsia="Times New Roman"/>
                <w:noProof/>
                <w:sz w:val="22"/>
              </w:rPr>
            </w:pPr>
          </w:p>
        </w:tc>
        <w:tc>
          <w:tcPr>
            <w:tcW w:w="837"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rPr>
            </w:pPr>
          </w:p>
        </w:tc>
        <w:tc>
          <w:tcPr>
            <w:tcW w:w="3129"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rPr>
            </w:pPr>
          </w:p>
        </w:tc>
      </w:tr>
      <w:tr>
        <w:trPr>
          <w:trHeight w:val="360"/>
        </w:trPr>
        <w:tc>
          <w:tcPr>
            <w:tcW w:w="1294"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rPr>
              <w:t>Португалия</w:t>
            </w:r>
          </w:p>
        </w:tc>
        <w:tc>
          <w:tcPr>
            <w:tcW w:w="1397"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rPr>
            </w:pPr>
            <w:r>
              <w:rPr>
                <w:noProof/>
                <w:color w:val="000000"/>
                <w:sz w:val="18"/>
              </w:rPr>
              <w:t>566</w:t>
            </w:r>
          </w:p>
        </w:tc>
        <w:tc>
          <w:tcPr>
            <w:tcW w:w="636"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1017"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rPr>
            </w:pPr>
            <w:r>
              <w:rPr>
                <w:noProof/>
                <w:color w:val="000000"/>
                <w:sz w:val="18"/>
              </w:rPr>
              <w:t>543</w:t>
            </w:r>
          </w:p>
        </w:tc>
        <w:tc>
          <w:tcPr>
            <w:tcW w:w="636" w:type="dxa"/>
            <w:tcBorders>
              <w:top w:val="nil"/>
              <w:left w:val="nil"/>
              <w:bottom w:val="nil"/>
              <w:right w:val="nil"/>
            </w:tcBorders>
            <w:shd w:val="clear" w:color="auto" w:fill="auto"/>
            <w:noWrap/>
            <w:hideMark/>
          </w:tcPr>
          <w:p>
            <w:pPr>
              <w:spacing w:before="0" w:after="0"/>
              <w:jc w:val="left"/>
              <w:rPr>
                <w:rFonts w:eastAsia="Times New Roman"/>
                <w:noProof/>
                <w:sz w:val="22"/>
              </w:rPr>
            </w:pPr>
          </w:p>
        </w:tc>
        <w:tc>
          <w:tcPr>
            <w:tcW w:w="837"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rPr>
            </w:pPr>
          </w:p>
        </w:tc>
        <w:tc>
          <w:tcPr>
            <w:tcW w:w="3129"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rPr>
            </w:pPr>
          </w:p>
        </w:tc>
      </w:tr>
      <w:tr>
        <w:trPr>
          <w:trHeight w:val="360"/>
        </w:trPr>
        <w:tc>
          <w:tcPr>
            <w:tcW w:w="1294"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rPr>
              <w:t>Обединено кралство</w:t>
            </w:r>
          </w:p>
        </w:tc>
        <w:tc>
          <w:tcPr>
            <w:tcW w:w="1397"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rPr>
            </w:pPr>
            <w:r>
              <w:rPr>
                <w:noProof/>
                <w:color w:val="000000"/>
                <w:sz w:val="18"/>
              </w:rPr>
              <w:t>5</w:t>
            </w:r>
          </w:p>
        </w:tc>
        <w:tc>
          <w:tcPr>
            <w:tcW w:w="636"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1017" w:type="dxa"/>
            <w:tcBorders>
              <w:top w:val="nil"/>
              <w:left w:val="nil"/>
              <w:bottom w:val="nil"/>
              <w:right w:val="nil"/>
            </w:tcBorders>
            <w:shd w:val="clear" w:color="auto" w:fill="auto"/>
            <w:noWrap/>
            <w:vAlign w:val="center"/>
          </w:tcPr>
          <w:p>
            <w:pPr>
              <w:spacing w:before="0" w:after="0"/>
              <w:jc w:val="right"/>
              <w:rPr>
                <w:rFonts w:eastAsia="Times New Roman"/>
                <w:noProof/>
                <w:color w:val="000000"/>
                <w:sz w:val="18"/>
                <w:szCs w:val="18"/>
              </w:rPr>
            </w:pPr>
            <w:r>
              <w:rPr>
                <w:noProof/>
                <w:color w:val="000000"/>
                <w:sz w:val="18"/>
              </w:rPr>
              <w:t>5</w:t>
            </w:r>
          </w:p>
        </w:tc>
        <w:tc>
          <w:tcPr>
            <w:tcW w:w="636" w:type="dxa"/>
            <w:tcBorders>
              <w:top w:val="nil"/>
              <w:left w:val="nil"/>
              <w:bottom w:val="nil"/>
              <w:right w:val="nil"/>
            </w:tcBorders>
            <w:shd w:val="clear" w:color="auto" w:fill="auto"/>
            <w:noWrap/>
            <w:hideMark/>
          </w:tcPr>
          <w:p>
            <w:pPr>
              <w:spacing w:before="0" w:after="0"/>
              <w:jc w:val="left"/>
              <w:rPr>
                <w:rFonts w:eastAsia="Times New Roman"/>
                <w:noProof/>
                <w:sz w:val="22"/>
              </w:rPr>
            </w:pPr>
          </w:p>
        </w:tc>
        <w:tc>
          <w:tcPr>
            <w:tcW w:w="837"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rPr>
            </w:pPr>
          </w:p>
        </w:tc>
        <w:tc>
          <w:tcPr>
            <w:tcW w:w="3129"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rPr>
            </w:pPr>
          </w:p>
        </w:tc>
      </w:tr>
      <w:tr>
        <w:trPr>
          <w:trHeight w:val="360"/>
        </w:trPr>
        <w:tc>
          <w:tcPr>
            <w:tcW w:w="1294" w:type="dxa"/>
            <w:tcBorders>
              <w:top w:val="nil"/>
              <w:left w:val="nil"/>
              <w:bottom w:val="nil"/>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rPr>
              <w:t>Съюз</w:t>
            </w:r>
          </w:p>
        </w:tc>
        <w:tc>
          <w:tcPr>
            <w:tcW w:w="1397"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rPr>
              <w:t>576</w:t>
            </w:r>
          </w:p>
        </w:tc>
        <w:tc>
          <w:tcPr>
            <w:tcW w:w="63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1017" w:type="dxa"/>
            <w:tcBorders>
              <w:top w:val="nil"/>
              <w:left w:val="nil"/>
              <w:bottom w:val="nil"/>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rPr>
              <w:t>553</w:t>
            </w:r>
          </w:p>
        </w:tc>
        <w:tc>
          <w:tcPr>
            <w:tcW w:w="636" w:type="dxa"/>
            <w:tcBorders>
              <w:top w:val="nil"/>
              <w:left w:val="nil"/>
              <w:bottom w:val="nil"/>
              <w:right w:val="nil"/>
            </w:tcBorders>
            <w:shd w:val="clear" w:color="auto" w:fill="auto"/>
            <w:noWrap/>
            <w:hideMark/>
          </w:tcPr>
          <w:p>
            <w:pPr>
              <w:spacing w:before="0" w:after="0"/>
              <w:jc w:val="left"/>
              <w:rPr>
                <w:rFonts w:eastAsia="Times New Roman"/>
                <w:noProof/>
                <w:sz w:val="22"/>
              </w:rPr>
            </w:pPr>
          </w:p>
        </w:tc>
        <w:tc>
          <w:tcPr>
            <w:tcW w:w="837" w:type="dxa"/>
            <w:tcBorders>
              <w:top w:val="nil"/>
              <w:left w:val="nil"/>
              <w:bottom w:val="nil"/>
              <w:right w:val="nil"/>
            </w:tcBorders>
            <w:shd w:val="clear" w:color="auto" w:fill="auto"/>
            <w:noWrap/>
            <w:hideMark/>
          </w:tcPr>
          <w:p>
            <w:pPr>
              <w:spacing w:before="0" w:after="0"/>
              <w:jc w:val="left"/>
              <w:rPr>
                <w:rFonts w:ascii="Calibri" w:eastAsia="Times New Roman" w:hAnsi="Calibri" w:cs="Arial"/>
                <w:noProof/>
                <w:sz w:val="22"/>
              </w:rPr>
            </w:pPr>
          </w:p>
        </w:tc>
        <w:tc>
          <w:tcPr>
            <w:tcW w:w="3129" w:type="dxa"/>
            <w:tcBorders>
              <w:top w:val="nil"/>
              <w:left w:val="nil"/>
              <w:right w:val="nil"/>
            </w:tcBorders>
            <w:shd w:val="clear" w:color="auto" w:fill="auto"/>
            <w:noWrap/>
            <w:hideMark/>
          </w:tcPr>
          <w:p>
            <w:pPr>
              <w:spacing w:before="0" w:after="0"/>
              <w:jc w:val="left"/>
              <w:rPr>
                <w:rFonts w:ascii="Calibri" w:eastAsia="Times New Roman" w:hAnsi="Calibri" w:cs="Arial"/>
                <w:noProof/>
                <w:sz w:val="22"/>
              </w:rPr>
            </w:pPr>
          </w:p>
        </w:tc>
      </w:tr>
      <w:tr>
        <w:trPr>
          <w:trHeight w:val="285"/>
        </w:trPr>
        <w:tc>
          <w:tcPr>
            <w:tcW w:w="1294" w:type="dxa"/>
            <w:tcBorders>
              <w:top w:val="nil"/>
              <w:left w:val="nil"/>
              <w:bottom w:val="single" w:sz="8" w:space="0" w:color="auto"/>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rPr>
              <w:t>ОДУ</w:t>
            </w:r>
          </w:p>
        </w:tc>
        <w:tc>
          <w:tcPr>
            <w:tcW w:w="1397" w:type="dxa"/>
            <w:tcBorders>
              <w:top w:val="nil"/>
              <w:left w:val="nil"/>
              <w:bottom w:val="single" w:sz="8" w:space="0" w:color="auto"/>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rPr>
              <w:t>576</w:t>
            </w:r>
          </w:p>
        </w:tc>
        <w:tc>
          <w:tcPr>
            <w:tcW w:w="636" w:type="dxa"/>
            <w:tcBorders>
              <w:top w:val="nil"/>
              <w:left w:val="nil"/>
              <w:bottom w:val="single" w:sz="8" w:space="0" w:color="auto"/>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vertAlign w:val="superscript"/>
              </w:rPr>
              <w:t> </w:t>
            </w:r>
          </w:p>
        </w:tc>
        <w:tc>
          <w:tcPr>
            <w:tcW w:w="1017" w:type="dxa"/>
            <w:tcBorders>
              <w:top w:val="nil"/>
              <w:left w:val="nil"/>
              <w:bottom w:val="single" w:sz="8" w:space="0" w:color="auto"/>
              <w:right w:val="nil"/>
            </w:tcBorders>
            <w:shd w:val="clear" w:color="auto" w:fill="auto"/>
            <w:noWrap/>
            <w:vAlign w:val="center"/>
            <w:hideMark/>
          </w:tcPr>
          <w:p>
            <w:pPr>
              <w:spacing w:before="0" w:after="0"/>
              <w:jc w:val="right"/>
              <w:rPr>
                <w:rFonts w:eastAsia="Times New Roman"/>
                <w:noProof/>
                <w:color w:val="000000"/>
                <w:sz w:val="18"/>
                <w:szCs w:val="18"/>
              </w:rPr>
            </w:pPr>
            <w:r>
              <w:rPr>
                <w:noProof/>
                <w:color w:val="000000"/>
                <w:sz w:val="18"/>
              </w:rPr>
              <w:t>553</w:t>
            </w:r>
          </w:p>
        </w:tc>
        <w:tc>
          <w:tcPr>
            <w:tcW w:w="636" w:type="dxa"/>
            <w:tcBorders>
              <w:top w:val="nil"/>
              <w:left w:val="nil"/>
              <w:bottom w:val="single" w:sz="8" w:space="0" w:color="auto"/>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vertAlign w:val="superscript"/>
              </w:rPr>
              <w:t> </w:t>
            </w:r>
          </w:p>
        </w:tc>
        <w:tc>
          <w:tcPr>
            <w:tcW w:w="837" w:type="dxa"/>
            <w:tcBorders>
              <w:top w:val="nil"/>
              <w:left w:val="nil"/>
              <w:bottom w:val="single" w:sz="8" w:space="0" w:color="auto"/>
              <w:right w:val="nil"/>
            </w:tcBorders>
            <w:shd w:val="clear" w:color="auto" w:fill="auto"/>
            <w:noWrap/>
            <w:vAlign w:val="center"/>
            <w:hideMark/>
          </w:tcPr>
          <w:p>
            <w:pPr>
              <w:spacing w:before="0" w:after="0"/>
              <w:rPr>
                <w:rFonts w:eastAsia="Times New Roman"/>
                <w:noProof/>
                <w:color w:val="000000"/>
                <w:sz w:val="18"/>
                <w:szCs w:val="18"/>
              </w:rPr>
            </w:pPr>
            <w:r>
              <w:rPr>
                <w:noProof/>
                <w:color w:val="000000"/>
                <w:sz w:val="18"/>
              </w:rPr>
              <w:t> </w:t>
            </w:r>
          </w:p>
        </w:tc>
        <w:tc>
          <w:tcPr>
            <w:tcW w:w="3129" w:type="dxa"/>
            <w:tcBorders>
              <w:top w:val="nil"/>
              <w:left w:val="nil"/>
              <w:bottom w:val="single" w:sz="8" w:space="0" w:color="000000"/>
              <w:right w:val="nil"/>
            </w:tcBorders>
            <w:shd w:val="clear" w:color="auto" w:fill="auto"/>
            <w:noWrap/>
            <w:hideMark/>
          </w:tcPr>
          <w:p>
            <w:pPr>
              <w:spacing w:before="0" w:after="0"/>
              <w:jc w:val="right"/>
              <w:rPr>
                <w:rFonts w:eastAsia="Times New Roman"/>
                <w:noProof/>
                <w:color w:val="000000"/>
                <w:sz w:val="18"/>
                <w:szCs w:val="18"/>
              </w:rPr>
            </w:pPr>
          </w:p>
        </w:tc>
      </w:tr>
    </w:tbl>
    <w:p>
      <w:pPr>
        <w:pStyle w:val="Titrearticle"/>
        <w:rPr>
          <w:noProof/>
        </w:rPr>
      </w:pPr>
      <w:r>
        <w:rPr>
          <w:noProof/>
        </w:rPr>
        <w:t>Член 3</w:t>
      </w:r>
    </w:p>
    <w:p>
      <w:pPr>
        <w:rPr>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w:t>
      </w:r>
    </w:p>
    <w:p>
      <w:pPr>
        <w:rPr>
          <w:noProof/>
        </w:rPr>
      </w:pPr>
      <w:r>
        <w:rPr>
          <w:noProof/>
        </w:rPr>
        <w:t>Той се прилага от 1 юли 2019 г.</w:t>
      </w:r>
    </w:p>
    <w:p>
      <w:pPr>
        <w:pStyle w:val="Applicationdirecte"/>
        <w:keepNext/>
        <w:keepLines/>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lastRenderedPageBreak/>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(EС) 2019/124 на Съвета от 30 януари 2019 г. за определяне за 2019 г. на възможностите за риболов на определени рибни запаси и групи от рибни запаси, приложими във водите на Съюза, както и за риболовните кораби на Съюза в някои води извън Съюза (ОВ L 29, 31.1.2019 г., стр. 1).</w:t>
      </w:r>
    </w:p>
  </w:footnote>
  <w:footnote w:id="2">
    <w:p>
      <w:pPr>
        <w:pStyle w:val="FootnoteText"/>
      </w:pPr>
      <w:r>
        <w:rPr>
          <w:rStyle w:val="FootnoteReference"/>
        </w:rPr>
        <w:footnoteRef/>
      </w:r>
      <w:r>
        <w:tab/>
        <w:t>Регламент (ЕС) 2018/2025 на Съвета от 17 декември 2018 г. за определяне на възможностите за риболов за 2019 и 2020 г. по отношение на някои дълбоководни рибни запаси за риболовните кораби на Съюза(ОВ L 325, 20.12.2018 г., стр.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282F9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CA6679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7EF48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0BC00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38287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B2EFB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C257B4"/>
    <w:lvl w:ilvl="0">
      <w:start w:val="1"/>
      <w:numFmt w:val="decimal"/>
      <w:pStyle w:val="ListNumber"/>
      <w:lvlText w:val="%1."/>
      <w:lvlJc w:val="left"/>
      <w:pPr>
        <w:tabs>
          <w:tab w:val="num" w:pos="360"/>
        </w:tabs>
        <w:ind w:left="360" w:hanging="360"/>
      </w:pPr>
    </w:lvl>
  </w:abstractNum>
  <w:abstractNum w:abstractNumId="7">
    <w:nsid w:val="FFFFFF89"/>
    <w:multiLevelType w:val="singleLevel"/>
    <w:tmpl w:val="A4FE14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1 21:44:2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AD237A9-C447-4E01-A23A-5644AFFD3FF0"/>
    <w:docVar w:name="LW_COVERPAGE_TYPE" w:val="1"/>
    <w:docVar w:name="LW_CROSSREFERENCE" w:val="&lt;UNUSED&gt;"/>
    <w:docVar w:name="LW_DocType" w:val="COM"/>
    <w:docVar w:name="LW_EMISSION" w:val="16.7.2019"/>
    <w:docVar w:name="LW_EMISSION_ISODATE" w:val="2019-07-16"/>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STATUT" w:val="SJ-01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54"/>
    <w:docVar w:name="LW_REF.II.NEW.CP_YEAR" w:val="2019"/>
    <w:docVar w:name="LW_REF.INST.NEW" w:val="COM"/>
    <w:docVar w:name="LW_REF.INST.NEW_ADOPTED" w:val="final"/>
    <w:docVar w:name="LW_REF.INST.NEW_TEXT" w:val="(2019) 3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88?\u1077?\u1075?\u1083?\u1072?\u1084?\u1077?\u1085?\u1090?\u1080? (\u1045?\u1057?) 2019/124 \u1080? (\u1045?\u1057?) 2018/2025 \u1087?\u1086? \u1086?\u1090?\u1085?\u1086?\u1096?\u1077?\u1085?\u1080?\u1077? \u1085?\u1072? \u1086?\u1087?\u1088?\u1077?\u1076?\u1077?\u1083?\u1077?\u1085?\u1080? \u1074?\u1098?\u1079?\u1084?\u1086?\u1078?\u1085?\u1086?\u1089?\u1090?\u1080? \u1079?\u1072? \u1088?\u1080?\u1073?\u1086?\u1083?\u1086?\u1074?"/>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84621">
      <w:bodyDiv w:val="1"/>
      <w:marLeft w:val="0"/>
      <w:marRight w:val="0"/>
      <w:marTop w:val="0"/>
      <w:marBottom w:val="0"/>
      <w:divBdr>
        <w:top w:val="none" w:sz="0" w:space="0" w:color="auto"/>
        <w:left w:val="none" w:sz="0" w:space="0" w:color="auto"/>
        <w:bottom w:val="none" w:sz="0" w:space="0" w:color="auto"/>
        <w:right w:val="none" w:sz="0" w:space="0" w:color="auto"/>
      </w:divBdr>
      <w:divsChild>
        <w:div w:id="1807426841">
          <w:marLeft w:val="0"/>
          <w:marRight w:val="0"/>
          <w:marTop w:val="0"/>
          <w:marBottom w:val="0"/>
          <w:divBdr>
            <w:top w:val="none" w:sz="0" w:space="0" w:color="auto"/>
            <w:left w:val="none" w:sz="0" w:space="0" w:color="auto"/>
            <w:bottom w:val="none" w:sz="0" w:space="0" w:color="auto"/>
            <w:right w:val="none" w:sz="0" w:space="0" w:color="auto"/>
          </w:divBdr>
          <w:divsChild>
            <w:div w:id="1876766329">
              <w:marLeft w:val="0"/>
              <w:marRight w:val="0"/>
              <w:marTop w:val="0"/>
              <w:marBottom w:val="0"/>
              <w:divBdr>
                <w:top w:val="none" w:sz="0" w:space="0" w:color="auto"/>
                <w:left w:val="none" w:sz="0" w:space="0" w:color="auto"/>
                <w:bottom w:val="none" w:sz="0" w:space="0" w:color="auto"/>
                <w:right w:val="none" w:sz="0" w:space="0" w:color="auto"/>
              </w:divBdr>
              <w:divsChild>
                <w:div w:id="833491775">
                  <w:marLeft w:val="0"/>
                  <w:marRight w:val="0"/>
                  <w:marTop w:val="0"/>
                  <w:marBottom w:val="0"/>
                  <w:divBdr>
                    <w:top w:val="none" w:sz="0" w:space="0" w:color="auto"/>
                    <w:left w:val="none" w:sz="0" w:space="0" w:color="auto"/>
                    <w:bottom w:val="none" w:sz="0" w:space="0" w:color="auto"/>
                    <w:right w:val="none" w:sz="0" w:space="0" w:color="auto"/>
                  </w:divBdr>
                  <w:divsChild>
                    <w:div w:id="935555531">
                      <w:marLeft w:val="1"/>
                      <w:marRight w:val="1"/>
                      <w:marTop w:val="0"/>
                      <w:marBottom w:val="0"/>
                      <w:divBdr>
                        <w:top w:val="none" w:sz="0" w:space="0" w:color="auto"/>
                        <w:left w:val="none" w:sz="0" w:space="0" w:color="auto"/>
                        <w:bottom w:val="none" w:sz="0" w:space="0" w:color="auto"/>
                        <w:right w:val="none" w:sz="0" w:space="0" w:color="auto"/>
                      </w:divBdr>
                      <w:divsChild>
                        <w:div w:id="1097483941">
                          <w:marLeft w:val="0"/>
                          <w:marRight w:val="0"/>
                          <w:marTop w:val="0"/>
                          <w:marBottom w:val="0"/>
                          <w:divBdr>
                            <w:top w:val="none" w:sz="0" w:space="0" w:color="auto"/>
                            <w:left w:val="none" w:sz="0" w:space="0" w:color="auto"/>
                            <w:bottom w:val="none" w:sz="0" w:space="0" w:color="auto"/>
                            <w:right w:val="none" w:sz="0" w:space="0" w:color="auto"/>
                          </w:divBdr>
                          <w:divsChild>
                            <w:div w:id="840316443">
                              <w:marLeft w:val="0"/>
                              <w:marRight w:val="0"/>
                              <w:marTop w:val="0"/>
                              <w:marBottom w:val="360"/>
                              <w:divBdr>
                                <w:top w:val="none" w:sz="0" w:space="0" w:color="auto"/>
                                <w:left w:val="none" w:sz="0" w:space="0" w:color="auto"/>
                                <w:bottom w:val="none" w:sz="0" w:space="0" w:color="auto"/>
                                <w:right w:val="none" w:sz="0" w:space="0" w:color="auto"/>
                              </w:divBdr>
                              <w:divsChild>
                                <w:div w:id="1164780254">
                                  <w:marLeft w:val="0"/>
                                  <w:marRight w:val="0"/>
                                  <w:marTop w:val="0"/>
                                  <w:marBottom w:val="0"/>
                                  <w:divBdr>
                                    <w:top w:val="none" w:sz="0" w:space="0" w:color="auto"/>
                                    <w:left w:val="none" w:sz="0" w:space="0" w:color="auto"/>
                                    <w:bottom w:val="none" w:sz="0" w:space="0" w:color="auto"/>
                                    <w:right w:val="none" w:sz="0" w:space="0" w:color="auto"/>
                                  </w:divBdr>
                                  <w:divsChild>
                                    <w:div w:id="1265844140">
                                      <w:marLeft w:val="0"/>
                                      <w:marRight w:val="0"/>
                                      <w:marTop w:val="0"/>
                                      <w:marBottom w:val="0"/>
                                      <w:divBdr>
                                        <w:top w:val="none" w:sz="0" w:space="0" w:color="auto"/>
                                        <w:left w:val="none" w:sz="0" w:space="0" w:color="auto"/>
                                        <w:bottom w:val="none" w:sz="0" w:space="0" w:color="auto"/>
                                        <w:right w:val="none" w:sz="0" w:space="0" w:color="auto"/>
                                      </w:divBdr>
                                      <w:divsChild>
                                        <w:div w:id="1358121743">
                                          <w:marLeft w:val="0"/>
                                          <w:marRight w:val="0"/>
                                          <w:marTop w:val="0"/>
                                          <w:marBottom w:val="0"/>
                                          <w:divBdr>
                                            <w:top w:val="none" w:sz="0" w:space="0" w:color="auto"/>
                                            <w:left w:val="none" w:sz="0" w:space="0" w:color="auto"/>
                                            <w:bottom w:val="none" w:sz="0" w:space="0" w:color="auto"/>
                                            <w:right w:val="none" w:sz="0" w:space="0" w:color="auto"/>
                                          </w:divBdr>
                                        </w:div>
                                        <w:div w:id="5679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389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9D1EB-C7F0-44C4-A60F-D8B11B038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1408</Words>
  <Characters>7323</Characters>
  <Application>Microsoft Office Word</Application>
  <DocSecurity>0</DocSecurity>
  <Lines>271</Lines>
  <Paragraphs>134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2019-05-20T14:19:00Z</cp:lastPrinted>
  <dcterms:created xsi:type="dcterms:W3CDTF">2019-07-11T09:08:00Z</dcterms:created>
  <dcterms:modified xsi:type="dcterms:W3CDTF">2019-07-11T19:44:00Z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6.0.1, Build 20180503</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Green (DQC version 03)</vt:lpwstr>
  </property>
</Properties>
</file>