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A0FDE509-47F1-4E2E-942F-A61449811E3E" style="width:450.75pt;height:306.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120" w:after="120" w:line="240" w:lineRule="auto"/>
        <w:jc w:val="center"/>
        <w:rPr>
          <w:rFonts w:ascii="Times New Roman" w:eastAsia="ヒラギノ角ゴ Pro W3" w:hAnsi="Times New Roman" w:cs="Times New Roman"/>
          <w:b/>
          <w:bCs/>
          <w:smallCaps/>
          <w:noProof/>
          <w:color w:val="000000"/>
          <w:sz w:val="24"/>
          <w:szCs w:val="24"/>
        </w:rPr>
      </w:pPr>
      <w:bookmarkStart w:id="1" w:name="_GoBack"/>
      <w:bookmarkEnd w:id="1"/>
      <w:r>
        <w:rPr>
          <w:rFonts w:ascii="Times New Roman" w:hAnsi="Times New Roman"/>
          <w:b/>
          <w:smallCaps/>
          <w:noProof/>
          <w:color w:val="000000"/>
          <w:sz w:val="24"/>
        </w:rPr>
        <w:lastRenderedPageBreak/>
        <w:t>Доклад относно последващите действия във връзка с исканията в резолюциите на Европейския парламент и в препоръките на Съвета за освобождаване от отговорност във връзка с изпълнението на бюджета за финансовата 2017 година</w:t>
      </w:r>
    </w:p>
    <w:p>
      <w:pPr>
        <w:spacing w:before="120" w:after="120" w:line="240" w:lineRule="auto"/>
        <w:jc w:val="center"/>
        <w:rPr>
          <w:rFonts w:ascii="Times New Roman" w:eastAsia="ヒラギノ角ゴ Pro W3" w:hAnsi="Times New Roman" w:cs="Times New Roman"/>
          <w:b/>
          <w:bCs/>
          <w:smallCaps/>
          <w:noProof/>
          <w:color w:val="000000"/>
          <w:sz w:val="24"/>
          <w:szCs w:val="24"/>
        </w:rPr>
      </w:pPr>
    </w:p>
    <w:p>
      <w:pPr>
        <w:keepNext/>
        <w:keepLines/>
        <w:tabs>
          <w:tab w:val="left" w:pos="850"/>
        </w:tabs>
        <w:spacing w:before="360" w:after="120" w:line="240" w:lineRule="auto"/>
        <w:jc w:val="both"/>
        <w:outlineLvl w:val="0"/>
        <w:rPr>
          <w:rFonts w:ascii="Times New Roman" w:eastAsia="ヒラギノ角ゴ Pro W3" w:hAnsi="Times New Roman" w:cs="Times New Roman"/>
          <w:b/>
          <w:smallCaps/>
          <w:noProof/>
          <w:color w:val="000000"/>
          <w:sz w:val="24"/>
          <w:szCs w:val="20"/>
        </w:rPr>
      </w:pPr>
      <w:r>
        <w:rPr>
          <w:noProof/>
        </w:rPr>
        <w:tab/>
      </w:r>
      <w:r>
        <w:rPr>
          <w:rFonts w:ascii="Times New Roman" w:hAnsi="Times New Roman"/>
          <w:b/>
          <w:smallCaps/>
          <w:noProof/>
          <w:color w:val="000000"/>
          <w:sz w:val="24"/>
        </w:rPr>
        <w:t>Въведение</w:t>
      </w:r>
    </w:p>
    <w:p>
      <w:pPr>
        <w:pStyle w:val="Corpo"/>
        <w:spacing w:before="120" w:after="120"/>
        <w:ind w:left="850"/>
        <w:jc w:val="both"/>
        <w:rPr>
          <w:rFonts w:ascii="Times New Roman" w:hAnsi="Times New Roman"/>
          <w:noProof/>
          <w:sz w:val="24"/>
          <w:szCs w:val="24"/>
          <w:u w:color="000000"/>
        </w:rPr>
      </w:pPr>
      <w:r>
        <w:rPr>
          <w:rFonts w:ascii="Times New Roman" w:hAnsi="Times New Roman"/>
          <w:b/>
          <w:noProof/>
          <w:sz w:val="24"/>
          <w:u w:color="000000"/>
        </w:rPr>
        <w:t>На 26 март 2019 г. по препоръка на Съвета Европейският парламент освободи от отговорност Комисията във връзка с изпълнението на бюджета за финансовата 2017 година</w:t>
      </w:r>
      <w:r>
        <w:rPr>
          <w:rFonts w:ascii="Times New Roman" w:hAnsi="Times New Roman"/>
          <w:noProof/>
          <w:sz w:val="24"/>
          <w:u w:color="000000"/>
        </w:rPr>
        <w:t xml:space="preserve">. В своята резолюция за освобождаване от отговорност във връзка с изпълнението на бюджета Парламентът разгледа не само финансовото управление на бюджета за 2017 г. и изпълнението на програмите и политиките, но също така направи преглед на своя принос през парламентарния мандат 2014—2019 г. за създаването на структури за добро финансово управление в Комисията и в държавите членки. </w:t>
      </w:r>
    </w:p>
    <w:p>
      <w:pPr>
        <w:pStyle w:val="Corpo"/>
        <w:spacing w:before="120" w:after="120"/>
        <w:ind w:left="850"/>
        <w:jc w:val="both"/>
        <w:rPr>
          <w:rFonts w:ascii="Times New Roman" w:hAnsi="Times New Roman"/>
          <w:noProof/>
          <w:sz w:val="24"/>
          <w:szCs w:val="24"/>
          <w:u w:color="000000"/>
        </w:rPr>
      </w:pPr>
      <w:r>
        <w:rPr>
          <w:rFonts w:ascii="Times New Roman" w:hAnsi="Times New Roman"/>
          <w:noProof/>
          <w:sz w:val="24"/>
          <w:u w:color="000000"/>
        </w:rPr>
        <w:t>Европейският парламент и Съветът признават значителни постижения през този мандат:</w:t>
      </w:r>
    </w:p>
    <w:p>
      <w:pPr>
        <w:pStyle w:val="ListParagraph"/>
        <w:numPr>
          <w:ilvl w:val="0"/>
          <w:numId w:val="3"/>
        </w:numPr>
        <w:spacing w:before="120" w:after="120" w:line="240" w:lineRule="auto"/>
        <w:jc w:val="both"/>
        <w:rPr>
          <w:rFonts w:ascii="Times New Roman" w:hAnsi="Times New Roman" w:cs="Times New Roman"/>
          <w:noProof/>
          <w:sz w:val="24"/>
          <w:szCs w:val="24"/>
        </w:rPr>
      </w:pPr>
      <w:r>
        <w:rPr>
          <w:rFonts w:ascii="Times New Roman" w:hAnsi="Times New Roman"/>
          <w:noProof/>
          <w:sz w:val="24"/>
        </w:rPr>
        <w:t>В Европейския парламент, Съвета, Европейска сметна палата и Комисията</w:t>
      </w:r>
      <w:r>
        <w:rPr>
          <w:rFonts w:ascii="Times New Roman" w:hAnsi="Times New Roman"/>
          <w:b/>
          <w:noProof/>
          <w:sz w:val="24"/>
        </w:rPr>
        <w:t xml:space="preserve"> се отделя по-голямо внимание на изпълнението на програмите и политиките.</w:t>
      </w:r>
      <w:r>
        <w:rPr>
          <w:rFonts w:ascii="Times New Roman" w:hAnsi="Times New Roman"/>
          <w:noProof/>
          <w:sz w:val="24"/>
        </w:rPr>
        <w:t xml:space="preserve"> Организацията за икономическо сътрудничество и развитие оценява, че рамката за изпълнение за бюджета на ЕС е най-усъвършенстваната измежду рамките на всички нейни членове. Комисията е подобрила докладването относно изпълнението в своите годишни интегрирани отчети за финансите и управленската отговорност. Засиленото внимание към изпълнението беше отразено в процедурата за освобождаване от отговорност, като обсъжданията бяха насочени в по-голяма степен в сравнение с миналото върху постигнатите с изпълнението на бюджета на ЕС резултати.</w:t>
      </w:r>
    </w:p>
    <w:p>
      <w:pPr>
        <w:pStyle w:val="ListParagraph"/>
        <w:numPr>
          <w:ilvl w:val="0"/>
          <w:numId w:val="3"/>
        </w:numPr>
        <w:spacing w:before="120" w:after="120" w:line="240" w:lineRule="auto"/>
        <w:jc w:val="both"/>
        <w:rPr>
          <w:rFonts w:ascii="Times New Roman" w:hAnsi="Times New Roman" w:cs="Times New Roman"/>
          <w:noProof/>
          <w:sz w:val="24"/>
          <w:szCs w:val="24"/>
        </w:rPr>
      </w:pPr>
      <w:r>
        <w:rPr>
          <w:rFonts w:ascii="Times New Roman" w:hAnsi="Times New Roman"/>
          <w:b/>
          <w:noProof/>
          <w:sz w:val="24"/>
        </w:rPr>
        <w:t>Европейската сметна палата призна трайното подобрение при управлението на финансите на ЕС</w:t>
      </w:r>
      <w:r>
        <w:rPr>
          <w:rFonts w:ascii="Times New Roman" w:hAnsi="Times New Roman"/>
          <w:noProof/>
          <w:sz w:val="24"/>
        </w:rPr>
        <w:t>, като за втори път от 1994 г., когато започна да представя годишна декларация за достоверност, издаде квалифицирано, а не отрицателно становище във връзка със законосъобразността и редовността на плащанията.</w:t>
      </w:r>
    </w:p>
    <w:p>
      <w:pPr>
        <w:pStyle w:val="ListParagraph"/>
        <w:numPr>
          <w:ilvl w:val="0"/>
          <w:numId w:val="3"/>
        </w:numPr>
        <w:spacing w:before="120" w:after="120" w:line="240" w:lineRule="auto"/>
        <w:jc w:val="both"/>
        <w:rPr>
          <w:rFonts w:ascii="Times New Roman" w:eastAsia="ヒラギノ角ゴ Pro W3" w:hAnsi="Times New Roman" w:cs="Times New Roman"/>
          <w:noProof/>
          <w:color w:val="000000"/>
          <w:sz w:val="24"/>
          <w:szCs w:val="20"/>
        </w:rPr>
      </w:pPr>
      <w:r>
        <w:rPr>
          <w:rFonts w:ascii="Times New Roman" w:hAnsi="Times New Roman"/>
          <w:noProof/>
          <w:sz w:val="24"/>
        </w:rPr>
        <w:t xml:space="preserve">По-нататък </w:t>
      </w:r>
      <w:r>
        <w:rPr>
          <w:rFonts w:ascii="Times New Roman" w:hAnsi="Times New Roman"/>
          <w:noProof/>
          <w:color w:val="000000"/>
          <w:sz w:val="24"/>
        </w:rPr>
        <w:t xml:space="preserve">Европейската сметна палата издаде </w:t>
      </w:r>
      <w:r>
        <w:rPr>
          <w:rFonts w:ascii="Times New Roman" w:hAnsi="Times New Roman"/>
          <w:b/>
          <w:noProof/>
          <w:color w:val="000000"/>
          <w:sz w:val="24"/>
        </w:rPr>
        <w:t>одитно становище без резерви относно годишните отчети за бюджета на ЕС, както и относно приходите.</w:t>
      </w:r>
    </w:p>
    <w:p>
      <w:pPr>
        <w:pStyle w:val="ListParagraph"/>
        <w:numPr>
          <w:ilvl w:val="0"/>
          <w:numId w:val="3"/>
        </w:numPr>
        <w:spacing w:before="120" w:after="120" w:line="240" w:lineRule="auto"/>
        <w:jc w:val="both"/>
        <w:rPr>
          <w:rFonts w:ascii="Times New Roman" w:hAnsi="Times New Roman" w:cs="Times New Roman"/>
          <w:noProof/>
          <w:sz w:val="24"/>
          <w:szCs w:val="24"/>
        </w:rPr>
      </w:pPr>
      <w:r>
        <w:rPr>
          <w:rFonts w:ascii="Times New Roman" w:hAnsi="Times New Roman"/>
          <w:b/>
          <w:noProof/>
          <w:sz w:val="24"/>
        </w:rPr>
        <w:t>Общото ниво на грешки</w:t>
      </w:r>
      <w:r>
        <w:rPr>
          <w:rFonts w:ascii="Times New Roman" w:hAnsi="Times New Roman"/>
          <w:noProof/>
          <w:sz w:val="24"/>
        </w:rPr>
        <w:t xml:space="preserve"> </w:t>
      </w:r>
      <w:r>
        <w:rPr>
          <w:rFonts w:ascii="Times New Roman" w:hAnsi="Times New Roman"/>
          <w:b/>
          <w:noProof/>
          <w:sz w:val="24"/>
        </w:rPr>
        <w:t>по отношение на разходите</w:t>
      </w:r>
      <w:r>
        <w:rPr>
          <w:rFonts w:ascii="Times New Roman" w:hAnsi="Times New Roman"/>
          <w:noProof/>
          <w:sz w:val="24"/>
        </w:rPr>
        <w:t xml:space="preserve"> </w:t>
      </w:r>
      <w:r>
        <w:rPr>
          <w:rFonts w:ascii="Times New Roman" w:hAnsi="Times New Roman"/>
          <w:b/>
          <w:noProof/>
          <w:sz w:val="24"/>
        </w:rPr>
        <w:t>се е понижило до 2,4 %</w:t>
      </w:r>
      <w:r>
        <w:rPr>
          <w:rFonts w:ascii="Times New Roman" w:hAnsi="Times New Roman"/>
          <w:noProof/>
          <w:sz w:val="24"/>
        </w:rPr>
        <w:t xml:space="preserve"> за финансовата 2017 година (спрямо 3,1 % за 2016 г., 3,8 % за 2015 г. и 4,4 % за 2014 г.). </w:t>
      </w:r>
    </w:p>
    <w:p>
      <w:pPr>
        <w:pStyle w:val="ListParagraph"/>
        <w:numPr>
          <w:ilvl w:val="0"/>
          <w:numId w:val="3"/>
        </w:numPr>
        <w:spacing w:before="120" w:after="120" w:line="240" w:lineRule="auto"/>
        <w:jc w:val="both"/>
        <w:rPr>
          <w:rFonts w:ascii="Times New Roman" w:hAnsi="Times New Roman" w:cs="Times New Roman"/>
          <w:noProof/>
          <w:sz w:val="24"/>
          <w:szCs w:val="24"/>
        </w:rPr>
      </w:pPr>
      <w:r>
        <w:rPr>
          <w:rFonts w:ascii="Times New Roman" w:hAnsi="Times New Roman"/>
          <w:noProof/>
          <w:sz w:val="24"/>
        </w:rPr>
        <w:t>Плащанията, свързани с права на плащане</w:t>
      </w:r>
      <w:r>
        <w:rPr>
          <w:rFonts w:ascii="Times New Roman" w:hAnsi="Times New Roman"/>
          <w:b/>
          <w:noProof/>
          <w:sz w:val="24"/>
        </w:rPr>
        <w:t xml:space="preserve"> (</w:t>
      </w:r>
      <w:r>
        <w:rPr>
          <w:rFonts w:ascii="Times New Roman" w:hAnsi="Times New Roman"/>
          <w:noProof/>
          <w:sz w:val="24"/>
        </w:rPr>
        <w:t>напр. плащания, свързани с преки помощи за земеделски стопани, студенти по програма „Еразъм“, бюджетна подкрепа за трети държави и заплати на персонала на ЕС), които представляват</w:t>
      </w:r>
      <w:r>
        <w:rPr>
          <w:rFonts w:ascii="Times New Roman" w:hAnsi="Times New Roman"/>
          <w:b/>
          <w:noProof/>
          <w:sz w:val="24"/>
        </w:rPr>
        <w:t xml:space="preserve"> над половината от плащанията от бюджета на ЕС през 2017 г., не са съществено засегнати от грешки</w:t>
      </w:r>
      <w:r>
        <w:rPr>
          <w:rFonts w:ascii="Times New Roman" w:hAnsi="Times New Roman"/>
          <w:noProof/>
          <w:sz w:val="24"/>
        </w:rPr>
        <w:t>.</w:t>
      </w:r>
    </w:p>
    <w:p>
      <w:pPr>
        <w:pStyle w:val="ListParagraph"/>
        <w:numPr>
          <w:ilvl w:val="0"/>
          <w:numId w:val="3"/>
        </w:numPr>
        <w:spacing w:before="120" w:after="120" w:line="240" w:lineRule="auto"/>
        <w:jc w:val="both"/>
        <w:rPr>
          <w:rFonts w:ascii="Times New Roman" w:eastAsia="ヒラギノ角ゴ Pro W3" w:hAnsi="Times New Roman" w:cs="Times New Roman"/>
          <w:noProof/>
          <w:color w:val="000000"/>
          <w:sz w:val="24"/>
          <w:szCs w:val="20"/>
        </w:rPr>
      </w:pPr>
      <w:r>
        <w:rPr>
          <w:rFonts w:ascii="Times New Roman" w:hAnsi="Times New Roman"/>
          <w:b/>
          <w:noProof/>
          <w:sz w:val="24"/>
        </w:rPr>
        <w:t>Приет</w:t>
      </w:r>
      <w:r>
        <w:rPr>
          <w:rFonts w:ascii="Times New Roman" w:hAnsi="Times New Roman"/>
          <w:noProof/>
          <w:sz w:val="24"/>
        </w:rPr>
        <w:t xml:space="preserve"> </w:t>
      </w:r>
      <w:r>
        <w:rPr>
          <w:rFonts w:ascii="Times New Roman" w:hAnsi="Times New Roman"/>
          <w:b/>
          <w:noProof/>
          <w:sz w:val="24"/>
        </w:rPr>
        <w:t>беше</w:t>
      </w:r>
      <w:r>
        <w:rPr>
          <w:rFonts w:ascii="Times New Roman" w:hAnsi="Times New Roman"/>
          <w:b/>
          <w:noProof/>
          <w:color w:val="000000"/>
          <w:sz w:val="24"/>
        </w:rPr>
        <w:t xml:space="preserve"> нов финансов регламент на ЕС</w:t>
      </w:r>
      <w:r>
        <w:rPr>
          <w:rFonts w:ascii="Times New Roman" w:hAnsi="Times New Roman"/>
          <w:noProof/>
          <w:color w:val="000000"/>
          <w:sz w:val="24"/>
        </w:rPr>
        <w:t>, с който наред с другото се въвеждат опростени правила, укрепва се подходът за единен контрол и се засилват отчетите за управленската отговорност.</w:t>
      </w:r>
    </w:p>
    <w:p>
      <w:pPr>
        <w:pStyle w:val="Corpo"/>
        <w:spacing w:before="120" w:after="120"/>
        <w:ind w:left="850"/>
        <w:jc w:val="both"/>
        <w:rPr>
          <w:rFonts w:ascii="Times New Roman" w:hAnsi="Times New Roman"/>
          <w:noProof/>
          <w:sz w:val="24"/>
          <w:szCs w:val="24"/>
          <w:u w:color="000000"/>
        </w:rPr>
      </w:pPr>
      <w:r>
        <w:rPr>
          <w:rFonts w:ascii="Times New Roman" w:hAnsi="Times New Roman"/>
          <w:noProof/>
          <w:sz w:val="24"/>
          <w:u w:color="000000"/>
        </w:rPr>
        <w:t xml:space="preserve">Тези </w:t>
      </w:r>
      <w:r>
        <w:rPr>
          <w:rFonts w:ascii="Times New Roman" w:hAnsi="Times New Roman"/>
          <w:b/>
          <w:noProof/>
          <w:sz w:val="24"/>
          <w:u w:color="000000"/>
        </w:rPr>
        <w:t>положителни промени отразяват</w:t>
      </w:r>
      <w:r>
        <w:rPr>
          <w:rFonts w:ascii="Times New Roman" w:hAnsi="Times New Roman"/>
          <w:noProof/>
          <w:sz w:val="24"/>
          <w:u w:color="000000"/>
        </w:rPr>
        <w:t xml:space="preserve"> </w:t>
      </w:r>
      <w:r>
        <w:rPr>
          <w:rFonts w:ascii="Times New Roman" w:hAnsi="Times New Roman"/>
          <w:b/>
          <w:noProof/>
          <w:sz w:val="24"/>
          <w:u w:color="000000"/>
        </w:rPr>
        <w:t>трайното и градивно сътрудничество</w:t>
      </w:r>
      <w:r>
        <w:rPr>
          <w:rFonts w:ascii="Times New Roman" w:hAnsi="Times New Roman"/>
          <w:noProof/>
          <w:sz w:val="24"/>
          <w:u w:color="000000"/>
        </w:rPr>
        <w:t xml:space="preserve"> между Европейския парламент, Съвета, Комисията и Европейската сметна палата. </w:t>
      </w:r>
    </w:p>
    <w:p>
      <w:pPr>
        <w:pStyle w:val="Corpo"/>
        <w:spacing w:before="120" w:after="120"/>
        <w:ind w:left="850"/>
        <w:jc w:val="both"/>
        <w:rPr>
          <w:rFonts w:ascii="Times New Roman" w:hAnsi="Times New Roman" w:cs="Times New Roman"/>
          <w:noProof/>
          <w:sz w:val="24"/>
          <w:szCs w:val="24"/>
        </w:rPr>
      </w:pPr>
      <w:r>
        <w:rPr>
          <w:rFonts w:ascii="Times New Roman" w:hAnsi="Times New Roman"/>
          <w:noProof/>
          <w:sz w:val="24"/>
          <w:u w:color="000000"/>
        </w:rPr>
        <w:t>По време на пленарните разисквания на 26 март 2019 г. докладчикът на Европейския парламент относно освобождаването от отговорност на Комисията и на изпълнителни агенции във връзка с изпълнението на общия бюджет на ЕС за 2017 г. г-жа Ayala Sender подчерта значението на извличането на съвместни поуки, с което да се гарантира целесъобразното изпълнение на бюджета на Съюза (по отношение на приоритетите, редовността и законосъобразността).</w:t>
      </w:r>
      <w:r>
        <w:rPr>
          <w:rFonts w:ascii="Times New Roman" w:hAnsi="Times New Roman"/>
          <w:noProof/>
          <w:sz w:val="24"/>
        </w:rPr>
        <w:t xml:space="preserve"> </w:t>
      </w:r>
    </w:p>
    <w:p>
      <w:pPr>
        <w:pStyle w:val="Corpo"/>
        <w:spacing w:before="120" w:after="120"/>
        <w:ind w:left="850"/>
        <w:jc w:val="both"/>
        <w:rPr>
          <w:rFonts w:ascii="Times New Roman" w:hAnsi="Times New Roman" w:cs="Times New Roman"/>
          <w:noProof/>
          <w:sz w:val="24"/>
          <w:szCs w:val="24"/>
          <w:u w:color="000000"/>
        </w:rPr>
      </w:pPr>
      <w:r>
        <w:rPr>
          <w:rFonts w:ascii="Times New Roman" w:hAnsi="Times New Roman"/>
          <w:noProof/>
          <w:sz w:val="24"/>
        </w:rPr>
        <w:t xml:space="preserve">Председателството на Съвета, представлявано от г-н Ciamba, отбеляза: </w:t>
      </w:r>
      <w:r>
        <w:rPr>
          <w:rFonts w:ascii="Times New Roman" w:hAnsi="Times New Roman"/>
          <w:i/>
          <w:noProof/>
          <w:sz w:val="24"/>
        </w:rPr>
        <w:t>„Изглежда, че като цяло Европейският парламент и Съветът споделят един и същ подход. Ние приветстваме подобренията, които са очевидни за всички, и очакваме органите на държавите членки, Комисията и Сметната палата да продължат и още повече да укрепят добрата си работа. Ние трябва да изпратим ясно послание към европейските граждани и данъкоплатци, че средствата на ЕС се използват отговорно и прозрачно.</w:t>
      </w:r>
      <w:r>
        <w:rPr>
          <w:rFonts w:ascii="Times New Roman" w:hAnsi="Times New Roman"/>
          <w:noProof/>
          <w:sz w:val="24"/>
        </w:rPr>
        <w:t>“</w:t>
      </w:r>
    </w:p>
    <w:p>
      <w:pPr>
        <w:pStyle w:val="Corpo"/>
        <w:spacing w:before="120" w:after="120"/>
        <w:ind w:left="850"/>
        <w:jc w:val="both"/>
        <w:rPr>
          <w:rFonts w:ascii="Times New Roman" w:hAnsi="Times New Roman"/>
          <w:noProof/>
          <w:sz w:val="24"/>
          <w:szCs w:val="24"/>
          <w:u w:color="000000"/>
        </w:rPr>
      </w:pPr>
      <w:r>
        <w:rPr>
          <w:rFonts w:ascii="Times New Roman" w:hAnsi="Times New Roman"/>
          <w:noProof/>
          <w:sz w:val="24"/>
          <w:u w:color="000000"/>
        </w:rPr>
        <w:t>Председателят на Европейската сметна палата г-н Lehne заяви, че приетите от Европейския парламент решения за освобождаване от отговорност във връзка с изпълнението на бюджета никога не дават пълна свобода. Те са част от един по-продължителен процес на сътрудничество.</w:t>
      </w:r>
    </w:p>
    <w:p>
      <w:pPr>
        <w:pStyle w:val="Corpo"/>
        <w:spacing w:before="120" w:after="120"/>
        <w:ind w:left="850"/>
        <w:jc w:val="both"/>
        <w:rPr>
          <w:rFonts w:ascii="Times New Roman" w:hAnsi="Times New Roman"/>
          <w:b/>
          <w:noProof/>
          <w:sz w:val="24"/>
          <w:szCs w:val="24"/>
          <w:u w:color="000000"/>
        </w:rPr>
      </w:pPr>
      <w:r>
        <w:rPr>
          <w:rFonts w:ascii="Times New Roman" w:hAnsi="Times New Roman"/>
          <w:b/>
          <w:noProof/>
          <w:sz w:val="24"/>
          <w:u w:color="000000"/>
        </w:rPr>
        <w:t xml:space="preserve">С процедурата за освобождаване от отговорност във връзка с изпълнението на бюджета всички заинтересовани страни получават възможност да анализират промените и да установят добрите практики и слабостите, за да могат още повече да усъвършенстват финансовото управление и да постигнат по-добри резултати чрез бюджета на ЕС.  </w:t>
      </w:r>
    </w:p>
    <w:p>
      <w:pPr>
        <w:pStyle w:val="Corpo"/>
        <w:spacing w:before="120" w:after="120"/>
        <w:ind w:left="850"/>
        <w:jc w:val="both"/>
        <w:rPr>
          <w:rFonts w:ascii="Times New Roman" w:eastAsia="Times New Roman" w:hAnsi="Times New Roman" w:cs="Times New Roman"/>
          <w:noProof/>
          <w:sz w:val="24"/>
          <w:szCs w:val="24"/>
          <w:u w:color="000000"/>
        </w:rPr>
      </w:pPr>
      <w:r>
        <w:rPr>
          <w:rFonts w:ascii="Times New Roman" w:hAnsi="Times New Roman"/>
          <w:b/>
          <w:noProof/>
          <w:sz w:val="24"/>
          <w:u w:color="000000"/>
        </w:rPr>
        <w:t xml:space="preserve">Извлечените от миналото поуки (например чрез прилагането на процедурите за освобождаване от отговорност, работата на Европейската сметна палата и оценките на Комисията) послужиха като основа при изготвянето на проектни предложения на Комисията във връзка със следващата многогодишна финансова рамка, </w:t>
      </w:r>
      <w:r>
        <w:rPr>
          <w:rFonts w:ascii="Times New Roman" w:hAnsi="Times New Roman"/>
          <w:noProof/>
          <w:sz w:val="24"/>
          <w:u w:color="000000"/>
        </w:rPr>
        <w:t>като с това се цели</w:t>
      </w:r>
      <w:r>
        <w:rPr>
          <w:rFonts w:ascii="Times New Roman" w:hAnsi="Times New Roman"/>
          <w:b/>
          <w:noProof/>
          <w:sz w:val="24"/>
          <w:u w:color="000000"/>
        </w:rPr>
        <w:t xml:space="preserve"> </w:t>
      </w:r>
      <w:r>
        <w:rPr>
          <w:rFonts w:ascii="Times New Roman" w:hAnsi="Times New Roman"/>
          <w:noProof/>
          <w:sz w:val="24"/>
          <w:u w:color="000000"/>
        </w:rPr>
        <w:t>подобряване на рамката за изпълнението, допълнително опростяване на правилата и справяне с новите предизвикателства чрез въвеждане на модерни източници на финансиране и засилване на защитата на бюджета на ЕС от общи недостатъци във връзка с върховенството на закона в държавите членки.</w:t>
      </w:r>
    </w:p>
    <w:p>
      <w:pPr>
        <w:pStyle w:val="Corpo"/>
        <w:spacing w:before="120" w:after="120"/>
        <w:ind w:left="850"/>
        <w:jc w:val="both"/>
        <w:rPr>
          <w:rFonts w:ascii="Times New Roman" w:hAnsi="Times New Roman"/>
          <w:noProof/>
          <w:sz w:val="24"/>
          <w:szCs w:val="24"/>
          <w:u w:color="000000"/>
        </w:rPr>
      </w:pPr>
      <w:r>
        <w:rPr>
          <w:rFonts w:ascii="Times New Roman" w:hAnsi="Times New Roman"/>
          <w:noProof/>
          <w:sz w:val="24"/>
          <w:u w:color="000000"/>
        </w:rPr>
        <w:t>В процедурата за освобождаване от отговорност във връзка с изпълнението на бюджета за финансовата 2017 година Европейският парламент и Съветът отправиха към Комисията искания, свързани с:</w:t>
      </w:r>
    </w:p>
    <w:p>
      <w:pPr>
        <w:pStyle w:val="Corpo"/>
        <w:numPr>
          <w:ilvl w:val="0"/>
          <w:numId w:val="3"/>
        </w:numPr>
        <w:spacing w:before="120" w:after="120"/>
        <w:jc w:val="both"/>
        <w:rPr>
          <w:rFonts w:ascii="Times New Roman" w:hAnsi="Times New Roman"/>
          <w:noProof/>
          <w:sz w:val="24"/>
          <w:szCs w:val="24"/>
          <w:u w:color="000000"/>
        </w:rPr>
      </w:pPr>
      <w:r>
        <w:rPr>
          <w:rFonts w:ascii="Times New Roman" w:hAnsi="Times New Roman"/>
          <w:noProof/>
          <w:sz w:val="24"/>
          <w:u w:color="000000"/>
        </w:rPr>
        <w:t>изпълнението на програмите и политиките;</w:t>
      </w:r>
    </w:p>
    <w:p>
      <w:pPr>
        <w:pStyle w:val="Corpo"/>
        <w:numPr>
          <w:ilvl w:val="0"/>
          <w:numId w:val="3"/>
        </w:numPr>
        <w:spacing w:before="120" w:after="120"/>
        <w:jc w:val="both"/>
        <w:rPr>
          <w:rFonts w:ascii="Times New Roman" w:hAnsi="Times New Roman"/>
          <w:noProof/>
          <w:sz w:val="24"/>
          <w:szCs w:val="24"/>
          <w:u w:color="000000"/>
        </w:rPr>
      </w:pPr>
      <w:r>
        <w:rPr>
          <w:rFonts w:ascii="Times New Roman" w:hAnsi="Times New Roman"/>
          <w:noProof/>
          <w:sz w:val="24"/>
          <w:u w:color="000000"/>
        </w:rPr>
        <w:t>отчетите за управленската отговорност, включително методиката за изчисляване на процентите на грешка;</w:t>
      </w:r>
    </w:p>
    <w:p>
      <w:pPr>
        <w:pStyle w:val="Corpo"/>
        <w:numPr>
          <w:ilvl w:val="0"/>
          <w:numId w:val="3"/>
        </w:numPr>
        <w:spacing w:before="120" w:after="120"/>
        <w:jc w:val="both"/>
        <w:rPr>
          <w:rFonts w:ascii="Times New Roman" w:hAnsi="Times New Roman"/>
          <w:noProof/>
          <w:sz w:val="24"/>
          <w:szCs w:val="24"/>
          <w:u w:color="000000"/>
        </w:rPr>
      </w:pPr>
      <w:r>
        <w:rPr>
          <w:rFonts w:ascii="Times New Roman" w:hAnsi="Times New Roman"/>
          <w:noProof/>
          <w:sz w:val="24"/>
          <w:u w:color="000000"/>
        </w:rPr>
        <w:t>усвояването на европейски средствата;</w:t>
      </w:r>
    </w:p>
    <w:p>
      <w:pPr>
        <w:pStyle w:val="Corpo"/>
        <w:numPr>
          <w:ilvl w:val="0"/>
          <w:numId w:val="3"/>
        </w:numPr>
        <w:spacing w:before="120" w:after="120"/>
        <w:jc w:val="both"/>
        <w:rPr>
          <w:rFonts w:ascii="Times New Roman" w:hAnsi="Times New Roman"/>
          <w:noProof/>
          <w:sz w:val="24"/>
          <w:szCs w:val="24"/>
          <w:u w:color="000000"/>
        </w:rPr>
      </w:pPr>
      <w:r>
        <w:rPr>
          <w:rFonts w:ascii="Times New Roman" w:hAnsi="Times New Roman"/>
          <w:noProof/>
          <w:sz w:val="24"/>
          <w:u w:color="000000"/>
        </w:rPr>
        <w:t>други специфични въпроси, като например конфликти на интереси.</w:t>
      </w:r>
    </w:p>
    <w:p>
      <w:pPr>
        <w:pStyle w:val="Corpo"/>
        <w:spacing w:before="120" w:after="120"/>
        <w:ind w:left="850"/>
        <w:jc w:val="both"/>
        <w:rPr>
          <w:rFonts w:ascii="Times New Roman" w:eastAsia="Times New Roman" w:hAnsi="Times New Roman" w:cs="Times New Roman"/>
          <w:noProof/>
          <w:sz w:val="24"/>
          <w:szCs w:val="24"/>
          <w:u w:color="000000"/>
        </w:rPr>
      </w:pPr>
      <w:r>
        <w:rPr>
          <w:rFonts w:ascii="Times New Roman" w:hAnsi="Times New Roman"/>
          <w:noProof/>
          <w:sz w:val="24"/>
          <w:u w:color="000000"/>
        </w:rPr>
        <w:t>В настоящия доклад, който е част от интегрираните отчети за финансите и управленската отговорност за 2018 г., Комисията разглежда основните исканията по отношение на освобождаването от отговорност във връзка с изпълнението на бюджета. По-подробни отговори на конкретните искания на Европейския парламент и на Съвета във връзка с освобождаването от отговорност за 2017 г., включително отправените във връзка със специалните доклади на Европейската сметна палата, ще бъдат публикувани на по-късен етап.</w:t>
      </w:r>
    </w:p>
    <w:p>
      <w:pPr>
        <w:keepNext/>
        <w:keepLines/>
        <w:numPr>
          <w:ilvl w:val="0"/>
          <w:numId w:val="2"/>
        </w:numPr>
        <w:tabs>
          <w:tab w:val="left" w:pos="850"/>
        </w:tabs>
        <w:spacing w:before="360" w:after="120" w:line="240" w:lineRule="auto"/>
        <w:ind w:left="856" w:hanging="856"/>
        <w:jc w:val="both"/>
        <w:outlineLvl w:val="0"/>
        <w:rPr>
          <w:rFonts w:ascii="Times New Roman" w:eastAsia="ヒラギノ角ゴ Pro W3" w:hAnsi="Times New Roman" w:cs="Times New Roman"/>
          <w:noProof/>
          <w:color w:val="000000"/>
          <w:sz w:val="24"/>
          <w:szCs w:val="20"/>
        </w:rPr>
      </w:pPr>
      <w:r>
        <w:rPr>
          <w:rFonts w:ascii="Times New Roman" w:hAnsi="Times New Roman"/>
          <w:b/>
          <w:smallCaps/>
          <w:noProof/>
          <w:color w:val="000000"/>
          <w:sz w:val="24"/>
        </w:rPr>
        <w:t>Изпълнение на програми и политики</w:t>
      </w:r>
    </w:p>
    <w:p>
      <w:pPr>
        <w:spacing w:before="120" w:after="120" w:line="240" w:lineRule="auto"/>
        <w:ind w:left="856"/>
        <w:jc w:val="both"/>
        <w:rPr>
          <w:rFonts w:ascii="Times New Roman" w:hAnsi="Times New Roman" w:cs="Times New Roman"/>
          <w:noProof/>
          <w:sz w:val="24"/>
          <w:szCs w:val="24"/>
        </w:rPr>
      </w:pPr>
      <w:r>
        <w:rPr>
          <w:rFonts w:ascii="Times New Roman" w:hAnsi="Times New Roman"/>
          <w:noProof/>
          <w:sz w:val="24"/>
        </w:rPr>
        <w:t xml:space="preserve">Европейският парламент и Съветът подчертават, че </w:t>
      </w:r>
      <w:r>
        <w:rPr>
          <w:rFonts w:ascii="Times New Roman" w:hAnsi="Times New Roman"/>
          <w:b/>
          <w:noProof/>
          <w:sz w:val="24"/>
        </w:rPr>
        <w:t xml:space="preserve">чрез бюджета на ЕС за 2017 г. успешно е подкрепено изпълнението на приоритетите и политиките на ЕС </w:t>
      </w:r>
      <w:r>
        <w:rPr>
          <w:rFonts w:ascii="Times New Roman" w:hAnsi="Times New Roman"/>
          <w:noProof/>
          <w:sz w:val="24"/>
        </w:rPr>
        <w:t xml:space="preserve">чрез допълване на ресурсите на държавите членки. </w:t>
      </w:r>
    </w:p>
    <w:p>
      <w:pPr>
        <w:spacing w:before="120" w:after="120" w:line="240" w:lineRule="auto"/>
        <w:ind w:left="856"/>
        <w:jc w:val="both"/>
        <w:rPr>
          <w:rFonts w:ascii="Times New Roman" w:hAnsi="Times New Roman" w:cs="Times New Roman"/>
          <w:noProof/>
          <w:sz w:val="24"/>
          <w:szCs w:val="24"/>
        </w:rPr>
      </w:pPr>
      <w:r>
        <w:rPr>
          <w:rFonts w:ascii="Times New Roman" w:hAnsi="Times New Roman"/>
          <w:noProof/>
          <w:sz w:val="24"/>
        </w:rPr>
        <w:t>Както Европейският парламент споменава, това най-вече важи за програма „Хоризонт 2020“, Програмата на Европейския съюз за конкурентоспособност на предприятията и малките и средните предприятия (COSME), Кохезионния фонд и Европейския фонд за регионално развитие, програмите за развитие на селските райони, както и за фонд „Убежище, миграция и интеграция“ и хуманитарната помощ в 80 различни държави.</w:t>
      </w:r>
    </w:p>
    <w:p>
      <w:pPr>
        <w:spacing w:before="120" w:after="120" w:line="240" w:lineRule="auto"/>
        <w:ind w:left="856"/>
        <w:jc w:val="both"/>
        <w:rPr>
          <w:rFonts w:ascii="Times New Roman" w:hAnsi="Times New Roman" w:cs="Times New Roman"/>
          <w:noProof/>
          <w:sz w:val="24"/>
          <w:szCs w:val="24"/>
        </w:rPr>
      </w:pPr>
      <w:r>
        <w:rPr>
          <w:rFonts w:ascii="Times New Roman" w:hAnsi="Times New Roman"/>
          <w:noProof/>
          <w:sz w:val="24"/>
        </w:rPr>
        <w:t xml:space="preserve">Европейският парламент и Съветът призовават Комисията да подобри докладването във връзка с начина, по който тя използва информацията за изпълнението. </w:t>
      </w:r>
      <w:r>
        <w:rPr>
          <w:rFonts w:ascii="Times New Roman" w:hAnsi="Times New Roman"/>
          <w:b/>
          <w:noProof/>
          <w:sz w:val="24"/>
        </w:rPr>
        <w:t>Комисията предоставя актуална информация за изпълнението в своите доклади за качеството на изпълнението и засилва вниманието си към качеството на данните и към докладването относно използването на информацията за изпълнението</w:t>
      </w:r>
      <w:r>
        <w:rPr>
          <w:rFonts w:ascii="Times New Roman" w:hAnsi="Times New Roman"/>
          <w:noProof/>
          <w:sz w:val="24"/>
        </w:rPr>
        <w:t xml:space="preserve">. Примери за това са заключенията от одитите относно изпълнението на текущи програми, мониторингът на програмите и междинните прегледи, които са използвани при цялостния преглед на разходите, придружаващ предложенията на Комисията за бъдещата многогодишна финансова рамка и секторните програми, с което се цели да се засили вниманието върху изпълнението на програмите в бъдеще. Това искане беше изцяло изпълнено с приетия на 25 юни 2019 г. годишен доклад за управлението и изпълнението. </w:t>
      </w:r>
    </w:p>
    <w:p>
      <w:pPr>
        <w:spacing w:before="120" w:after="120" w:line="240" w:lineRule="auto"/>
        <w:ind w:left="856"/>
        <w:jc w:val="both"/>
        <w:rPr>
          <w:rFonts w:ascii="Times New Roman" w:hAnsi="Times New Roman" w:cs="Times New Roman"/>
          <w:noProof/>
          <w:sz w:val="24"/>
          <w:szCs w:val="24"/>
        </w:rPr>
      </w:pPr>
      <w:r>
        <w:rPr>
          <w:rFonts w:ascii="Times New Roman" w:hAnsi="Times New Roman"/>
          <w:noProof/>
          <w:sz w:val="24"/>
        </w:rPr>
        <w:t xml:space="preserve">Наред с това Комисията представи изчерпателна информацията за изпълнението за всяка програма в програмните отчети, придружаващи предложението за проектобюджета на ЕС за 2020 г. Тази информация е предназначена за използване при вземането на решения от бюджетния орган. </w:t>
      </w:r>
    </w:p>
    <w:p>
      <w:pPr>
        <w:spacing w:before="120" w:after="120" w:line="240" w:lineRule="auto"/>
        <w:ind w:left="856"/>
        <w:jc w:val="both"/>
        <w:rPr>
          <w:rFonts w:ascii="Times New Roman" w:hAnsi="Times New Roman" w:cs="Times New Roman"/>
          <w:noProof/>
          <w:sz w:val="24"/>
          <w:szCs w:val="24"/>
        </w:rPr>
      </w:pPr>
      <w:r>
        <w:rPr>
          <w:rFonts w:ascii="Times New Roman" w:hAnsi="Times New Roman"/>
          <w:b/>
          <w:noProof/>
          <w:sz w:val="24"/>
        </w:rPr>
        <w:t>За следващата многогодишна финансова рамка Комисията предлага да се засили вниманието върху изпълнението на всички програми</w:t>
      </w:r>
      <w:r>
        <w:rPr>
          <w:rFonts w:ascii="Times New Roman" w:hAnsi="Times New Roman"/>
          <w:noProof/>
          <w:sz w:val="24"/>
        </w:rPr>
        <w:t xml:space="preserve"> чрез набелязване на по-ясни цели и съсредоточаване върху по-малко на брой по-качествени показатели за изпълнението. С това ще се улеснят контролът и измерването на резултатите, както и предприемането на подходящи мерки. </w:t>
      </w:r>
    </w:p>
    <w:p>
      <w:pPr>
        <w:spacing w:before="120" w:after="120" w:line="240" w:lineRule="auto"/>
        <w:ind w:left="856"/>
        <w:jc w:val="both"/>
        <w:rPr>
          <w:rFonts w:ascii="Times New Roman" w:hAnsi="Times New Roman" w:cs="Times New Roman"/>
          <w:noProof/>
          <w:sz w:val="24"/>
          <w:szCs w:val="24"/>
        </w:rPr>
      </w:pPr>
      <w:r>
        <w:rPr>
          <w:rFonts w:ascii="Times New Roman" w:hAnsi="Times New Roman"/>
          <w:noProof/>
          <w:sz w:val="24"/>
        </w:rPr>
        <w:t>Предложението за следващата многогодишна финансова рамка е по-рационализирано, броят на програмите е намален и разпокъсаните източници на финансиране са обединени в нови интегрирани програми. В предложението се предвижда засилено обвързване между европейския семестър и финансирането в областта на сближаването; наред с това акцентът на общата селскостопанска политика ще се измести от съответствието и правилата към резултатите и изпълнението, например чрез въвеждане на стратегически планове за държавите членки.</w:t>
      </w:r>
    </w:p>
    <w:p>
      <w:pPr>
        <w:spacing w:before="120" w:after="120" w:line="240" w:lineRule="auto"/>
        <w:ind w:left="856"/>
        <w:jc w:val="both"/>
        <w:rPr>
          <w:rFonts w:ascii="Times New Roman" w:hAnsi="Times New Roman" w:cs="Times New Roman"/>
          <w:noProof/>
          <w:sz w:val="24"/>
          <w:szCs w:val="24"/>
        </w:rPr>
      </w:pPr>
      <w:r>
        <w:rPr>
          <w:rFonts w:ascii="Times New Roman" w:hAnsi="Times New Roman"/>
          <w:noProof/>
          <w:sz w:val="24"/>
        </w:rPr>
        <w:t xml:space="preserve">Основните искания, отправени от Европейския парламент и Съвета относно бъдещата структура на селскостопанската, миграционната политика, политиката на сближаване и политиката в областта на научните изследвания, са част от текущите преговори във връзка със следващото поколение програми по линия на многогодишната финансова рамка. </w:t>
      </w:r>
    </w:p>
    <w:p>
      <w:pPr>
        <w:spacing w:before="120" w:after="120" w:line="240" w:lineRule="auto"/>
        <w:ind w:left="856"/>
        <w:jc w:val="both"/>
        <w:rPr>
          <w:rFonts w:ascii="Times New Roman" w:hAnsi="Times New Roman" w:cs="Times New Roman"/>
          <w:noProof/>
          <w:sz w:val="24"/>
          <w:szCs w:val="24"/>
        </w:rPr>
      </w:pPr>
    </w:p>
    <w:p>
      <w:pPr>
        <w:keepNext/>
        <w:keepLines/>
        <w:numPr>
          <w:ilvl w:val="0"/>
          <w:numId w:val="2"/>
        </w:numPr>
        <w:tabs>
          <w:tab w:val="left" w:pos="850"/>
        </w:tabs>
        <w:spacing w:before="360" w:after="120" w:line="240" w:lineRule="auto"/>
        <w:ind w:left="856" w:hanging="856"/>
        <w:outlineLvl w:val="0"/>
        <w:rPr>
          <w:rFonts w:ascii="Times New Roman" w:eastAsia="ヒラギノ角ゴ Pro W3" w:hAnsi="Times New Roman" w:cs="Times New Roman"/>
          <w:b/>
          <w:smallCaps/>
          <w:noProof/>
          <w:color w:val="000000"/>
          <w:sz w:val="24"/>
          <w:szCs w:val="20"/>
        </w:rPr>
      </w:pPr>
      <w:r>
        <w:rPr>
          <w:rFonts w:ascii="Times New Roman" w:hAnsi="Times New Roman"/>
          <w:b/>
          <w:smallCaps/>
          <w:noProof/>
          <w:color w:val="000000"/>
          <w:sz w:val="24"/>
        </w:rPr>
        <w:t>Отчети за управленската отговорност</w:t>
      </w:r>
    </w:p>
    <w:p>
      <w:pPr>
        <w:pStyle w:val="Corpo"/>
        <w:spacing w:before="120" w:after="120"/>
        <w:ind w:left="850"/>
        <w:jc w:val="both"/>
        <w:rPr>
          <w:rFonts w:ascii="Times New Roman" w:hAnsi="Times New Roman"/>
          <w:noProof/>
          <w:sz w:val="24"/>
          <w:szCs w:val="24"/>
          <w:u w:color="000000"/>
        </w:rPr>
      </w:pPr>
      <w:r>
        <w:rPr>
          <w:rFonts w:ascii="Times New Roman" w:hAnsi="Times New Roman"/>
          <w:noProof/>
          <w:sz w:val="24"/>
          <w:u w:color="000000"/>
        </w:rPr>
        <w:t>Интегрираните отчети за финансите и управленската отговорност са важен елемент от процеса за отговорността по отношение на финансите на ЕС. Те съдържат изчерпателна информация за изпълнението, резултатите, доброто финансово управление и защитата на бюджета на ЕС. В тях се включват — както е предвидено във Финансовия регламент от 2018 г. — окончателните консолидирани отчети, годишният доклад за управлението и изпълнението, годишният доклад за вътрешните одити, дългосрочна прогноза за бъдещите входящи и изходящи парични потоци, обхващаща следващите пет години, оценката на финансите на Съюза въз основа на постигнатите резултати и докладът относно последващите действия във връзка с освобождаването от отговорност.</w:t>
      </w:r>
    </w:p>
    <w:p>
      <w:pPr>
        <w:pStyle w:val="Corpo"/>
        <w:spacing w:before="120" w:after="120"/>
        <w:ind w:left="850"/>
        <w:jc w:val="both"/>
        <w:rPr>
          <w:rFonts w:ascii="Times New Roman" w:hAnsi="Times New Roman"/>
          <w:noProof/>
          <w:sz w:val="24"/>
          <w:szCs w:val="24"/>
          <w:u w:color="000000"/>
        </w:rPr>
      </w:pPr>
      <w:r>
        <w:rPr>
          <w:rFonts w:ascii="Times New Roman" w:hAnsi="Times New Roman"/>
          <w:noProof/>
          <w:sz w:val="24"/>
          <w:u w:color="000000"/>
        </w:rPr>
        <w:t>В отчетите за финансовата 2018 година ще бъде отговорено на няколко искания на Европейския парламент и на Съвета, свързани, наред с другото, с дългосрочното прогнозиране, отчетите за изпълнението и представянето на процентите на грешка.</w:t>
      </w:r>
    </w:p>
    <w:p>
      <w:pPr>
        <w:pStyle w:val="Corpo"/>
        <w:spacing w:before="120" w:after="120"/>
        <w:ind w:left="850"/>
        <w:jc w:val="both"/>
        <w:rPr>
          <w:rFonts w:ascii="Times New Roman" w:hAnsi="Times New Roman"/>
          <w:noProof/>
          <w:sz w:val="24"/>
          <w:szCs w:val="24"/>
          <w:u w:color="000000"/>
        </w:rPr>
      </w:pPr>
      <w:r>
        <w:rPr>
          <w:rFonts w:ascii="Times New Roman" w:hAnsi="Times New Roman"/>
          <w:noProof/>
          <w:sz w:val="24"/>
          <w:u w:color="000000"/>
        </w:rPr>
        <w:t xml:space="preserve">Комисията разполага с устойчива система за съответствие. Тя представя процентите на грешка за всяка от своите служби в годишните отчети за дейността и за различните области на политиката в своя годишен доклад за управлението и изпълнението. Тези проценти на грешка се изчисляват по съгласувана методика, като същевременно се отчита, че правната рамка, управленската среда и други особености са различни в различните области на политиката. С цел предотвратяване и установяване на грешки преди извършването на плащания — и съответно коригиране при евентуално установяване на грешки след извършването на плащания — са въведени многогодишни системи за вътрешен контрол на бюджета на ЕС. Комисията представя на заинтересованите страни цялостна картина чрез два показателя: риск при плащане (преди корекциите) и риск при приключване (след корекциите). Като орган, управляващ средства на ЕС, Комисията се стреми да гарантира, че след приключването на всяка програма и извършването на всички проверки, крайното ниво на грешки остава под 2 %. </w:t>
      </w:r>
    </w:p>
    <w:p>
      <w:pPr>
        <w:spacing w:before="120" w:after="120" w:line="240" w:lineRule="auto"/>
        <w:ind w:left="856"/>
        <w:jc w:val="both"/>
        <w:rPr>
          <w:rFonts w:ascii="Times New Roman" w:hAnsi="Times New Roman" w:cs="Times New Roman"/>
          <w:bCs/>
          <w:noProof/>
          <w:sz w:val="24"/>
          <w:szCs w:val="24"/>
        </w:rPr>
      </w:pPr>
      <w:r>
        <w:rPr>
          <w:rFonts w:ascii="Times New Roman" w:hAnsi="Times New Roman"/>
          <w:noProof/>
          <w:sz w:val="24"/>
          <w:u w:color="000000"/>
        </w:rPr>
        <w:t xml:space="preserve">Комисията ще </w:t>
      </w:r>
      <w:r>
        <w:rPr>
          <w:rFonts w:ascii="Times New Roman" w:hAnsi="Times New Roman"/>
          <w:noProof/>
          <w:sz w:val="24"/>
        </w:rPr>
        <w:t>продължи работата си по подобряването и рационализирането на своето докладване в годишните отчети за дейността на всички генерални директори, в програмните отчети, придружаващи проектобюджета, и в годишния доклад за управлението и изпълнението, приет от Комисията. В тази връзка Комисията е взела предвид и препоръките, отправени от Европейската сметна палата.</w:t>
      </w:r>
    </w:p>
    <w:p>
      <w:pPr>
        <w:pStyle w:val="Corpo"/>
        <w:spacing w:before="120" w:after="120"/>
        <w:ind w:left="850"/>
        <w:jc w:val="both"/>
        <w:rPr>
          <w:rFonts w:ascii="Times New Roman" w:hAnsi="Times New Roman"/>
          <w:noProof/>
          <w:sz w:val="24"/>
          <w:szCs w:val="24"/>
          <w:u w:color="000000"/>
        </w:rPr>
      </w:pPr>
      <w:r>
        <w:rPr>
          <w:rFonts w:ascii="Times New Roman" w:hAnsi="Times New Roman"/>
          <w:noProof/>
          <w:sz w:val="24"/>
          <w:u w:color="000000"/>
        </w:rPr>
        <w:t xml:space="preserve">Комисията подхожда с пълна прозрачност по отношение на установените слабости. Те са изложени ясно в резервите, изразени от генералните директори в техните годишни отчети за дейността. Когато генералните директори изразят резерви, те трябва да изготвят и план за действие с цел отстраняване на съответните слабости. В контекста на споделено управление обаче плановете за действие се изготвят от държавите членки въз основа на резервите, изразени в годишния отчет за дейността на съответния генерален директор. </w:t>
      </w:r>
    </w:p>
    <w:p>
      <w:pPr>
        <w:pStyle w:val="Corpo"/>
        <w:spacing w:before="120" w:after="120"/>
        <w:ind w:left="850"/>
        <w:jc w:val="both"/>
        <w:rPr>
          <w:rFonts w:ascii="Times New Roman" w:hAnsi="Times New Roman"/>
          <w:noProof/>
          <w:sz w:val="24"/>
          <w:szCs w:val="24"/>
          <w:u w:color="000000"/>
        </w:rPr>
      </w:pPr>
      <w:r>
        <w:rPr>
          <w:rFonts w:ascii="Times New Roman" w:hAnsi="Times New Roman"/>
          <w:noProof/>
          <w:sz w:val="24"/>
          <w:u w:color="000000"/>
        </w:rPr>
        <w:t xml:space="preserve">Годишните отчети за дейността, програмните отчети и докладите за оценка се използват в годишния доклад за управлението и изпълнението. Тези отчети постоянно се усъвършенстват въз основа на редица фактори, като например обратна информация от Службата за вътрешен одит на Комисията, Европейската сметна палата, Европейския парламент и Съвета. </w:t>
      </w:r>
    </w:p>
    <w:p>
      <w:pPr>
        <w:spacing w:before="120" w:after="120" w:line="240" w:lineRule="auto"/>
        <w:ind w:left="856"/>
        <w:jc w:val="both"/>
        <w:rPr>
          <w:rFonts w:ascii="Times New Roman" w:eastAsia="ヒラギノ角ゴ Pro W3" w:hAnsi="Times New Roman" w:cs="Times New Roman"/>
          <w:noProof/>
          <w:color w:val="000000"/>
          <w:sz w:val="24"/>
          <w:szCs w:val="20"/>
        </w:rPr>
      </w:pPr>
      <w:r>
        <w:rPr>
          <w:rFonts w:ascii="Times New Roman" w:hAnsi="Times New Roman"/>
          <w:noProof/>
          <w:color w:val="000000"/>
          <w:sz w:val="24"/>
        </w:rPr>
        <w:t xml:space="preserve">На последно място, Комисията е в непрекъснат диалог с Европейската сметна палата във връзка с методологичните подобрения, които биха могли да се внесат при изчисляването и представянето на процентите на грешка, както и при представянето на резултатите, постигнати от финансираните от бюджета на ЕС програми. </w:t>
      </w:r>
    </w:p>
    <w:p>
      <w:pPr>
        <w:spacing w:before="120" w:after="120" w:line="240" w:lineRule="auto"/>
        <w:ind w:left="856"/>
        <w:jc w:val="both"/>
        <w:rPr>
          <w:rFonts w:ascii="Times New Roman" w:eastAsia="ヒラギノ角ゴ Pro W3" w:hAnsi="Times New Roman" w:cs="Times New Roman"/>
          <w:noProof/>
          <w:color w:val="000000"/>
          <w:sz w:val="24"/>
          <w:szCs w:val="20"/>
        </w:rPr>
      </w:pPr>
      <w:r>
        <w:rPr>
          <w:rFonts w:ascii="Times New Roman" w:hAnsi="Times New Roman"/>
          <w:noProof/>
          <w:color w:val="000000"/>
          <w:sz w:val="24"/>
        </w:rPr>
        <w:t xml:space="preserve">Що се отнася до искането относно </w:t>
      </w:r>
      <w:r>
        <w:rPr>
          <w:rFonts w:ascii="Times New Roman" w:hAnsi="Times New Roman"/>
          <w:b/>
          <w:noProof/>
          <w:color w:val="000000"/>
          <w:sz w:val="24"/>
        </w:rPr>
        <w:t>условните пасиви</w:t>
      </w:r>
      <w:r>
        <w:rPr>
          <w:rFonts w:ascii="Times New Roman" w:hAnsi="Times New Roman"/>
          <w:noProof/>
          <w:color w:val="000000"/>
          <w:sz w:val="24"/>
        </w:rPr>
        <w:t xml:space="preserve">, отправено и от Европейския парламент, и от Съвета, в годишните отчети на ЕС е представена подробна информация за съществуващите пасиви, включително във връзка с експозицията на бюджета на ЕС, произтичаща от бюджетни гаранции и гаранции от програми за финансова помощ. Наред с това, съгласно Финансовия регламент от 2018 г., от 2021 г. Комисията ще представя в специален работен документ към проектобюджета оценка на устойчивостта на тези пасиви. </w:t>
      </w:r>
    </w:p>
    <w:p>
      <w:pPr>
        <w:spacing w:before="120" w:after="120" w:line="240" w:lineRule="auto"/>
        <w:ind w:left="856"/>
        <w:jc w:val="both"/>
        <w:rPr>
          <w:rFonts w:ascii="Times New Roman" w:hAnsi="Times New Roman" w:cs="Times New Roman"/>
          <w:bCs/>
          <w:noProof/>
          <w:sz w:val="24"/>
          <w:szCs w:val="24"/>
        </w:rPr>
      </w:pPr>
      <w:r>
        <w:rPr>
          <w:rFonts w:ascii="Times New Roman" w:hAnsi="Times New Roman"/>
          <w:noProof/>
          <w:color w:val="000000"/>
          <w:sz w:val="24"/>
        </w:rPr>
        <w:t>В отговор на исканията на Европейския парламент и на Съвета по отношение на</w:t>
      </w:r>
      <w:r>
        <w:rPr>
          <w:rFonts w:ascii="Times New Roman" w:hAnsi="Times New Roman"/>
          <w:b/>
          <w:noProof/>
          <w:color w:val="000000"/>
          <w:sz w:val="24"/>
        </w:rPr>
        <w:t xml:space="preserve"> финансирането във връзка с кризата с бежанците и миграцията, както и по отношение на финансовите инструменти </w:t>
      </w:r>
      <w:r>
        <w:rPr>
          <w:rFonts w:ascii="Times New Roman" w:hAnsi="Times New Roman"/>
          <w:noProof/>
          <w:sz w:val="24"/>
        </w:rPr>
        <w:t xml:space="preserve">през февруари 2019 г. Комисията представи пред Европейския парламент и Съвета </w:t>
      </w:r>
      <w:r>
        <w:rPr>
          <w:rFonts w:ascii="Times New Roman" w:hAnsi="Times New Roman"/>
          <w:i/>
          <w:noProof/>
          <w:sz w:val="24"/>
        </w:rPr>
        <w:t>Доклад относно усвояването на средствата, набрани във връзка с кризата с бежанците и миграцията (2015—2017 г.) [Report on the Implementation of funding raised for the migration and refugee crisis (2015-2017)]</w:t>
      </w:r>
      <w:r>
        <w:rPr>
          <w:rFonts w:ascii="Times New Roman" w:hAnsi="Times New Roman"/>
          <w:noProof/>
          <w:sz w:val="24"/>
        </w:rPr>
        <w:t xml:space="preserve">, като ще превърне това в редовна своя практика. </w:t>
      </w:r>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color w:val="000000"/>
          <w:sz w:val="24"/>
        </w:rPr>
        <w:t xml:space="preserve">Що се отнася до искането за предоставяне на </w:t>
      </w:r>
      <w:r>
        <w:rPr>
          <w:rFonts w:ascii="Times New Roman" w:hAnsi="Times New Roman"/>
          <w:b/>
          <w:noProof/>
          <w:color w:val="000000"/>
          <w:sz w:val="24"/>
        </w:rPr>
        <w:t>информация относно приключването на финансовите инструменти</w:t>
      </w:r>
      <w:r>
        <w:rPr>
          <w:rFonts w:ascii="Times New Roman" w:hAnsi="Times New Roman"/>
          <w:noProof/>
          <w:color w:val="000000"/>
          <w:sz w:val="24"/>
        </w:rPr>
        <w:t xml:space="preserve"> за многогодишната финансова рамка за периода 2007—2013 г., Комисията ще докладва относно отбелязания напредък по приключването на оперативните програми за този период </w:t>
      </w:r>
      <w:r>
        <w:rPr>
          <w:rFonts w:ascii="Times New Roman" w:hAnsi="Times New Roman"/>
          <w:noProof/>
          <w:sz w:val="24"/>
        </w:rPr>
        <w:t>съгласно приложимото законодателство.</w:t>
      </w:r>
      <w:r>
        <w:rPr>
          <w:noProof/>
        </w:rPr>
        <w:t xml:space="preserve"> </w:t>
      </w:r>
      <w:r>
        <w:rPr>
          <w:rFonts w:ascii="Times New Roman" w:hAnsi="Times New Roman"/>
          <w:noProof/>
          <w:sz w:val="24"/>
        </w:rPr>
        <w:t xml:space="preserve">Комисията ще докладва относно крайните резултати от приключването на програмния период в годишните отчети за дейността на съответните генерални дирекции, като ще започне от отчетната 2018 година. В този доклад относно приключването на програмния период се включват — по оперативни програми </w:t>
      </w:r>
      <w:r>
        <w:rPr>
          <w:rFonts w:ascii="Times New Roman" w:hAnsi="Times New Roman"/>
          <w:strike/>
          <w:noProof/>
          <w:sz w:val="24"/>
        </w:rPr>
        <w:t>—</w:t>
      </w:r>
      <w:r>
        <w:rPr>
          <w:rFonts w:ascii="Times New Roman" w:hAnsi="Times New Roman"/>
          <w:noProof/>
          <w:sz w:val="24"/>
        </w:rPr>
        <w:t xml:space="preserve"> допустимите суми при приключването, включително, където е приложимо, за финансовите инструменти. В него се включва и информация за събраните суми по оперативни програми, ако има такива. </w:t>
      </w:r>
    </w:p>
    <w:p>
      <w:pPr>
        <w:pStyle w:val="NoSpacing"/>
        <w:ind w:left="1428"/>
        <w:jc w:val="both"/>
        <w:rPr>
          <w:noProof/>
          <w:sz w:val="24"/>
          <w:szCs w:val="24"/>
        </w:rPr>
      </w:pPr>
    </w:p>
    <w:p>
      <w:pPr>
        <w:keepNext/>
        <w:keepLines/>
        <w:numPr>
          <w:ilvl w:val="0"/>
          <w:numId w:val="2"/>
        </w:numPr>
        <w:tabs>
          <w:tab w:val="left" w:pos="850"/>
        </w:tabs>
        <w:spacing w:before="360" w:after="120" w:line="240" w:lineRule="auto"/>
        <w:ind w:left="850" w:hanging="856"/>
        <w:jc w:val="both"/>
        <w:outlineLvl w:val="0"/>
        <w:rPr>
          <w:rFonts w:ascii="Times New Roman" w:hAnsi="Times New Roman"/>
          <w:noProof/>
          <w:sz w:val="24"/>
          <w:szCs w:val="24"/>
          <w:u w:color="000000"/>
        </w:rPr>
      </w:pPr>
      <w:r>
        <w:rPr>
          <w:rFonts w:ascii="Times New Roman" w:hAnsi="Times New Roman"/>
          <w:b/>
          <w:smallCaps/>
          <w:noProof/>
          <w:color w:val="000000"/>
          <w:sz w:val="24"/>
        </w:rPr>
        <w:t>Усвояване на средства на Европейския съюз</w:t>
      </w:r>
    </w:p>
    <w:p>
      <w:pPr>
        <w:spacing w:before="120" w:after="120" w:line="240" w:lineRule="auto"/>
        <w:ind w:left="856"/>
        <w:jc w:val="both"/>
        <w:rPr>
          <w:rFonts w:ascii="Times New Roman" w:hAnsi="Times New Roman" w:cs="Times New Roman"/>
          <w:noProof/>
          <w:sz w:val="24"/>
          <w:szCs w:val="24"/>
        </w:rPr>
      </w:pPr>
      <w:r>
        <w:rPr>
          <w:rFonts w:ascii="Times New Roman" w:hAnsi="Times New Roman"/>
          <w:noProof/>
          <w:sz w:val="24"/>
        </w:rPr>
        <w:t xml:space="preserve">В своя годишен доклад за 2017 г. Европейската сметна палата обръща специално внимание на непогасените бюджетни задължения (Reste à liquider), които впоследствие станаха важна тема в хода на дебата по освобождаването от отговорност във връзка с изпълнението на бюджета. </w:t>
      </w:r>
      <w:r>
        <w:rPr>
          <w:rFonts w:ascii="Times New Roman" w:hAnsi="Times New Roman"/>
          <w:b/>
          <w:noProof/>
          <w:sz w:val="24"/>
        </w:rPr>
        <w:t xml:space="preserve">Непогасените бюджетни задължения представляват сбора на поетите задължения, които все още не са изплатени. Това е механична последица от факта, че поетите задължения са сравнително равномерно разпределени във времето в рамките на многогодишен бюджет, докато плащанията се извършват на по-късен етап, поради това, че повечето поети задължения са свързани с инвестиции, чието приключване отнема време. </w:t>
      </w:r>
      <w:r>
        <w:rPr>
          <w:rFonts w:ascii="Times New Roman" w:hAnsi="Times New Roman"/>
          <w:noProof/>
          <w:sz w:val="24"/>
        </w:rPr>
        <w:t xml:space="preserve">При проектите, чието приключване отнема няколко години, обикновено има забавяне между първоначално поетите задължения и самите плащания. Забавянето зависи главно от продължителността на финансираните проекти и приложимите за всяка програма правила. </w:t>
      </w:r>
    </w:p>
    <w:p>
      <w:pPr>
        <w:spacing w:before="120" w:after="120" w:line="240" w:lineRule="auto"/>
        <w:ind w:left="856"/>
        <w:jc w:val="both"/>
        <w:rPr>
          <w:rFonts w:ascii="Times New Roman" w:hAnsi="Times New Roman" w:cs="Times New Roman"/>
          <w:noProof/>
          <w:sz w:val="24"/>
          <w:szCs w:val="24"/>
        </w:rPr>
      </w:pPr>
      <w:r>
        <w:rPr>
          <w:rFonts w:ascii="Times New Roman" w:hAnsi="Times New Roman"/>
          <w:noProof/>
          <w:sz w:val="24"/>
        </w:rPr>
        <w:t>Европейският парламент подчертава, че непогасените бюджетни задължения (Reste à liquider) са нараснали значително поради редица фактори, като късното приемане на многогодишната финансова рамка за периода 2014—2020 г., затрудненията при прилагането на новите изисквания и промяна на правилата за отмяна на бюджетни задължения в политиката на сближаване от календарна година N+2 на календарна година N+3. Това, наред с повишените нива на предварително финансиране, допринесе за забавеното усвояване на средства на ЕС в началото на настоящата многогодишна финансова рамка. Комисията счита, че е изключително важно следващата многогодишна финансова рамка да се приеме навреме през есента на 2019 г., за да се избегне повтаряне на досегашните проблеми.</w:t>
      </w:r>
    </w:p>
    <w:p>
      <w:pPr>
        <w:spacing w:before="120" w:after="120" w:line="240" w:lineRule="auto"/>
        <w:ind w:left="856"/>
        <w:jc w:val="both"/>
        <w:rPr>
          <w:rFonts w:ascii="Times New Roman" w:hAnsi="Times New Roman" w:cs="Times New Roman"/>
          <w:noProof/>
          <w:sz w:val="24"/>
          <w:szCs w:val="24"/>
        </w:rPr>
      </w:pPr>
      <w:r>
        <w:rPr>
          <w:rFonts w:ascii="Times New Roman" w:hAnsi="Times New Roman"/>
          <w:noProof/>
          <w:sz w:val="24"/>
        </w:rPr>
        <w:t xml:space="preserve">Съветът изразява загриженост във връзка с риска от това, че наличните бюджетни кредити за плащания няма да са достатъчни, за да се изплатят всички искания за плащане, въпреки по-голямата гъвкавост на бюджета по отношение на посрещането на потребностите за финансовите години от настоящата многогодишна финансова рамка. Той призовава Комисията непрекъснато да подобрява както прогнозите за плащания, така и механизмите за мониторинг, за да може да управлява този риск, да предвижда плавното изплащане на сумите и да гарантира предвидимостта на националните вноски. </w:t>
      </w:r>
    </w:p>
    <w:p>
      <w:pPr>
        <w:spacing w:before="120" w:after="120" w:line="240" w:lineRule="auto"/>
        <w:ind w:left="856"/>
        <w:jc w:val="both"/>
        <w:rPr>
          <w:rFonts w:ascii="Times New Roman" w:hAnsi="Times New Roman" w:cs="Times New Roman"/>
          <w:noProof/>
          <w:sz w:val="24"/>
          <w:szCs w:val="24"/>
        </w:rPr>
      </w:pPr>
      <w:r>
        <w:rPr>
          <w:rFonts w:ascii="Times New Roman" w:hAnsi="Times New Roman"/>
          <w:b/>
          <w:noProof/>
          <w:sz w:val="24"/>
        </w:rPr>
        <w:t>Комисията непрекъснато следи развитието на нуждите от плащания с цел да подобри предвидимостта на бюджета и да управлява съответните бюджетни рискове.</w:t>
      </w:r>
      <w:r>
        <w:rPr>
          <w:rFonts w:ascii="Times New Roman" w:hAnsi="Times New Roman"/>
          <w:noProof/>
          <w:sz w:val="24"/>
        </w:rPr>
        <w:t xml:space="preserve"> От 2015 г. насам Комисията представя годишна прогноза на дългосрочните нужди от плащания на ЕС, като от 2018 г. тя е във вид на годишен прогнозен доклад за бъдещите входящи и изходящи парични потоци в бюджета на ЕС. В този доклад се представя прогноза на необходимите плащания за покриването на неизплатени задължения, които вече са подписани от ЕС (т.е. непогасените бюджетни задължения), както и плащания за нови поети задължения, които предстои да бъдат приключени до 5 години, съгласно разпоредбите на Финансовия регламент от 2018 г. </w:t>
      </w:r>
    </w:p>
    <w:p>
      <w:pPr>
        <w:spacing w:before="120" w:after="120" w:line="240" w:lineRule="auto"/>
        <w:ind w:left="856"/>
        <w:jc w:val="both"/>
        <w:rPr>
          <w:rFonts w:ascii="Times New Roman" w:hAnsi="Times New Roman" w:cs="Times New Roman"/>
          <w:noProof/>
          <w:sz w:val="24"/>
          <w:szCs w:val="24"/>
        </w:rPr>
      </w:pPr>
      <w:r>
        <w:rPr>
          <w:rFonts w:ascii="Times New Roman" w:hAnsi="Times New Roman"/>
          <w:noProof/>
          <w:sz w:val="24"/>
        </w:rPr>
        <w:t xml:space="preserve">Основният фактор, допринасящ за надеждността и стабилността на прогнозата за плащанията, е изпълнението на политиката на сближаване, която понастоящем съставлява около една трета от бюджета на ЕС и е най-голямата разходна политика, изпълнявана чрез многогодишни бюджетни кредити. Тъй като тя се изпълнява чрез споделено управление, темпът на изпълнението ѝ и прогнозирането на плащанията до голяма степен зависят от плановете на държавите членки. </w:t>
      </w:r>
    </w:p>
    <w:p>
      <w:pPr>
        <w:spacing w:before="120" w:after="120" w:line="240" w:lineRule="auto"/>
        <w:ind w:left="856"/>
        <w:jc w:val="both"/>
        <w:rPr>
          <w:rFonts w:ascii="Times New Roman" w:hAnsi="Times New Roman" w:cs="Times New Roman"/>
          <w:noProof/>
          <w:sz w:val="24"/>
          <w:szCs w:val="24"/>
        </w:rPr>
      </w:pPr>
      <w:r>
        <w:rPr>
          <w:rFonts w:ascii="Times New Roman" w:hAnsi="Times New Roman"/>
          <w:noProof/>
          <w:sz w:val="24"/>
        </w:rPr>
        <w:t>В своето предложение за многогодишна финансова рамка за периода 2021—2027 г. Комисията се стреми да гарантира подходящи тавани за плащанията, както и по-стабилно и предвидимо изпълнение на годишните бюджети. По-конкретно, предложените нива на таваните за плащанията за периода 2021—2027 г. са достатъчни, за да се покрият непогасените бюджетни задължения от предходните години и да се ограничи нарастването на непогасените бюджетни задължения, както и да се осигури безпроблемен преход към следващото поколение разходни програми. За да допринесе за стабилизирането и предвидимостта на развитието на плащанията, Комисията предлага да приспособи определени условия за изпълнение от политиката на сближаване (като например връщане на правилото за отмяна на бюджетни задължения за календарна година N+2 и намаляване на нивото на предварително финансиране, за да се избегне натрупване на вземания и за насърчаване на по-бързото изпълнение).</w:t>
      </w:r>
    </w:p>
    <w:p>
      <w:pPr>
        <w:spacing w:before="120" w:after="120" w:line="240" w:lineRule="auto"/>
        <w:ind w:left="856"/>
        <w:jc w:val="both"/>
        <w:rPr>
          <w:rFonts w:ascii="Times New Roman" w:hAnsi="Times New Roman" w:cs="Times New Roman"/>
          <w:noProof/>
          <w:sz w:val="24"/>
          <w:szCs w:val="24"/>
        </w:rPr>
      </w:pPr>
      <w:r>
        <w:rPr>
          <w:rFonts w:ascii="Times New Roman" w:hAnsi="Times New Roman"/>
          <w:noProof/>
          <w:sz w:val="24"/>
        </w:rPr>
        <w:t>Освен това Комисията предлага да се запазят механизмите на общия марж за плащанията и маржа за непредвидени обстоятелства, които могат да се използват при общия за периода таван за плащанията за многогодишната финансова рамка с цел справяне с евентуални резки увеличения и спадове на потребностите от плащания. Ползите от тези инструменти при управлението на плащанията през целия период на финансовата рамка вече бяха доказани през периода 2014—2020 г.</w:t>
      </w:r>
    </w:p>
    <w:p>
      <w:pPr>
        <w:spacing w:before="120" w:after="120" w:line="240" w:lineRule="auto"/>
        <w:ind w:left="856"/>
        <w:jc w:val="both"/>
        <w:rPr>
          <w:rFonts w:ascii="Times New Roman" w:hAnsi="Times New Roman" w:cs="Times New Roman"/>
          <w:noProof/>
          <w:sz w:val="24"/>
          <w:szCs w:val="24"/>
        </w:rPr>
      </w:pPr>
      <w:r>
        <w:rPr>
          <w:rFonts w:ascii="Times New Roman" w:hAnsi="Times New Roman"/>
          <w:noProof/>
          <w:sz w:val="24"/>
        </w:rPr>
        <w:t xml:space="preserve">Наред с това </w:t>
      </w:r>
      <w:r>
        <w:rPr>
          <w:rFonts w:ascii="Times New Roman" w:hAnsi="Times New Roman"/>
          <w:b/>
          <w:noProof/>
          <w:sz w:val="24"/>
        </w:rPr>
        <w:t>Комисията ще продължи да работи в тясно сътрудничество с държавите членки</w:t>
      </w:r>
      <w:r>
        <w:rPr>
          <w:rFonts w:ascii="Times New Roman" w:hAnsi="Times New Roman"/>
          <w:noProof/>
          <w:sz w:val="24"/>
        </w:rPr>
        <w:t>, за да се гарантира навременното усвояване на средствата на ЕС в рамките на многогодишната финансова рамка за периода 2014—2020 г. и да се осигури достатъчна подкрепа на държавите членки, включително техническа помощ и консултантски услуги, така че да се подобри способността им да усвояват средствата на ЕС. Поуките, извлечени от работна група за по-добро изпълнение (създадена с цел подобряване на изпълнението на европейските структурни и инвестиционни фондове за предходния период), са интегрирани при програми в затруднено положение през текущия период. Със засегнатите държави членки се провежда тесен диалог за подобряване на положението.</w:t>
      </w:r>
    </w:p>
    <w:p>
      <w:pPr>
        <w:spacing w:before="120" w:after="120" w:line="240" w:lineRule="auto"/>
        <w:ind w:left="856"/>
        <w:jc w:val="both"/>
        <w:rPr>
          <w:rFonts w:ascii="Times New Roman" w:hAnsi="Times New Roman" w:cs="Times New Roman"/>
          <w:noProof/>
          <w:sz w:val="24"/>
          <w:szCs w:val="24"/>
        </w:rPr>
      </w:pPr>
    </w:p>
    <w:p>
      <w:pPr>
        <w:keepNext/>
        <w:keepLines/>
        <w:numPr>
          <w:ilvl w:val="0"/>
          <w:numId w:val="2"/>
        </w:numPr>
        <w:tabs>
          <w:tab w:val="left" w:pos="850"/>
        </w:tabs>
        <w:spacing w:before="360" w:after="120" w:line="240" w:lineRule="auto"/>
        <w:ind w:left="856" w:hanging="856"/>
        <w:jc w:val="both"/>
        <w:outlineLvl w:val="0"/>
        <w:rPr>
          <w:rFonts w:ascii="Times New Roman" w:eastAsia="ヒラギノ角ゴ Pro W3" w:hAnsi="Times New Roman" w:cs="Times New Roman"/>
          <w:noProof/>
          <w:color w:val="000000"/>
          <w:sz w:val="24"/>
          <w:szCs w:val="20"/>
        </w:rPr>
      </w:pPr>
      <w:r>
        <w:rPr>
          <w:rFonts w:ascii="Times New Roman" w:hAnsi="Times New Roman"/>
          <w:b/>
          <w:smallCaps/>
          <w:noProof/>
          <w:color w:val="000000"/>
          <w:sz w:val="24"/>
        </w:rPr>
        <w:t>Специфични въпроси</w:t>
      </w:r>
    </w:p>
    <w:p>
      <w:pPr>
        <w:tabs>
          <w:tab w:val="left" w:pos="850"/>
        </w:tabs>
        <w:spacing w:before="360" w:after="120" w:line="240" w:lineRule="auto"/>
        <w:ind w:left="855"/>
        <w:jc w:val="both"/>
        <w:outlineLvl w:val="0"/>
        <w:rPr>
          <w:rFonts w:ascii="Times New Roman" w:eastAsia="ヒラギノ角ゴ Pro W3" w:hAnsi="Times New Roman" w:cs="Times New Roman"/>
          <w:b/>
          <w:smallCaps/>
          <w:noProof/>
          <w:color w:val="000000"/>
          <w:sz w:val="24"/>
          <w:szCs w:val="20"/>
        </w:rPr>
      </w:pPr>
      <w:r>
        <w:rPr>
          <w:rFonts w:ascii="Times New Roman" w:hAnsi="Times New Roman"/>
          <w:b/>
          <w:smallCaps/>
          <w:noProof/>
          <w:color w:val="000000"/>
          <w:sz w:val="24"/>
        </w:rPr>
        <w:t>4.1</w:t>
      </w:r>
      <w:r>
        <w:rPr>
          <w:noProof/>
        </w:rPr>
        <w:tab/>
      </w:r>
      <w:r>
        <w:rPr>
          <w:rFonts w:ascii="Times New Roman" w:hAnsi="Times New Roman"/>
          <w:b/>
          <w:smallCaps/>
          <w:noProof/>
          <w:color w:val="000000"/>
          <w:sz w:val="24"/>
        </w:rPr>
        <w:t xml:space="preserve">Приходи </w:t>
      </w:r>
    </w:p>
    <w:p>
      <w:pPr>
        <w:spacing w:before="120" w:after="120" w:line="240" w:lineRule="auto"/>
        <w:ind w:left="856"/>
        <w:jc w:val="both"/>
        <w:rPr>
          <w:rFonts w:ascii="Times New Roman" w:hAnsi="Times New Roman" w:cs="Times New Roman"/>
          <w:noProof/>
          <w:sz w:val="24"/>
          <w:szCs w:val="24"/>
        </w:rPr>
      </w:pPr>
      <w:r>
        <w:rPr>
          <w:rFonts w:ascii="Times New Roman" w:hAnsi="Times New Roman"/>
          <w:noProof/>
          <w:sz w:val="24"/>
        </w:rPr>
        <w:t xml:space="preserve">Европейският парламент посочва, че за втора поредна година от ГД „Бюджет“ са изразени </w:t>
      </w:r>
      <w:r>
        <w:rPr>
          <w:rFonts w:ascii="Times New Roman" w:hAnsi="Times New Roman"/>
          <w:b/>
          <w:noProof/>
          <w:sz w:val="24"/>
        </w:rPr>
        <w:t>резерви относно стойността на традиционните собствени ресурси, събирани от Обединеното кралство,</w:t>
      </w:r>
      <w:r>
        <w:rPr>
          <w:rFonts w:ascii="Times New Roman" w:hAnsi="Times New Roman"/>
          <w:noProof/>
          <w:sz w:val="24"/>
        </w:rPr>
        <w:t xml:space="preserve"> поради това, че страната не предоставя на разположение на бюджета на Съюза неплатените мита върху вноса на облекла и обувки. Той приветства образуваното от Комисията през март 2018 г. производство за установяване на неизпълнение на задължения като последваща мярка във връзка със случая с митническата измама.</w:t>
      </w:r>
    </w:p>
    <w:p>
      <w:pPr>
        <w:spacing w:before="120" w:after="120" w:line="240" w:lineRule="auto"/>
        <w:ind w:left="856"/>
        <w:jc w:val="both"/>
        <w:rPr>
          <w:rFonts w:ascii="Times New Roman" w:hAnsi="Times New Roman" w:cs="Times New Roman"/>
          <w:noProof/>
          <w:sz w:val="24"/>
          <w:szCs w:val="24"/>
        </w:rPr>
      </w:pPr>
      <w:r>
        <w:rPr>
          <w:rFonts w:ascii="Times New Roman" w:hAnsi="Times New Roman"/>
          <w:noProof/>
          <w:sz w:val="24"/>
        </w:rPr>
        <w:t>След редица правни мерки и анализ на отговора на Обединеното кралство, получен през февруари 2018 г., през март 2019 г. Комисията отнесе случая до Съда на Европейския съюз.</w:t>
      </w:r>
    </w:p>
    <w:p>
      <w:pPr>
        <w:spacing w:before="120" w:after="120" w:line="240" w:lineRule="auto"/>
        <w:ind w:left="856"/>
        <w:jc w:val="both"/>
        <w:rPr>
          <w:rFonts w:ascii="Times New Roman" w:hAnsi="Times New Roman" w:cs="Times New Roman"/>
          <w:noProof/>
          <w:sz w:val="24"/>
          <w:szCs w:val="24"/>
        </w:rPr>
      </w:pPr>
      <w:r>
        <w:rPr>
          <w:rFonts w:ascii="Times New Roman" w:hAnsi="Times New Roman"/>
          <w:noProof/>
          <w:sz w:val="24"/>
        </w:rPr>
        <w:t>От октомври 2017 г. органите на Обединеното кралство постепенно започнаха да въвеждат някои от поисканите от Комисията корективни мерки, но все още отказват да предоставят на разположение на бюджета на ЕС дължими суми от традиционни собствени ресурси.</w:t>
      </w:r>
    </w:p>
    <w:p>
      <w:pPr>
        <w:spacing w:before="120" w:after="120" w:line="240" w:lineRule="auto"/>
        <w:ind w:left="856"/>
        <w:jc w:val="both"/>
        <w:rPr>
          <w:rFonts w:ascii="Times New Roman" w:hAnsi="Times New Roman" w:cs="Times New Roman"/>
          <w:noProof/>
          <w:sz w:val="24"/>
          <w:szCs w:val="24"/>
        </w:rPr>
      </w:pPr>
      <w:r>
        <w:rPr>
          <w:rFonts w:ascii="Times New Roman" w:hAnsi="Times New Roman"/>
          <w:noProof/>
          <w:sz w:val="24"/>
        </w:rPr>
        <w:t xml:space="preserve">От анализа на данните става видно, че след въвеждането на корективните мерки в Обединеното кралство се наблюдава рязък спад на загубите на традиционни собствени ресурси. </w:t>
      </w:r>
    </w:p>
    <w:p>
      <w:pPr>
        <w:spacing w:before="120" w:after="120" w:line="240" w:lineRule="auto"/>
        <w:ind w:left="850"/>
        <w:jc w:val="both"/>
        <w:rPr>
          <w:rFonts w:ascii="Times New Roman" w:eastAsia="ヒラギノ角ゴ Pro W3" w:hAnsi="Times New Roman" w:cs="Times New Roman"/>
          <w:noProof/>
          <w:color w:val="000000"/>
          <w:sz w:val="24"/>
          <w:szCs w:val="20"/>
        </w:rPr>
      </w:pPr>
      <w:r>
        <w:rPr>
          <w:rFonts w:ascii="Times New Roman" w:hAnsi="Times New Roman"/>
          <w:noProof/>
          <w:color w:val="000000"/>
          <w:sz w:val="24"/>
        </w:rPr>
        <w:t>Наред с това Европейският парламент призовава Комисията, когато подхожда към такива случаи, да заявява ясната</w:t>
      </w:r>
      <w:r>
        <w:rPr>
          <w:rFonts w:ascii="Times New Roman" w:hAnsi="Times New Roman"/>
          <w:b/>
          <w:noProof/>
          <w:color w:val="000000"/>
          <w:sz w:val="24"/>
        </w:rPr>
        <w:t xml:space="preserve"> нужда от засилване на сътрудничеството между митническите администрации на държавите членки</w:t>
      </w:r>
      <w:r>
        <w:rPr>
          <w:rFonts w:ascii="Times New Roman" w:hAnsi="Times New Roman"/>
          <w:noProof/>
          <w:color w:val="000000"/>
          <w:sz w:val="24"/>
        </w:rPr>
        <w:t xml:space="preserve">, за да се избягват вреди за бюджета на Съюза и за националните бюджети, както и за продуктовите стандарти на Съюза. </w:t>
      </w:r>
    </w:p>
    <w:p>
      <w:pPr>
        <w:spacing w:before="120" w:after="120" w:line="240" w:lineRule="auto"/>
        <w:ind w:left="850"/>
        <w:jc w:val="both"/>
        <w:rPr>
          <w:rFonts w:ascii="Times New Roman" w:eastAsia="ヒラギノ角ゴ Pro W3" w:hAnsi="Times New Roman" w:cs="Times New Roman"/>
          <w:noProof/>
          <w:color w:val="000000"/>
          <w:sz w:val="24"/>
          <w:szCs w:val="20"/>
        </w:rPr>
      </w:pPr>
      <w:r>
        <w:rPr>
          <w:rFonts w:ascii="Times New Roman" w:hAnsi="Times New Roman"/>
          <w:noProof/>
          <w:color w:val="000000"/>
          <w:sz w:val="24"/>
        </w:rPr>
        <w:t>Комисията предприема мерки за избягване на загуби от мита. Когато Комисията установи, че контролът на държавите членки не е ефективен и води до загуби на традиционни собствени ресурси, държавите членки носят отговорност за тези загуби, като за закъснели плащания се налагат немалки лихви. Комисията предприема действия непосредствено след установяване на нередности.</w:t>
      </w:r>
    </w:p>
    <w:p>
      <w:pPr>
        <w:spacing w:before="120" w:after="120" w:line="240" w:lineRule="auto"/>
        <w:ind w:left="850"/>
        <w:jc w:val="both"/>
        <w:rPr>
          <w:rFonts w:ascii="Times New Roman" w:eastAsia="ヒラギノ角ゴ Pro W3" w:hAnsi="Times New Roman" w:cs="Times New Roman"/>
          <w:noProof/>
          <w:color w:val="000000"/>
          <w:sz w:val="24"/>
          <w:szCs w:val="20"/>
        </w:rPr>
      </w:pPr>
      <w:r>
        <w:rPr>
          <w:rFonts w:ascii="Times New Roman" w:hAnsi="Times New Roman"/>
          <w:noProof/>
          <w:color w:val="000000"/>
          <w:sz w:val="24"/>
        </w:rPr>
        <w:t>Отговорност за събирането на митата носят най-вече държавите членки. Затова Комисията работи в тясно сътрудничество, за да може митническото законодателство на ЕС да се прилага съгласувано във всички държави членки с цел защита на финансовите интереси на Съюза.</w:t>
      </w:r>
    </w:p>
    <w:p>
      <w:pPr>
        <w:spacing w:before="120" w:after="120" w:line="240" w:lineRule="auto"/>
        <w:ind w:left="856"/>
        <w:jc w:val="both"/>
        <w:rPr>
          <w:rFonts w:ascii="Times New Roman" w:eastAsia="ヒラギノ角ゴ Pro W3" w:hAnsi="Times New Roman" w:cs="Times New Roman"/>
          <w:noProof/>
          <w:color w:val="000000"/>
          <w:sz w:val="24"/>
          <w:szCs w:val="20"/>
        </w:rPr>
      </w:pPr>
      <w:r>
        <w:rPr>
          <w:rFonts w:ascii="Times New Roman" w:hAnsi="Times New Roman"/>
          <w:noProof/>
          <w:color w:val="000000"/>
          <w:sz w:val="24"/>
        </w:rPr>
        <w:t xml:space="preserve">Наред с това Европейският парламент призовава Комисията да </w:t>
      </w:r>
      <w:r>
        <w:rPr>
          <w:rFonts w:ascii="Times New Roman" w:hAnsi="Times New Roman"/>
          <w:b/>
          <w:noProof/>
          <w:color w:val="000000"/>
          <w:sz w:val="24"/>
        </w:rPr>
        <w:t xml:space="preserve">подобри мониторинга на потоците на вноса, да анализира съществуващата рамка за контрол </w:t>
      </w:r>
      <w:r>
        <w:rPr>
          <w:rFonts w:ascii="Times New Roman" w:hAnsi="Times New Roman"/>
          <w:noProof/>
          <w:color w:val="000000"/>
          <w:sz w:val="24"/>
        </w:rPr>
        <w:t>и</w:t>
      </w:r>
      <w:r>
        <w:rPr>
          <w:rFonts w:ascii="Times New Roman" w:hAnsi="Times New Roman"/>
          <w:b/>
          <w:noProof/>
          <w:color w:val="000000"/>
          <w:sz w:val="24"/>
        </w:rPr>
        <w:t xml:space="preserve"> да документира по-добре нейното приложение при проверката на изчисленията на среднопретеглената ставка</w:t>
      </w:r>
      <w:r>
        <w:rPr>
          <w:rFonts w:ascii="Times New Roman" w:hAnsi="Times New Roman"/>
          <w:noProof/>
          <w:color w:val="000000"/>
          <w:sz w:val="24"/>
        </w:rPr>
        <w:t>, които държавите членки представят в своите декларации за ресурсите на база ДДС.</w:t>
      </w:r>
    </w:p>
    <w:p>
      <w:pPr>
        <w:spacing w:before="120" w:after="120" w:line="240" w:lineRule="auto"/>
        <w:ind w:left="850"/>
        <w:jc w:val="both"/>
        <w:rPr>
          <w:rFonts w:ascii="Times New Roman" w:eastAsia="ヒラギノ角ゴ Pro W3" w:hAnsi="Times New Roman" w:cs="Times New Roman"/>
          <w:noProof/>
          <w:color w:val="000000"/>
          <w:sz w:val="24"/>
          <w:szCs w:val="20"/>
        </w:rPr>
      </w:pPr>
      <w:r>
        <w:rPr>
          <w:rFonts w:ascii="Times New Roman" w:hAnsi="Times New Roman"/>
          <w:noProof/>
          <w:color w:val="000000"/>
          <w:sz w:val="24"/>
        </w:rPr>
        <w:t>Що се отнася до мониторинга и интелигентния анализ на данни, с нарастването на обемите на търговията и на фона на това, че националните митнически администрации са изправени пред финансови ограничения, държавите членки трябва да разчитат повече от всякога на автоматизиран анализ на риска, за да предприемат мерки във връзка с най-проблемните пратки, като същевременно улесняват законната търговия.</w:t>
      </w:r>
    </w:p>
    <w:p>
      <w:pPr>
        <w:spacing w:before="120" w:after="120" w:line="240" w:lineRule="auto"/>
        <w:ind w:left="850"/>
        <w:jc w:val="both"/>
        <w:rPr>
          <w:rFonts w:ascii="Times New Roman" w:eastAsia="ヒラギノ角ゴ Pro W3" w:hAnsi="Times New Roman" w:cs="Times New Roman"/>
          <w:noProof/>
          <w:color w:val="000000"/>
          <w:sz w:val="24"/>
          <w:szCs w:val="20"/>
        </w:rPr>
      </w:pPr>
      <w:r>
        <w:rPr>
          <w:rFonts w:ascii="Times New Roman" w:hAnsi="Times New Roman"/>
          <w:noProof/>
          <w:color w:val="000000"/>
          <w:sz w:val="24"/>
        </w:rPr>
        <w:t>Всички държави членки вече разполагат с достъп до автоматизирания инструмент за мониторинг на външната търговия, чрез който те редовно получават актуализации във връзка с текущия анализ на Комисията на потоците и цените на вноса (интелигентен анализ на статистически данни). Въпреки това, за да подкрепи държавите членки при подобряването на дейностите им по контрол, през следващите години Комисията ще получава по-подробни данни за вноса съгласно новия Митнически кодекс на Съюза, с което се улеснява по-застъпеното използване на техники за интелигентен анализ на данни.</w:t>
      </w:r>
    </w:p>
    <w:p>
      <w:pPr>
        <w:spacing w:before="120" w:after="120" w:line="240" w:lineRule="auto"/>
        <w:ind w:left="850"/>
        <w:jc w:val="both"/>
        <w:rPr>
          <w:rFonts w:ascii="Times New Roman" w:eastAsia="ヒラギノ角ゴ Pro W3" w:hAnsi="Times New Roman" w:cs="Times New Roman"/>
          <w:noProof/>
          <w:color w:val="000000"/>
          <w:sz w:val="24"/>
          <w:szCs w:val="20"/>
        </w:rPr>
      </w:pPr>
      <w:r>
        <w:rPr>
          <w:rFonts w:ascii="Times New Roman" w:hAnsi="Times New Roman"/>
          <w:noProof/>
          <w:color w:val="000000"/>
          <w:sz w:val="24"/>
        </w:rPr>
        <w:t xml:space="preserve">Понастоящем се преразглежда рамката за контрол във връзка с изчислението на среднопретеглената ставка, за да се постигне допълнително хармонизиране на работната документация и контролния списък за проверка на среднопретеглената ставка на ДДС. Това искане следва да се изпълни до края на 2019 г. </w:t>
      </w:r>
    </w:p>
    <w:p>
      <w:pPr>
        <w:spacing w:before="120" w:after="120" w:line="240" w:lineRule="auto"/>
        <w:ind w:left="850"/>
        <w:jc w:val="both"/>
        <w:rPr>
          <w:rFonts w:ascii="Times New Roman" w:eastAsia="ヒラギノ角ゴ Pro W3" w:hAnsi="Times New Roman" w:cs="Times New Roman"/>
          <w:noProof/>
          <w:color w:val="000000"/>
          <w:sz w:val="24"/>
          <w:szCs w:val="20"/>
        </w:rPr>
      </w:pPr>
    </w:p>
    <w:p>
      <w:pPr>
        <w:tabs>
          <w:tab w:val="left" w:pos="850"/>
        </w:tabs>
        <w:spacing w:before="360" w:after="120" w:line="240" w:lineRule="auto"/>
        <w:ind w:left="855"/>
        <w:jc w:val="both"/>
        <w:outlineLvl w:val="0"/>
        <w:rPr>
          <w:rFonts w:ascii="Times New Roman" w:eastAsia="ヒラギノ角ゴ Pro W3" w:hAnsi="Times New Roman" w:cs="Times New Roman"/>
          <w:b/>
          <w:smallCaps/>
          <w:noProof/>
          <w:color w:val="000000"/>
          <w:sz w:val="24"/>
          <w:szCs w:val="20"/>
        </w:rPr>
      </w:pPr>
      <w:r>
        <w:rPr>
          <w:rFonts w:ascii="Times New Roman" w:hAnsi="Times New Roman"/>
          <w:b/>
          <w:smallCaps/>
          <w:noProof/>
          <w:color w:val="000000"/>
          <w:sz w:val="24"/>
        </w:rPr>
        <w:t>4.2 Конфликт на интереси</w:t>
      </w:r>
    </w:p>
    <w:p>
      <w:pPr>
        <w:spacing w:before="120" w:after="120" w:line="240" w:lineRule="auto"/>
        <w:ind w:left="856"/>
        <w:jc w:val="both"/>
        <w:rPr>
          <w:rFonts w:ascii="Times New Roman" w:hAnsi="Times New Roman" w:cs="Times New Roman"/>
          <w:noProof/>
          <w:sz w:val="24"/>
          <w:szCs w:val="24"/>
        </w:rPr>
      </w:pPr>
      <w:r>
        <w:rPr>
          <w:rFonts w:ascii="Times New Roman" w:hAnsi="Times New Roman"/>
          <w:noProof/>
          <w:sz w:val="24"/>
        </w:rPr>
        <w:t>В резолюцията на Европейския парламент от Комисията се изисква да предприеме последващи действия по един конкретен случай на предполагаем конфликт на интереси в Чешката република, както и по принцип да отнесе въпроса на вниманието на държавите членки.</w:t>
      </w:r>
    </w:p>
    <w:p>
      <w:pPr>
        <w:spacing w:before="120" w:after="120" w:line="240" w:lineRule="auto"/>
        <w:ind w:left="856"/>
        <w:jc w:val="both"/>
        <w:rPr>
          <w:rFonts w:ascii="Times New Roman" w:hAnsi="Times New Roman" w:cs="Times New Roman"/>
          <w:noProof/>
          <w:sz w:val="24"/>
          <w:szCs w:val="24"/>
        </w:rPr>
      </w:pPr>
      <w:r>
        <w:rPr>
          <w:rFonts w:ascii="Times New Roman" w:hAnsi="Times New Roman"/>
          <w:noProof/>
          <w:sz w:val="24"/>
        </w:rPr>
        <w:t>Във Финансовия регламент от 2018 г. се предвиждат по-строги правила по отношение на предотвратяването и предприемането на мерки при конфликт на интереси, които важат от 2 август 2018 г. За пръв път те се прилагат изрично и по отношение на държавите членки, които управляват средства на ЕС в рамките на споделеното управление. Чрез поредица от срещи с органите на държавите членки, проведени през 2018 г., Комисията предостави на държавите членки насоки за прилагането на тези правила. Всички държави членки следва да съобщават на Комисията какви мерки са предприели за гарантиране на спазването на новите правила</w:t>
      </w:r>
      <w:r>
        <w:rPr>
          <w:rFonts w:ascii="Times New Roman" w:hAnsi="Times New Roman"/>
          <w:noProof/>
          <w:color w:val="1F497D"/>
          <w:sz w:val="24"/>
        </w:rPr>
        <w:t xml:space="preserve">. </w:t>
      </w:r>
      <w:r>
        <w:rPr>
          <w:rFonts w:ascii="Times New Roman" w:hAnsi="Times New Roman"/>
          <w:noProof/>
          <w:sz w:val="24"/>
        </w:rPr>
        <w:t xml:space="preserve">На 10 април 2019 г. беше организирана специална конференция на тема управление на конфликти на интереси. Комисията продължава да предоставя насоки. </w:t>
      </w:r>
    </w:p>
    <w:p>
      <w:pPr>
        <w:spacing w:before="120" w:after="120" w:line="240" w:lineRule="auto"/>
        <w:ind w:left="856"/>
        <w:jc w:val="both"/>
        <w:rPr>
          <w:rFonts w:ascii="Times New Roman" w:hAnsi="Times New Roman" w:cs="Times New Roman"/>
          <w:noProof/>
          <w:sz w:val="24"/>
          <w:szCs w:val="24"/>
        </w:rPr>
      </w:pPr>
      <w:r>
        <w:rPr>
          <w:rFonts w:ascii="Times New Roman" w:hAnsi="Times New Roman"/>
          <w:noProof/>
          <w:sz w:val="24"/>
        </w:rPr>
        <w:t>Във връзка с конкретния случай в Чешката република са извършени пълни одити на прилагането на правото на Съюза и националното право. Процедурата по одит се провежда при пълно спазване на приложимите правила и крайните срокове, предвидени в съответните разпоредби. За да се защитят финансовите интереси на ЕС, като предпазна мярка до пълното изясняване на въпроса няма да се извършват съответните плащания от бюджета на ЕС по линия на европейските структурни и инвестиционни фондове. Комисията ще осведомява редовно Европейския парламент, като ще следи за спазването на изискванията за поверителност.</w:t>
      </w:r>
    </w:p>
    <w:p>
      <w:pPr>
        <w:spacing w:before="120" w:after="120" w:line="240" w:lineRule="auto"/>
        <w:jc w:val="both"/>
        <w:rPr>
          <w:rFonts w:ascii="Times New Roman" w:hAnsi="Times New Roman" w:cs="Times New Roman"/>
          <w:noProof/>
          <w:sz w:val="24"/>
          <w:szCs w:val="24"/>
        </w:rPr>
      </w:pPr>
    </w:p>
    <w:p>
      <w:pPr>
        <w:tabs>
          <w:tab w:val="left" w:pos="850"/>
        </w:tabs>
        <w:spacing w:before="360" w:after="120" w:line="240" w:lineRule="auto"/>
        <w:ind w:left="855"/>
        <w:jc w:val="both"/>
        <w:outlineLvl w:val="0"/>
        <w:rPr>
          <w:rFonts w:ascii="Times New Roman" w:eastAsia="ヒラギノ角ゴ Pro W3" w:hAnsi="Times New Roman" w:cs="Times New Roman"/>
          <w:b/>
          <w:smallCaps/>
          <w:noProof/>
          <w:color w:val="000000"/>
          <w:sz w:val="24"/>
          <w:szCs w:val="20"/>
        </w:rPr>
      </w:pPr>
      <w:r>
        <w:rPr>
          <w:rFonts w:ascii="Times New Roman" w:hAnsi="Times New Roman"/>
          <w:b/>
          <w:smallCaps/>
          <w:noProof/>
          <w:color w:val="000000"/>
          <w:sz w:val="24"/>
        </w:rPr>
        <w:t>4.3 Децентрализирани агенции</w:t>
      </w:r>
    </w:p>
    <w:p>
      <w:pPr>
        <w:spacing w:before="120" w:after="120" w:line="240" w:lineRule="auto"/>
        <w:ind w:left="851"/>
        <w:jc w:val="both"/>
        <w:rPr>
          <w:rFonts w:ascii="Times New Roman" w:eastAsia="ヒラギノ角ゴ Pro W3" w:hAnsi="Times New Roman" w:cs="Times New Roman"/>
          <w:noProof/>
          <w:color w:val="000000"/>
          <w:sz w:val="24"/>
          <w:szCs w:val="20"/>
        </w:rPr>
      </w:pPr>
      <w:r>
        <w:rPr>
          <w:rFonts w:ascii="Times New Roman" w:hAnsi="Times New Roman"/>
          <w:noProof/>
          <w:color w:val="000000"/>
          <w:sz w:val="24"/>
        </w:rPr>
        <w:t>Със своята резолюция Парламентът призовава Комисията да контролира агенциите, които работят в рамките на функция 3, и обръща внимание на слабостите в управлението на Европейската служба за подкрепа в областта на убежището.</w:t>
      </w:r>
    </w:p>
    <w:p>
      <w:pPr>
        <w:spacing w:before="120" w:after="120" w:line="240" w:lineRule="auto"/>
        <w:ind w:left="851"/>
        <w:jc w:val="both"/>
        <w:rPr>
          <w:rFonts w:ascii="Times New Roman" w:eastAsia="ヒラギノ角ゴ Pro W3" w:hAnsi="Times New Roman" w:cs="Times New Roman"/>
          <w:noProof/>
          <w:color w:val="000000"/>
          <w:sz w:val="24"/>
          <w:szCs w:val="20"/>
        </w:rPr>
      </w:pPr>
      <w:r>
        <w:rPr>
          <w:rFonts w:ascii="Times New Roman" w:hAnsi="Times New Roman"/>
          <w:noProof/>
          <w:color w:val="000000"/>
          <w:sz w:val="24"/>
        </w:rPr>
        <w:t>Комисията не носи пряка отговорност за управлението на бюджета на децентрализираните агенции. Затова решението за освобождаване от отговорност във връзка с изпълнението на бюджета се взема от Европейския парламент отделно, за да се отчете тяхната независимост като самостоятелни правни субекти. Съгласно общия подход по отношение на децентрализираните агенции обаче Комисията следи за това в своята работа агенциите да зачитат правилата и интересите на Съюза.</w:t>
      </w:r>
    </w:p>
    <w:p>
      <w:pPr>
        <w:spacing w:before="120" w:after="120"/>
        <w:ind w:left="851"/>
        <w:jc w:val="both"/>
        <w:rPr>
          <w:rFonts w:ascii="Times New Roman" w:hAnsi="Times New Roman" w:cs="Times New Roman"/>
          <w:noProof/>
          <w:color w:val="000000"/>
          <w:sz w:val="24"/>
          <w:szCs w:val="24"/>
        </w:rPr>
      </w:pPr>
      <w:r>
        <w:rPr>
          <w:rFonts w:ascii="Times New Roman" w:hAnsi="Times New Roman"/>
          <w:noProof/>
          <w:color w:val="000000"/>
          <w:sz w:val="24"/>
        </w:rPr>
        <w:t>Механизмите за извършване на това проследяване бяха укрепени чрез приетия през май 2019 г. нов Регламент за финансовата рамка. Според новите правила агенциите се задължават да прилагат ефективен вътрешен контрол въз основа на рамката за вътрешен контрол, установена от Комисията по отношение на нейните служби, да структурират системата за вътрешен контрол, така че да се намаляват специфичните рискове от дейности на служби, които се управляват извън главното седалище, да включват в програмния документ стратегията за предотвратяване на повторно възникване на проблемите, които са довели до критични</w:t>
      </w:r>
      <w:r>
        <w:rPr>
          <w:rFonts w:ascii="Times New Roman" w:hAnsi="Times New Roman"/>
          <w:noProof/>
          <w:sz w:val="24"/>
        </w:rPr>
        <w:t xml:space="preserve"> препоръки от одит, както и да докладват относно ефикасността и ефективността на системата за вътрешен контрол. Както и досега, в своя годишен отчет за дейността всяка агенция следва да докладва относно </w:t>
      </w:r>
      <w:r>
        <w:rPr>
          <w:rFonts w:ascii="Times New Roman" w:hAnsi="Times New Roman"/>
          <w:noProof/>
          <w:color w:val="000000"/>
          <w:sz w:val="24"/>
        </w:rPr>
        <w:t>последващите мерки, предприети вследствие на препоръките от вътрешния/външния одит, както и да осведомява управителния съвет, в който Комисията е представена.</w:t>
      </w:r>
    </w:p>
    <w:p>
      <w:pPr>
        <w:spacing w:before="120" w:after="120" w:line="240" w:lineRule="auto"/>
        <w:ind w:left="851"/>
        <w:jc w:val="both"/>
        <w:rPr>
          <w:rFonts w:ascii="Times New Roman" w:eastAsia="ヒラギノ角ゴ Pro W3" w:hAnsi="Times New Roman" w:cs="Times New Roman"/>
          <w:noProof/>
          <w:color w:val="000000"/>
          <w:sz w:val="24"/>
          <w:szCs w:val="20"/>
        </w:rPr>
      </w:pPr>
    </w:p>
    <w:p>
      <w:pPr>
        <w:spacing w:before="120" w:after="120" w:line="240" w:lineRule="auto"/>
        <w:ind w:left="851"/>
        <w:jc w:val="both"/>
        <w:rPr>
          <w:rFonts w:ascii="Times New Roman" w:eastAsia="ヒラギノ角ゴ Pro W3" w:hAnsi="Times New Roman" w:cs="Times New Roman"/>
          <w:noProof/>
          <w:color w:val="000000"/>
          <w:sz w:val="24"/>
          <w:szCs w:val="20"/>
        </w:rPr>
      </w:pPr>
      <w:r>
        <w:rPr>
          <w:rFonts w:ascii="Times New Roman" w:hAnsi="Times New Roman"/>
          <w:noProof/>
          <w:color w:val="000000"/>
          <w:sz w:val="24"/>
        </w:rPr>
        <w:t>Сред останалите мерки са задължението агенциите незабавно да уведомят управителния съвет за финансови нередности и измами, установени от Европейската сметна палата, Службата за вътрешен одит и Европейската служба за борба с измамите (OLAF). Комисията има право да получи цялата необходима информация, свързана с бюджета.</w:t>
      </w:r>
    </w:p>
    <w:p>
      <w:pPr>
        <w:spacing w:before="120" w:after="120" w:line="240" w:lineRule="auto"/>
        <w:ind w:left="851"/>
        <w:jc w:val="both"/>
        <w:rPr>
          <w:rFonts w:ascii="Times New Roman" w:eastAsia="ヒラギノ角ゴ Pro W3" w:hAnsi="Times New Roman" w:cs="Times New Roman"/>
          <w:noProof/>
          <w:color w:val="000000"/>
          <w:sz w:val="24"/>
          <w:szCs w:val="20"/>
        </w:rPr>
      </w:pPr>
      <w:r>
        <w:rPr>
          <w:rFonts w:ascii="Times New Roman" w:hAnsi="Times New Roman"/>
          <w:noProof/>
          <w:color w:val="000000"/>
          <w:sz w:val="24"/>
        </w:rPr>
        <w:t>Що се отнася до управлението на Европейската служба за подкрепа в областта на убежището, Комисията винаги се е отнасяла и продължава да се отнася много сериозно към ситуацията.</w:t>
      </w:r>
    </w:p>
    <w:p>
      <w:pPr>
        <w:spacing w:before="120" w:after="120" w:line="240" w:lineRule="auto"/>
        <w:ind w:left="851"/>
        <w:jc w:val="both"/>
        <w:rPr>
          <w:rFonts w:ascii="Times New Roman" w:eastAsia="ヒラギノ角ゴ Pro W3" w:hAnsi="Times New Roman" w:cs="Times New Roman"/>
          <w:noProof/>
          <w:color w:val="000000"/>
          <w:sz w:val="24"/>
          <w:szCs w:val="20"/>
        </w:rPr>
      </w:pPr>
      <w:r>
        <w:rPr>
          <w:rFonts w:ascii="Times New Roman" w:hAnsi="Times New Roman"/>
          <w:noProof/>
          <w:color w:val="000000"/>
          <w:sz w:val="24"/>
        </w:rPr>
        <w:t xml:space="preserve">През 2018 г. Европейската служба за подкрепа в областта на убежището изготви и понастоящем активно прилага план за действие за отстраняване на слабостите в своите системи за управление и контрол, като редовно докладва на Европейския парламент по този въпрос. </w:t>
      </w:r>
    </w:p>
    <w:p>
      <w:pPr>
        <w:spacing w:before="120" w:after="120" w:line="240" w:lineRule="auto"/>
        <w:ind w:left="851"/>
        <w:jc w:val="both"/>
        <w:rPr>
          <w:rFonts w:ascii="Times New Roman" w:eastAsia="ヒラギノ角ゴ Pro W3" w:hAnsi="Times New Roman" w:cs="Times New Roman"/>
          <w:noProof/>
          <w:color w:val="000000"/>
          <w:sz w:val="24"/>
          <w:szCs w:val="20"/>
        </w:rPr>
      </w:pPr>
      <w:r>
        <w:rPr>
          <w:rFonts w:ascii="Times New Roman" w:hAnsi="Times New Roman"/>
          <w:noProof/>
          <w:color w:val="000000"/>
          <w:sz w:val="24"/>
        </w:rPr>
        <w:t>Комисията подкрепя Европейската служба за подкрепа в областта на убежището, като предлага консултации и експертни становища по предприетите действия (най-вече по проблеми, свързани с обществените поръчки, бюджета и назначенията).</w:t>
      </w:r>
    </w:p>
    <w:p>
      <w:pPr>
        <w:spacing w:before="120" w:after="120" w:line="240" w:lineRule="auto"/>
        <w:ind w:left="851"/>
        <w:jc w:val="both"/>
        <w:rPr>
          <w:rFonts w:ascii="Times New Roman" w:eastAsia="ヒラギノ角ゴ Pro W3" w:hAnsi="Times New Roman" w:cs="Times New Roman"/>
          <w:noProof/>
          <w:color w:val="000000"/>
          <w:sz w:val="24"/>
          <w:szCs w:val="20"/>
        </w:rPr>
      </w:pPr>
      <w:r>
        <w:rPr>
          <w:rFonts w:ascii="Times New Roman" w:hAnsi="Times New Roman"/>
          <w:noProof/>
          <w:color w:val="000000"/>
          <w:sz w:val="24"/>
        </w:rPr>
        <w:t>Парламентът приветства плана за действие и предприетите от службата мерки.</w:t>
      </w:r>
    </w:p>
    <w:p>
      <w:pPr>
        <w:spacing w:before="120" w:after="120" w:line="240" w:lineRule="auto"/>
        <w:ind w:left="851"/>
        <w:jc w:val="both"/>
        <w:rPr>
          <w:rFonts w:ascii="Times New Roman" w:eastAsia="ヒラギノ角ゴ Pro W3" w:hAnsi="Times New Roman" w:cs="Times New Roman"/>
          <w:noProof/>
          <w:color w:val="000000"/>
          <w:sz w:val="24"/>
          <w:szCs w:val="20"/>
        </w:rPr>
      </w:pPr>
      <w:r>
        <w:rPr>
          <w:rFonts w:ascii="Times New Roman" w:hAnsi="Times New Roman"/>
          <w:noProof/>
          <w:color w:val="000000"/>
          <w:sz w:val="24"/>
        </w:rPr>
        <w:t>Представителят на Комисията в управителния съвет на агенцията ще продължи да следи изпълнението на плана за действие с цел отстраняване на досегашните недостатъци и предприемане на всички евентуално необходими допълнителни мерки.</w:t>
      </w:r>
    </w:p>
    <w:p>
      <w:pPr>
        <w:spacing w:before="120" w:after="120" w:line="240" w:lineRule="auto"/>
        <w:ind w:left="850"/>
        <w:jc w:val="both"/>
        <w:rPr>
          <w:rFonts w:ascii="Times New Roman" w:eastAsia="ヒラギノ角ゴ Pro W3" w:hAnsi="Times New Roman" w:cs="Times New Roman"/>
          <w:b/>
          <w:smallCaps/>
          <w:noProof/>
          <w:color w:val="000000"/>
          <w:sz w:val="24"/>
          <w:szCs w:val="20"/>
        </w:rPr>
      </w:pPr>
    </w:p>
    <w:p>
      <w:pPr>
        <w:spacing w:before="120" w:after="120" w:line="240" w:lineRule="auto"/>
        <w:ind w:left="850"/>
        <w:jc w:val="both"/>
        <w:rPr>
          <w:rFonts w:ascii="Times New Roman" w:eastAsia="ヒラギノ角ゴ Pro W3" w:hAnsi="Times New Roman" w:cs="Times New Roman"/>
          <w:b/>
          <w:smallCaps/>
          <w:noProof/>
          <w:color w:val="000000"/>
          <w:sz w:val="24"/>
          <w:szCs w:val="20"/>
        </w:rPr>
      </w:pPr>
      <w:r>
        <w:rPr>
          <w:rFonts w:ascii="Times New Roman" w:hAnsi="Times New Roman"/>
          <w:b/>
          <w:smallCaps/>
          <w:noProof/>
          <w:color w:val="000000"/>
          <w:sz w:val="24"/>
        </w:rPr>
        <w:t>4.4 Европейски фонд за стратегически инвестиции (ЕФСИ)</w:t>
      </w:r>
    </w:p>
    <w:p>
      <w:pPr>
        <w:spacing w:before="120" w:after="120" w:line="240" w:lineRule="auto"/>
        <w:ind w:left="850"/>
        <w:jc w:val="both"/>
        <w:rPr>
          <w:rFonts w:ascii="Times New Roman" w:eastAsia="ヒラギノ角ゴ Pro W3" w:hAnsi="Times New Roman" w:cs="Times New Roman"/>
          <w:noProof/>
          <w:color w:val="000000"/>
          <w:sz w:val="24"/>
          <w:szCs w:val="20"/>
        </w:rPr>
      </w:pPr>
      <w:r>
        <w:rPr>
          <w:rFonts w:ascii="Times New Roman" w:hAnsi="Times New Roman"/>
          <w:noProof/>
          <w:color w:val="000000"/>
          <w:sz w:val="24"/>
        </w:rPr>
        <w:t xml:space="preserve">Европейският парламент призовава Комисията да следи дали управителните органи на ЕФСИ спазват добър географски баланс при подписването на споразумения за заеми и съответно да докладва на Парламент за постигнатия напредък. </w:t>
      </w:r>
    </w:p>
    <w:p>
      <w:pPr>
        <w:spacing w:before="120" w:after="120" w:line="240" w:lineRule="auto"/>
        <w:ind w:left="850"/>
        <w:jc w:val="both"/>
        <w:rPr>
          <w:rFonts w:ascii="Times New Roman" w:eastAsia="ヒラギノ角ゴ Pro W3" w:hAnsi="Times New Roman" w:cs="Times New Roman"/>
          <w:noProof/>
          <w:color w:val="000000"/>
          <w:sz w:val="24"/>
          <w:szCs w:val="20"/>
        </w:rPr>
      </w:pPr>
      <w:r>
        <w:rPr>
          <w:rFonts w:ascii="Times New Roman" w:hAnsi="Times New Roman"/>
          <w:noProof/>
          <w:color w:val="000000"/>
          <w:sz w:val="24"/>
        </w:rPr>
        <w:t>ЕФСИ е ориентиран към търсенето, но според инвестиционните насоки на фонда трябва да се положат максимални усилия, за да се гарантира, че в края на инвестиционния период са обхванати широк спектър от региони, като се избягва прекомерна географска концентрация. Комисията и Европейската инвестиционна банка са приложили няколко мерки за осигуряване на добър географски баланс. Тези мерки са изготвени въз основа на изменения регламент за ЕФСИ (ЕФСИ 2.0). Някои от тях включват:  </w:t>
      </w:r>
    </w:p>
    <w:p>
      <w:pPr>
        <w:pStyle w:val="ListParagraph"/>
        <w:numPr>
          <w:ilvl w:val="0"/>
          <w:numId w:val="6"/>
        </w:numPr>
        <w:spacing w:before="120" w:after="12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По-целенасочена работа на терен чрез засилено сътрудничество с националните насърчителни банки или институции, включително чрез създаване на инвестиционни платформи и модели за засилено сътрудничество (напр. платформа на Европейския инвестиционен фонд за собствен капитал на националните насърчителни институции).</w:t>
      </w:r>
    </w:p>
    <w:p>
      <w:pPr>
        <w:pStyle w:val="ListParagraph"/>
        <w:numPr>
          <w:ilvl w:val="0"/>
          <w:numId w:val="6"/>
        </w:numPr>
        <w:spacing w:before="120" w:after="120" w:line="240" w:lineRule="auto"/>
        <w:jc w:val="both"/>
        <w:rPr>
          <w:rFonts w:ascii="Times New Roman" w:eastAsia="ヒラギノ角ゴ Pro W3" w:hAnsi="Times New Roman" w:cs="Times New Roman"/>
          <w:noProof/>
          <w:color w:val="000000"/>
          <w:sz w:val="24"/>
          <w:szCs w:val="20"/>
        </w:rPr>
      </w:pPr>
      <w:r>
        <w:rPr>
          <w:rFonts w:ascii="Times New Roman" w:hAnsi="Times New Roman"/>
          <w:noProof/>
          <w:color w:val="000000"/>
          <w:sz w:val="24"/>
        </w:rPr>
        <w:t xml:space="preserve">Улесняване на съчетаването на европейските структурни и инвестиционни фондове и ЕФСИ. </w:t>
      </w:r>
    </w:p>
    <w:p>
      <w:pPr>
        <w:pStyle w:val="ListParagraph"/>
        <w:numPr>
          <w:ilvl w:val="0"/>
          <w:numId w:val="6"/>
        </w:numPr>
        <w:spacing w:before="120" w:after="120" w:line="240" w:lineRule="auto"/>
        <w:jc w:val="both"/>
        <w:rPr>
          <w:rFonts w:ascii="Times New Roman" w:eastAsia="ヒラギノ角ゴ Pro W3" w:hAnsi="Times New Roman" w:cs="Times New Roman"/>
          <w:noProof/>
          <w:color w:val="000000"/>
          <w:sz w:val="24"/>
          <w:szCs w:val="20"/>
        </w:rPr>
      </w:pPr>
      <w:r>
        <w:rPr>
          <w:rFonts w:ascii="Times New Roman" w:hAnsi="Times New Roman"/>
          <w:noProof/>
          <w:color w:val="000000"/>
          <w:sz w:val="24"/>
        </w:rPr>
        <w:t>Засилване на ролята на консултантския център при улесняването на изготвянето и разработването на проекти, и по-конкретно в по-слабо развитите региони и регионите в преход.</w:t>
      </w:r>
    </w:p>
    <w:p>
      <w:pPr>
        <w:spacing w:before="120" w:after="120" w:line="240" w:lineRule="auto"/>
        <w:ind w:left="850"/>
        <w:jc w:val="both"/>
        <w:rPr>
          <w:rFonts w:eastAsia="Calibri"/>
          <w:noProof/>
          <w:szCs w:val="24"/>
        </w:rPr>
      </w:pPr>
      <w:r>
        <w:rPr>
          <w:rFonts w:ascii="Times New Roman" w:hAnsi="Times New Roman"/>
          <w:noProof/>
          <w:color w:val="000000"/>
          <w:sz w:val="24"/>
        </w:rPr>
        <w:t xml:space="preserve">Наред с това Комисията, Европейската инвестиционна банка и управителният съвет на ЕФСИ редовно следят географското разпределение на подкрепените от ЕФСИ инвестиции. За да се увеличи прозрачността и отчетността, </w:t>
      </w:r>
      <w:hyperlink r:id="rId16">
        <w:r>
          <w:rPr>
            <w:rFonts w:ascii="Times New Roman" w:hAnsi="Times New Roman"/>
            <w:noProof/>
            <w:color w:val="000000"/>
            <w:sz w:val="24"/>
          </w:rPr>
          <w:t>в месечните публични доклади във връзка с операциите, провеждани с подкрепата на ЕФСИ,</w:t>
        </w:r>
      </w:hyperlink>
      <w:r>
        <w:rPr>
          <w:rFonts w:ascii="Times New Roman" w:hAnsi="Times New Roman"/>
          <w:noProof/>
          <w:color w:val="000000"/>
          <w:sz w:val="24"/>
        </w:rPr>
        <w:t xml:space="preserve"> и в </w:t>
      </w:r>
      <w:hyperlink r:id="rId17">
        <w:r>
          <w:rPr>
            <w:rFonts w:ascii="Times New Roman" w:hAnsi="Times New Roman"/>
            <w:noProof/>
            <w:color w:val="000000"/>
            <w:sz w:val="24"/>
          </w:rPr>
          <w:t>годишните доклади за изпълнението на ЕФСИ</w:t>
        </w:r>
      </w:hyperlink>
      <w:r>
        <w:rPr>
          <w:rFonts w:ascii="Times New Roman" w:hAnsi="Times New Roman"/>
          <w:noProof/>
          <w:color w:val="000000"/>
          <w:sz w:val="24"/>
        </w:rPr>
        <w:t xml:space="preserve"> фигурира информация за географското разпределение</w:t>
      </w:r>
      <w:r>
        <w:rPr>
          <w:noProof/>
        </w:rPr>
        <w:t>.</w:t>
      </w:r>
    </w:p>
    <w:p>
      <w:pPr>
        <w:tabs>
          <w:tab w:val="left" w:pos="850"/>
        </w:tabs>
        <w:spacing w:before="360" w:after="120" w:line="240" w:lineRule="auto"/>
        <w:ind w:left="850" w:hanging="850"/>
        <w:jc w:val="both"/>
        <w:outlineLvl w:val="0"/>
        <w:rPr>
          <w:rFonts w:ascii="Times New Roman" w:eastAsia="ヒラギノ角ゴ Pro W3" w:hAnsi="Times New Roman" w:cs="Times New Roman"/>
          <w:b/>
          <w:smallCaps/>
          <w:noProof/>
          <w:color w:val="000000"/>
          <w:sz w:val="24"/>
          <w:szCs w:val="20"/>
        </w:rPr>
      </w:pPr>
      <w:r>
        <w:rPr>
          <w:noProof/>
        </w:rPr>
        <w:tab/>
      </w:r>
      <w:r>
        <w:rPr>
          <w:rFonts w:ascii="Times New Roman" w:hAnsi="Times New Roman"/>
          <w:b/>
          <w:smallCaps/>
          <w:noProof/>
          <w:color w:val="000000"/>
          <w:sz w:val="24"/>
        </w:rPr>
        <w:t>4.5 Назначаване на високопоставени длъжностни лица в институциите на ЕС</w:t>
      </w:r>
    </w:p>
    <w:p>
      <w:pPr>
        <w:spacing w:before="120" w:after="120" w:line="240" w:lineRule="auto"/>
        <w:ind w:left="850"/>
        <w:jc w:val="both"/>
        <w:rPr>
          <w:rFonts w:ascii="Times New Roman" w:eastAsia="ヒラギノ角ゴ Pro W3" w:hAnsi="Times New Roman" w:cs="Times New Roman"/>
          <w:noProof/>
          <w:color w:val="000000"/>
          <w:sz w:val="24"/>
          <w:szCs w:val="20"/>
        </w:rPr>
      </w:pPr>
      <w:r>
        <w:rPr>
          <w:rFonts w:ascii="Times New Roman" w:hAnsi="Times New Roman"/>
          <w:noProof/>
          <w:color w:val="000000"/>
          <w:sz w:val="24"/>
        </w:rPr>
        <w:t>Европейският парламент призовава Комисията и други институции на ЕС, където е целесъобразно, да анализират процедурите за назначаване и при провеждането им да предприемат допълнителни мерки за подобряване на прозрачността, справедливостта и равните възможности. Ползотворна беше междуинституционалната кръгла маса, организирана през септември 2018 г. На нея представителите на институциите на политически или висши ръководни длъжности имаха възможност да споделят информация за това как провеждат своите процедури. На кръглата маса се потвърди, че различните институции прилагат правилата добре и целесъобразно, както и че има редица общи най-добри практики. Всички институции имат една и съща цел — да подбират, назначават и стимулират талантливи хора въз основа на техните умения, квалификации и опит. Комисията ще предприеме подходящи последващи действия, като същевременно подчертава, че като всички институции и тя действа независимо в рамките на поверените ѝ чрез Договорите правомощия и приложимото законодателство. Това включва правото да взема решения във връзка с вътрешната си организация, правилника за дейността и упражняването на своите правомощия на орган по назначаването съгласно Правилника за персонала.</w:t>
      </w:r>
    </w:p>
    <w:p>
      <w:pPr>
        <w:spacing w:before="120" w:after="120" w:line="240" w:lineRule="auto"/>
        <w:ind w:left="850"/>
        <w:jc w:val="both"/>
        <w:rPr>
          <w:rFonts w:ascii="Times New Roman" w:eastAsia="ヒラギノ角ゴ Pro W3" w:hAnsi="Times New Roman" w:cs="Times New Roman"/>
          <w:noProof/>
          <w:color w:val="000000"/>
          <w:sz w:val="24"/>
          <w:szCs w:val="20"/>
        </w:rPr>
      </w:pPr>
    </w:p>
    <w:p>
      <w:pPr>
        <w:tabs>
          <w:tab w:val="left" w:pos="850"/>
        </w:tabs>
        <w:spacing w:before="360" w:after="120" w:line="240" w:lineRule="auto"/>
        <w:ind w:left="850" w:hanging="850"/>
        <w:jc w:val="both"/>
        <w:outlineLvl w:val="0"/>
        <w:rPr>
          <w:rFonts w:ascii="Times New Roman" w:eastAsia="ヒラギノ角ゴ Pro W3" w:hAnsi="Times New Roman" w:cs="Times New Roman"/>
          <w:b/>
          <w:smallCaps/>
          <w:noProof/>
          <w:color w:val="000000"/>
          <w:sz w:val="24"/>
          <w:szCs w:val="20"/>
        </w:rPr>
      </w:pPr>
      <w:r>
        <w:rPr>
          <w:rFonts w:ascii="Times New Roman" w:hAnsi="Times New Roman"/>
          <w:b/>
          <w:smallCaps/>
          <w:noProof/>
          <w:color w:val="000000"/>
          <w:sz w:val="24"/>
        </w:rPr>
        <w:t>5.</w:t>
      </w:r>
      <w:r>
        <w:rPr>
          <w:noProof/>
        </w:rPr>
        <w:tab/>
      </w:r>
      <w:r>
        <w:rPr>
          <w:rFonts w:ascii="Times New Roman" w:hAnsi="Times New Roman"/>
          <w:b/>
          <w:smallCaps/>
          <w:noProof/>
          <w:color w:val="000000"/>
          <w:sz w:val="24"/>
        </w:rPr>
        <w:t>Заключение</w:t>
      </w:r>
    </w:p>
    <w:p>
      <w:pPr>
        <w:spacing w:before="120" w:after="120" w:line="240" w:lineRule="auto"/>
        <w:ind w:left="850"/>
        <w:jc w:val="both"/>
        <w:rPr>
          <w:rFonts w:ascii="Times New Roman" w:eastAsia="ヒラギノ角ゴ Pro W3" w:hAnsi="Times New Roman" w:cs="Times New Roman"/>
          <w:noProof/>
          <w:color w:val="000000"/>
          <w:sz w:val="24"/>
          <w:szCs w:val="20"/>
        </w:rPr>
      </w:pPr>
      <w:r>
        <w:rPr>
          <w:rFonts w:ascii="Times New Roman" w:hAnsi="Times New Roman"/>
          <w:noProof/>
          <w:color w:val="000000"/>
          <w:sz w:val="24"/>
        </w:rPr>
        <w:t>Комисията отчита, че процедурата по освобождаване от отговорност във връзка с изпълнението на бюджета като механизъм за отчетност е от огромно значение за доброто финансово управление на средствата на ЕС.</w:t>
      </w:r>
    </w:p>
    <w:p>
      <w:pPr>
        <w:spacing w:before="120" w:after="120" w:line="240" w:lineRule="auto"/>
        <w:ind w:left="850"/>
        <w:jc w:val="both"/>
        <w:rPr>
          <w:rFonts w:ascii="Times New Roman" w:eastAsia="ヒラギノ角ゴ Pro W3" w:hAnsi="Times New Roman" w:cs="Times New Roman"/>
          <w:noProof/>
          <w:color w:val="000000"/>
          <w:sz w:val="24"/>
          <w:szCs w:val="20"/>
        </w:rPr>
      </w:pPr>
      <w:r>
        <w:rPr>
          <w:rFonts w:ascii="Times New Roman" w:hAnsi="Times New Roman"/>
          <w:noProof/>
          <w:color w:val="000000"/>
          <w:sz w:val="24"/>
        </w:rPr>
        <w:t xml:space="preserve">Комисията ще положи всички усилия, за да допринесе за трайното и градивно сътрудничество с Европейския парламент, Съвета и Европейската сметна палата във връзка с управлението на средствата на ЕС. </w:t>
      </w:r>
    </w:p>
    <w:p>
      <w:pPr>
        <w:spacing w:before="120" w:after="120" w:line="240" w:lineRule="auto"/>
        <w:ind w:left="850"/>
        <w:jc w:val="both"/>
        <w:rPr>
          <w:rFonts w:ascii="Times New Roman" w:eastAsia="ヒラギノ角ゴ Pro W3" w:hAnsi="Times New Roman" w:cs="Times New Roman"/>
          <w:noProof/>
          <w:color w:val="000000"/>
          <w:sz w:val="24"/>
          <w:szCs w:val="20"/>
        </w:rPr>
      </w:pPr>
      <w:r>
        <w:rPr>
          <w:rFonts w:ascii="Times New Roman" w:hAnsi="Times New Roman"/>
          <w:noProof/>
          <w:color w:val="000000"/>
          <w:sz w:val="24"/>
        </w:rPr>
        <w:t>Тя е решена да изпълни главните препоръки и искания, оправени в хода на процедурата по освобождаване от отговорност. Някои от тях вече са изцяло изпълнени, а други са в ход на изпълнение.</w:t>
      </w:r>
    </w:p>
    <w:p>
      <w:pPr>
        <w:spacing w:before="120" w:after="120" w:line="240" w:lineRule="auto"/>
        <w:ind w:left="850"/>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Следващата многогодишна финансова рамка предоставя важна възможност за отразяване на извлечените поуки, както и наред с другото — за допълнително опростяване на правилата и подобряване на общата рамка на изпълнението. От решаващо значение за навременния старт на изпълнението на политиките на ЕС ще бъде през есента на 2019 г. да се постигне съгласие по отношение на многогодишната финансова рамка за периода 2021—2027 г.</w:t>
      </w:r>
    </w:p>
    <w:p>
      <w:pPr>
        <w:spacing w:before="120" w:after="120" w:line="240" w:lineRule="auto"/>
        <w:ind w:left="850"/>
        <w:jc w:val="both"/>
        <w:rPr>
          <w:rFonts w:ascii="Times New Roman" w:eastAsia="ヒラギノ角ゴ Pro W3" w:hAnsi="Times New Roman" w:cs="Times New Roman"/>
          <w:noProof/>
          <w:color w:val="000000"/>
          <w:sz w:val="24"/>
          <w:szCs w:val="24"/>
        </w:rPr>
      </w:pPr>
    </w:p>
    <w:p>
      <w:pPr>
        <w:spacing w:before="120" w:after="120" w:line="240" w:lineRule="auto"/>
        <w:jc w:val="center"/>
        <w:rPr>
          <w:rFonts w:ascii="Times New Roman" w:eastAsia="Times New Roman" w:hAnsi="Times New Roman" w:cs="Times New Roman"/>
          <w:noProof/>
          <w:sz w:val="20"/>
          <w:szCs w:val="24"/>
        </w:rPr>
      </w:pPr>
      <w:r>
        <w:rPr>
          <w:rFonts w:ascii="Times New Roman" w:hAnsi="Times New Roman"/>
          <w:noProof/>
          <w:color w:val="000000"/>
          <w:sz w:val="24"/>
        </w:rPr>
        <w:t>* * *</w:t>
      </w:r>
      <w:bookmarkStart w:id="2" w:name="CopyToNewDocument_"/>
      <w:bookmarkEnd w:id="2"/>
    </w:p>
    <w:p>
      <w:pPr>
        <w:rPr>
          <w:noProof/>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ヒラギノ角ゴ Pro W3">
    <w:altName w:val="Times New Roman"/>
    <w:charset w:val="00"/>
    <w:family w:val="roman"/>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1"/>
      <w:tabs>
        <w:tab w:val="clear" w:pos="9921"/>
        <w:tab w:val="right" w:pos="9612"/>
      </w:tabs>
      <w:rPr>
        <w:rFonts w:eastAsia="Times New Roman"/>
        <w:color w:val="auto"/>
        <w:sz w:val="20"/>
        <w:lang w:val="en-GB"/>
      </w:rPr>
    </w:pPr>
    <w:r>
      <w:rPr>
        <w:rFonts w:ascii="Arial" w:hAnsi="Arial"/>
        <w:b/>
        <w:sz w:val="48"/>
        <w:lang w:val="en-GB"/>
      </w:rPr>
      <w:t>BG</w:t>
    </w:r>
    <w:r>
      <w:tab/>
    </w:r>
    <w:r>
      <w:fldChar w:fldCharType="begin"/>
    </w:r>
    <w:r>
      <w:instrText xml:space="preserve"> PAGE </w:instrText>
    </w:r>
    <w:r>
      <w:fldChar w:fldCharType="separate"/>
    </w:r>
    <w:r>
      <w:rPr>
        <w:noProof/>
      </w:rPr>
      <w:t>1</w:t>
    </w:r>
    <w:r>
      <w:fldChar w:fldCharType="end"/>
    </w:r>
    <w:r>
      <w:tab/>
      <w:t xml:space="preserve"> </w:t>
    </w:r>
    <w:r>
      <w:tab/>
    </w:r>
    <w:r>
      <w:rPr>
        <w:rFonts w:ascii="Arial" w:hAnsi="Arial"/>
        <w:b/>
        <w:sz w:val="48"/>
        <w:lang w:val="en-GB"/>
      </w:rPr>
      <w:t>BG</w:t>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F0725"/>
    <w:multiLevelType w:val="multilevel"/>
    <w:tmpl w:val="875C4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E525364"/>
    <w:multiLevelType w:val="multilevel"/>
    <w:tmpl w:val="CB506C84"/>
    <w:numStyleLink w:val="Estiloimportado2"/>
  </w:abstractNum>
  <w:abstractNum w:abstractNumId="2">
    <w:nsid w:val="564A273E"/>
    <w:multiLevelType w:val="multilevel"/>
    <w:tmpl w:val="802A4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CBD6A2E"/>
    <w:multiLevelType w:val="multilevel"/>
    <w:tmpl w:val="CB506C84"/>
    <w:styleLink w:val="Estiloimportado2"/>
    <w:lvl w:ilvl="0">
      <w:start w:val="1"/>
      <w:numFmt w:val="decimal"/>
      <w:lvlText w:val="%1."/>
      <w:lvlJc w:val="left"/>
      <w:pPr>
        <w:ind w:left="7092" w:hanging="85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855" w:hanging="85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55" w:hanging="85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5" w:hanging="85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855" w:hanging="85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855" w:hanging="85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855" w:hanging="85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855" w:hanging="85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855" w:hanging="85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731F2A95"/>
    <w:multiLevelType w:val="hybridMultilevel"/>
    <w:tmpl w:val="D0200A80"/>
    <w:lvl w:ilvl="0" w:tplc="488A5718">
      <w:numFmt w:val="bullet"/>
      <w:lvlText w:val="-"/>
      <w:lvlJc w:val="left"/>
      <w:pPr>
        <w:ind w:left="1210" w:hanging="360"/>
      </w:pPr>
      <w:rPr>
        <w:rFonts w:ascii="Times New Roman" w:eastAsia="ヒラギノ角ゴ Pro W3" w:hAnsi="Times New Roman" w:cs="Times New Roman"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5">
    <w:nsid w:val="7FA24F72"/>
    <w:multiLevelType w:val="hybridMultilevel"/>
    <w:tmpl w:val="369C5F8A"/>
    <w:lvl w:ilvl="0" w:tplc="54C4556C">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0FDE509-47F1-4E2E-942F-A61449811E3E"/>
    <w:docVar w:name="LW_COVERPAGE_TYPE" w:val="1"/>
    <w:docVar w:name="LW_CROSSREFERENCE" w:val="&lt;UNUSED&gt;"/>
    <w:docVar w:name="LW_DocType" w:val="NORMAL"/>
    <w:docVar w:name="LW_EMISSION" w:val="2.7.2019"/>
    <w:docVar w:name="LW_EMISSION_ISODATE" w:val="2019-07-02"/>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33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86?\u1090?\u1085?\u1086?\u1089?\u1085?\u1086? \u1087?\u1086?\u1089?\u1083?\u1077?\u1076?\u1074?\u1072?\u1097?\u1080?\u1090?\u1077? \u1076?\u1077?\u1081?\u1089?\u1090?\u1074?\u1080?\u1103?, \u1089?\u1074?\u1098?\u1088?\u1079?\u1072?\u1085?\u1080? \u1089? \u1086?\u1089?\u1074?\u1086?\u1073?\u1086?\u1078?\u1076?\u1072?\u1074?\u1072?\u1085?\u1077?\u1090?\u1086? \u1086?\u1090? \u1086?\u1090?\u1075?\u1086?\u1074?\u1086?\u1088?\u1085?\u1086?\u1089?\u1090? \u1074?\u1098?\u1074? \u1074?\u1088?\u1098?\u1079?\u1082?\u1072? \u1089? \u1080?\u1079?\u1087?\u1098?\u1083?\u1085?\u1077?\u1085?\u1080?\u1077?\u1090?\u1086? \u1085?\u1072? \u1073?\u1102?\u1076?\u1078?\u1077?\u1090?\u1072? \u1079?\u1072? \u1092?\u1080?\u1085?\u1072?\u1085?\u1089?\u1086?\u1074?\u1072?\u1090?\u1072? 2017 \u1075?\u1086?\u1076?\u1080?\u1085?\u1072? (\u1054?\u1073?\u1086?\u1073?\u1097?\u1077?\u1085?\u1080?\u1077?)"/>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numbering" w:customStyle="1" w:styleId="Estiloimportado2">
    <w:name w:val="Estilo importado 2"/>
    <w:pPr>
      <w:numPr>
        <w:numId w:val="1"/>
      </w:numPr>
    </w:pPr>
  </w:style>
  <w:style w:type="paragraph" w:styleId="ListParagraph">
    <w:name w:val="List Paragraph"/>
    <w:aliases w:val="Table of contents numbered,List Paragraph in table"/>
    <w:basedOn w:val="Normal"/>
    <w:link w:val="ListParagraphChar"/>
    <w:uiPriority w:val="34"/>
    <w:qFormat/>
    <w:pPr>
      <w:spacing w:after="200" w:line="276" w:lineRule="auto"/>
      <w:ind w:left="720"/>
      <w:contextualSpacing/>
    </w:pPr>
  </w:style>
  <w:style w:type="paragraph" w:customStyle="1" w:styleId="Corpo">
    <w:name w:val="Corpo"/>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character" w:customStyle="1" w:styleId="ListParagraphChar">
    <w:name w:val="List Paragraph Char"/>
    <w:aliases w:val="Table of contents numbered Char,List Paragraph in table Char"/>
    <w:link w:val="ListParagraph"/>
    <w:uiPriority w:val="34"/>
    <w:locked/>
  </w:style>
  <w:style w:type="character" w:customStyle="1" w:styleId="NoSpacingChar">
    <w:name w:val="No Spacing Char"/>
    <w:basedOn w:val="DefaultParagraphFont"/>
    <w:link w:val="NoSpacing"/>
    <w:uiPriority w:val="1"/>
    <w:locked/>
    <w:rPr>
      <w:rFonts w:ascii="Calibri" w:hAnsi="Calibri" w:cs="Calibri"/>
      <w:lang w:eastAsia="bg-BG"/>
    </w:rPr>
  </w:style>
  <w:style w:type="paragraph" w:styleId="NoSpacing">
    <w:name w:val="No Spacing"/>
    <w:basedOn w:val="Normal"/>
    <w:link w:val="NoSpacingChar"/>
    <w:uiPriority w:val="1"/>
    <w:qFormat/>
    <w:pPr>
      <w:spacing w:after="0" w:line="240" w:lineRule="auto"/>
    </w:pPr>
    <w:rPr>
      <w:rFonts w:ascii="Calibri" w:hAnsi="Calibri" w:cs="Calibri"/>
    </w:rPr>
  </w:style>
  <w:style w:type="paragraph" w:customStyle="1" w:styleId="Footer1">
    <w:name w:val="Footer1"/>
    <w:pPr>
      <w:tabs>
        <w:tab w:val="center" w:pos="4535"/>
        <w:tab w:val="right" w:pos="9071"/>
        <w:tab w:val="right" w:pos="9921"/>
      </w:tabs>
      <w:spacing w:before="360" w:after="0" w:line="240" w:lineRule="auto"/>
    </w:pPr>
    <w:rPr>
      <w:rFonts w:ascii="Times New Roman" w:eastAsia="ヒラギノ角ゴ Pro W3" w:hAnsi="Times New Roman" w:cs="Times New Roman"/>
      <w:color w:val="000000"/>
      <w:sz w:val="24"/>
      <w:szCs w:val="20"/>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numbering" w:customStyle="1" w:styleId="Estiloimportado2">
    <w:name w:val="Estilo importado 2"/>
    <w:pPr>
      <w:numPr>
        <w:numId w:val="1"/>
      </w:numPr>
    </w:pPr>
  </w:style>
  <w:style w:type="paragraph" w:styleId="ListParagraph">
    <w:name w:val="List Paragraph"/>
    <w:aliases w:val="Table of contents numbered,List Paragraph in table"/>
    <w:basedOn w:val="Normal"/>
    <w:link w:val="ListParagraphChar"/>
    <w:uiPriority w:val="34"/>
    <w:qFormat/>
    <w:pPr>
      <w:spacing w:after="200" w:line="276" w:lineRule="auto"/>
      <w:ind w:left="720"/>
      <w:contextualSpacing/>
    </w:pPr>
  </w:style>
  <w:style w:type="paragraph" w:customStyle="1" w:styleId="Corpo">
    <w:name w:val="Corpo"/>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character" w:customStyle="1" w:styleId="ListParagraphChar">
    <w:name w:val="List Paragraph Char"/>
    <w:aliases w:val="Table of contents numbered Char,List Paragraph in table Char"/>
    <w:link w:val="ListParagraph"/>
    <w:uiPriority w:val="34"/>
    <w:locked/>
  </w:style>
  <w:style w:type="character" w:customStyle="1" w:styleId="NoSpacingChar">
    <w:name w:val="No Spacing Char"/>
    <w:basedOn w:val="DefaultParagraphFont"/>
    <w:link w:val="NoSpacing"/>
    <w:uiPriority w:val="1"/>
    <w:locked/>
    <w:rPr>
      <w:rFonts w:ascii="Calibri" w:hAnsi="Calibri" w:cs="Calibri"/>
      <w:lang w:eastAsia="bg-BG"/>
    </w:rPr>
  </w:style>
  <w:style w:type="paragraph" w:styleId="NoSpacing">
    <w:name w:val="No Spacing"/>
    <w:basedOn w:val="Normal"/>
    <w:link w:val="NoSpacingChar"/>
    <w:uiPriority w:val="1"/>
    <w:qFormat/>
    <w:pPr>
      <w:spacing w:after="0" w:line="240" w:lineRule="auto"/>
    </w:pPr>
    <w:rPr>
      <w:rFonts w:ascii="Calibri" w:hAnsi="Calibri" w:cs="Calibri"/>
    </w:rPr>
  </w:style>
  <w:style w:type="paragraph" w:customStyle="1" w:styleId="Footer1">
    <w:name w:val="Footer1"/>
    <w:pPr>
      <w:tabs>
        <w:tab w:val="center" w:pos="4535"/>
        <w:tab w:val="right" w:pos="9071"/>
        <w:tab w:val="right" w:pos="9921"/>
      </w:tabs>
      <w:spacing w:before="360" w:after="0" w:line="240" w:lineRule="auto"/>
    </w:pPr>
    <w:rPr>
      <w:rFonts w:ascii="Times New Roman" w:eastAsia="ヒラギノ角ゴ Pro W3" w:hAnsi="Times New Roman" w:cs="Times New Roman"/>
      <w:color w:val="000000"/>
      <w:sz w:val="24"/>
      <w:szCs w:val="20"/>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12751">
      <w:bodyDiv w:val="1"/>
      <w:marLeft w:val="0"/>
      <w:marRight w:val="0"/>
      <w:marTop w:val="0"/>
      <w:marBottom w:val="0"/>
      <w:divBdr>
        <w:top w:val="none" w:sz="0" w:space="0" w:color="auto"/>
        <w:left w:val="none" w:sz="0" w:space="0" w:color="auto"/>
        <w:bottom w:val="none" w:sz="0" w:space="0" w:color="auto"/>
        <w:right w:val="none" w:sz="0" w:space="0" w:color="auto"/>
      </w:divBdr>
    </w:div>
    <w:div w:id="402488292">
      <w:bodyDiv w:val="1"/>
      <w:marLeft w:val="0"/>
      <w:marRight w:val="0"/>
      <w:marTop w:val="0"/>
      <w:marBottom w:val="0"/>
      <w:divBdr>
        <w:top w:val="none" w:sz="0" w:space="0" w:color="auto"/>
        <w:left w:val="none" w:sz="0" w:space="0" w:color="auto"/>
        <w:bottom w:val="none" w:sz="0" w:space="0" w:color="auto"/>
        <w:right w:val="none" w:sz="0" w:space="0" w:color="auto"/>
      </w:divBdr>
    </w:div>
    <w:div w:id="965356916">
      <w:bodyDiv w:val="1"/>
      <w:marLeft w:val="0"/>
      <w:marRight w:val="0"/>
      <w:marTop w:val="0"/>
      <w:marBottom w:val="0"/>
      <w:divBdr>
        <w:top w:val="none" w:sz="0" w:space="0" w:color="auto"/>
        <w:left w:val="none" w:sz="0" w:space="0" w:color="auto"/>
        <w:bottom w:val="none" w:sz="0" w:space="0" w:color="auto"/>
        <w:right w:val="none" w:sz="0" w:space="0" w:color="auto"/>
      </w:divBdr>
    </w:div>
    <w:div w:id="1294752089">
      <w:bodyDiv w:val="1"/>
      <w:marLeft w:val="0"/>
      <w:marRight w:val="0"/>
      <w:marTop w:val="0"/>
      <w:marBottom w:val="0"/>
      <w:divBdr>
        <w:top w:val="none" w:sz="0" w:space="0" w:color="auto"/>
        <w:left w:val="none" w:sz="0" w:space="0" w:color="auto"/>
        <w:bottom w:val="none" w:sz="0" w:space="0" w:color="auto"/>
        <w:right w:val="none" w:sz="0" w:space="0" w:color="auto"/>
      </w:divBdr>
    </w:div>
    <w:div w:id="1506700284">
      <w:bodyDiv w:val="1"/>
      <w:marLeft w:val="0"/>
      <w:marRight w:val="0"/>
      <w:marTop w:val="0"/>
      <w:marBottom w:val="0"/>
      <w:divBdr>
        <w:top w:val="none" w:sz="0" w:space="0" w:color="auto"/>
        <w:left w:val="none" w:sz="0" w:space="0" w:color="auto"/>
        <w:bottom w:val="none" w:sz="0" w:space="0" w:color="auto"/>
        <w:right w:val="none" w:sz="0" w:space="0" w:color="auto"/>
      </w:divBdr>
    </w:div>
    <w:div w:id="191708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eib.org/en/efsi/governance/documents.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c.europa.eu/commission/priorities/jobs-growth-and-investment/investment-plan-europe-juncker-plan/investment-plan-results_en"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2F7EEEA-A8BF-4EBD-B64D-84FF3B097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13</Pages>
  <Words>4597</Words>
  <Characters>27675</Characters>
  <Application>Microsoft Office Word</Application>
  <DocSecurity>0</DocSecurity>
  <Lines>522</Lines>
  <Paragraphs>107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28</cp:revision>
  <cp:lastPrinted>2019-06-27T08:58:00Z</cp:lastPrinted>
  <dcterms:created xsi:type="dcterms:W3CDTF">2019-06-27T09:26:00Z</dcterms:created>
  <dcterms:modified xsi:type="dcterms:W3CDTF">2019-07-16T14:26:00Z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6.0.1, Build 20180503</vt:lpwstr>
  </property>
  <property fmtid="{D5CDD505-2E9C-101B-9397-08002B2CF9AE}" pid="3" name="Last edited using">
    <vt:lpwstr>LW 6.0.1, Build 20180503</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ies>
</file>