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79" w:rsidRDefault="009E4EBC" w:rsidP="009E4EBC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BC883E9-F10E-4B34-AEC6-1AF6B58F3AFD" style="width:450.75pt;height:393pt">
            <v:imagedata r:id="rId7" o:title=""/>
          </v:shape>
        </w:pict>
      </w:r>
    </w:p>
    <w:p w:rsidR="005F0579" w:rsidRDefault="005F0579">
      <w:pPr>
        <w:rPr>
          <w:noProof/>
        </w:rPr>
        <w:sectPr w:rsidR="005F0579" w:rsidSect="009E4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F0579" w:rsidRDefault="009E4EBC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5F0579" w:rsidRDefault="009E4EBC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5F0579" w:rsidRDefault="009E4EBC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По силата на Регламент (ЕО) № 617/2009 Европейският съюз откри годишна тарифна квота 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за висококачествено говеждо месо (наричана по-нататък „ТК“) в съответствие с Меморандума за разбирателство между Европейската комисия и Съединените щати в преработената </w:t>
      </w:r>
      <w:r>
        <w:rPr>
          <w:noProof/>
        </w:rPr>
        <w:t>му версия – Преработен меморандум за разбирателство със Съединените американски щати относно вноса на месо от говеда, при чието отглеждане не са били използвани определени хормони за стимулиране на растежа, и относно увеличените мита, прилагани от Съединен</w:t>
      </w:r>
      <w:r>
        <w:rPr>
          <w:noProof/>
        </w:rPr>
        <w:t>ите щати спрямо определени продукти от Европейския съюз от 21 октомври 2013 г. Преработеният меморандум за разбирателство бе предаден от Съюза и Съединените щати на Органа за уреждане на спорове към СТО на 14 април 2014 г.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През декември 2016 г. Съединените щати предприеха стъпки за повторно налагане на увеличените мита върху някои продукти от ЕС във връзка със спора в СТО </w:t>
      </w:r>
      <w:r>
        <w:rPr>
          <w:i/>
          <w:noProof/>
        </w:rPr>
        <w:t>ЕО – Мерки относно месото и месните продукти (хормони)</w:t>
      </w:r>
      <w:r>
        <w:rPr>
          <w:noProof/>
        </w:rPr>
        <w:t xml:space="preserve"> (DS26) </w:t>
      </w:r>
      <w:r>
        <w:rPr>
          <w:i/>
          <w:noProof/>
        </w:rPr>
        <w:t>(ЕО – хормони)</w:t>
      </w:r>
      <w:r>
        <w:rPr>
          <w:noProof/>
        </w:rPr>
        <w:t>. Процедурата за повторно на</w:t>
      </w:r>
      <w:r>
        <w:rPr>
          <w:noProof/>
        </w:rPr>
        <w:t>лагане на митата бе открита по искане на производителите на говеждо месо от САЩ, които изразиха опасения във връзка с прилагането на ТК.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За да се избегне повторното налагане на увеличените мита върху определени продукти от ЕС, Европейският съюз и Съединени</w:t>
      </w:r>
      <w:r>
        <w:rPr>
          <w:noProof/>
        </w:rPr>
        <w:t>те щати проведоха консултации във връзка с действието на Преработения меморандум за разбирателство по силата на член ІV, параграф 1, буква б) от него, като Съединените щати поискаха в тяхна полза да бъде разпределен дял от откритата тарифна квота по силата</w:t>
      </w:r>
      <w:r>
        <w:rPr>
          <w:noProof/>
        </w:rPr>
        <w:t xml:space="preserve"> на Меморандума. 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Съюзът има интерес в полза на Съединените щати да бъде разпределен дял от ТК, така че двете страни да могат накрая да постигнат решение по взаимно съгласие на спор DS26 в СТО, за което трябва да бъде уведомен Органът за решаване на споров</w:t>
      </w:r>
      <w:r>
        <w:rPr>
          <w:noProof/>
        </w:rPr>
        <w:t>е към СТО.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19 октомври 2018 г. Съветът разреши на Комисията да започне от името на Съюза преговори със Съединените американски щати във връзка с използването на ТК, с оглед на разпределението на дял от ТК в полза на Съединените щати, като целта е оконча</w:t>
      </w:r>
      <w:r>
        <w:rPr>
          <w:noProof/>
        </w:rPr>
        <w:t>телно разрешаване на спор DS26 в СТО. Преговорите приключиха успешно.</w:t>
      </w:r>
    </w:p>
    <w:p w:rsidR="005F0579" w:rsidRDefault="009E4EB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Освен това Съветът разреши на Комисията да поиска съгласието на другите значими държави доставчици по отношение на разпределението на ТК в полза на определена държава, в съответствие с п</w:t>
      </w:r>
      <w:r>
        <w:rPr>
          <w:noProof/>
        </w:rPr>
        <w:t xml:space="preserve">риложимите правила на СТО и в необходимата степен. В действителност, за да бъде спазен член ХІІІ, параграф 2 от Общото споразумение за митата и търговията (ГАТТ), когато дадена тарифна квота се разпределя между държавите доставчици, разпределящата квотата </w:t>
      </w:r>
      <w:r>
        <w:rPr>
          <w:noProof/>
        </w:rPr>
        <w:t>страна следва да поиска съгласието на всички значими доставчици по отношение на разпределението на дялове от тарифната квота. За да гарантира, че разпределението на настоящата ТК в полза на определена държава отговаря на задълженията на ЕС в рамките на СТО</w:t>
      </w:r>
      <w:r>
        <w:rPr>
          <w:noProof/>
        </w:rPr>
        <w:t>, ЕС трябва да поиска съгласието на другите значими доставчици по квотата (Австралия, Уругвай и Аржентина). Поради това Комисията поиска съгласието на значимите държави доставчици за разпределението на дял от ТК в полза на Съединените щати и го получи в пи</w:t>
      </w:r>
      <w:r>
        <w:rPr>
          <w:noProof/>
        </w:rPr>
        <w:t>смен вид под формата на писма за потвърждение на приемането, получени на 10, 20 и 31 май 2019 г.</w:t>
      </w:r>
    </w:p>
    <w:p w:rsidR="005F0579" w:rsidRDefault="009E4EB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</w:t>
      </w:r>
      <w:r>
        <w:rPr>
          <w:noProof/>
        </w:rPr>
        <w:t>Е, СУБСИДИАРНОСТ И ПРОПОРЦИОНАЛНОСТ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5F0579" w:rsidRDefault="009E4EBC">
      <w:pPr>
        <w:rPr>
          <w:noProof/>
        </w:rPr>
      </w:pPr>
      <w:r>
        <w:rPr>
          <w:noProof/>
        </w:rPr>
        <w:t>Член 207, параграф 3 и член 207, параграф 4, първата алинея във връзка с член 218, параграф 6, втората алинея, буква а), подточка v) от ДФЕС.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 w:rsidR="005F0579" w:rsidRDefault="009E4EBC">
      <w:pPr>
        <w:rPr>
          <w:noProof/>
        </w:rPr>
      </w:pPr>
      <w:r>
        <w:rPr>
          <w:noProof/>
        </w:rPr>
        <w:t xml:space="preserve">Не се </w:t>
      </w:r>
      <w:r>
        <w:rPr>
          <w:noProof/>
        </w:rPr>
        <w:t>прилага, тъй като компетентността на Съюза в областта на общата търговска политика е изключителна (член 3, параграф 1, буква д) от ДФЕС).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нормативен акт</w:t>
      </w:r>
    </w:p>
    <w:p w:rsidR="005F0579" w:rsidRDefault="009E4EBC">
      <w:pPr>
        <w:rPr>
          <w:noProof/>
        </w:rPr>
      </w:pPr>
      <w:r>
        <w:rPr>
          <w:noProof/>
        </w:rPr>
        <w:t xml:space="preserve">Международно споразумение е подходящият нормативен акт за </w:t>
      </w:r>
      <w:r>
        <w:rPr>
          <w:noProof/>
        </w:rPr>
        <w:t>разпределението на дял от ТК в полза на Съединените щати.</w:t>
      </w:r>
    </w:p>
    <w:p w:rsidR="005F0579" w:rsidRDefault="009E4EBC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Консултации със заинтересованите страни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 w:rsidR="005F0579" w:rsidRDefault="009E4EBC">
      <w:pPr>
        <w:rPr>
          <w:noProof/>
        </w:rPr>
      </w:pPr>
      <w:r>
        <w:rPr>
          <w:noProof/>
        </w:rPr>
        <w:t>Не се прилага.</w:t>
      </w:r>
    </w:p>
    <w:p w:rsidR="005F0579" w:rsidRDefault="009E4EBC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>
        <w:rPr>
          <w:noProof/>
        </w:rPr>
        <w:t>ОТРАЖЕНИЕ ВЪРХУ БЮДЖЕТА</w:t>
      </w:r>
    </w:p>
    <w:p w:rsidR="005F0579" w:rsidRDefault="009E4EBC">
      <w:pPr>
        <w:rPr>
          <w:noProof/>
        </w:rPr>
        <w:sectPr w:rsidR="005F0579" w:rsidSect="009E4EBC"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Няма.</w:t>
      </w:r>
    </w:p>
    <w:p w:rsidR="005F0579" w:rsidRDefault="009E4EBC" w:rsidP="009E4EBC">
      <w:pPr>
        <w:pStyle w:val="Rfrenceinterinstitutionnelle"/>
        <w:rPr>
          <w:noProof/>
        </w:rPr>
      </w:pPr>
      <w:r w:rsidRPr="009E4EBC">
        <w:t>2019/0142 (NLE)</w:t>
      </w:r>
    </w:p>
    <w:p w:rsidR="005F0579" w:rsidRDefault="009E4EBC" w:rsidP="009E4EBC">
      <w:pPr>
        <w:pStyle w:val="Statut"/>
        <w:rPr>
          <w:noProof/>
        </w:rPr>
      </w:pPr>
      <w:r w:rsidRPr="009E4EBC">
        <w:t>Предложение за</w:t>
      </w:r>
    </w:p>
    <w:p w:rsidR="005F0579" w:rsidRDefault="009E4EBC" w:rsidP="009E4EBC">
      <w:pPr>
        <w:pStyle w:val="Typedudocument"/>
        <w:rPr>
          <w:noProof/>
        </w:rPr>
      </w:pPr>
      <w:r w:rsidRPr="009E4EBC">
        <w:t>РЕШЕНИЕ НА СЪВЕТА</w:t>
      </w:r>
    </w:p>
    <w:p w:rsidR="005F0579" w:rsidRDefault="009E4EBC" w:rsidP="009E4EBC">
      <w:pPr>
        <w:pStyle w:val="Titreobjet"/>
        <w:rPr>
          <w:noProof/>
        </w:rPr>
      </w:pPr>
      <w:r w:rsidRPr="009E4EBC">
        <w:t>за сключването на споразумение със Съединените американски щати за разпределението в полза на Съединените щати на дял от тарифната квота, предвидена в Регламент (ЕО) № 617/2009 на Съвета от 13 юли 2009 г. за откриване на автономна тарифна квота за внос на висококачествено говеждо месо</w:t>
      </w:r>
    </w:p>
    <w:p w:rsidR="005F0579" w:rsidRDefault="009E4EBC">
      <w:pPr>
        <w:pStyle w:val="Institutionquiagit"/>
        <w:rPr>
          <w:noProof/>
        </w:rPr>
      </w:pPr>
      <w:r>
        <w:rPr>
          <w:noProof/>
        </w:rPr>
        <w:t>С</w:t>
      </w:r>
      <w:r>
        <w:rPr>
          <w:noProof/>
        </w:rPr>
        <w:t>ЪВЕТЪТ НА ЕВРОПЕЙСКИЯ СЪЮЗ,</w:t>
      </w:r>
    </w:p>
    <w:p w:rsidR="005F0579" w:rsidRDefault="009E4EBC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</w:t>
      </w:r>
      <w:r>
        <w:rPr>
          <w:noProof/>
        </w:rPr>
        <w:t>юз, и по-специално член 207, параграф 3 и член 207, параграф 4, първата алинея във връзка с член 218, параграф 6, втората алинея, буква а), подточка v) от него,</w:t>
      </w:r>
    </w:p>
    <w:p w:rsidR="005F0579" w:rsidRDefault="009E4EBC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5F0579" w:rsidRDefault="009E4EBC">
      <w:pPr>
        <w:rPr>
          <w:noProof/>
        </w:rPr>
      </w:pPr>
      <w:r>
        <w:rPr>
          <w:noProof/>
        </w:rPr>
        <w:t>като взе предвид съгласието на Европейс</w:t>
      </w:r>
      <w:r>
        <w:rPr>
          <w:noProof/>
        </w:rPr>
        <w:t>кия парламент,</w:t>
      </w:r>
    </w:p>
    <w:p w:rsidR="005F0579" w:rsidRDefault="009E4EBC">
      <w:pPr>
        <w:rPr>
          <w:noProof/>
        </w:rPr>
      </w:pPr>
      <w:r>
        <w:rPr>
          <w:noProof/>
        </w:rPr>
        <w:t>като има предвид, че:</w:t>
      </w:r>
    </w:p>
    <w:p w:rsidR="005F0579" w:rsidRDefault="009E4EBC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съответствие с Решение 2019/ХХХ/ЕС на Съвета споразумението със Съединените американски щати за разпределението в полза на Съединените щати на дял от тарифната квота за висококачествено говеждо месо съгласно Прера</w:t>
      </w:r>
      <w:r>
        <w:rPr>
          <w:noProof/>
        </w:rPr>
        <w:t>ботения меморандум за разбирателство между Съединените американски щати и Европейския съюз относно вноса на месо от говеда, при чието отглеждане не са били използвани определени хормони за стимулиране на растежа, и относно увеличените мита, прилагани от Съ</w:t>
      </w:r>
      <w:r>
        <w:rPr>
          <w:noProof/>
        </w:rPr>
        <w:t>единените щати спрямо определени продукти от Европейския съюз (2014 г.) бе подписано на ХХХХХ, при условие че ще бъде сключено на по-късна дата.</w:t>
      </w:r>
    </w:p>
    <w:p w:rsidR="005F0579" w:rsidRDefault="009E4EBC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Споразумението следва да бъде одобрено от името на Съюза,</w:t>
      </w:r>
    </w:p>
    <w:p w:rsidR="005F0579" w:rsidRDefault="009E4EBC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5F0579" w:rsidRDefault="009E4EBC">
      <w:pPr>
        <w:pStyle w:val="Titrearticle"/>
        <w:rPr>
          <w:noProof/>
        </w:rPr>
      </w:pPr>
      <w:r>
        <w:rPr>
          <w:noProof/>
        </w:rPr>
        <w:t>Член 1</w:t>
      </w:r>
    </w:p>
    <w:p w:rsidR="005F0579" w:rsidRDefault="009E4EBC">
      <w:pPr>
        <w:keepLines/>
        <w:rPr>
          <w:noProof/>
        </w:rPr>
      </w:pPr>
      <w:r>
        <w:rPr>
          <w:noProof/>
        </w:rPr>
        <w:t xml:space="preserve">С настоящото от </w:t>
      </w:r>
      <w:r>
        <w:rPr>
          <w:noProof/>
        </w:rPr>
        <w:t>името на Съюза се сключва подписването на споразумението със Съединените американски щати за разпределението в полза на Съединените щати на дял от тарифната квота за висококачествено говеждо месо съгласно Преработения меморандум за разбирателство между Съе</w:t>
      </w:r>
      <w:r>
        <w:rPr>
          <w:noProof/>
        </w:rPr>
        <w:t>динените американски щати и Европейския съюз относно вноса на месо от говеда, при чието отглеждане не са били използвани определени хормони за стимулиране на растежа, и относно увеличените мита, прилагани от Съединените щати спрямо определени продукти от Е</w:t>
      </w:r>
      <w:r>
        <w:rPr>
          <w:noProof/>
        </w:rPr>
        <w:t>вропейския съюз (2014 г.).</w:t>
      </w:r>
    </w:p>
    <w:p w:rsidR="005F0579" w:rsidRDefault="009E4EBC">
      <w:pPr>
        <w:keepLines/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 w:rsidR="005F0579" w:rsidRDefault="009E4EBC">
      <w:pPr>
        <w:pStyle w:val="Titrearticle"/>
        <w:rPr>
          <w:noProof/>
        </w:rPr>
      </w:pPr>
      <w:r>
        <w:rPr>
          <w:noProof/>
        </w:rPr>
        <w:t>Член 2</w:t>
      </w:r>
    </w:p>
    <w:p w:rsidR="005F0579" w:rsidRDefault="009E4EBC">
      <w:pPr>
        <w:keepLines/>
        <w:rPr>
          <w:noProof/>
        </w:rPr>
      </w:pPr>
      <w:r>
        <w:rPr>
          <w:noProof/>
        </w:rPr>
        <w:t xml:space="preserve">Настоящото решение влиза в сила на първия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5F0579" w:rsidRDefault="009E4EBC" w:rsidP="009E4EBC">
      <w:pPr>
        <w:pStyle w:val="Fait"/>
        <w:rPr>
          <w:noProof/>
        </w:rPr>
      </w:pPr>
      <w:r w:rsidRPr="009E4EBC">
        <w:t xml:space="preserve">Съставено в Брюксел на </w:t>
      </w:r>
      <w:r w:rsidRPr="009E4EBC">
        <w:rPr>
          <w:rStyle w:val="Marker"/>
        </w:rPr>
        <w:t>[…]</w:t>
      </w:r>
      <w:r w:rsidRPr="009E4EBC">
        <w:t xml:space="preserve"> година.</w:t>
      </w:r>
    </w:p>
    <w:p w:rsidR="005F0579" w:rsidRDefault="009E4EBC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</w:t>
      </w:r>
      <w:r>
        <w:rPr>
          <w:noProof/>
        </w:rPr>
        <w:t>а</w:t>
      </w:r>
    </w:p>
    <w:p w:rsidR="005F0579" w:rsidRDefault="009E4EBC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5F0579" w:rsidSect="009E4EBC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79" w:rsidRDefault="009E4EBC">
      <w:pPr>
        <w:spacing w:before="0" w:after="0"/>
      </w:pPr>
      <w:r>
        <w:separator/>
      </w:r>
    </w:p>
  </w:endnote>
  <w:endnote w:type="continuationSeparator" w:id="0">
    <w:p w:rsidR="005F0579" w:rsidRDefault="009E4E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5F0579" w:rsidP="009E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9E4EBC" w:rsidP="009E4EBC">
    <w:pPr>
      <w:pStyle w:val="Footer"/>
      <w:rPr>
        <w:rFonts w:ascii="Arial" w:hAnsi="Arial" w:cs="Arial"/>
        <w:b/>
        <w:sz w:val="48"/>
      </w:rPr>
    </w:pPr>
    <w:r w:rsidRPr="009E4EBC">
      <w:rPr>
        <w:rFonts w:ascii="Arial" w:hAnsi="Arial" w:cs="Arial"/>
        <w:b/>
        <w:sz w:val="48"/>
      </w:rPr>
      <w:t>BG</w:t>
    </w:r>
    <w:r w:rsidRPr="009E4EBC">
      <w:rPr>
        <w:rFonts w:ascii="Arial" w:hAnsi="Arial" w:cs="Arial"/>
        <w:b/>
        <w:sz w:val="48"/>
      </w:rPr>
      <w:tab/>
    </w:r>
    <w:r w:rsidRPr="009E4EBC">
      <w:rPr>
        <w:rFonts w:ascii="Arial" w:hAnsi="Arial" w:cs="Arial"/>
        <w:b/>
        <w:sz w:val="48"/>
      </w:rPr>
      <w:tab/>
    </w:r>
    <w:r w:rsidRPr="009E4EBC">
      <w:tab/>
    </w:r>
    <w:r w:rsidRPr="009E4EBC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5F0579" w:rsidP="009E4E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9E4EBC" w:rsidP="009E4EBC">
    <w:pPr>
      <w:pStyle w:val="Footer"/>
      <w:rPr>
        <w:rFonts w:ascii="Arial" w:hAnsi="Arial" w:cs="Arial"/>
        <w:b/>
        <w:sz w:val="48"/>
      </w:rPr>
    </w:pPr>
    <w:r w:rsidRPr="009E4EBC">
      <w:rPr>
        <w:rFonts w:ascii="Arial" w:hAnsi="Arial" w:cs="Arial"/>
        <w:b/>
        <w:sz w:val="48"/>
      </w:rPr>
      <w:t>BG</w:t>
    </w:r>
    <w:r w:rsidRPr="009E4EB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9E4EBC">
      <w:tab/>
    </w:r>
    <w:r w:rsidRPr="009E4EBC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BC" w:rsidRPr="009E4EBC" w:rsidRDefault="009E4EBC" w:rsidP="009E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79" w:rsidRDefault="009E4EBC">
      <w:pPr>
        <w:spacing w:before="0" w:after="0"/>
      </w:pPr>
      <w:r>
        <w:separator/>
      </w:r>
    </w:p>
  </w:footnote>
  <w:footnote w:type="continuationSeparator" w:id="0">
    <w:p w:rsidR="005F0579" w:rsidRDefault="009E4EBC">
      <w:pPr>
        <w:spacing w:before="0" w:after="0"/>
      </w:pPr>
      <w:r>
        <w:continuationSeparator/>
      </w:r>
    </w:p>
  </w:footnote>
  <w:footnote w:id="1">
    <w:p w:rsidR="005F0579" w:rsidRDefault="009E4EB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 xml:space="preserve">Регламент (ЕО) № 617/2009 на Съвета от 13 юли 2009 г. за откриване на автономна тарифна квота за внос на висококачествено говеждо месо (ОВ L 182, 15.7.2009 г., стр.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5F0579" w:rsidP="009E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5F0579" w:rsidP="009E4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79" w:rsidRPr="009E4EBC" w:rsidRDefault="005F0579" w:rsidP="009E4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0C42E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09EF2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CF88A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DABCFC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B3A9A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FC224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F400B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0EE81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8 09:04:5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3BC883E9-F10E-4B34-AEC6-1AF6B58F3AFD"/>
    <w:docVar w:name="LW_COVERPAGE_TYPE" w:val="1"/>
    <w:docVar w:name="LW_CROSSREFERENCE" w:val="&lt;UNUSED&gt;"/>
    <w:docVar w:name="LW_DocType" w:val="COM"/>
    <w:docVar w:name="LW_EMISSION" w:val="24.6.2019"/>
    <w:docVar w:name="LW_EMISSION_ISODATE" w:val="2019-06-24"/>
    <w:docVar w:name="LW_EMISSION_LOCATION" w:val="BRX"/>
    <w:docVar w:name="LW_EMISSION_PREFIX" w:val="\u1041?\u1088?\u1102?\u1082?\u1089?\u1077?\u1083?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42"/>
    <w:docVar w:name="LW_REF.II.NEW.CP_YEAR" w:val="2019"/>
    <w:docVar w:name="LW_REF.INST.NEW" w:val="COM"/>
    <w:docVar w:name="LW_REF.INST.NEW_ADOPTED" w:val="final/2 \u8211? DOWNGRADED on 16.7.2019"/>
    <w:docVar w:name="LW_REF.INST.NEW_TEXT" w:val="(2019) 2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\u1090?\u1086? \u1085?\u1072? \u1089?\u1087?\u1086?\u1088?\u1072?\u1079?\u1091?\u1084?\u1077?\u1085?\u1080?\u1077? \u1089?\u1098?\u1089? \u1057?\u1098?\u1077?\u1076?\u1080?\u1085?\u1077?\u1085?\u1080?\u1090?\u1077? \u1072?\u1084?\u1077?\u1088?\u1080?\u1082?\u1072?\u1085?\u1089?\u1082?\u1080? \u1097?\u1072?\u1090?\u1080? \u1079?\u1072? \u1088?\u1072?\u1079?\u1087?\u1088?\u1077?\u1076?\u1077?\u1083?\u1077?\u1085?\u1080?\u1077?\u1090?\u1086? \u1074? \u1087?\u1086?\u1083?\u1079?\u1072? \u1085?\u1072? \u1057?\u1098?\u1077?\u1076?\u1080?\u1085?\u1077?\u1085?\u1080?\u1090?\u1077? \u1097?\u1072?\u1090?\u1080? \u1085?\u1072? \u1076?\u1103?\u1083? \u1086?\u1090? \u1090?\u1072?\u1088?\u1080?\u1092?\u1085?\u1072?\u1090?\u1072? \u1082?\u1074?\u1086?\u1090?\u1072?, \u1087?\u1088?\u1077?\u1076?\u1074?\u1080?\u1076?\u1077?\u1085?\u1072? \u1074? \u1056?\u1077?\u1075?\u1083?\u1072?\u1084?\u1077?\u1085?\u1090? (\u1045?\u1054?) \u8470? 617/2009 \u1085?\u1072? \u1057?\u1098?\u1074?\u1077?\u1090?\u1072? \u1086?\u1090? 13 \u1102?\u1083?\u1080? 2009 \u1075?. \u1079?\u1072? \u1086?\u1090?\u1082?\u1088?\u1080?\u1074?\u1072?\u1085?\u1077? \u1085?\u1072? \u1072?\u1074?\u1090?\u1086?\u1085?\u1086?\u1084?\u1085?\u1072? \u1090?\u1072?\u1088?\u1080?\u1092?\u1085?\u1072? \u1082?\u1074?\u1086?\u1090?\u1072? \u1079?\u1072? \u1074?\u1085?\u1086?\u1089? \u1085?\u1072? \u1074?\u1080?\u1089?\u1086?\u1082?\u1086?\u1082?\u1072?\u1095?\u1077?\u1089?\u1090?\u1074?\u1077?\u1085?\u1086? \u1075?\u1086?\u1074?\u1077?\u1078?\u1076?\u1086? \u1084?\u1077?\u1089?\u1086?"/>
    <w:docVar w:name="LW_TYPE.DOC.CP" w:val="\u1056?\u1045?\u1064?\u1045?\u1053?\u1048?\u1045? \u1053?\u1040? \u1057?\u1066?\u1042?\u1045?\u1058?\u1040?"/>
  </w:docVars>
  <w:rsids>
    <w:rsidRoot w:val="005F0579"/>
    <w:rsid w:val="005F0579"/>
    <w:rsid w:val="009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F34B0A-3047-470C-9E15-866F117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EBC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4EBC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E4EB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E4EBC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E4EBC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E4EB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E4E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9E4E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9</TotalTime>
  <Pages>6</Pages>
  <Words>1006</Words>
  <Characters>5665</Characters>
  <Application>Microsoft Office Word</Application>
  <DocSecurity>0</DocSecurity>
  <Lines>123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ANTONACCIO Raimondo (SG)</cp:lastModifiedBy>
  <cp:revision>36</cp:revision>
  <cp:lastPrinted>2019-06-14T11:51:00Z</cp:lastPrinted>
  <dcterms:created xsi:type="dcterms:W3CDTF">2019-06-24T13:14:00Z</dcterms:created>
  <dcterms:modified xsi:type="dcterms:W3CDTF">2019-07-18T10:24:00Z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