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73072AA-E80C-4ECD-A36E-BA21FE263363" style="width:450.8pt;height:406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Европейския съюз в рамките на Комитета по СИП, създаден с Временното споразумение за икономическо партньорство между Гана, от една страна, и Европейската общност и нейните държави членки, от друга страна, във връзка с предвиденото приемане на Протокол 1 към споразумението относно определението на понятието „продукти с произход“ и методите на административно сътрудничество.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Временното споразумение за икономическо партньорство между Гана, от една страна, и Европейската общност и нейните държави членки, от друга страна</w:t>
      </w:r>
    </w:p>
    <w:p>
      <w:pPr>
        <w:rPr>
          <w:rFonts w:eastAsia="Arial Unicode MS"/>
          <w:noProof/>
        </w:rPr>
      </w:pPr>
      <w:r>
        <w:rPr>
          <w:noProof/>
        </w:rPr>
        <w:t>Временното споразумение за икономическо партньорство (СИП) между Гана, от една страна, и Европейската общност и нейните държави членки, от друга страна („споразумението“) бе подписано от Европейския съюз („ЕС“) на 28 юли 2016 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се прилага временно от 15 декември 2016 г.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Споразумението цели: а) да позволи на страната по споразумението Гана да се ползва от подобрен достъп до пазара, предложен от ЕС; б) да насърчи устойчивото икономическо развитие в Гана и да укрепи постепенното му интегриране в световната икономика; в) да създаде зона за свободна търговия между Европейския съюз и Гана на основата на взаимния интерес чрез постепенна либерализация на търговията по начин, съответстващ на приложимите правила на Световната търговска организация и принципа на асиметричния подход, като се вземат предвид специфичните нужди и ограниченията по отношение на капацитета на Гана, що се отнася до равнището на ангажиментите и предвидения график за изпълнението им; г) да установи подходящите механизми за уреждане на спорове; и д) да установи подходящите институционални договорености.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Комитетът по СИП</w:t>
      </w:r>
    </w:p>
    <w:p>
      <w:pPr>
        <w:rPr>
          <w:noProof/>
        </w:rPr>
      </w:pPr>
      <w:r>
        <w:rPr>
          <w:noProof/>
        </w:rPr>
        <w:t xml:space="preserve">Комитетът по СИП е орган, създаден в съответствие с член 73 от споразумението. Той се състои от представители на ЕС и Гана („страните“) и се председателства съвместно от представител на всяка от страните. Комитетът по СИП приема свой процедурен правилник. </w:t>
      </w:r>
    </w:p>
    <w:p>
      <w:pPr>
        <w:rPr>
          <w:rFonts w:eastAsia="Arial Unicode MS"/>
          <w:noProof/>
        </w:rPr>
      </w:pPr>
      <w:r>
        <w:rPr>
          <w:noProof/>
        </w:rPr>
        <w:t>Комитетът по СИП се занимава с всички въпроси от значение за прилагането на споразумението, включително сътрудничеството за развитие. В изпълнението на своите функции Комитетът по СИП може а) да създава всякакви специални комитети или органи, необходими за прилагането на споразумението; б) да заседава по всяко време, за което страните са постигнали съгласие; в) да разглежда всякакви въпроси, попадащи в приложното поле на споразумението, и да предприема подходящи действия при изпълнението на функциите си;  г) да взема решения или да отправя препоръки в случаите, предвидени в споразумението; и д) да приема изменения на споразумението.</w:t>
      </w:r>
    </w:p>
    <w:p>
      <w:pPr>
        <w:rPr>
          <w:rFonts w:eastAsia="Arial Unicode MS"/>
          <w:noProof/>
        </w:rPr>
      </w:pPr>
      <w:r>
        <w:rPr>
          <w:noProof/>
        </w:rPr>
        <w:t>Комитетът по СИП може да преразгледа споразумението, неговото прилагане, действие и резултати, когато това е необходимо, и да отправи до страните подходящи предложения за изменението му.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Комитета</w:t>
      </w:r>
    </w:p>
    <w:p>
      <w:pPr>
        <w:rPr>
          <w:rFonts w:eastAsia="Arial Unicode MS"/>
          <w:noProof/>
        </w:rPr>
      </w:pPr>
      <w:r>
        <w:rPr>
          <w:noProof/>
        </w:rPr>
        <w:t>На следващото си заседание, което ще се проведе през 2019 г., Комитетът по СИП трябва да приеме решение за приемането на Протокол 1 към споразумението относно определението на понятието „продукти с произход“ и методите на административно сътрудничество, както бе договорено между страните на техническо равнище през март 2019 г. („предвидения акт“).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Целта на предвидения акт е да се установи общ режим на реципрочна основа за управление на правилата за произход. 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влезе в сила без такъв общ режим на реципрочна основа за управление на правилата за произход. В член 14 от споразумението се изисква страните по нея да установят такъв режим, който „ще се основава на правилата за произход, залегнали в Споразумението от Котону, и ще предвижда опростяването им, като същевременно отчита целите за развитие на Гана“. Този нов режим ще бъде включен в самото споразумение с решение на Комитета по СИП. При липсата на такъв режим разпоредбите относно правилата за произход, съдържащи се в приложение II към Регламент (ЕС) 2016/1076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(„Регламента относно достъпа до пазара“), са приложими за износа от Гана за Европейския съюз. 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Arial Unicode MS"/>
          <w:noProof/>
        </w:rPr>
      </w:pPr>
      <w:r>
        <w:rPr>
          <w:noProof/>
          <w:color w:val="000000"/>
        </w:rPr>
        <w:t xml:space="preserve">През март 2019 г. страните се договориха на техническо равнище относно текста на Протокол 1 към споразумението относно определението на понятието „продукти с произход“ и методите на административно сътрудничество. </w:t>
      </w:r>
      <w:r>
        <w:rPr>
          <w:noProof/>
        </w:rPr>
        <w:t>Договореният Протокол 1 се основава на сключения, но все още невлязъл в сила Протокол 1 към Споразумението за икономическо партньорство между държавите от Западна Африка, Икономическата общност на западноафриканските държави (ECOWAS) и Западноафриканския икономически и валутен съюз (UEMOA), от една страна, и Европейския съюз и неговите държави членки, от друга страна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, който се основава на Споразумението от Котону. Договореният Протокол 1 включва редица изменения, за да се отразят последните промени по отношение на правилата за произход, включително тези, които са включени в наскоро сключените протоколи относно правилата за произход в рамките на СИП с държавите от Африка, Карибите и Тихоокеанския басейн (АКТБ). </w:t>
      </w:r>
    </w:p>
    <w:p>
      <w:pPr>
        <w:rPr>
          <w:rFonts w:eastAsia="Arial Unicode MS"/>
          <w:noProof/>
        </w:rPr>
      </w:pPr>
      <w:r>
        <w:rPr>
          <w:noProof/>
        </w:rPr>
        <w:t>Въведените основни съществени изменения са, както следва: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>Замяна на член 15 „Директен транспорт“ с нов член 15, наименуван „Забрана за промяна“, за да се позволи повече гъвкавост на икономическите оператори във връзка с доказателствата, които да се представят на митническите органи на държавата вносител, когато в трета държава се извършва претоварване или митническо складиране на стоки с произход;</w:t>
      </w:r>
    </w:p>
    <w:p>
      <w:pPr>
        <w:pStyle w:val="Bullet0"/>
        <w:rPr>
          <w:noProof/>
        </w:rPr>
      </w:pPr>
      <w:r>
        <w:rPr>
          <w:noProof/>
        </w:rPr>
        <w:t xml:space="preserve">Въвеждане на повече гъвкавост, за да се позволи на икономическите оператори да се съобразят с изискванията за доказателствата за произход, като се позволява на регистрираните износители да правят декларации за произход върху търговските документи („самостоятелно деклариране“) (член 17 и „новия“ член 21). Гана ще се ползва от 3-годишен преходен период за прилагане на самостоятелно сертифициране. </w:t>
      </w:r>
    </w:p>
    <w:p>
      <w:pPr>
        <w:pStyle w:val="Bullet0"/>
        <w:rPr>
          <w:noProof/>
        </w:rPr>
      </w:pPr>
      <w:r>
        <w:rPr>
          <w:noProof/>
        </w:rPr>
        <w:t>Заличаване на остарели разпоредби:</w:t>
      </w:r>
    </w:p>
    <w:p>
      <w:pPr>
        <w:pStyle w:val="Bullet1"/>
        <w:numPr>
          <w:ilvl w:val="0"/>
          <w:numId w:val="12"/>
        </w:numPr>
        <w:rPr>
          <w:noProof/>
        </w:rPr>
      </w:pPr>
      <w:r>
        <w:rPr>
          <w:noProof/>
        </w:rPr>
        <w:t>член 3, параграф 2, буква г) и член 3, параграф 3 във връзка с изискванията по отношение на екипажа за определението на понятията „техните плавателни съдове“ и „техните кораби-фабрики“;</w:t>
      </w:r>
    </w:p>
    <w:p>
      <w:pPr>
        <w:pStyle w:val="Bullet1"/>
        <w:rPr>
          <w:noProof/>
        </w:rPr>
      </w:pPr>
      <w:r>
        <w:rPr>
          <w:noProof/>
        </w:rPr>
        <w:t>член 7, параграф 4, член 21, член 40, член 41, параграф 5 и приложение IX към протокола;</w:t>
      </w:r>
    </w:p>
    <w:p>
      <w:pPr>
        <w:pStyle w:val="Bullet0"/>
        <w:rPr>
          <w:noProof/>
        </w:rPr>
      </w:pPr>
      <w:r>
        <w:rPr>
          <w:noProof/>
        </w:rPr>
        <w:t>Предоставяне на възможност за регионално кумулиране на произхода с други западноафрикански държави, които се ползват от безмитен и освободен от квоти достъп до ЕС;</w:t>
      </w:r>
    </w:p>
    <w:p>
      <w:pPr>
        <w:pStyle w:val="Bullet0"/>
        <w:rPr>
          <w:noProof/>
        </w:rPr>
      </w:pPr>
      <w:r>
        <w:rPr>
          <w:noProof/>
        </w:rPr>
        <w:t>Дерогация по отношение на консервите от риба тон и филета от риба тон, наречени „карета“, предоставена за срок от 1 година (член 41, параграф 9);</w:t>
      </w:r>
    </w:p>
    <w:p>
      <w:pPr>
        <w:pStyle w:val="Bullet0"/>
        <w:rPr>
          <w:noProof/>
        </w:rPr>
      </w:pPr>
      <w:r>
        <w:rPr>
          <w:noProof/>
        </w:rPr>
        <w:t xml:space="preserve">Актуализации на приложение II: въвеждане на позиция 293980 по ХС — алкалоиди от нерастителен произход; по-гъвкави правила за следните позиции по ХС: 2402 — пури от тютюн, и ex 2403 — тютюн за пушене; актуализиране на описанието на позиция ex 3002 по ХС. </w:t>
      </w:r>
    </w:p>
    <w:p>
      <w:pPr>
        <w:rPr>
          <w:rFonts w:eastAsia="Arial Unicode MS"/>
          <w:noProof/>
          <w:color w:val="000000"/>
        </w:rPr>
      </w:pPr>
      <w:r>
        <w:rPr>
          <w:noProof/>
        </w:rPr>
        <w:t>Предложеният Протокол 1 относно правилата за произход предвижда допълнителното опростяване и гъвкавост на някои правила за произход и също така подкрепя устойчивото икономическо развитие на страната по споразумението Гана, както и регионалната интеграция, благодарение на благоприятните правила за кумулация.</w:t>
      </w:r>
      <w:r>
        <w:rPr>
          <w:noProof/>
          <w:color w:val="000000"/>
        </w:rPr>
        <w:t xml:space="preserve"> </w:t>
      </w:r>
    </w:p>
    <w:p>
      <w:pPr>
        <w:rPr>
          <w:rFonts w:eastAsia="Arial Unicode MS"/>
          <w:noProof/>
          <w:color w:val="000000"/>
        </w:rPr>
      </w:pPr>
      <w:r>
        <w:rPr>
          <w:noProof/>
          <w:color w:val="000000"/>
        </w:rPr>
        <w:t>Предвиденият акт ще позволи замяната на съществуващите правила за произход, приложими към износа от Гана за Европейския съюз, установени в Регламента относно достъпа до пазара, с по-благоприятен режим на реципрочна основа.</w:t>
      </w:r>
    </w:p>
    <w:p>
      <w:pPr>
        <w:rPr>
          <w:rFonts w:eastAsia="Arial Unicode MS"/>
          <w:noProof/>
          <w:color w:val="000000"/>
        </w:rPr>
      </w:pPr>
      <w:r>
        <w:rPr>
          <w:noProof/>
          <w:color w:val="000000"/>
        </w:rPr>
        <w:t>Предложеното решение изпълнява задълженията на ЕС съгласно разпоредбите на споразумението.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Актът, който Комитетът има за задача да приеме, представлява акт с правно действие. Предвиденият акт ще бъде обвързващ съгласно международното право в съответствие с член 14 от споразумението. 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 218, параграф 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 на предвидения акт са свързани с общата търговска политика.</w:t>
      </w:r>
    </w:p>
    <w:p>
      <w:pPr>
        <w:rPr>
          <w:i/>
          <w:noProof/>
        </w:rPr>
      </w:pPr>
      <w:r>
        <w:rPr>
          <w:noProof/>
        </w:rPr>
        <w:t>Поради това материалноправното основание за предложеното решение е член 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207 от ДФЕС във връзка с член 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Тъй като целта на акта на Комитета по СИП е приемането на Протокол 1 относно определението на понятието „продукти с произход“ и методите на административно сътрудничество към Временното споразумение за икономическо партньорство между Гана, от една страна, и Европейската общност и нейните държави членки, от друга страна, е целесъобразно той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след приемането му.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2019/0156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Комитета по СИП, създаден с Временното споразумение за икономическо партньорство между Гана, от една страна, и Европейската общност и нейните държави членки, от друга страна, във връзка с приемането на Протокол 1 относно определението на понятието „продукти с произход“ и методите на административно сътрудничество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параграфи 3 и 4 във връзка с член 218, параграф 9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предложението на Европейската комисия,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Временното споразумение за икономическо партньорство между Гана, от една страна, и Европейската общност и нейните държави членки, от друга страна („споразумението“) бе подписано от името на Съюза на 28 юли 2016 г. в съответствие с Решение 2016/1850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на Съвета и се прилага временно от 15 декември 2016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 14 от споразумението страните ще установят общ режим на реципрочна основа, уреждащ правилата за произход. Този нов режим ще стане неразделна част от споразумението с решение на Комитета по СИП.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време на годишното си заседание през 2019 г. Комитетът по СИП трябва да приеме решение във връзка с Протокол 1 към споразумението относно определението на понятието „продукти с произход“ и методите на административно сътрудничество.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Тъй като решението ще бъде обвързващо за Съюза, е целесъобразно да се установи позицията, която трябва да се заеме от името на Съюза на следващото заседание на Комитета по СИП.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 договорения протокол се вземат предвид последните промени, за да се осигурят по-гъвкави и по-опростени правила за произход с цел улесняване на търговията за икономическите оператори и оптимизиране на степента на използване на преференциалното третиране, предвидено в споразумението,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i/>
          <w:noProof/>
        </w:rPr>
      </w:pPr>
      <w:r>
        <w:rPr>
          <w:noProof/>
        </w:rPr>
        <w:t>Позицията, която трябва да се заеме от името на Европейския съюз в рамките на годишното заседание през 2019 г. на Комитета по СИП, създаден с Временното споразумение за икономическо партньорство между Гана, от една страна, и Европейската общност и нейните държави членки, от друга страна, по отношение на приемането на решение на Комитета по СИП за Протокол 1 относно определението на понятието „продукти с произход“ и методите на административно сътрудничество, се основава на проекта на решение на Комитета по СИП,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2016/1850 на Съвета от 21 ноември 2008 г. за подписване и временно прилагане на Временно споразумение за икономическо партньорство между Гана, от една страна, и Европейската общност и нейните държави членки, от друга страна (ОВ L 287, 21.10.2016 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(EС) 2016/1076 на Европейския парламент и на Съвета от 8 юни 2016 г.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 в споразуменията, установяващи или водещи до установяване на споразуменията за икономическо партньорство (OВ L 185, 8.7.2016 г., стр. 1—191).</w:t>
      </w:r>
    </w:p>
  </w:footnote>
  <w:footnote w:id="3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ST 13370 2014 ADD 1 от 3 декември 2014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т. 61—64. 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2016/1850 на Съвета от 21 ноември 2008 г. за подписване и временно прилагане на Временно споразумение за икономическо партньорство между Гана, от една страна, и Европейската общност и нейните държави членки, от друга страна (ОВ L 287, 21.10.2016 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7F29B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01E5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BC664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494EC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AEE80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6D41B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496C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03E9C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15 08:51:5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373072AA-E80C-4ECD-A36E-BA21FE263363"/>
    <w:docVar w:name="LW_COVERPAGE_TYPE" w:val="1"/>
    <w:docVar w:name="LW_CROSSREFERENCE" w:val="&lt;UNUSED&gt;"/>
    <w:docVar w:name="LW_DocType" w:val="COM"/>
    <w:docVar w:name="LW_EMISSION" w:val="22.7.2019"/>
    <w:docVar w:name="LW_EMISSION_ISODATE" w:val="2019-07-22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56"/>
    <w:docVar w:name="LW_REF.II.NEW.CP_YEAR" w:val="2019"/>
    <w:docVar w:name="LW_REF.INST.NEW" w:val="COM"/>
    <w:docVar w:name="LW_REF.INST.NEW_ADOPTED" w:val="final"/>
    <w:docVar w:name="LW_REF.INST.NEW_TEXT" w:val="(2019) 3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57?\u1048?\u1055?, \u1089?\u1098?\u1079?\u1076?\u1072?\u1076?\u1077?\u1085? \u1089? \u1042?\u1088?\u1077?\u1084?\u1077?\u1085?\u1085?\u1086?\u1090?\u1086? \u1089?\u1087?\u1086?\u1088?\u1072?\u1079?\u1091?\u1084?\u1077?\u1085?\u1080?\u1077? \u1079?\u1072? \u1080?\u1082?\u1086?\u1085?\u1086?\u1084?\u1080?\u1095?\u1077?\u1089?\u1082?\u1086? \u1087?\u1072?\u1088?\u1090?\u1085?\u1100?\u1086?\u1088?\u1089?\u1090?\u1074?\u1086? \u1084?\u1077?\u1078?\u1076?\u1091? \u1043?\u1072?\u1085?\u107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 \u1087?\u1088?\u1080?\u1077?\u1084?\u1072?\u1085?\u1077?\u1090?\u1086? \u1085?\u1072? \u1055?\u1088?\u1086?\u1090?\u1086?\u1082?\u1086?\u1083? 1 \u1086?\u1090?\u1085?\u1086?\u1089?\u1085?\u1086? \u1086?\u1087?\u1088?\u1077?\u1076?\u1077?\u1083?\u1077?\u1085?\u1080?\u1077?\u1090?\u1086? \u1085?\u1072? \u1087?\u1086?\u1085?\u1103?\u1090?\u1080?\u1077?\u1090?\u1086? \u8222?\u1087?\u1088?\u1086?\u1076?\u1091?\u1082?\u1090?\u1080? \u1089? \u1087?\u1088?\u1086?\u1080?\u1079?\u1093?\u1086?\u1076?\u8220? \u1080? \u1084?\u1077?\u1090?\u1086?\u1076?\u1080?\u1090?\u1077? \u1085?\u1072? \u1072?\u1076?\u1084?\u1080?\u1085?\u1080?\u1089?\u1090?\u1088?\u1072?\u1090?\u1080?\u1074?\u1085?\u1086? \u1089?\u1098?\u1090?\u1088?\u1091?\u1076?\u1085?\u1080?\u1095?\u1077?\u1089?\u1090?\u1074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FE33DC-32F4-4D99-99DE-E2DCB5EB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7</Pages>
  <Words>1877</Words>
  <Characters>10797</Characters>
  <Application>Microsoft Office Word</Application>
  <DocSecurity>0</DocSecurity>
  <Lines>207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cp:lastPrinted>2019-01-23T15:01:00Z</cp:lastPrinted>
  <dcterms:created xsi:type="dcterms:W3CDTF">2019-06-28T09:45:00Z</dcterms:created>
  <dcterms:modified xsi:type="dcterms:W3CDTF">2019-07-15T06:51:00Z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