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3B3EFE-E14F-4FC8-9CCF-3310A5B4EAEF"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behalf of the European Union in the EPA Committee</w:t>
      </w:r>
      <w:r>
        <w:rPr>
          <w:noProof/>
        </w:rPr>
        <w:t xml:space="preserve"> established by the stepping stone </w:t>
      </w:r>
      <w:r>
        <w:rPr>
          <w:rFonts w:eastAsia="Arial Unicode MS"/>
          <w:noProof/>
        </w:rPr>
        <w:t>Economic Partnership Agreement between Ghana, of the one part, and the European Community and its Member States, of the other part, as regard the envisaged adoption of Protocol 1 to the Agreement concerning the definition of the concept of ‘originating products’ and methods of administrative cooperation</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Stepping Stone Economic Partnership Agreement between Ghana, of the one part, and the European Community and its Member States, of the other part.</w:t>
      </w:r>
    </w:p>
    <w:p>
      <w:pPr>
        <w:rPr>
          <w:rFonts w:eastAsia="Arial Unicode MS"/>
          <w:noProof/>
        </w:rPr>
      </w:pPr>
      <w:r>
        <w:rPr>
          <w:rFonts w:eastAsia="Arial Unicode MS"/>
          <w:noProof/>
        </w:rPr>
        <w:t>The Stepping Stone Economic Partnership Agreement (EPA) between Ghana, of the one part, and the European Community and its Member States, of the other part</w:t>
      </w:r>
      <w:r>
        <w:rPr>
          <w:noProof/>
        </w:rPr>
        <w:t xml:space="preserve"> </w:t>
      </w:r>
      <w:r>
        <w:rPr>
          <w:rFonts w:eastAsia="Arial Unicode MS"/>
          <w:noProof/>
        </w:rPr>
        <w:t xml:space="preserve">(‘the Agreement’) was signed by the European Union (the ‘EU’) on </w:t>
      </w:r>
      <w:r>
        <w:rPr>
          <w:rFonts w:eastAsia="Arial Unicode MS"/>
          <w:noProof/>
          <w:lang w:eastAsia="en-GB"/>
        </w:rPr>
        <w:t>28 July 2016</w:t>
      </w:r>
      <w:r>
        <w:rPr>
          <w:rStyle w:val="FootnoteReference"/>
          <w:rFonts w:eastAsia="Arial Unicode MS"/>
          <w:noProof/>
          <w:lang w:eastAsia="en-GB"/>
        </w:rPr>
        <w:footnoteReference w:id="1"/>
      </w:r>
      <w:r>
        <w:rPr>
          <w:rFonts w:eastAsia="Arial Unicode MS"/>
          <w:noProof/>
        </w:rPr>
        <w:t xml:space="preserve"> and it has been provisionally applied since 15 December 2016. </w:t>
      </w:r>
    </w:p>
    <w:p>
      <w:pPr>
        <w:rPr>
          <w:rFonts w:eastAsia="Arial Unicode MS"/>
          <w:noProof/>
        </w:rPr>
      </w:pPr>
      <w:r>
        <w:rPr>
          <w:rFonts w:eastAsia="Arial Unicode MS"/>
          <w:noProof/>
        </w:rPr>
        <w:t xml:space="preserve">The Agreement aims to (a) enable the Ghanaian Party to benefit from the enhanced market access offered by the EU; (b) promote sustainable economic development in Ghana and enhance its progressive integration into the world economy; (c) establish a free trade area between the European Union and Ghana based on common interest, through the progressive liberalisation of trade in a manner compliant with applicable World Trade Organisation rules and the principle of asymmetry, taking account of the specific needs and capacity constraints of Ghana, in terms of levels and timing for commitments; (d) set up the appropriate dispute settlement arrangements; and (e) set up the appropriate institutional arrangements. </w:t>
      </w:r>
    </w:p>
    <w:p>
      <w:pPr>
        <w:pStyle w:val="ManualHeading2"/>
        <w:rPr>
          <w:noProof/>
        </w:rPr>
      </w:pPr>
      <w:r>
        <w:t>2.2.</w:t>
      </w:r>
      <w:r>
        <w:tab/>
      </w:r>
      <w:r>
        <w:rPr>
          <w:noProof/>
        </w:rPr>
        <w:t>The EPA Committee</w:t>
      </w:r>
    </w:p>
    <w:p>
      <w:pPr>
        <w:rPr>
          <w:noProof/>
        </w:rPr>
      </w:pPr>
      <w:r>
        <w:rPr>
          <w:noProof/>
        </w:rPr>
        <w:t xml:space="preserve">The EPA Committee is a body set up in accordance with Article 73 of the Agreement. It is composed of representatives of the EU and of Ghana (the Parties) and co-chaired by a representative of each of the Parties. The EPA Committee adopts its rules of procedure. </w:t>
      </w:r>
    </w:p>
    <w:p>
      <w:pPr>
        <w:rPr>
          <w:rFonts w:eastAsia="Arial Unicode MS"/>
          <w:noProof/>
          <w:lang w:eastAsia="en-GB"/>
        </w:rPr>
      </w:pPr>
      <w:r>
        <w:rPr>
          <w:rFonts w:eastAsia="Arial Unicode MS"/>
          <w:noProof/>
          <w:lang w:eastAsia="en-GB"/>
        </w:rPr>
        <w:t>The EPA Committee deals with all matters necessary for the implementation of the Agreement, including development cooperation. In the performance of its functions, the EPA Committee may (a) set up and oversee any special committees or bodies necessary for the implementation of the Agreement; (b) meet at any time agreed by the Parties; (c) consider any issues under the Agreement and take appropriate action in the exercise of its functions; (d) take decisions or make recommendations in cases provided for in the Agreement; and (e) adopt amendments to this Agreement.</w:t>
      </w:r>
    </w:p>
    <w:p>
      <w:pPr>
        <w:rPr>
          <w:rFonts w:eastAsia="Arial Unicode MS"/>
          <w:noProof/>
          <w:lang w:eastAsia="en-GB"/>
        </w:rPr>
      </w:pPr>
      <w:r>
        <w:rPr>
          <w:rFonts w:eastAsia="Arial Unicode MS"/>
          <w:noProof/>
          <w:lang w:eastAsia="en-GB"/>
        </w:rPr>
        <w:t>The EPA Committee may review the Agreement, its implementation, operation and performance where necessary and make appropriate suggestions to the Parties for its amendment.</w:t>
      </w:r>
    </w:p>
    <w:p>
      <w:pPr>
        <w:pStyle w:val="ManualHeading2"/>
        <w:rPr>
          <w:noProof/>
        </w:rPr>
      </w:pPr>
      <w:r>
        <w:lastRenderedPageBreak/>
        <w:t>2.3.</w:t>
      </w:r>
      <w:r>
        <w:tab/>
      </w:r>
      <w:r>
        <w:rPr>
          <w:noProof/>
        </w:rPr>
        <w:t>The envisaged act of the Committee</w:t>
      </w:r>
    </w:p>
    <w:p>
      <w:pPr>
        <w:rPr>
          <w:rFonts w:eastAsia="Arial Unicode MS"/>
          <w:noProof/>
        </w:rPr>
      </w:pPr>
      <w:r>
        <w:rPr>
          <w:rFonts w:eastAsia="Arial Unicode MS"/>
          <w:noProof/>
        </w:rPr>
        <w:t>At the next meeting to be held in 2019, the</w:t>
      </w:r>
      <w:r>
        <w:rPr>
          <w:noProof/>
        </w:rPr>
        <w:t xml:space="preserve"> EPA Committee </w:t>
      </w:r>
      <w:r>
        <w:rPr>
          <w:rFonts w:eastAsia="Arial Unicode MS"/>
          <w:noProof/>
        </w:rPr>
        <w:t>is to adopt a</w:t>
      </w:r>
      <w:r>
        <w:rPr>
          <w:noProof/>
        </w:rPr>
        <w:t xml:space="preserve"> Decision </w:t>
      </w:r>
      <w:r>
        <w:rPr>
          <w:rFonts w:eastAsia="Arial Unicode MS"/>
          <w:noProof/>
        </w:rPr>
        <w:t>regarding the adoption of Protocol 1 to the Agreement concerning the definition of the concept of ‘originating products’ and methods of administrative cooperation, as agreed by the Parties, at technical level, in March 2019</w:t>
      </w:r>
      <w:r>
        <w:rPr>
          <w:noProof/>
        </w:rPr>
        <w:t xml:space="preserve"> </w:t>
      </w:r>
      <w:r>
        <w:rPr>
          <w:rFonts w:eastAsia="Arial Unicode MS"/>
          <w:noProof/>
        </w:rPr>
        <w:t>(‘the envisaged act’).</w:t>
      </w:r>
    </w:p>
    <w:p>
      <w:pPr>
        <w:rPr>
          <w:rFonts w:eastAsia="Arial Unicode MS"/>
          <w:noProof/>
        </w:rPr>
      </w:pPr>
      <w:r>
        <w:rPr>
          <w:rFonts w:eastAsia="Arial Unicode MS"/>
          <w:noProof/>
        </w:rPr>
        <w:t xml:space="preserve">The purpose of the envisaged act is to establish a common and reciprocal regime governing the rules of origin. </w:t>
      </w:r>
    </w:p>
    <w:p>
      <w:pPr>
        <w:rPr>
          <w:rFonts w:eastAsia="Arial Unicode MS"/>
          <w:noProof/>
        </w:rPr>
      </w:pPr>
      <w:r>
        <w:rPr>
          <w:rFonts w:eastAsia="Arial Unicode MS"/>
          <w:noProof/>
        </w:rPr>
        <w:t>The Agreement entered into force without a common and reciprocal regime governing the rules of origin. Article 14 of the Agreement requires the Parties to establish such regime "based on the rules of origin as defined by the Cotonou Agreement and providing for the improvement while taking into account the development objectives of Ghana". This new regime shall be incorporated into the Agreement itself by decision of the EPA Committee. In the absence of such regime, the provisions concerning rules of origin contained in Annex II to Regulation (EU) 2016/1076</w:t>
      </w:r>
      <w:r>
        <w:rPr>
          <w:rStyle w:val="FootnoteReference"/>
          <w:rFonts w:eastAsia="Arial Unicode MS"/>
          <w:noProof/>
        </w:rPr>
        <w:footnoteReference w:id="2"/>
      </w:r>
      <w:r>
        <w:rPr>
          <w:rFonts w:eastAsia="Arial Unicode MS"/>
          <w:noProof/>
        </w:rPr>
        <w:t xml:space="preserve"> (“the Market Access Regulation”) are applicable to the exports from Ghana to the European Union.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color w:val="000000"/>
          <w:lang w:eastAsia="en-GB"/>
        </w:rPr>
        <w:t xml:space="preserve">On March 2019, the Parties have agreed, at technical level, the text of a Protocol 1 to the Agreement concerning the definition of the concept of ‘originating products’ and methods for administrative cooperation. </w:t>
      </w:r>
      <w:r>
        <w:rPr>
          <w:rFonts w:eastAsia="Arial Unicode MS"/>
          <w:noProof/>
        </w:rPr>
        <w:t>The agreed Protocol 1 builds on the concluded, although not yet in force, Protocol 1 to the Economic Partnership Agreement between the West African States, the Economic Community of West African States (ECOWAS) and the West African Economic and Monetary Union (UEMOA), of the one part, and the European Union and its Member States, of the other part</w:t>
      </w:r>
      <w:r>
        <w:rPr>
          <w:rStyle w:val="FootnoteReference"/>
          <w:rFonts w:eastAsia="Arial Unicode MS"/>
          <w:noProof/>
        </w:rPr>
        <w:footnoteReference w:id="3"/>
      </w:r>
      <w:r>
        <w:rPr>
          <w:rFonts w:eastAsia="Arial Unicode MS"/>
          <w:noProof/>
        </w:rPr>
        <w:t xml:space="preserve">, which is based on the Cotonou Agreement. The agreed Protocol 1 incorporates a number of modifications to reflect the latest developments on rules of origin, including those included in the most recently concluded protocols on rules of origin under EPAs with the African, Caribbean and Pacific Group of States (ACP). </w:t>
      </w:r>
    </w:p>
    <w:p>
      <w:pPr>
        <w:rPr>
          <w:rFonts w:eastAsia="Arial Unicode MS"/>
          <w:noProof/>
        </w:rPr>
      </w:pPr>
      <w:r>
        <w:rPr>
          <w:rFonts w:eastAsia="Arial Unicode MS"/>
          <w:noProof/>
        </w:rPr>
        <w:t>The main substantial modifications introduced are:</w:t>
      </w:r>
    </w:p>
    <w:p>
      <w:pPr>
        <w:pStyle w:val="Bullet0"/>
        <w:numPr>
          <w:ilvl w:val="0"/>
          <w:numId w:val="25"/>
        </w:numPr>
        <w:rPr>
          <w:noProof/>
        </w:rPr>
      </w:pPr>
      <w:r>
        <w:rPr>
          <w:noProof/>
        </w:rPr>
        <w:t>Replacement of Article 15 “Direct transport” by a "Non-alteration", in order to allow for more flexibility for economic operators regarding the evidences that shall be supplied to customs authorities of the importing country when trans-shipment or customs warehousing of originating goods takes place in a third country;</w:t>
      </w:r>
    </w:p>
    <w:p>
      <w:pPr>
        <w:pStyle w:val="Bullet0"/>
        <w:rPr>
          <w:noProof/>
        </w:rPr>
      </w:pPr>
      <w:r>
        <w:rPr>
          <w:noProof/>
        </w:rPr>
        <w:t xml:space="preserve">Introduction of more flexibility for economic operators to comply with proofs of origin by allowing registered exporters to issue origin declarations on commercial documents (“self-declaration”) (Articles 17 and “new” 21). Ghana will benefit from a 3-years transition period to implement self-certification. </w:t>
      </w:r>
    </w:p>
    <w:p>
      <w:pPr>
        <w:pStyle w:val="Bullet0"/>
        <w:rPr>
          <w:noProof/>
        </w:rPr>
      </w:pPr>
      <w:r>
        <w:rPr>
          <w:noProof/>
        </w:rPr>
        <w:t>Deletion of outdated provisions:</w:t>
      </w:r>
    </w:p>
    <w:p>
      <w:pPr>
        <w:pStyle w:val="Bullet1"/>
        <w:numPr>
          <w:ilvl w:val="0"/>
          <w:numId w:val="26"/>
        </w:numPr>
        <w:rPr>
          <w:noProof/>
        </w:rPr>
      </w:pPr>
      <w:r>
        <w:rPr>
          <w:noProof/>
        </w:rPr>
        <w:t>Article 3(2)(d) and 3(3) concerning crew requirements for the definition of “their vessels” and “their factory ships”;</w:t>
      </w:r>
    </w:p>
    <w:p>
      <w:pPr>
        <w:pStyle w:val="Bullet1"/>
        <w:rPr>
          <w:noProof/>
        </w:rPr>
      </w:pPr>
      <w:r>
        <w:rPr>
          <w:noProof/>
        </w:rPr>
        <w:t>Articles 7(4), 21, 40, 41(5) and Annex IX to Protocol;</w:t>
      </w:r>
    </w:p>
    <w:p>
      <w:pPr>
        <w:pStyle w:val="Bullet0"/>
        <w:rPr>
          <w:noProof/>
        </w:rPr>
      </w:pPr>
      <w:r>
        <w:rPr>
          <w:noProof/>
        </w:rPr>
        <w:lastRenderedPageBreak/>
        <w:t>Allowing regional cumulation of origin with other West Africa countries which benefit from duty-free and quota-free access to the EU;</w:t>
      </w:r>
    </w:p>
    <w:p>
      <w:pPr>
        <w:pStyle w:val="Bullet0"/>
        <w:rPr>
          <w:noProof/>
        </w:rPr>
      </w:pPr>
      <w:r>
        <w:rPr>
          <w:noProof/>
        </w:rPr>
        <w:t>Derogation for canned-tuna and tuna loins granted for 1 year (Art 41.9);</w:t>
      </w:r>
    </w:p>
    <w:p>
      <w:pPr>
        <w:pStyle w:val="Bullet0"/>
        <w:rPr>
          <w:noProof/>
        </w:rPr>
      </w:pPr>
      <w:r>
        <w:rPr>
          <w:noProof/>
        </w:rPr>
        <w:t xml:space="preserve">Updates to Annex II: introduction of HS heading 293980 alkaloids of non-vegetal origin; more flexible rules for HS 2402 tobacco cigar and ex 2403 smoking tobacco; update description of HS ex 3002. </w:t>
      </w:r>
    </w:p>
    <w:p>
      <w:pPr>
        <w:rPr>
          <w:rFonts w:eastAsia="Arial Unicode MS"/>
          <w:noProof/>
          <w:color w:val="000000"/>
          <w:lang w:eastAsia="en-GB"/>
        </w:rPr>
      </w:pPr>
      <w:r>
        <w:rPr>
          <w:rFonts w:eastAsia="Arial Unicode MS"/>
          <w:noProof/>
        </w:rPr>
        <w:t>The proposed Protocol 1 on rules of origin provides for further simplification and flexibility of certain rules of origin and it also favours sustainable economic development of the Ghanaian Party and regional integration due to favourable rules on cumulation.</w:t>
      </w:r>
      <w:r>
        <w:rPr>
          <w:rFonts w:eastAsia="Arial Unicode MS"/>
          <w:noProof/>
          <w:color w:val="000000"/>
          <w:lang w:eastAsia="en-GB"/>
        </w:rPr>
        <w:t xml:space="preserve"> </w:t>
      </w:r>
    </w:p>
    <w:p>
      <w:pPr>
        <w:rPr>
          <w:rFonts w:eastAsia="Arial Unicode MS"/>
          <w:noProof/>
          <w:color w:val="000000"/>
          <w:lang w:eastAsia="en-GB"/>
        </w:rPr>
      </w:pPr>
      <w:r>
        <w:rPr>
          <w:rFonts w:eastAsia="Arial Unicode MS"/>
          <w:noProof/>
          <w:color w:val="000000"/>
          <w:lang w:eastAsia="en-GB"/>
        </w:rPr>
        <w:t>The envisage act would allow the replacement of the current rules of origin applicable to exports from Ghana to the European Union, as defined in the Market Access Regulation, by a more favourable and reciprocal regime.</w:t>
      </w:r>
    </w:p>
    <w:p>
      <w:pPr>
        <w:rPr>
          <w:rFonts w:eastAsia="Arial Unicode MS"/>
          <w:noProof/>
          <w:color w:val="000000"/>
          <w:lang w:eastAsia="en-GB"/>
        </w:rPr>
      </w:pPr>
      <w:r>
        <w:rPr>
          <w:rFonts w:eastAsia="Arial Unicode MS"/>
          <w:noProof/>
          <w:color w:val="000000"/>
          <w:lang w:eastAsia="en-GB"/>
        </w:rPr>
        <w:t>The proposed decision fulfils the EU's obligations under the provisions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 xml:space="preserve">The act which the Committee is called upon to adopt constitutes an act having legal effects. The envisaged act will be binding under international law in accordance with Articles 14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EPA Committee will adopt a Protocol 1 </w:t>
      </w:r>
      <w:r>
        <w:rPr>
          <w:rFonts w:eastAsia="Arial Unicode MS"/>
          <w:noProof/>
          <w:color w:val="000000"/>
          <w:lang w:eastAsia="en-GB"/>
        </w:rPr>
        <w:t>concerning the definition of the concept of ‘originating products’ and methods for administrative cooperation</w:t>
      </w:r>
      <w:r>
        <w:rPr>
          <w:noProof/>
        </w:rPr>
        <w:t xml:space="preserve"> to the stepping stone </w:t>
      </w:r>
      <w:r>
        <w:rPr>
          <w:rFonts w:eastAsia="Arial Unicode MS"/>
          <w:noProof/>
        </w:rPr>
        <w:t>Economic Partnership Agreement between Ghana, of the one part, and the European Community and its Member States, of the other part</w:t>
      </w:r>
      <w:r>
        <w:rPr>
          <w:noProof/>
        </w:rPr>
        <w:t xml:space="preserve">,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EPA Committee established under the stepping stone Economic Partnership Agreement between Ghana, of the one part, and the European Community and its Member States, of the other part, as regards the adoption of Protocol 1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Stepping Stone Economic Partnership Agreement between Ghana, of the one part, and the European Community and its Member States, of the other part ('the Agreement') was signed on behalf of the Union on 28 July 2016 pursuant to Council Decision 2016/1850</w:t>
      </w:r>
      <w:r>
        <w:rPr>
          <w:rStyle w:val="FootnoteReference"/>
          <w:noProof/>
        </w:rPr>
        <w:footnoteReference w:id="5"/>
      </w:r>
      <w:r>
        <w:rPr>
          <w:noProof/>
        </w:rPr>
        <w:t xml:space="preserve"> and has been applied on a provisional basis since 15 December 2016.</w:t>
      </w:r>
    </w:p>
    <w:p>
      <w:pPr>
        <w:pStyle w:val="ManualConsidrant"/>
        <w:rPr>
          <w:noProof/>
        </w:rPr>
      </w:pPr>
      <w:r>
        <w:t>(2)</w:t>
      </w:r>
      <w:r>
        <w:tab/>
      </w:r>
      <w:r>
        <w:rPr>
          <w:noProof/>
        </w:rPr>
        <w:t>Pursuant to Article 14 of the Agreement, the Parties will establish a common and reciprocal regime governing rules of origin. This new regime will become an integral part of the Agreement by decision of the EPA Committee.</w:t>
      </w:r>
    </w:p>
    <w:p>
      <w:pPr>
        <w:pStyle w:val="ManualConsidrant"/>
        <w:rPr>
          <w:noProof/>
        </w:rPr>
      </w:pPr>
      <w:r>
        <w:t>(3)</w:t>
      </w:r>
      <w:r>
        <w:tab/>
      </w:r>
      <w:r>
        <w:rPr>
          <w:noProof/>
        </w:rPr>
        <w:t>The EPA Committee, at its annual meeting in 2019, is to adopt a decision as regards Protocol 1 to the Agreement concerning the definition of the concept of ‘originating products’ and the methods of administrative cooperation.</w:t>
      </w:r>
    </w:p>
    <w:p>
      <w:pPr>
        <w:pStyle w:val="ManualConsidrant"/>
        <w:rPr>
          <w:noProof/>
        </w:rPr>
      </w:pPr>
      <w:r>
        <w:t>(4)</w:t>
      </w:r>
      <w:r>
        <w:tab/>
      </w:r>
      <w:r>
        <w:rPr>
          <w:noProof/>
        </w:rPr>
        <w:t>It is appropriate to establish the position to be taken on behalf of the Union at the next meeting of the EPA Committee, as that decision will be binding on the Union.</w:t>
      </w:r>
    </w:p>
    <w:p>
      <w:pPr>
        <w:pStyle w:val="ManualConsidrant"/>
        <w:rPr>
          <w:noProof/>
        </w:rPr>
      </w:pPr>
      <w:r>
        <w:t>(5)</w:t>
      </w:r>
      <w:r>
        <w:tab/>
      </w:r>
      <w:r>
        <w:rPr>
          <w:noProof/>
        </w:rPr>
        <w:t>The agreed Protocol takes into account the most recent developments to provide more flexible and simpler rules of origin aiming at facilitating trade for economic operators and optimising the utilisation rate of the preferential treatment provided for in the Agreement,</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 xml:space="preserve">The position to be taken on behalf of the European Union in the 2019 annual meeting of the EPA Committee set up by the stepping stone Economic Partnership Agreement between Ghana, of the one part, and the European Community and its Member States, of the other part, </w:t>
      </w:r>
      <w:r>
        <w:rPr>
          <w:noProof/>
        </w:rPr>
        <w:lastRenderedPageBreak/>
        <w:t>as regards the adoption of a decision of the EPA Committee on Protocol 1 concerning the definition of the concept of 'originating products' and methods of administrative cooperation, shall be based on the draft decision of the EPA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2016/1850 of 21 November 2008 on the signature and provisional application of the stepping stone Economic Partnership Agreement between Ghana, of the one part, and the European Community and its Members States, of the other part (OJ L 287, 21.10.2016, p. 1).</w:t>
      </w:r>
    </w:p>
  </w:footnote>
  <w:footnote w:id="2">
    <w:p>
      <w:pPr>
        <w:pStyle w:val="FootnoteText"/>
      </w:pPr>
      <w:r>
        <w:rPr>
          <w:rStyle w:val="FootnoteReference"/>
        </w:rPr>
        <w:footnoteRef/>
      </w:r>
      <w:r>
        <w:tab/>
        <w:t>Regulation (EU) 2016/1076 of the European Parliament and of the Council of 8 June 2016 applying the arrangements for products originating in certain states which are part of the African, Caribbean and Pacific (ACP) Group of States provided for in agreements establishing, or leading to the establishment of, economic partnership agreements (OJ L 185, 8.7.2016, p.1-191).</w:t>
      </w:r>
    </w:p>
  </w:footnote>
  <w:footnote w:id="3">
    <w:p>
      <w:pPr>
        <w:pStyle w:val="FootnoteText"/>
        <w:rPr>
          <w:lang w:val="it-IT"/>
        </w:rPr>
      </w:pPr>
      <w:r>
        <w:rPr>
          <w:rStyle w:val="FootnoteReference"/>
        </w:rPr>
        <w:footnoteRef/>
      </w:r>
      <w:r>
        <w:tab/>
        <w:t>ST 13370 2014 ADD 1, of 3 December 2014</w:t>
      </w:r>
    </w:p>
  </w:footnote>
  <w:footnote w:id="4">
    <w:p>
      <w:pPr>
        <w:pStyle w:val="FootnoteText"/>
      </w:pPr>
      <w:r>
        <w:rPr>
          <w:rStyle w:val="FootnoteReference"/>
        </w:rPr>
        <w:footnoteRef/>
      </w:r>
      <w:r>
        <w:tab/>
        <w:t xml:space="preserve">Judgment of the Court of Justice of 7 October 2014, Germany v Council, C-399/12, paragraphs 61 to 64. </w:t>
      </w:r>
    </w:p>
  </w:footnote>
  <w:footnote w:id="5">
    <w:p>
      <w:pPr>
        <w:pStyle w:val="FootnoteText"/>
      </w:pPr>
      <w:r>
        <w:rPr>
          <w:rStyle w:val="FootnoteReference"/>
        </w:rPr>
        <w:footnoteRef/>
      </w:r>
      <w:r>
        <w:tab/>
        <w:t>Council Decision (EU) 2016/1850 of 21 November 2008 on the signature and provisional application of the stepping stone Economic Partnership Agreement between Ghana, of the one part, and the European Community and its Member States, of the other part (OJ L 287, 21.10.2016,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9B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E5C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C664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6C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4"/>
    <w:lvlOverride w:ilvl="0">
      <w:startOverride w:val="1"/>
    </w:lvlOverride>
  </w:num>
  <w:num w:numId="26">
    <w:abstractNumId w:val="16"/>
    <w:lvlOverride w:ilvl="0">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8:52: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23B3EFE-E14F-4FC8-9CCF-3310A5B4EAEF"/>
    <w:docVar w:name="LW_COVERPAGE_TYPE" w:val="1"/>
    <w:docVar w:name="LW_CROSSREFERENCE" w:val="&lt;UNUSED&gt;"/>
    <w:docVar w:name="LW_DocType" w:val="COM"/>
    <w:docVar w:name="LW_EMISSION" w:val="22.7.2019"/>
    <w:docVar w:name="LW_EMISSION_ISODATE" w:val="2019-07-2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6"/>
    <w:docVar w:name="LW_REF.II.NEW.CP_YEAR" w:val="2019"/>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PA Committee established under the stepping stone Economic Partnership Agreement between Ghana, of the one part, and the European Community and its Member States, of the other part, as regards the adoption of Protocol 1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2836E6-1404-4F7A-BCA3-5A19835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1894</Words>
  <Characters>9984</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2019-01-23T15:01:00Z</cp:lastPrinted>
  <dcterms:created xsi:type="dcterms:W3CDTF">2019-05-03T08:49:00Z</dcterms:created>
  <dcterms:modified xsi:type="dcterms:W3CDTF">2019-07-15T06:52:00Z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