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FEE0A93-385B-48F3-AA7C-7D59668848FE" style="width:450.75pt;height:465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360"/>
        <w:jc w:val="center"/>
        <w:rPr>
          <w:b/>
          <w:noProof/>
          <w:u w:val="single"/>
        </w:rPr>
      </w:pPr>
      <w:bookmarkStart w:id="0" w:name="_GoBack"/>
      <w:bookmarkEnd w:id="0"/>
      <w:r>
        <w:rPr>
          <w:b/>
          <w:noProof/>
          <w:u w:val="single"/>
        </w:rPr>
        <w:lastRenderedPageBreak/>
        <w:t>ПРИЛОЖЕНИЕ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Решение № …./2019 на Управителния подкомитет по санитарните и фитосанитарните мерки ЕС — Украйна</w:t>
      </w:r>
    </w:p>
    <w:p>
      <w:pPr>
        <w:jc w:val="center"/>
        <w:rPr>
          <w:b/>
          <w:noProof/>
        </w:rPr>
      </w:pPr>
      <w:r>
        <w:rPr>
          <w:b/>
          <w:noProof/>
        </w:rPr>
        <w:t>от ...... 2019 г.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>за изменение на приложение V към Споразумението за асоцииране</w:t>
      </w:r>
    </w:p>
    <w:p>
      <w:pPr>
        <w:spacing w:line="276" w:lineRule="auto"/>
        <w:rPr>
          <w:noProof/>
        </w:rPr>
      </w:pPr>
      <w:r>
        <w:rPr>
          <w:noProof/>
        </w:rPr>
        <w:t>УПРАВИТЕЛНИЯТ ПОДКОМИТЕТ ПО УПРАВЛЕНИЕ НА САНИТАРНИТЕ И ФИТОСАНИТАРНИТЕ МЕРКИ,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>, подписано в Брюксел на 27 юни 2014 г., и по-специално член 74, параграф 2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 („Споразумението“), влезе в сила на 1 септември 2017 г.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В член 64, параграф 1 от Споразумението се предвижда Украйна да сближи своето законодателство в областта на санитарните и фитосанитарните въпроси и на хуманното отношение към животните с това на Съюза, както е посочено в приложение V към Споразумението.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С член 64, параграф 4 от Споразумението Украйна се задължава да представи списък с разпоредби на достиженията на правото на Съюза в областта на санитарните и фитосанитарните въпроси и на хуманното отношение към животните („списъкът“), с които възнамерява да сближи своето национално законодателство. Цялостната стратегия е предназначена да служи за референтен документ за прилагането на глава 4 („Санитарни и фитосанитарни мерки“) от дял IV („Търговия и свързани с търговията въпроси“) на Споразумението.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През октомври 2018 г. Украйна представи списъка на Европейската комисия. Поради това и въз основа на този списък Подкомитетът по санитарните и фитосанитарните мерки ще приеме предвидения акт, с който се изменя приложение V от Споразумението.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Поради това е целесъобразно Управителният подкомитет по управление на санитарните и фитосанитарните мерки да вземе решение за замяната на сегашното приложение V с ново приложение,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 V към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страна, се заменя с приложението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spacing w:after="240"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spacing w:after="360"/>
        <w:rPr>
          <w:noProof/>
        </w:rPr>
      </w:pPr>
      <w:r>
        <w:rPr>
          <w:noProof/>
        </w:rPr>
        <w:t>Съставено в … на … година.</w:t>
      </w:r>
    </w:p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lastRenderedPageBreak/>
              <w:t>За Управителния подкомитет по санитарните и фитосанитарните мерки</w:t>
            </w:r>
          </w:p>
        </w:tc>
      </w:tr>
      <w:tr>
        <w:tc>
          <w:tcPr>
            <w:tcW w:w="9213" w:type="dxa"/>
            <w:gridSpan w:val="2"/>
          </w:tcPr>
          <w:p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За председател:</w:t>
            </w:r>
          </w:p>
        </w:tc>
      </w:tr>
      <w:tr>
        <w:tc>
          <w:tcPr>
            <w:tcW w:w="4606" w:type="dxa"/>
          </w:tcPr>
          <w:p>
            <w:pPr>
              <w:rPr>
                <w:noProof/>
              </w:rPr>
            </w:pPr>
          </w:p>
        </w:tc>
        <w:tc>
          <w:tcPr>
            <w:tcW w:w="4607" w:type="dxa"/>
          </w:tcPr>
          <w:p>
            <w:pPr>
              <w:rPr>
                <w:noProof/>
              </w:rPr>
            </w:pPr>
          </w:p>
        </w:tc>
      </w:tr>
      <w:tr>
        <w:tc>
          <w:tcPr>
            <w:tcW w:w="9213" w:type="dxa"/>
            <w:gridSpan w:val="2"/>
          </w:tcPr>
          <w:p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t>Секретари</w:t>
            </w:r>
          </w:p>
        </w:tc>
      </w:tr>
      <w:tr>
        <w:tc>
          <w:tcPr>
            <w:tcW w:w="460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За Съюза</w:t>
            </w:r>
          </w:p>
        </w:tc>
        <w:tc>
          <w:tcPr>
            <w:tcW w:w="4607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За Украйна</w:t>
            </w:r>
          </w:p>
        </w:tc>
      </w:tr>
    </w:tbl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</w:t>
      </w:r>
    </w:p>
    <w:p>
      <w:pPr>
        <w:spacing w:after="360"/>
        <w:jc w:val="center"/>
        <w:rPr>
          <w:noProof/>
        </w:rPr>
      </w:pPr>
      <w:r>
        <w:rPr>
          <w:noProof/>
        </w:rPr>
        <w:t>ИЗМЕНЕНИЕ НА ПРИЛОЖЕНИЕ V КЪМ СПОРАЗУМЕНИЕТО ЗА АСОЦИИРАНЕ</w:t>
      </w:r>
    </w:p>
    <w:p>
      <w:pPr>
        <w:rPr>
          <w:noProof/>
        </w:rPr>
      </w:pPr>
      <w:r>
        <w:rPr>
          <w:noProof/>
        </w:rPr>
        <w:t>Приложение V се заменя със следното:</w:t>
      </w:r>
    </w:p>
    <w:p>
      <w:pPr>
        <w:spacing w:before="360" w:after="360"/>
        <w:jc w:val="center"/>
        <w:rPr>
          <w:noProof/>
        </w:rPr>
      </w:pPr>
      <w:r>
        <w:rPr>
          <w:noProof/>
        </w:rPr>
        <w:t>„ПРИЛОЖЕНИЕ V</w:t>
      </w:r>
    </w:p>
    <w:p>
      <w:pPr>
        <w:spacing w:after="360"/>
        <w:jc w:val="center"/>
        <w:rPr>
          <w:noProof/>
        </w:rPr>
      </w:pPr>
      <w:r>
        <w:rPr>
          <w:noProof/>
        </w:rPr>
        <w:t>СПИСЪК НА ЗАКОНОДАТЕЛНИТЕ АКТОВЕ НА СЪЮЗА, С КОИТО УКРАЙНА ВЪЗНАМЕРЯВА ДА СБЛИЖИ СВОЕТО ЗАКОНОДАТЕЛСТВО</w:t>
      </w:r>
    </w:p>
    <w:p>
      <w:pPr>
        <w:spacing w:after="360"/>
        <w:rPr>
          <w:noProof/>
        </w:rPr>
      </w:pPr>
      <w:r>
        <w:rPr>
          <w:noProof/>
        </w:rPr>
        <w:t>В съответствие с член 64, параграф 4 от настоящото споразумение Украйна се задължава да сближи своето законодателство със следното законодателство на Съюза в рамките на посочените по-долу срокове за приемане и прилагане.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5"/>
        <w:gridCol w:w="2801"/>
      </w:tblGrid>
      <w:tr>
        <w:trPr>
          <w:tblHeader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noProof/>
              </w:rPr>
              <w:t>Законодателство на Съюза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Срок за приемане</w:t>
            </w:r>
            <w:r>
              <w:rPr>
                <w:rStyle w:val="FootnoteReference"/>
                <w:noProof/>
              </w:rPr>
              <w:footnoteReference w:id="2"/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noProof/>
              </w:rPr>
              <w:t>Глава I — Общи законодателни актове (обществено здравеопазване)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91/496/ЕИО на Съвета от 15 юли 1991 г. относно определяне на принципите на организация на ветеринарните проверки на животни, въведени в Общността от трети страни, и за изменение на Директиви 89/662/ЕИО, 90/425/ЕИО и 90/675/ЕИО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97/78/ЕО на Съвета от 18 декември 1997 г. за определяне на принципите, които регулират организацията на ветеринарните проверки на продуктите, въведени в Общността от трети страни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178/2002 на Европейския парламент и на Съвета от 28 януари 2002 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2016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2002/99/ЕО на Съвета от 16 декември 2002 г. за установяване на ветеринарно-санитарни правила, регулиращи производството, преработката, разпространението и пускането на пазара на продукти от животински произход за консумация от човека</w:t>
            </w:r>
          </w:p>
        </w:tc>
        <w:tc>
          <w:tcPr>
            <w:tcW w:w="1421" w:type="pct"/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852/2004 на Европейския парламент и на Съвета от 29 април 2004 г. относно хигиената на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2016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 април 2004 г. относно определяне на специфични хигиенни правила за храните от животински произход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854/2004 на Европейския парламент и на Съвета от 29 април 2004 г. за определяне на специфичните правила за организирането на официален контрол върху продуктите от животински произход, предназначени за човешка консумация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2016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669/2009 на Комисията от 24 юли 2009 г. за прилагане на Регламент (ЕО) № 882/2004 на Европейския парламент и на Съвета по отношение на засиления официален контрол върху вноса на някои фуражи и храни от неживотински произход и за изменение на Решение 2006/504/ЕО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16/2011 на Комисията от 10 януари 2011 г. за установяване на мерки за прилагане за Системата за бързо предупреждение за храни и фуражи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931/2011 на Комисията от 19 септември 2011 г. относно изискванията за възможността за проследяване, установени с Регламент (ЕО) № 178/2002 на Европейския парламент и на Съвета относно храните от животински произход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208/2013 на Комисията от 11 март 2013 г. относно изискванията за проследяване на кълновете и на семената, предназначени за производство на кълнове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caps/>
                <w:noProof/>
                <w:szCs w:val="24"/>
              </w:rPr>
            </w:pPr>
            <w:r>
              <w:rPr>
                <w:caps/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Етикетиране и информация за хранителните продукти</w:t>
            </w:r>
          </w:p>
        </w:tc>
      </w:tr>
      <w:tr>
        <w:trPr>
          <w:trHeight w:val="718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1924/2006 на Европейския парламент и на Съвета от 20 декември 2006 г. относно хранителни и здравни претенции за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718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1925/2006 на Европейския парламент и на Съвета от 20 декември 2006 г. относно влагането на витамини, минерали и някои други вещества в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718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1169/2011 на Европейския парламент и на Съвета от 25 октомври 2011 г. за предоставянето на информация за храните на потребителите, за изменение на регламенти (ЕО) № 1924/2006 и (ЕО) № 1925/2006 на Европейския парламент и на Съвета и за отмяна на Директива 87/250/ЕИО на Комисията, Директива 90/496/ЕИО на Съвета, Директива 1999/10/ЕО на Комисията, Директива 2000/13/ЕО на Европейския парламент и на Съвета, директиви 2002/67/ЕО и 2008/5/ЕО на Комисията и на Регламент (ЕО) № 608/2004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2011/91/ЕС на Европейския парламент и на Съвета от 13 декември 2011 г. относно означенията или маркировките, идентифициращи партидата, към която принадлежи дадена храна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432/2012 на Комисията от 16 май 2012 г. за създаване на списък на разрешените здравни претенции за храни, различни от претенциите, които се отнасят до намаляване на риска от заболяване и до развитието и здравето на децата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за изпълнение 2013/63/ЕС на Комисията от 24 януари 2013 г. за приемане на насоки за прилагането на специфичните условия за здравни претенции, изложени в член 10 от Регламент (ЕО) № 1924/2006 на Европейския парламент и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Мерки, приложими към животинските продукти</w:t>
            </w:r>
          </w:p>
        </w:tc>
      </w:tr>
      <w:tr>
        <w:trPr>
          <w:trHeight w:val="317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2001/110/ЕО на Съвета от 20 декември 2001 г. относно меда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rPr>
          <w:trHeight w:val="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2002/226/ЕО на Комисията от 15 март 2002 г. за въвеждане на специален ветеринарно-санитарен контрол върху събирането и преработката на някои двучерупчести мекотели, съдържащи токсина ASP (amnesic shellfish poison) в количества, надвишаващи границата, определена с Директива 91/492/ЕИО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2065/2003 на Европейския парламент и на Съвета от 10 ноември 2003 г. относно пушилни ароматизанти, използвани или предназначени за влагане в или върху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I, допълнение 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V, допълнение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 г. относно определяне на специфични хигиенни правила за храните от животински произход (глава VІІ, допълнение ІІІ)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 г. относно определяне на специфични хигиенни правила за храните от животински произход (глава VІІI, допълнение ІІІ)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853/2004 на Европейския парламент и на Съвета от 29 април 2004 г. относно определяне на специфични хигиенни правила за храните от животински произход (глава ІХ, допълнение ІІІ)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Х, допълнение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 г. относно определяне на специфични хигиенни правила за храните от животински произход (глава ХІ, допълнение ІІІ)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ХII, допълнение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ХIII, допълнение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ХIV, допълнение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ХV, допълнение III)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854/2004 на Европейския парламент и на Съвета от 29 април 2004 г. за определяне на специфичните правила за организирането на официален контрол върху продуктите от животински произход, предназначени за човешка консумация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37/2005 на Комисията от 12 януари 2005 г. относно мониторинга на температурата в транспортните средства и съоръженията за складиране и съхраняване на бързозамразени храни, предназначени за консумация от човека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</w:tr>
      <w:tr>
        <w:trPr>
          <w:trHeight w:val="792"/>
        </w:trP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1331/2008 на Европейския парламент и на Съвета от 16 декември 2008 г. за установяване на обща разрешителна процедура за добавките в храните, ензимите в храните и ароматизантите в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 1332/2008 на Европейския парламент и на Съвета от 16 декември 2008 г. относно ензимите в храните и за изменение на Директива 83/417/ЕИО на Съвета, Регламент (ЕО) № 1493/1999 на Съвета, Директива 2000/13/ЕО, Директива 2001/112/ЕО на Съвета и Регламент (ЕО) № 258/97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1333/2008 на Европейския парламент и на Съвета от 16 декември 2008 г. относно добавките в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1334/2008 на Европейския парламент и на Съвета от 16 декември 2008 г. относно ароматизантите и определени хранителни съставки с ароматични свойства за влагане във или върху храни и за изменение на Регламент (ЕИО) № 1601/91 на Съвета, регламенти (ЕО) № 2232/96 и (ЕО) № 110/2008 и Директива 2000/13/ЕО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234/2011 на Комисията от 10 март 2011 г. за прилагане на Регламент (ЕО) № 1331/2008 на Европейския парламент и на Съвета за установяване на обща разрешителна процедура за добавките в храните, ензимите в храните и ароматизантите в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520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231/2012 на Комисията от 9 март 2012 г. за определяне на спецификации на добавките в храните, включени в списъците в приложения II и III към Регламент (ЕО) № 1333/2008 на Европейския парламент и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за изпълнение (ЕС) № 872/2012 на Комисията от 1 октомври 2012 г. за приемане на предвидения в Регламент (ЕО) № 2232/96 на Европейския парламент и на Съвета списък на ароматичните вещества, за въвеждането му в приложение I към Регламент (ЕО) № 1334/2008 на Европейския парламент и на Съвета и за отмяна на Регламент (ЕО) № 1565/2000 на Комисията и на Решение 1999/217/ЕО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873/2012 на Комисията от 1 октомври 2012 г. относно преходните мерки, засягащи списъка на Съюза на ароматизантите и изходните материали, установен в приложение I към Регламент (ЕО) № 1334/2008 на Европейския парламент и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Други мерки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78/142/ЕИО на Съвета от 30 януари 1978 г. за сближаване на законодателствата на държавите членки относно материалите и предметите, които съдържат винилхлориден мономер и са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82/711/ЕИО на Съвета oт 18 октомври 1982 г. за установяване на основните правила, необходими за изпитване на миграцията на съставките на пластмасови материали и изделия,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84/500/ЕИО на Съвета от 15 октомври 1984 г. за сближаване на законодателствата на държавите членки относно керамичните предмети,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85/572/ЕИО на Съвета от 19 декември 1985 г. за определяне на списъка на симуланти, които да бъдат използвани за изпитване на миграцията на съставките на пластмасовите материали и предмети,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93/11/ЕИО на Комисията от 15 март 1993 г. за изпускане на N-нитрозамини и N-нитрозиращи вещества от биберони и залъгалки, произведени от еластомер или каучук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1829/2003 на Европейския парламент и на Съвета от 22 септември 2003 г. относно генетично модифицираните храни и фуражи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641/2004 на Комисията от 6 април 2004 г. за определяне на подробни правила за прилагане на Регламент (ЕО) № 1829/2003 на Европейския парламент и на Съвета относно заявлението за разрешение за нови генетично модифицирани храни и фуражи, нотификацията на съществуващи продукти, инцидентното или технически неизбежното наличие на генетично модифициран материал, който е бил предмет на оценяване на съществуващия риск и е получил благоприятно становище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1935/2004 на Европейския парламент и на Съвета от 27 октомври 2004 г. относно материалите и предметите, предназначени за контакт с храни, и за отмяна на Директиви 80/590/ЕИО и 89/109/ЕИО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1895/2005 на Комисията от 18 ноември 2005 г. за ограничаване на употребата на определени епоксидни производни, използвани за производство на материали и предмети,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2023/2006 на Комисията от 22 декември 2006 г. относно добра производствена практика за материали и предмети,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2007/275/ЕО на Комисията от 17 април 2007 г. относно списъците с животни и продукти, които подлежат на проверка в граничните инспекционни пунктове съгласно Директиви 91/496/ЕИО и 97/78/ЕО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2007/42/ЕО на Комисията от 29 юни 2007 г. относно материалите и предметите, изработени от филм от регенерирана целулоза,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282/2008 на Комисията от 27 март 2008 г. относно материали и предмети от рециклирана пластмаса, предназначени за контакт с храни и за изменение на Регламент (ЕО) № 2023/2006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450/2009 на Комисията от 29 май 2009 г. относно активните и интелигентните материали и предмети,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2010/169/ЕС на Комисията от 19 март 2010 г. относно невключването на 2,4,4′-трихлоро-2′-хидроксидифенилов етер в списъка на Съюза на добавките, които могат да бъдат използвани за производството на материали и предмети от пластмаси, предназначени за контакт с храни съгласно Директива 2002/72/ЕО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10/2011 на Комисията от 14 януари 2011 г. относно материалите и предметите от пластмаси, предназначени за контакт с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284/2011 на Комисията от 22 март 2011 г. за определяне на специфични условия и подробни процедури за вноса на пластмасови кухненски съдове и прибори от полиамид и меламин с произход или изпратени от Китайската народна република и специалния административен район Хонконг, Китай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28/2012 на Комисията от 11 януари 2012 г. за установяване на приложимите изисквания при сертифициране на определени съставни продукти във връзка с вноса и транзитното им преминаване през територията на Съюза и за изменение на Решение 2007/275/ЕО и Регламент (ЕО) № 1162/2009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Мерки, които трябва да се включат след сближаване на законодателството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96/23/ЕО на Съвета от 29 април 1996 г. относно мерките за наблюдение на някои вещества и остатъци от тях при живи животни и продукти от животински произход и за отмяна на директиви 85/358/ЕИО и 86/469/ЕИО и решения 89/187/ЕИО и 91/664/ЕИО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 258/97 на Европейския парламент и на Съвета от 27 януари 1997 г. относно нови храни и нови хранителни съставки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1999/2/ЕО на Европейския парламент и на Съвета от 22 февруари 1999 г. за сближаване на законодателствата на държавите членки относно храните и хранителните съставки, които са обработени с йонизиращо лъчение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Директива 1999/3/ЕО на Европейския парламент и на Съвета от 22 февруари 1999 г. относно съставянето на списък на Общността за храни и хранителни съставки, които са обработени с йонизиращо лъчение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2002/63/ЕО на Комисията от 11 юли 2002 г. за определяне на методи на Общността за вземане на проби за официалния контрол на остатъци от пестициди във и върху продукти от растителен и животински произход и за отмяна на Директива 79/700/ЕИО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681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401/2006 на Комисията от 23 февруари 2006 г. за установяване на методи за вземане на проби и за анализ за целите на официалния контрол на нивата за микотоксини в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681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 (ЕО) № 1881/2006 на Комисията от 19 декември 2006 г. за определяне на максимално допустимите количества на някои замърсители в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rPr>
          <w:trHeight w:val="681"/>
        </w:trP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1882/2006 на Комисията от 19 декември 2006 г. относно методи за вземане на проби и анализ за целите на официалния контрол на храни за съдържание на нитрати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333/2007 на Комисията от 28 март 2007 г. за определяне на методите за вземане на проби и анализ за официалния контрол върху съдържанието на олово, кадмий, живак, неорганичен калай, 3-MCPD и бензо[a]пирен в храни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589/2014 на Комисията от 2 юни 2014 г. за определяне на методи за вземане на проби и анализ за контрол на съдържанието на диоксини, диоксиноподобни полихлорирани бифенили (PCB) и недиоксиноподобни PCB в определени храни и за отмяна на Регламент (ЕС) № 252/2012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Глава ІІ — здраве на животните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64/432/ЕИО на Съвета от 26 юни 1964 г. относно проблеми, свързани със здравето на животните, които засягат търговията в Общността с говеда и свине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86/474/ЕИО на Комисията от 11 септември 1986 г. относно проверките на място, извършвани в рамките на вноса на животни от едрия рогат добитък и свине, и на прясно месо от трети страни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88/407/ЕИО на Съвета от 14 юни 1988 г. относно определяне на ветеринарно-санитарните изисквания за внос и търговия в рамките на Общността с дълбоко замразена сперма от животни от рода на едрия рогат добитък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89/556/ЕИО на Съвета от 25 септември 1989 г. относно ветеринарно-санитарните условия, регулиращи търговията в рамките на Общността и вноса от трети страни на ембриони от домашни животни от рода на едрия рогат добитък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90/429/ЕИО на Съвета от 26 юни 1990 г. за определяне на ветеринарно-санитарните изисквания за внос и търговия в рамките на Общността със сперма от животни от рода на свинете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92/65/ЕИО на Съвета от 13 юли 1992 г. за определяне на ветеринарно-санитарните изисквания относно търговията и вноса в Общността на животни, сперма, яйцеклетки и ембриони, които не са предмет на ветеринарно-санитарните изисквания, определени в специалните правила на Общността, посочени в приложение А, раздел I към Директива 90/425/ЕИО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(ЕО) № 338/97 на Съвета от 9 декември 1996 г. относно защитата на видовете от дивата флора и фауна чрез регулиране на търговията с тях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2004/211/ЕО на Комисията от 6 януари 2004 г. относно установяване на списъка на трети страни и части от техните територии, от които държавите членки разрешават вноса на живи еднокопитни и на сперма, яйцеклетки и ембриони от еднокопитни и за изменение на Решения 93/195/ЕИО и 94/63/ЕО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853/2004 на Европейския парламент и на Съвета от 29 април 2004 г. относно определяне на специфични хигиенни правила за храните от животински произход (глава VII)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1739/2005 на Комисията от 21 октомври 2005 г. относно определянето на ветеринарномедицинските изисквания за движението на циркови животни между държавите членки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2006/168/ЕО на Комисията от 4 януари 2006 г. за установяване на изисквания за здравно и ветеринарно сертифициране при внос в Общността на ембриони от едър рогат добитък и за отмяна на Решение 2005/217/ЕО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2006/605/ЕО на Комисията от 6 септември 2006 г. относно определени защитни мерки по отношение на търговията в Общността с домашни птици, предназначени за възстановяване на запасите от дивеч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2006/88/ЕО на Съвета от 24 октомври 2006 г. относно ветеринарномедицинските изисквания за аквакултури и продукти от тях и за предотвратяване и борба с някои болести по водните животни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2006/767/ЕО на Комисията от 6 ноември 2006 г. за изменение на решения 2003/804/ЕО и 2003/858/ЕО на Комисията по отношение на изискванията за сертификация за живи мекотели и жива риба с аквакултурен произход и продукти от тях, предназначени за консумация от човека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(ЕО) № 798/2008 на Комисията от 8 август 2008 г. за установяване на списък от трети страни, територии, зони или подразделения, от които са разрешени вносът и транзитът през Общността на домашни птици и продукти от домашни птици, и относно изискванията за ветеринарно сертифициране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1251/2008 на Комисията от 12 декември 2008 г. за прилагане на Директива 2006/88/ЕО на Съвета по отношение на условията и изискванията за сертифициране при пускането на пазара и вноса в Общността на аквакултури и продукти от тях и за установяване на списък с векторни видове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2009/712/ЕО на Комисията от 18 септември 2009 г. за прилагане на Директива 2008/73/ЕО на Съвета по отношение на информационни интернет страници, съдържащи списък на здравните заведения за животни и лабораториите, одобрени от държавите членки в съответствие с ветеринарното и зоотехническото законодателство на Общността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2009/156/ЕО на Съвета от 30 ноември 2009 г. относно ветеринарно-санитарните условия, регулиращи движението и вноса от трети страни на еднокопитни животни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2009/158/ЕО на Съвета от 30 ноември 2009 г. относно ветеринарно–санитарните изисквания за вътреобщностната търговия и вноса от трети държави на домашни птици и яйца за люпене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2010/57/ЕС на Комисията от 3 февруари 2010 г. за определяне на здравни гаранции за транзита на еднокопитни животни, които се транспортират през териториите, изброени в приложение I към Директива 97/78/ЕО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2010/270/ЕС на Комисията от 6 май 2010 г. за изменение на части 1 и 2 от приложение Д към Директива 92/65/ЕИО на Съвета по отношение на образците на здравни сертификати за животни с произход от стопанства и за пчели и земни пчели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2010/471/ЕС на Комисията от 26 август 2010 г. относно вноса в Съюза на сперма, яйцеклетки и ембриони от животни от рода на конете във връзка със списъците на центрове за събиране и съхранение на сперма, на екипите за събиране и производство на ембриони, както и с изискванията за сертифициране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2010/472/ЕС на Комисията от 26 август 2010 г. относно вноса в Съюза на сперма, яйцеклетки и ембриони от животни от рода на овцете и козите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за изпълнение 2011/630/ЕС на Комисията от 20 септември 2011 г. относно вноса в Съюза на сперма от домашни животни от рода на едрия рогат добитък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2012/137/ЕС на Комисията от 1 март 2012 г. относно вноса в Съюза на сперма от домашни животни от рода на свинете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Болести по животните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82/894/ЕИО на Съвета от 21 декември 1982 г. относно обявяване на болестите по животните в рамките на Общността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92/260/ЕИО на Комисията от 10 април 1992 г. относно ветеринарно-санитарните изисквания и ветеринарното сертифициране за временното допускане на регистрирани коне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92/35/ЕИО на Съвета от 29 април 1992 г. за определяне на правила за контрол и мерките за борба с болестта Африканска чума по конете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92/119/ЕИО на Съвета от 17 декември 1992 г. за въвеждане на общи мерки на Общността за борба с някои болести по животните и на специфични мерки относно везикулозната болест по свинете.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Решение 93/197/ЕИО на Комисията от 5 февруари 1993 г. относно ветеринарно-санитарните условия и ветеринарното сертифициране за внос на регистрирани еднокопитни животни и еднокопитни животни за отглеждане и разплод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2000/428/ЕО на Комисията от 4 юли 2000 г. относно установяване на процедури за диагностициране, методи за вземане на проби и критерии за оценка на резултатите от лабораторните тестове за потвърждаване и диференциална диагноза на везикулозната болест по свинете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2000/75/ЕО на Съвета от 20 ноември 2000 г. за определяне на условията за борба и ликвидиране на болестта син език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2001/89/ЕО на Съвета от 23 октомври 2001 г. относно мерки на Общността за борба с класическата чума по свинете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2002/60/ЕО на Съвета от 27 юни 2002 г. за определяне на специфични разпоредби за борба с африканската чума по свинете и за изменение на Директива 92/119/ЕИО относно болестта на Тешен и африканската чума по свинете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2003/466/ЕО на Комисията от 13 юни 2003 г. за установяване на критериите за зониране и мерките, които трябва да се предприемат за официално наблюдение при съмнение или потвърждение на присъствието на инфекциозна анемия по сьомгите (ISA)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2003/634/ЕО на Комисията от 28 август 2003 г. за одобряване на програми за получаване на статут на одобрени зони и одобрени стопанства в неодобрени зони по отношение на вирусна хеморагична септицемия (VHS) и инфекциозна хематопоетична некроза (IHN) по рибите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2005/217/ЕО на Комисията от 9 март 2005 г. за установяване на ветеринарно-санитарните условия и изискванията към ветеринарното сертифициране при внос в Общността на ембриони от едър рогат добитък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Решение 2008/855/ЕО на Комисията от 3 ноември 2008 г. относно мерките за контрол на здравето на животните, свързани с класическа чума по свинете в някои държави членки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2009/3/ЕО на Комисията от 18 декември 2008 г. за създаване на запаси на Общността от ваксини срещу африканска чума по конете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789/2009 на Комисията от 28 август 2009 г. за изменение на Регламент (ЕО) № 1266/2007 по отношение на защитата срещу атаки на вектори и минималните изисквания относно програмите за наблюдение и надзор на болестта син език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Идентификация и регистрация на животните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494/98 на Комисията от 27 февруари 1998 г. относно определяне на подробни правила за прилагането на Регламент (ЕО) № 820/97 на Съвета относно прилагането на минимални административни санкции в рамките на системата за идентифициране и регистриране на едрия рогат добитък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Регламент (ЕО) № 1760/2000 на Европейския парламент и на Съвета от 17 юли 2000 г.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(ЕО) № 820/97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Решение 2000/678/ЕО на Комисията от 23 октомври 2000 г. относно определяне на подробни правила за регистриране на стопанства в националната база данни за животни от рода на свинете, съгласно Директива 64/432/ЕИО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1082/2003 на Комисията от 23 юни 2003 г. за определяне на подробни правила за прилагането на Регламент (ЕО) № 1760/2000 на Европейския парламент и на Съвета относно минималното ниво на контрол, който следва да се извършва в рамките на системата за идентификация и регистрация на едър рогат добитък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21/2004 на Съвета от 17 декември 2003 г. за създаване на система за идентификация и регистрация на животни от рода на овцете и козите и за изменение на Регламент (ЕО) № 1782/2003 и на Директиви 92/102/ЕИО и 64/432/ЕИО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911/2004 на Комисията от 29 април 2004 г. за прилагане на Регламент (ЕО) № 1760/2000 на Европейския парламент и на Съвета относно ушните марки, паспортите и регистрите на стопанствата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Решение 2006/28/ЕО на Комисията от 18 януари 2006 г. за удължаване на максималния период за поставяне на ушни марки на някои животни от рода на едрия рогат добитък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Регламент (ЕО) № 1505/2006 на Комисията от 11 октомври 2006 г. за прилагане на Регламент (ЕО) № 21/2004 на Съвета по отношение на минималните проверки, които трябва да се извършат във връзка с идентификацията и регистрацията на домашните животни от рода на овцете и козите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Решение 2006/968/ЕО на Комисията от 15 декември 2006 г. за прилагане на Регламент (ЕО) № 21/2004 на Съвета по отношение на насоки и процедури за електронната идентификация на животни от рода на овцете и козите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Директива 2008/71/ЕО на Съвета от 15 юли 2008 г. относно идентификацията и регистрацията на прасета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Регламент за изпълнение (ЕС) 2015/262 на Комисията от 17 февруари 2015 г. за определяне на правила в съответствие с директиви 90/427/ЕИО и 2009/156/ЕО на Съвета по отношение на методите за идентификация на еднокопитни животни (Регламент за паспорт на еднокопитните животни)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Странични животински продукти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 (ЕО) № 2160/2003 на Европейския парламент и на Съвета от 17 ноември 2003 г. относно контрола на салмонела и други специфични агенти, причиняващи зоонози, които присъстват в хранителната верига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2003/99/ЕО на Европейския парламент и на Съвета от 17 ноември 2003 г. относно мониторинга на зоонозите и заразните агенти, причиняващи зоонози, за изменение на Решение 90/424/ЕИО на Съвета и за отмяна на Директива 92/117/ЕИО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1069/2009 на Европейския парламент и на Съвета от 21 октомври 2009 г. за установяване на здравни правила относно странични животински продукти и производни продукти, непредназначени за консумация от човека и за отмяна на Регламент (ЕО) № 1774/2002 (Регламент за страничните животински продукти)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142/2011 на Комисията от 25 февруари 2011 г. за прилагане на Регламент (ЕО) № 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директива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749/2011 на Комисията от 29 юли 2011 г. за изменение на Регламент (ЕС) № 142/2011 на Комисията за прилагане на Регламент (ЕО) № 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директива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pageBreakBefore/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Мерки, приложими към фуражите и фуражните добавки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90/167/ЕИО на Съвета от 26 март 1990 г. относно определяне на условията, регулиращи подготовката, пускането на пазара и употребата на медикаментозни фуражи в Общността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2001/82/ЕО на Европейския парламент и на Съвета от 6 ноември 2001 г. относно кодекса на Общността за ветеринарните лекарствени продукти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1831/2003 на Европейския парламент и на Съвета от 22 септември 2003 г. относно добавки за използване при храненето на животните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2004/28/ЕО на Европейския парламент и на Съвета от 31 март 2004 г. за изменение на Директива 2001/82/ЕО относно Кодекса на Общността за ветеринарните лекарствени продукти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2004/704/ЕО на Комисията от 11 октомври 2004 г. относно мониторинга на фоновите нива на диоксини и диоксиноподобни ПХБ в храните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183/2005 на Европейския парламент и на Съвета от 12 януари 2005 г. за определяне на изискванията за хигиена на фуражите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378/2005 на Комисията от 4 март 2005 г. относно подробни правила за прилагането на Регламент (ЕО) № 1831/2003 на Европейския парламент и на Съвета относно задълженията и задачите на Референтната лаборатория на Общността във връзка със заявленията за издаване на разрешителни за фуражни добавки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1876/2006 на Комисията от 18 декември 2006 г. относно временното и постоянно разрешение на някои добавки в храни за животни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2008/38/ЕО на Комисията от 5 март 2008 г. за съставяне на списък на предназначенията на фуражите със специфични хранителни цели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429/2008 на Комисията от 25 април 2008 г. относно подробни правила за прилагане на Регламент (ЕО) № 1831/2003 на Европейския парламент и на Съвета по отношение на подготовката и представянето на заявления и оценката и разрешаването на фуражни добавки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470/2009 на Европейския парламент и на Съвета от 6 май 2009 г.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произход, за отмяна на Регламент (ЕИО) № 2377/90 на Съвета и за изменение на Директива 2001/82/ЕО на Европейския парламент и на Съвета и на Регламент (ЕО) № 726/2004 на Европейския парламент и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767/2009 на Европейския парламент и на Съвета от 13 юли 2009 г. относно пускането на пазара и употребата на фуражи, за изменение на Регламент (ЕО) № 1831/2003 на Европейския парламент и на Съвета, за отмяна на Директива 79/373/ЕИО на Съвета, Директива 80/511/ЕИО на Комисията, директиви 82/471/ЕИО, 83/228/ЕИО, 93/74/ЕИО, 93/113/ЕО и 96/25/ЕО на Съвета, както и на Решение 2004/217/ЕО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1270/2009 на Комисията от 21 декември 2009 г. относно безсрочното разрешаване на определени добавки във фуражите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 37/2010 на Комисията от 22 декември 2009 г. относно фармакологичноактивните субстанции и тяхната класификация по отношение на максимално допустимите стойности на остатъчните количества в храните от животински произход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892/2010 на Комисията от 8 октомври 2010 г. относно статуса на някои продукти по отношение на фуражните добавки, попадащи в обхвата на Регламент (ЕО) № 1831/2003 на Европейския парламент и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2011/25/ЕС на Комисията от 14 януари 2011 г. за установяване на насоки за разграничаването между фуражни суровини, фуражни добавки, биоциди и ветеринарни лекарствени продукти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68/2013 на Комисията от 16 януари 2013 г. относно каталога на фуражните суровини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Хуманно отношение към животните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1999/74/ЕО на Съвета от 19 юли 1999 г. за установяване на минимални изисквания за защитата на кокошки носачки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2002/4/ЕО на Комисията от 30 януари 2002 г. относно регистрацията на предприятия за отглеждане на кокошки носачки, предмет на Директива 1999/74/ЕО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1/2005 на Съвета от 22 декември 2004 г. относно защитата на животните по време на транспортиране и свързаните с това операции и за изменение на Директиви 64/432/ЕИО и 93/119/ЕО и Регламент (ЕО) № 1255/97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2006/778/ЕО на Комисията от 14 ноември 2006 г. относно минималните изисквания за събиране на информация по време на инспекциите на производителните обекти относно определени животни, отглеждани за стопански цели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2007/43/ЕО на Съвета от 28 юни 2007 г. за определяне на минимални правила за защита на пилетата, отглеждани за производство на месо;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2008/119/ЕО на Съвета от 18 декември 2008 г. за определяне на минимални стандарти за защита на телетата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2008/120/ЕО на Съвета от 18 декември 2008 г. относно определяне на минималните стандарти за защита на свинете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1099/2009 на Съвета от 24 септември 2009 г. относно защитата на животните по време на умъртвяване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за изпълнение 2013/188/ЕС на Комисията от 18 април 2013 г. относно годишните доклади за недискриминационните проверки, провеждани съгласно Регламент (ЕО) № 1/2005 относно защитата на животните по време на транспортиране и свързаните с това операции и за изменение на директиви 64/432/ЕИО и 93/119/ЕО и Регламент (ЕО) № 1255/97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5000" w:type="pct"/>
            <w:gridSpan w:val="2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Глава III — Фитосанитарни мерки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66/401/ЕИО на Съвета от 14 юни 1966 г. относно търговията със семена от фуражни култури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66/402/ЕИО на Съвета от 14 юни 1966 г. относно търговията със семена от зърнени култури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69/464/ЕИО на Съвета от 8 декември 1969 г. за борбата срещу рака по картофите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92/90/ЕИО на Комисията от 3 ноември 1992 г. за установяване на някои задължения, на които се подчиняват производителите и вносителите на растения, растителни продукти или други изделия, както и условията и реда за тяхната регистрация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92/105/ЕИО на Комисията от 3 декември 1992 г. относно установяване на степен на стандартизация за фитосанитарните паспорти за използване при движението на някои растения, растителни продукти или други предмети вътре в Общността и за определяне на условията и реда за издаването на такива фитосанитарни паспорти, както и във връзка с условията и подробните процедури за тяхната смяна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93/51/ЕИО на Комисията от 24 юни 1993 г. за установяване на правила за движението на определени растения, продукти от растителен произход или други предмети през защитена зона и за движението на тези растения, продукти от растителен произход или други предмети, произхождащи от такава защитена зона и движещи се в нея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93/85/ЕИО на Съвета от 4 октомври 1993 г. относно борбата с пръстеновидното гниене по картофите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94/3/ЕО на Комисията от 21 януари 1994 г. относно установяване на процедура за уведомяване за залавяне на пратка или вреден организъм от трети страни, които представляват непосредствена фитосанитарна опасност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2100/94 на Съвета от 27 юли 1994 г. относно правната закрила на Общността на сортовете растения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1238/95 на Комисията от 31 май 1995 г. относно установяване на правила за прилагане на Регламент (ЕО) № 2100/94 на Съвета относно таксите, които се плащат на Службата на Общността за сортовете растения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1768/95 на Комисията от 24 юли 1995 г. за установяване на реда и условията за прилагане на дерогацията, предвидена в член 14, параграф 3 от Регламент (ЕО) № 2100/94 на Съвета относно правната закрила на Общността на сортовете растения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2506/95 на Съвета от 25 октомври 1995 г. за изменение на Регламент (ЕО) № 2100/94 относно правната закрила на Общността на сортовете растения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2470/96 на Съвета от 17 декември 1996 г. за удължаване срока на правната закрила на Общността на сортовете растения по отношение на картофите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97/46/ЕО на Комисията от 25 юли 1997 г. за изменение на Директива 95/44/ЕО относно условията, при които някои вредители, растения, продукти с растителен произход и друга техника и инструменти, включени в приложения I до V към Директива 77/93/ЕИО на Съвета, могат да бъдат въвеждани или да се движат в Общността или някои нейни защитени зони за опитни или научни цели, както и за селекция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98/22/ЕО на Комисията от 15 април 1998 г. за определяне на минималните условия за осъществяването на фитосанитарни проверки в Общността на инспекционни пунктове, различни от тези, разположени на местоназначението, върху растения, растителни продукти или други предмети, идващи от трети страни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98/56/ЕО на Съвета от 20 юли 1998 г. относно търговията с посадъчeн материал на декоративни растения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Директива 98/57/ЕО на Съвета от 20 юли 1998 г. за контрол на </w:t>
            </w:r>
            <w:r>
              <w:rPr>
                <w:i/>
                <w:noProof/>
              </w:rPr>
              <w:t>Ralstonia solanacearum (Smith) Yabuuchi et al.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2605/98 на Комисията от 3 декември 1998 г. за изменение на Регламент (ЕО) № 1768/95 за установяване на реда и условията за прилагане на дерогацията, предвидена в член 14, параграф 3 от Регламент (ЕО) № 2100/94 на Съвета относно правната закрила на Общността на сортовете растения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 2000/29/ЕО на Съвета от 8 май 2000 г.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2002/54/ЕО на Съвета от 13 юни 2002 г. относно търговията със семена от цвекло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2002/55/ЕО на Съвета от 13 юни 2002 г. относно търговията със семена от зеленчукови култури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2002/56/ЕО на Съвета от 13 юни 2002 г. относно търговията с посадъчен материал от картофи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2002/57/ЕО на Съвета от 13 юни 2002 г. относно търговията със семена от маслодайни и влакнодайни култури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2003/17/ЕО на Съвета от 16 декември 2002 г. относно еквивалентността на полските инспекции на посеви за производство на семена, извършвани в трети страни, и относно еквивалентността на семената, произведени в трети страни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 1830/2003 на Европейския парламент и на Съвета от 22 септември 2003 г. относно проследяването и етикирането на генетично модифицирани организми и проследяването на храни и фуражи от генетично модифицирани продукти и за изменение на Директива 2001/18/ЕО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2003/2003 на Европейския парламент и на Съвета от 13 октомври 2003 г. относно торовете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2021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882/2004 на Европейския парламент и на Съвета от 29 април 2004 г.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2004/102/ЕО на Комисията от 5 октомври 2004 г. за изменение на приложения II, III, IV и V към Директива 2000/29/ЕО на Съвета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2004/103/ЕО на Комисията от 7 октомври 2004 година относно контрола за идентичност и проверките на фитосанитарното състояние на растенията, растителните продукти и други предмети, изброени в част Б от приложение V към Директива 2000/29/ЕО на Съвета, които могат да бъдат извършвани на място, различно от входния пункт на Общността, или на място в непосредствена близост до него и за определяне на условията, свързани с тези проверки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1756/2004 на Комисията от 11 октомври 2004 г. за определяне на подробните условия за необходимите доказателства и критерии за типа и равнището на намаляването на фитосанитарните проверки на някои растения, растителни продукти или други предмети, изброени в част Б на приложение V към Директива 2000/29/ЕО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2004/105/ЕО на Комисията от 15 октомври 2004 г. за определяне на формите за официални фитосанитарни сертификати или сертификати за реекспорт, придружаващи растенията, растителните продукти и другите предмети, изброени в Директива 2000/29/ЕО на Съвета, идващи от трети страни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396/2005 на Европейския парламент и на Съвета от 23 февруари 2005 г.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 91/414/ЕИО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217/2006 на Комисията от 8 февруари 2006 г. относно определяне на правила за прилагане на директиви 66/401/ЕИО, 66/402/ЕИО, 2002/54/ЕО, 2002/55/ЕО и 2002/57/ЕО на Съвета по отношение на оторизирането на държавите членки да разрешат временно търговията със семена, които не отговарят на изискванията по отношение на минималната кълняемост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2007/33/ЕО на Съвета от 11 юни 2007 г. относно контрола на картофените цистообразуващи нематоди и за отмяна на Директива 69/465/ЕИО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2008/495/ЕО на Комисията от 7 май 2008 г. относно временната забрана за употреба и продажба в Австрия на генетично модифицирана царевица (</w:t>
            </w:r>
            <w:r>
              <w:rPr>
                <w:i/>
                <w:noProof/>
              </w:rPr>
              <w:t>Zea mays</w:t>
            </w:r>
            <w:r>
              <w:rPr>
                <w:noProof/>
              </w:rPr>
              <w:t xml:space="preserve"> L., сорт MON810) съгласно Директива 2001/18/ЕО на Европейския парламент и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2008/61/ЕО на Комисията от 17 юни 2008 г. за определяне на условията, при които някои вредители, растения, растителни продукти и други предмети, посочени в приложения I—V към Директива 2000/29/ЕО на Съвета, могат да бъдат въвеждани или придвижвани в рамките на Общността или в някои нейни защитени зони за опити или научни цели, както и за работа по сортови селекции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2008/72/ЕО на Съвета от 15 юли 2008 г. относно търговията със зеленчуков размножителен и посадъчен материал, различен от семена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2008/90/ЕО на Съвета от 29 септември 2008 г. относно предлагането на пазара на посадъчен материал от овощни растения и на овощни растения, предназначени за производство на плодове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2009/244/ЕО на Комисията от 16 март 2009 г. относно пускането на пазара, в съответствие с Директива 2001/18/ЕО на Европейския парламент и на Съвета, на карамфил (</w:t>
            </w:r>
            <w:r>
              <w:rPr>
                <w:i/>
                <w:noProof/>
              </w:rPr>
              <w:t>Dianthus caryophyllus</w:t>
            </w:r>
            <w:r>
              <w:rPr>
                <w:noProof/>
              </w:rPr>
              <w:t xml:space="preserve"> L., линия 123.8.12), генетично модифициран за баграта на цвета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2009/41/ЕО на Европейския парламент и на Съвета от 6 май 2009 г. относно работата с генетично модифицирани микроорганизми в контролирани условия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874/2009 на Комисията от 17 септември 2009 г. относно установяване на правила за прилагане на Регламент (ЕО) № 2100/94 на Съвета относно производството пред Службата на Общността за сортовете растения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 2009/770/EО на Комисията от 13 октомври 2009 г. за утвърждаване на стандартните формуляри за отчитане на резултатите от наблюдението на съзнателното освобождаване в околната среда на генетично модифицирани организми като продукти или като съставка на продукти с цел пускане на пазара съгласно Директива 2001/18/ЕО на Европейския парламент и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2009/128/ЕО на Европейския парламент и на Съвета от 21 октомври 2009 г. за създаване на рамка за действие на Общността за постигане на устойчива употреба на пестициди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(ЕО) № 1107/2009 на Европейския парламент и на Съвета от 21 октомври 2009 г. относно пускането на пазара на продукти за растителна защита и за отмяна на директиви 79/117/ЕИО и 91/414/ЕИО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2010/135/ЕС на Комисията от 2 март 2010 г. за пускането на пазара, в съответствие с Директива 2001/18/ЕО на Европейския парламент и на Съвета, на продукта картофи (</w:t>
            </w:r>
            <w:r>
              <w:rPr>
                <w:i/>
                <w:noProof/>
              </w:rPr>
              <w:t>Solanum tuberosum</w:t>
            </w:r>
            <w:r>
              <w:rPr>
                <w:noProof/>
              </w:rPr>
              <w:t xml:space="preserve"> L. линия EH92-527-1), генетично модифицирани за повишено съдържание на компонента на скорбялата амилопектин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Препоръка 2010/С 200/01 на Комисията от 13 юли 2010 г. относно насоките за разработване на национални мерки за съвместно съществуване на генетично модифицирани култури с традиционните и биологичните земеделски култури с цел избягване на случайното наличие на ГМО в тях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188/2011 на Комисията от 25 февруари 2011 г. за определяне на подробни правила за прилагане на Директива 91/414/ЕИО на Съвета по отношение на процедурите за оценка на активните вещества, които не са били предлагани на пазара две години след датата на нотифициране на посочената директива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540/2011 на Комисията от 25 май 2011 г. за прилагане на Регламент (ЕО) № 1107/2009 на Европейския парламент и на Съвета по отношение на списъка на одобрените активни вещества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541/2011 на Комисията от 1 юни 2011 г. за изменение на Регламент за изпълнение (ЕС) № 540/2011 за прилагане на Регламент (ЕО) № 1107/2009 на Европейския парламент и на Съвета по отношение на списъка на одобрените активни вещества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547/2011 на Комисията от 8 юни 2011 г. за прилагане на Регламент (ЕО) № 1107/2009 на Европейския парламент и на Съвета по отношение на изискванията за етикетиране на продукти за растителна защита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544/2011 на Комисията от 10 юни 2011 г. за прилагане на Регламент (ЕО) № 1107/2009 на Европейския парламент и на Съвета по отношение на изискванията за данни за активните вещества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(ЕС) № 545/2011 на Комисията от 10 юни 2011 г. за прилагане на Регламент (ЕО) № 1107/2009 на Европейския парламент и на Съвета по отношение на изискванията за данни за продукти за растителна защита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702/2011 на Комисията от 20 юли 2011 г. за одобряване, в съответствие с Регламент (ЕО) № 1107/2009 на Европейския парламент и на Съвета относно пускането на пазара на продукти за растителна защита, на активното вещество прохексадион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703/2011 на Комисията от 20 юли 2011 г. за одобряване, в съответствие с Регламент (ЕО) № 1107/2009 на Европейския парламент и на Съвета относно пускането на пазара на продукти за растителна защита, на активното вещество азоксистробин и за изменение на приложението към Регламент за изпълнение (ЕС) № 540/2011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704/2011 на Комисията от 20 юли 2011 г. за одобряване, в съответствие с Регламент (ЕО) № 1107/2009 на Европейския парламент и на Съвета относно пускането на пазара на продукти за растителна защита, на активното вещество азимсулфурон и за изменение на приложението към Регламент за изпълнение (ЕС) № 540/2011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705/2011 на Комисията от 20 юли 2011 г. за одобряване на активното вещество имазалил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706/2011 на Комисията от 20 юли 2011 г. за одобряване на активното вещество профоксидим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736/2011 на Комисията от 26 юли 2011 г. за одобряване, в съответствие с Регламент (ЕО) № 1107/2009 на Европейския парламент и на Съвета относно пускането на пазара на продукти за растителна защита, на активното вещество флуроксипир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740/2011 на Комисията от 27 юли 2011 г. за одобряване на активното вещество биспирибак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786/2011 на Комисията от 5 август 2011 г. за одобряване на активното вещество 1-нафтилацетамид,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 и на Решение 2008/941/ЕО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787/2011 на Комисията от 5 август 2011 г. за одобряване на активното вещество 1-нафтилоцетна киселина,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 и на Решение 2008/941/ЕО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788/2011 на Комисията от 5 август 2011 г. за одобряване на активното вещество флуазифоп-П,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 и на Решение 2008/934/ЕО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797/2011 на Комисията от 9 август 2011 г. за одобряване на активното вещество спироксамин,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798/2011 на Комисията от 9 август 2011 г. за одобряване на активното вещество оксифлуорфен,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 и на Решение 2008/934/ЕО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800/2011 на Комисията от 9 август 2011 г. за одобряване на активното вещество тефлутрин,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 и на Решение 2008/934/ЕО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807/2011 на Комисията от 10 август 2011 г. за одобряване на активното вещество триазоксид,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810/2011 на Комисията от 11 август 2011 г. за одобряване на активното вещество крезоксим-метил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974/2011 на Комисията от 29 септември 2011 г. за одобряване на активното вещество акринатрин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 и на Решение 2008/934/ЕО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993/2011 на Комисията от 6 октомври 2011 г. за одобряване на активното вещество 8-хидроксихинолин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1143/2011 на Комисията от 10 ноември 2011 г. за одобряване на активното вещество прохлораз,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 и на Решение 2008/934/ЕО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2011/787/ЕС на Комисията от 29 ноември 2011 г. за разрешаване на държавите членки временно да вземат спешни мерки срещу разпространението на </w:t>
            </w:r>
            <w:r>
              <w:rPr>
                <w:i/>
                <w:noProof/>
              </w:rPr>
              <w:t>Ralstonia solanacearum</w:t>
            </w:r>
            <w:r>
              <w:rPr>
                <w:noProof/>
              </w:rPr>
              <w:t xml:space="preserve"> (Smith) Yabuuchi et al. по отношение на Египет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2012/138/ЕС на Комисията от 1 март 2012 г. относно неотложни мерки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Anoplophora chinensis</w:t>
            </w:r>
            <w:r>
              <w:rPr>
                <w:noProof/>
              </w:rPr>
              <w:t xml:space="preserve"> (Forster)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359/2012 на Комисията от 25 април 2012 г. за одобряване, в съответствие с Регламент (ЕО) № 1107/2009 на Европейския парламент и на Съвета относно пускането на пазара на продукти за растителна защита, на активното вещество метам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за изпълнение 2012/340/ЕС на Комисията от 25 юни 2012 г. за организирането на временен експеримент съгласно директиви 66/401/ЕИО, 66/402/ЕИО, 2002/54/ЕО, 2002/55/ЕО и 2002/57/ЕО на Съвета във връзка с полева инспекция под официален контрол за базови семена и селектирани семена от размножения, предхождащи базовите семена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582/2012 на Комисията от 2 юли 2012 г. за одобряване, в съответствие с Регламент (ЕО) № 1107/2009 на Европейския парламент и на Съвета относно пускането на пазара на продукти за растителна защита, на активното вещество бифентрин и за изменение на приложението към Регламент за изпълнение (ЕС) № 540/2011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color w:val="C00000"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589/2012 на Комисията от 4 юли 2012 г. за одобряване на активното вещество флуксапироксад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за изпълнение (ЕС) № 595/2012 на Комисията от 5 юли 2012 г. за одобряване на активното вещество фенпиразамин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 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за изпълнение (ЕС) № 746/2012 на Комисията от 16 август 2012 г. за одобряване на активното вещество </w:t>
            </w:r>
            <w:r>
              <w:rPr>
                <w:i/>
                <w:noProof/>
              </w:rPr>
              <w:t>Adoxophyes orana granulovirus</w:t>
            </w:r>
            <w:r>
              <w:rPr>
                <w:noProof/>
              </w:rPr>
              <w:t xml:space="preserve"> в съответствие с Регламент (ЕО) № 1107/2009 на Европейския парламент и на Съвета относно пускането на пазара на продукти за растителна защита,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2012/535/ЕС на Комисията от 26 септември 2012 г. относно спешни мерки за предотвратяване на разпространението в рамките на Съюза на </w:t>
            </w:r>
            <w:r>
              <w:rPr>
                <w:i/>
                <w:noProof/>
              </w:rPr>
              <w:t>Bursaphelenchus xylophilus</w:t>
            </w:r>
            <w:r>
              <w:rPr>
                <w:noProof/>
              </w:rPr>
              <w:t xml:space="preserve"> (Steiner et Buhrer) Nickle et al. (нематод по боровата дървесина)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485/2013 на Комисията от 24 май 2013 г. за изменение на Регламент за изпълнение (ЕС) № 540/2011 по отношение на условията за одобрение на активните вещества клотианидин, тиаметоксам и имидаклоприд и за забрана на употребата и продажбата на семена, третирани с продукти за растителна защита, съдържащи посочените активни вещества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2014/20/ЕС на Комисията от 6 февруари 2014 г. за определяне на класове на Съюза за базов и сертифициран посадъчен материал от картофи и на приложимите за тях условия и обозначения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2014/21/ЕС на Комисията от 6 февруари 2014 г. за определяне на минимални условия и класове на Съюза за предбазов посадъчен материал от картофи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632/2014 на Комисията от 13 май 2014 г. за одобряване на активното вещество флубендиамид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571/2014 на Комисията от 26 май 2014 г. за одобряване на активното вещество ипконазол в съответствие с Регламент (ЕО) № 1107/2009 на Европейския парламент и на Съвета относно пускането на пазара на продукти за растителна защита и за изменение на приложението към Регламент за изпълнение (ЕС) № 540/2011 на Комисията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за изпълнение 2014/362/ЕС на Комисията от 13 юни 2014 г. за изменение на Решение 2009/109/ЕО за организиране на временен експеримент по предоставяне на някои дерогации при търговията със смески от семена, предназначени за използване като фуражни култури, в съответствие с Директива 66/401/ЕИО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Решение за изпълнение 2014/367/ЕС на Комисията от 16 юни 2014 г. за изменение на Директива 2002/56/ЕО на Съвета по отношение на датата, посочена в член 21, параграф 3, до която държавите членки имат правото да продължават валидността на решенията относно равностойността на посадъчен материал от картофи от трети държави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pageBreakBefore/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2014/83/ЕС на Комисията от 25 юни 2014 г. за изменение на приложения I, II, III, IV и V към Директива 2000/29/ЕО на Съвета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2014/96/ЕС на Комисията от 15 октомври 2014 г. относно изискванията за етикетирането, запечатването и опаковането на посадъчен материал от овощни растения и на овощни растения, предназначени за производство на плодове, попадащи в обхвата на Директива 2008/90/ЕО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2014/97/ЕС на Комисията от 15 октомври 2014 г. за прилагане на Директива 2008/90/ЕО на Съвета по отношение на регистрацията на доставчиците и на сортовете, както и на общ списък на сортовете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Директива за изпълнение 2014/98/ЕС на Комисията от 15 октомври 2014 г. за прилагане на Директива 2008/90/ЕО на Съвета по отношение на специфичните изисквания за родовете и видовете овощни растения, посочени в приложение I към нея, специфичните изисквания, които да бъдат изпълнени от доставчиците, както и подробни правила относно официалните инспекции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60" w:after="60"/>
              <w:jc w:val="left"/>
              <w:rPr>
                <w:b/>
                <w:noProof/>
                <w:szCs w:val="24"/>
              </w:rPr>
            </w:pPr>
            <w:r>
              <w:rPr>
                <w:noProof/>
              </w:rPr>
              <w:t>Директива 2001/18/EО на Европейския парламент и на Съвета от 12 март 2001 г. относно съзнателното освобождаване на генетично модифицирани организми в околната среда и за отмяна на Директива 90/220/ЕИО на Съвета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  <w:tr>
        <w:tc>
          <w:tcPr>
            <w:tcW w:w="3579" w:type="pct"/>
            <w:shd w:val="clear" w:color="auto" w:fill="auto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Регламент (ЕО) № 1946/2003 на Европейския парламент и на Съвета от 15 юли 2003 г. относно трансграничното придвижване на генетично модифицирани организми</w:t>
            </w:r>
          </w:p>
        </w:tc>
        <w:tc>
          <w:tcPr>
            <w:tcW w:w="1421" w:type="pct"/>
            <w:shd w:val="clear" w:color="auto" w:fill="auto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</w:tr>
    </w:tbl>
    <w:p>
      <w:pPr>
        <w:rPr>
          <w:noProof/>
        </w:rPr>
      </w:pPr>
      <w:r>
        <w:rPr>
          <w:noProof/>
        </w:rPr>
        <w:t>“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161, 29.5.2014 г., стр. 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Приемане означава датата на изпълнение, </w:t>
      </w:r>
      <w:r>
        <w:rPr>
          <w:rFonts w:asciiTheme="majorBidi" w:hAnsiTheme="majorBidi" w:cstheme="majorBidi"/>
        </w:rPr>
        <w:t xml:space="preserve">заложена в съответния правен акт, публикуван в „Официален вестник на Украйна“ или </w:t>
      </w:r>
      <w:r>
        <w:rPr>
          <w:rFonts w:asciiTheme="majorBidi" w:hAnsiTheme="majorBidi" w:cstheme="majorBidi"/>
          <w:color w:val="222222"/>
          <w:shd w:val="clear" w:color="auto" w:fill="FFFFFF"/>
        </w:rPr>
        <w:t>„Правителствен куриер“</w:t>
      </w:r>
      <w:r>
        <w:t>, или публикуван на официалния уебсайт на Държавната служба за безопасност на храните и защита на потребителите на Украйна, с незабавно влизане в сила или с посочен преходен период.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AB4E0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11831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E8668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42ACC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7949D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01AA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D300F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4921D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5 15:00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FEE0A93-385B-48F3-AA7C-7D59668848FE"/>
    <w:docVar w:name="LW_COVERPAGE_TYPE" w:val="1"/>
    <w:docVar w:name="LW_CROSSREFERENCE" w:val="&lt;UNUSED&gt;"/>
    <w:docVar w:name="LW_DocType" w:val="ANNEX"/>
    <w:docVar w:name="LW_EMISSION" w:val="22.7.2019"/>
    <w:docVar w:name="LW_EMISSION_ISODATE" w:val="2019-07-22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_x000b__x000b_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9?\u1087?\u1088?\u1072?\u1074?\u1080?\u1090?\u1077?\u1083?\u1085?\u1080?\u1103? \u1087?\u1086?\u1076?\u1082?\u1086?\u1084?\u1080?\u1090?\u1077?\u1090? \u1087?\u1086? \u1089?\u1072?\u1085?\u1080?\u1090?\u1072?\u1088?\u1085?\u1080?\u1090?\u1077? \u1080? \u1092?\u1080?\u1090?\u1086?\u1089?\u1072?\u1085?\u1080?\u1090?\u1072?\u1088?\u1085?\u1080?\u1090?\u1077? \u1084?\u1077?\u1088?\u1082?\u108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_x000b_"/>
    <w:docVar w:name="LW_OBJETACTEPRINCIPAL.CP" w:val="_x000b__x000b_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9?\u1087?\u1088?\u1072?\u1074?\u1080?\u1090?\u1077?\u1083?\u1085?\u1080?\u1103? \u1087?\u1086?\u1076?\u1082?\u1086?\u1084?\u1080?\u1090?\u1077?\u1090? \u1087?\u1086? \u1089?\u1072?\u1085?\u1080?\u1090?\u1072?\u1088?\u1085?\u1080?\u1090?\u1077? \u1080? \u1092?\u1080?\u1090?\u1086?\u1089?\u1072?\u1085?\u1080?\u1090?\u1072?\u1088?\u1085?\u1080?\u1090?\u1077? \u1084?\u1077?\u1088?\u1082?\u108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3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jc w:val="left"/>
    </w:pPr>
    <w:rPr>
      <w:sz w:val="2"/>
    </w:rPr>
  </w:style>
  <w:style w:type="character" w:customStyle="1" w:styleId="LignefinalChar">
    <w:name w:val="Ligne final Char"/>
    <w:basedOn w:val="DefaultParagraphFont"/>
    <w:rPr>
      <w:rFonts w:ascii="Times New Roman" w:hAnsi="Times New Roman" w:cs="Times New Roman"/>
      <w:b/>
      <w:sz w:val="24"/>
      <w:lang w:val="bg-BG"/>
    </w:rPr>
  </w:style>
  <w:style w:type="character" w:customStyle="1" w:styleId="HeaderCouncilLargeChar">
    <w:name w:val="Header Council Large Char"/>
    <w:basedOn w:val="LignefinalChar"/>
    <w:link w:val="HeaderCouncilLarge"/>
    <w:rPr>
      <w:rFonts w:ascii="Times New Roman" w:hAnsi="Times New Roman" w:cs="Times New Roman"/>
      <w:b w:val="0"/>
      <w:sz w:val="2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objetPagedecouverture">
    <w:name w:val="Titre objet (Page de couverture)"/>
    <w:basedOn w:val="Titreobjet"/>
    <w:next w:val="Sous-titreobjetPagedecouverture"/>
    <w:pPr>
      <w:spacing w:line="240" w:lineRule="auto"/>
    </w:pPr>
  </w:style>
  <w:style w:type="paragraph" w:customStyle="1" w:styleId="Sous-titreobjetPagedecouverture">
    <w:name w:val="Sous-titre objet (Page de couverture)"/>
    <w:basedOn w:val="Sous-titreobjet"/>
    <w:pPr>
      <w:spacing w:line="240" w:lineRule="auto"/>
    </w:pPr>
  </w:style>
  <w:style w:type="character" w:customStyle="1" w:styleId="TechnicalBlockChar">
    <w:name w:val="Technical Block Char"/>
    <w:basedOn w:val="DefaultParagraphFont"/>
    <w:rPr>
      <w:rFonts w:ascii="Times New Roman" w:hAnsi="Times New Roman" w:cs="Times New Roman"/>
      <w:sz w:val="24"/>
      <w:lang w:val="bg-BG"/>
    </w:rPr>
  </w:style>
  <w:style w:type="paragraph" w:customStyle="1" w:styleId="pj">
    <w:name w:val="p.j."/>
    <w:basedOn w:val="TechnicalBlock"/>
    <w:link w:val="pjChar"/>
    <w:pPr>
      <w:spacing w:before="1200" w:after="12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Pr>
      <w:rFonts w:ascii="Times New Roman" w:hAnsi="Times New Roman" w:cs="Times New Roman"/>
      <w:sz w:val="24"/>
      <w:lang w:val="bg-BG"/>
    </w:rPr>
  </w:style>
  <w:style w:type="character" w:customStyle="1" w:styleId="HeaderCouncilChar">
    <w:name w:val="Header Council Char"/>
    <w:basedOn w:val="pjChar"/>
    <w:rPr>
      <w:rFonts w:ascii="Times New Roman" w:hAnsi="Times New Roman" w:cs="Times New Roman"/>
      <w:sz w:val="2"/>
      <w:lang w:val="bg-BG"/>
    </w:rPr>
  </w:style>
  <w:style w:type="character" w:customStyle="1" w:styleId="FooterCouncilChar">
    <w:name w:val="Footer Council Char"/>
    <w:basedOn w:val="pjChar"/>
    <w:rPr>
      <w:rFonts w:ascii="Times New Roman" w:hAnsi="Times New Roman" w:cs="Times New Roman"/>
      <w:sz w:val="2"/>
      <w:lang w:val="bg-BG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super">
    <w:name w:val="super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pPr>
      <w:spacing w:before="0" w:after="240"/>
      <w:jc w:val="center"/>
    </w:p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Sous-titreobjet">
    <w:name w:val="Sous-titre objet"/>
    <w:basedOn w:val="Normal"/>
    <w:pPr>
      <w:spacing w:before="0" w:after="0" w:line="360" w:lineRule="auto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360" w:after="360" w:line="360" w:lineRule="auto"/>
      <w:jc w:val="center"/>
    </w:pPr>
    <w:rPr>
      <w:b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 w:line="360" w:lineRule="auto"/>
      <w:ind w:left="5103"/>
      <w:jc w:val="left"/>
    </w:pPr>
  </w:style>
  <w:style w:type="paragraph" w:customStyle="1" w:styleId="EntLogo">
    <w:name w:val="EntLogo"/>
    <w:basedOn w:val="Normal"/>
    <w:pPr>
      <w:tabs>
        <w:tab w:val="right" w:pos="9639"/>
      </w:tabs>
      <w:spacing w:before="0" w:after="0" w:line="360" w:lineRule="auto"/>
      <w:jc w:val="left"/>
    </w:pPr>
    <w:rPr>
      <w:b/>
    </w:rPr>
  </w:style>
  <w:style w:type="paragraph" w:customStyle="1" w:styleId="EntInstit">
    <w:name w:val="EntInstit"/>
    <w:basedOn w:val="Normal"/>
    <w:pPr>
      <w:spacing w:before="0" w:after="0"/>
      <w:jc w:val="right"/>
    </w:pPr>
    <w:rPr>
      <w:b/>
    </w:rPr>
  </w:style>
  <w:style w:type="paragraph" w:customStyle="1" w:styleId="EntRefer">
    <w:name w:val="EntRefer"/>
    <w:basedOn w:val="Normal"/>
    <w:pPr>
      <w:spacing w:before="0" w:after="0"/>
      <w:jc w:val="left"/>
    </w:pPr>
    <w:rPr>
      <w:b/>
    </w:rPr>
  </w:style>
  <w:style w:type="paragraph" w:customStyle="1" w:styleId="EntEmet">
    <w:name w:val="EntEmet"/>
    <w:basedOn w:val="Normal"/>
    <w:pPr>
      <w:spacing w:before="40" w:after="0"/>
      <w:jc w:val="left"/>
    </w:pPr>
  </w:style>
  <w:style w:type="paragraph" w:customStyle="1" w:styleId="EntText">
    <w:name w:val="EntText"/>
    <w:basedOn w:val="Normal"/>
    <w:pPr>
      <w:spacing w:line="360" w:lineRule="auto"/>
      <w:jc w:val="left"/>
    </w:pPr>
  </w:style>
  <w:style w:type="paragraph" w:customStyle="1" w:styleId="EntEU">
    <w:name w:val="EntEU"/>
    <w:basedOn w:val="Normal"/>
    <w:pPr>
      <w:spacing w:before="240" w:after="240"/>
      <w:jc w:val="center"/>
    </w:pPr>
    <w:rPr>
      <w:b/>
      <w:sz w:val="36"/>
    </w:rPr>
  </w:style>
  <w:style w:type="paragraph" w:customStyle="1" w:styleId="EntASSOC">
    <w:name w:val="EntASSOC"/>
    <w:basedOn w:val="Normal"/>
    <w:pPr>
      <w:spacing w:before="0" w:after="0"/>
      <w:jc w:val="center"/>
    </w:pPr>
    <w:rPr>
      <w:b/>
    </w:rPr>
  </w:style>
  <w:style w:type="paragraph" w:customStyle="1" w:styleId="EntACP">
    <w:name w:val="EntACP"/>
    <w:basedOn w:val="Normal"/>
    <w:pPr>
      <w:spacing w:before="0" w:after="180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pPr>
      <w:spacing w:before="0" w:after="0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pPr>
      <w:spacing w:before="240"/>
    </w:pPr>
  </w:style>
  <w:style w:type="paragraph" w:customStyle="1" w:styleId="Accordtitre">
    <w:name w:val="Accord titre"/>
    <w:basedOn w:val="Normal"/>
    <w:pPr>
      <w:spacing w:before="0" w:after="0" w:line="360" w:lineRule="auto"/>
      <w:jc w:val="center"/>
    </w:pPr>
  </w:style>
  <w:style w:type="paragraph" w:customStyle="1" w:styleId="FooterAccord">
    <w:name w:val="Footer Accord"/>
    <w:basedOn w:val="Normal"/>
    <w:pPr>
      <w:tabs>
        <w:tab w:val="center" w:pos="4819"/>
        <w:tab w:val="center" w:pos="7370"/>
        <w:tab w:val="right" w:pos="9638"/>
      </w:tabs>
      <w:spacing w:before="360" w:after="0"/>
      <w:jc w:val="center"/>
    </w:pPr>
  </w:style>
  <w:style w:type="paragraph" w:customStyle="1" w:styleId="FooterLandscapeAccord">
    <w:name w:val="FooterLandscape Accord"/>
    <w:basedOn w:val="Normal"/>
    <w:pPr>
      <w:tabs>
        <w:tab w:val="center" w:pos="7285"/>
        <w:tab w:val="center" w:pos="10930"/>
        <w:tab w:val="right" w:pos="14570"/>
      </w:tabs>
      <w:spacing w:before="360" w:after="0"/>
      <w:jc w:val="center"/>
    </w:pPr>
  </w:style>
  <w:style w:type="paragraph" w:customStyle="1" w:styleId="TitrearticleAccord">
    <w:name w:val="Titre article Accord"/>
    <w:basedOn w:val="Normal"/>
    <w:next w:val="Normal"/>
    <w:pPr>
      <w:keepNext/>
      <w:spacing w:before="600" w:line="360" w:lineRule="auto"/>
      <w:jc w:val="center"/>
    </w:pPr>
    <w:rPr>
      <w:i/>
    </w:rPr>
  </w:style>
  <w:style w:type="paragraph" w:customStyle="1" w:styleId="DESignature">
    <w:name w:val="DE Signature"/>
    <w:basedOn w:val="Normal"/>
    <w:next w:val="Normal"/>
    <w:pPr>
      <w:tabs>
        <w:tab w:val="center" w:pos="5953"/>
      </w:tabs>
      <w:spacing w:before="720" w:line="360" w:lineRule="auto"/>
      <w:jc w:val="left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jc w:val="left"/>
    </w:pPr>
    <w:rPr>
      <w:sz w:val="2"/>
    </w:rPr>
  </w:style>
  <w:style w:type="character" w:customStyle="1" w:styleId="LignefinalChar">
    <w:name w:val="Ligne final Char"/>
    <w:basedOn w:val="DefaultParagraphFont"/>
    <w:rPr>
      <w:rFonts w:ascii="Times New Roman" w:hAnsi="Times New Roman" w:cs="Times New Roman"/>
      <w:b/>
      <w:sz w:val="24"/>
      <w:lang w:val="bg-BG"/>
    </w:rPr>
  </w:style>
  <w:style w:type="character" w:customStyle="1" w:styleId="HeaderCouncilLargeChar">
    <w:name w:val="Header Council Large Char"/>
    <w:basedOn w:val="LignefinalChar"/>
    <w:link w:val="HeaderCouncilLarge"/>
    <w:rPr>
      <w:rFonts w:ascii="Times New Roman" w:hAnsi="Times New Roman" w:cs="Times New Roman"/>
      <w:b w:val="0"/>
      <w:sz w:val="2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objetPagedecouverture">
    <w:name w:val="Titre objet (Page de couverture)"/>
    <w:basedOn w:val="Titreobjet"/>
    <w:next w:val="Sous-titreobjetPagedecouverture"/>
    <w:pPr>
      <w:spacing w:line="240" w:lineRule="auto"/>
    </w:pPr>
  </w:style>
  <w:style w:type="paragraph" w:customStyle="1" w:styleId="Sous-titreobjetPagedecouverture">
    <w:name w:val="Sous-titre objet (Page de couverture)"/>
    <w:basedOn w:val="Sous-titreobjet"/>
    <w:pPr>
      <w:spacing w:line="240" w:lineRule="auto"/>
    </w:pPr>
  </w:style>
  <w:style w:type="character" w:customStyle="1" w:styleId="TechnicalBlockChar">
    <w:name w:val="Technical Block Char"/>
    <w:basedOn w:val="DefaultParagraphFont"/>
    <w:rPr>
      <w:rFonts w:ascii="Times New Roman" w:hAnsi="Times New Roman" w:cs="Times New Roman"/>
      <w:sz w:val="24"/>
      <w:lang w:val="bg-BG"/>
    </w:rPr>
  </w:style>
  <w:style w:type="paragraph" w:customStyle="1" w:styleId="pj">
    <w:name w:val="p.j."/>
    <w:basedOn w:val="TechnicalBlock"/>
    <w:link w:val="pjChar"/>
    <w:pPr>
      <w:spacing w:before="1200" w:after="12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Pr>
      <w:rFonts w:ascii="Times New Roman" w:hAnsi="Times New Roman" w:cs="Times New Roman"/>
      <w:sz w:val="24"/>
      <w:lang w:val="bg-BG"/>
    </w:rPr>
  </w:style>
  <w:style w:type="character" w:customStyle="1" w:styleId="HeaderCouncilChar">
    <w:name w:val="Header Council Char"/>
    <w:basedOn w:val="pjChar"/>
    <w:rPr>
      <w:rFonts w:ascii="Times New Roman" w:hAnsi="Times New Roman" w:cs="Times New Roman"/>
      <w:sz w:val="2"/>
      <w:lang w:val="bg-BG"/>
    </w:rPr>
  </w:style>
  <w:style w:type="character" w:customStyle="1" w:styleId="FooterCouncilChar">
    <w:name w:val="Footer Council Char"/>
    <w:basedOn w:val="pjChar"/>
    <w:rPr>
      <w:rFonts w:ascii="Times New Roman" w:hAnsi="Times New Roman" w:cs="Times New Roman"/>
      <w:sz w:val="2"/>
      <w:lang w:val="bg-BG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super">
    <w:name w:val="super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pPr>
      <w:spacing w:before="0" w:after="0"/>
      <w:jc w:val="left"/>
    </w:pPr>
    <w:rPr>
      <w:sz w:val="2"/>
    </w:rPr>
  </w:style>
  <w:style w:type="paragraph" w:customStyle="1" w:styleId="FooterCouncil">
    <w:name w:val="Footer Council"/>
    <w:basedOn w:val="Normal"/>
    <w:pPr>
      <w:spacing w:before="0" w:after="0"/>
      <w:jc w:val="left"/>
    </w:pPr>
    <w:rPr>
      <w:sz w:val="2"/>
    </w:rPr>
  </w:style>
  <w:style w:type="paragraph" w:customStyle="1" w:styleId="TechnicalBlock">
    <w:name w:val="Technical Block"/>
    <w:basedOn w:val="Normal"/>
    <w:next w:val="Normal"/>
    <w:pPr>
      <w:spacing w:before="0" w:after="240"/>
      <w:jc w:val="center"/>
    </w:pPr>
  </w:style>
  <w:style w:type="paragraph" w:customStyle="1" w:styleId="Annexetitreacte">
    <w:name w:val="Annexe titre (act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spacing w:line="360" w:lineRule="auto"/>
      <w:jc w:val="center"/>
    </w:pPr>
    <w:rPr>
      <w:b/>
      <w:u w:val="single"/>
    </w:rPr>
  </w:style>
  <w:style w:type="paragraph" w:customStyle="1" w:styleId="Sous-titreobjet">
    <w:name w:val="Sous-titre objet"/>
    <w:basedOn w:val="Normal"/>
    <w:pPr>
      <w:spacing w:before="0" w:after="0" w:line="360" w:lineRule="auto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360" w:after="360" w:line="360" w:lineRule="auto"/>
      <w:jc w:val="center"/>
    </w:pPr>
    <w:rPr>
      <w:b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 w:line="360" w:lineRule="auto"/>
      <w:ind w:left="5103"/>
      <w:jc w:val="left"/>
    </w:pPr>
  </w:style>
  <w:style w:type="paragraph" w:customStyle="1" w:styleId="EntLogo">
    <w:name w:val="EntLogo"/>
    <w:basedOn w:val="Normal"/>
    <w:pPr>
      <w:tabs>
        <w:tab w:val="right" w:pos="9639"/>
      </w:tabs>
      <w:spacing w:before="0" w:after="0" w:line="360" w:lineRule="auto"/>
      <w:jc w:val="left"/>
    </w:pPr>
    <w:rPr>
      <w:b/>
    </w:rPr>
  </w:style>
  <w:style w:type="paragraph" w:customStyle="1" w:styleId="EntInstit">
    <w:name w:val="EntInstit"/>
    <w:basedOn w:val="Normal"/>
    <w:pPr>
      <w:spacing w:before="0" w:after="0"/>
      <w:jc w:val="right"/>
    </w:pPr>
    <w:rPr>
      <w:b/>
    </w:rPr>
  </w:style>
  <w:style w:type="paragraph" w:customStyle="1" w:styleId="EntRefer">
    <w:name w:val="EntRefer"/>
    <w:basedOn w:val="Normal"/>
    <w:pPr>
      <w:spacing w:before="0" w:after="0"/>
      <w:jc w:val="left"/>
    </w:pPr>
    <w:rPr>
      <w:b/>
    </w:rPr>
  </w:style>
  <w:style w:type="paragraph" w:customStyle="1" w:styleId="EntEmet">
    <w:name w:val="EntEmet"/>
    <w:basedOn w:val="Normal"/>
    <w:pPr>
      <w:spacing w:before="40" w:after="0"/>
      <w:jc w:val="left"/>
    </w:pPr>
  </w:style>
  <w:style w:type="paragraph" w:customStyle="1" w:styleId="EntText">
    <w:name w:val="EntText"/>
    <w:basedOn w:val="Normal"/>
    <w:pPr>
      <w:spacing w:line="360" w:lineRule="auto"/>
      <w:jc w:val="left"/>
    </w:pPr>
  </w:style>
  <w:style w:type="paragraph" w:customStyle="1" w:styleId="EntEU">
    <w:name w:val="EntEU"/>
    <w:basedOn w:val="Normal"/>
    <w:pPr>
      <w:spacing w:before="240" w:after="240"/>
      <w:jc w:val="center"/>
    </w:pPr>
    <w:rPr>
      <w:b/>
      <w:sz w:val="36"/>
    </w:rPr>
  </w:style>
  <w:style w:type="paragraph" w:customStyle="1" w:styleId="EntASSOC">
    <w:name w:val="EntASSOC"/>
    <w:basedOn w:val="Normal"/>
    <w:pPr>
      <w:spacing w:before="0" w:after="0"/>
      <w:jc w:val="center"/>
    </w:pPr>
    <w:rPr>
      <w:b/>
    </w:rPr>
  </w:style>
  <w:style w:type="paragraph" w:customStyle="1" w:styleId="EntACP">
    <w:name w:val="EntACP"/>
    <w:basedOn w:val="Normal"/>
    <w:pPr>
      <w:spacing w:before="0" w:after="180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pPr>
      <w:spacing w:before="0" w:after="0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pPr>
      <w:spacing w:before="240"/>
    </w:pPr>
  </w:style>
  <w:style w:type="paragraph" w:customStyle="1" w:styleId="Accordtitre">
    <w:name w:val="Accord titre"/>
    <w:basedOn w:val="Normal"/>
    <w:pPr>
      <w:spacing w:before="0" w:after="0" w:line="360" w:lineRule="auto"/>
      <w:jc w:val="center"/>
    </w:pPr>
  </w:style>
  <w:style w:type="paragraph" w:customStyle="1" w:styleId="FooterAccord">
    <w:name w:val="Footer Accord"/>
    <w:basedOn w:val="Normal"/>
    <w:pPr>
      <w:tabs>
        <w:tab w:val="center" w:pos="4819"/>
        <w:tab w:val="center" w:pos="7370"/>
        <w:tab w:val="right" w:pos="9638"/>
      </w:tabs>
      <w:spacing w:before="360" w:after="0"/>
      <w:jc w:val="center"/>
    </w:pPr>
  </w:style>
  <w:style w:type="paragraph" w:customStyle="1" w:styleId="FooterLandscapeAccord">
    <w:name w:val="FooterLandscape Accord"/>
    <w:basedOn w:val="Normal"/>
    <w:pPr>
      <w:tabs>
        <w:tab w:val="center" w:pos="7285"/>
        <w:tab w:val="center" w:pos="10930"/>
        <w:tab w:val="right" w:pos="14570"/>
      </w:tabs>
      <w:spacing w:before="360" w:after="0"/>
      <w:jc w:val="center"/>
    </w:pPr>
  </w:style>
  <w:style w:type="paragraph" w:customStyle="1" w:styleId="TitrearticleAccord">
    <w:name w:val="Titre article Accord"/>
    <w:basedOn w:val="Normal"/>
    <w:next w:val="Normal"/>
    <w:pPr>
      <w:keepNext/>
      <w:spacing w:before="600" w:line="360" w:lineRule="auto"/>
      <w:jc w:val="center"/>
    </w:pPr>
    <w:rPr>
      <w:i/>
    </w:rPr>
  </w:style>
  <w:style w:type="paragraph" w:customStyle="1" w:styleId="DESignature">
    <w:name w:val="DE Signature"/>
    <w:basedOn w:val="Normal"/>
    <w:next w:val="Normal"/>
    <w:pPr>
      <w:tabs>
        <w:tab w:val="center" w:pos="5953"/>
      </w:tabs>
      <w:spacing w:before="720" w:line="360" w:lineRule="auto"/>
      <w:jc w:val="left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39</Pages>
  <Words>9810</Words>
  <Characters>52877</Characters>
  <Application>Microsoft Office Word</Application>
  <DocSecurity>0</DocSecurity>
  <Lines>1429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WES PDFC Administrator</cp:lastModifiedBy>
  <cp:revision>8</cp:revision>
  <cp:lastPrinted>2019-05-16T15:39:00Z</cp:lastPrinted>
  <dcterms:created xsi:type="dcterms:W3CDTF">2019-06-24T15:07:00Z</dcterms:created>
  <dcterms:modified xsi:type="dcterms:W3CDTF">2019-07-15T13:00:00Z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