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03CE819-882B-4065-AB73-E3872DA82131"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spacing w:after="360"/>
        <w:jc w:val="center"/>
        <w:rPr>
          <w:b/>
          <w:noProof/>
          <w:u w:val="single"/>
        </w:rPr>
      </w:pPr>
      <w:bookmarkStart w:id="0" w:name="_GoBack"/>
      <w:bookmarkEnd w:id="0"/>
      <w:r>
        <w:rPr>
          <w:b/>
          <w:noProof/>
          <w:u w:val="single"/>
        </w:rPr>
        <w:t>ANNEXE</w:t>
      </w:r>
    </w:p>
    <w:p>
      <w:pPr>
        <w:jc w:val="center"/>
        <w:rPr>
          <w:b/>
          <w:caps/>
          <w:noProof/>
        </w:rPr>
      </w:pPr>
      <w:r>
        <w:rPr>
          <w:b/>
          <w:caps/>
          <w:noProof/>
        </w:rPr>
        <w:t>Décision nº ..../2019 du sous-comité de gestion des mesures sanitaires et phytosanitaires UE-Ukraine</w:t>
      </w:r>
    </w:p>
    <w:p>
      <w:pPr>
        <w:jc w:val="center"/>
        <w:rPr>
          <w:b/>
          <w:noProof/>
        </w:rPr>
      </w:pPr>
      <w:r>
        <w:rPr>
          <w:b/>
          <w:noProof/>
        </w:rPr>
        <w:t>du ..... 2019</w:t>
      </w:r>
    </w:p>
    <w:p>
      <w:pPr>
        <w:spacing w:after="240"/>
        <w:jc w:val="center"/>
        <w:rPr>
          <w:b/>
          <w:noProof/>
          <w:szCs w:val="24"/>
        </w:rPr>
      </w:pPr>
      <w:r>
        <w:rPr>
          <w:b/>
          <w:noProof/>
          <w:szCs w:val="24"/>
        </w:rPr>
        <w:t>modifiant l’annexe V de l’accord d’association</w:t>
      </w:r>
    </w:p>
    <w:p>
      <w:pPr>
        <w:spacing w:line="276" w:lineRule="auto"/>
        <w:rPr>
          <w:noProof/>
        </w:rPr>
      </w:pPr>
      <w:r>
        <w:rPr>
          <w:noProof/>
        </w:rPr>
        <w:t>LE SOUS-COMITÉ DE GESTION DES MESURES SANITAIRES ET PHYTOSANITAIRES,</w:t>
      </w:r>
    </w:p>
    <w:p>
      <w:pPr>
        <w:rPr>
          <w:noProof/>
        </w:rPr>
      </w:pPr>
      <w:r>
        <w:rPr>
          <w:noProof/>
        </w:rPr>
        <w:t>vu l’accord d’association entre l’Union européenne et la Communauté européenne de l’énergie atomique et leurs États membres, d’une part, et l’Ukraine, d’autre part</w:t>
      </w:r>
      <w:r>
        <w:rPr>
          <w:rStyle w:val="FootnoteReference"/>
          <w:noProof/>
        </w:rPr>
        <w:footnoteReference w:id="1"/>
      </w:r>
      <w:r>
        <w:rPr>
          <w:noProof/>
        </w:rPr>
        <w:t>, signé à Bruxelles le 27 juin 2014, et notamment son article 74, paragraphe 2,</w:t>
      </w:r>
    </w:p>
    <w:p>
      <w:pPr>
        <w:rPr>
          <w:noProof/>
        </w:rPr>
      </w:pPr>
      <w:r>
        <w:rPr>
          <w:noProof/>
        </w:rPr>
        <w:t>considérant ce qui suit:</w:t>
      </w:r>
    </w:p>
    <w:p>
      <w:pPr>
        <w:pStyle w:val="Considrant"/>
        <w:numPr>
          <w:ilvl w:val="0"/>
          <w:numId w:val="5"/>
        </w:numPr>
        <w:rPr>
          <w:noProof/>
        </w:rPr>
      </w:pPr>
      <w:r>
        <w:rPr>
          <w:noProof/>
        </w:rPr>
        <w:t>L’accord d’association entre l’Union européenne et la Communauté européenne de l’énergie atomique et leurs États membres, d’une part, et l’Ukraine, d’autre part (ci-après l’«accord») est entré en vigueur le 1</w:t>
      </w:r>
      <w:r>
        <w:rPr>
          <w:noProof/>
          <w:vertAlign w:val="superscript"/>
        </w:rPr>
        <w:t>er</w:t>
      </w:r>
      <w:r>
        <w:rPr>
          <w:noProof/>
        </w:rPr>
        <w:t> septembre 2017.</w:t>
      </w:r>
    </w:p>
    <w:p>
      <w:pPr>
        <w:pStyle w:val="Considrant"/>
        <w:numPr>
          <w:ilvl w:val="0"/>
          <w:numId w:val="5"/>
        </w:numPr>
        <w:rPr>
          <w:noProof/>
        </w:rPr>
      </w:pPr>
      <w:r>
        <w:rPr>
          <w:noProof/>
        </w:rPr>
        <w:t>L’article 64, paragraphe 1, de l’accord prévoit que l’Ukraine procède au rapprochement de sa législation sanitaire, phytosanitaire et relative au bien-être animal avec la législation de l’Union visée à l’annexe V de l’accord.</w:t>
      </w:r>
    </w:p>
    <w:p>
      <w:pPr>
        <w:pStyle w:val="Considrant"/>
        <w:numPr>
          <w:ilvl w:val="0"/>
          <w:numId w:val="5"/>
        </w:numPr>
        <w:rPr>
          <w:noProof/>
        </w:rPr>
      </w:pPr>
      <w:r>
        <w:rPr>
          <w:noProof/>
        </w:rPr>
        <w:t>L’article 64, paragraphe 4, de l’accord fait obligation à l’Ukraine de soumettre une liste des dispositions de l’acquis de l’Union en matière sanitaire, phytosanitaire et de bien-être animal (ci-après la «liste») sur lequel elle a l’intention d’aligner sa législation interne. La «stratégie globale» doit servir de document de référence pour la mise en œuvre du chapitre 4 (Mesures sanitaires et phytosanitaires) du titre IV (Commerce et questions liées au commerce) de l’accord.</w:t>
      </w:r>
    </w:p>
    <w:p>
      <w:pPr>
        <w:pStyle w:val="Considrant"/>
        <w:numPr>
          <w:ilvl w:val="0"/>
          <w:numId w:val="5"/>
        </w:numPr>
        <w:rPr>
          <w:noProof/>
        </w:rPr>
      </w:pPr>
      <w:r>
        <w:rPr>
          <w:noProof/>
        </w:rPr>
        <w:t>L’Ukraine a soumis la liste à la Commission européenne en octobre 2018. Sur la base de cette liste, le sous-comité SPS adoptera par conséquent l’acte envisagé modifiant l’annexe V de l’accord.</w:t>
      </w:r>
    </w:p>
    <w:p>
      <w:pPr>
        <w:pStyle w:val="Considrant"/>
        <w:numPr>
          <w:ilvl w:val="0"/>
          <w:numId w:val="5"/>
        </w:numPr>
        <w:rPr>
          <w:noProof/>
        </w:rPr>
      </w:pPr>
      <w:r>
        <w:rPr>
          <w:noProof/>
        </w:rPr>
        <w:t>Il convient dès lors que le sous-comité de gestion des mesures sanitaires et phytosanitaires prenne une décision visant à remplacer l’annexe V existante par une nouvelle annexe,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L’annexe V de l’accord d’association entre l’Union européenne et la Communauté européenne de l’énergie atomique et leurs États membres, d’une part, et l’Ukraine, d’autre part, est remplacée par l’annexe de la présente décision.</w:t>
      </w:r>
    </w:p>
    <w:p>
      <w:pPr>
        <w:pStyle w:val="Titrearticle"/>
        <w:rPr>
          <w:noProof/>
        </w:rPr>
      </w:pPr>
      <w:r>
        <w:rPr>
          <w:noProof/>
        </w:rPr>
        <w:t>Article 2</w:t>
      </w:r>
    </w:p>
    <w:p>
      <w:pPr>
        <w:spacing w:after="240"/>
        <w:rPr>
          <w:noProof/>
        </w:rPr>
      </w:pPr>
      <w:r>
        <w:rPr>
          <w:noProof/>
        </w:rPr>
        <w:t>La présente décision entre en vigueur le jour de son adoption.</w:t>
      </w:r>
    </w:p>
    <w:p>
      <w:pPr>
        <w:spacing w:after="360"/>
        <w:rPr>
          <w:noProof/>
        </w:rPr>
      </w:pPr>
      <w:r>
        <w:rPr>
          <w:noProof/>
        </w:rPr>
        <w:t>Fait à …, le …</w:t>
      </w:r>
    </w:p>
    <w:p>
      <w:pPr>
        <w:rPr>
          <w:noProof/>
        </w:rPr>
      </w:pPr>
      <w:r>
        <w:rPr>
          <w:noProof/>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tc>
          <w:tcPr>
            <w:tcW w:w="9213" w:type="dxa"/>
            <w:gridSpan w:val="2"/>
          </w:tcPr>
          <w:p>
            <w:pPr>
              <w:jc w:val="center"/>
              <w:rPr>
                <w:noProof/>
              </w:rPr>
            </w:pPr>
            <w:r>
              <w:rPr>
                <w:i/>
                <w:noProof/>
              </w:rPr>
              <w:t>Pour le sous-comité de gestion des mesures sanitaires et phytosanitaires</w:t>
            </w:r>
          </w:p>
        </w:tc>
      </w:tr>
      <w:tr>
        <w:tc>
          <w:tcPr>
            <w:tcW w:w="9213" w:type="dxa"/>
            <w:gridSpan w:val="2"/>
          </w:tcPr>
          <w:p>
            <w:pPr>
              <w:jc w:val="center"/>
              <w:rPr>
                <w:i/>
                <w:noProof/>
              </w:rPr>
            </w:pPr>
            <w:r>
              <w:rPr>
                <w:i/>
                <w:noProof/>
              </w:rPr>
              <w:t>Pour le président</w:t>
            </w:r>
          </w:p>
        </w:tc>
      </w:tr>
      <w:tr>
        <w:tc>
          <w:tcPr>
            <w:tcW w:w="4606" w:type="dxa"/>
          </w:tcPr>
          <w:p>
            <w:pPr>
              <w:rPr>
                <w:noProof/>
              </w:rPr>
            </w:pPr>
          </w:p>
        </w:tc>
        <w:tc>
          <w:tcPr>
            <w:tcW w:w="4607" w:type="dxa"/>
          </w:tcPr>
          <w:p>
            <w:pPr>
              <w:rPr>
                <w:noProof/>
              </w:rPr>
            </w:pPr>
          </w:p>
        </w:tc>
      </w:tr>
      <w:tr>
        <w:tc>
          <w:tcPr>
            <w:tcW w:w="9213" w:type="dxa"/>
            <w:gridSpan w:val="2"/>
          </w:tcPr>
          <w:p>
            <w:pPr>
              <w:jc w:val="center"/>
              <w:rPr>
                <w:noProof/>
              </w:rPr>
            </w:pPr>
            <w:r>
              <w:rPr>
                <w:i/>
                <w:noProof/>
              </w:rPr>
              <w:t>Les secrétaires</w:t>
            </w:r>
          </w:p>
        </w:tc>
      </w:tr>
      <w:tr>
        <w:tc>
          <w:tcPr>
            <w:tcW w:w="4606" w:type="dxa"/>
          </w:tcPr>
          <w:p>
            <w:pPr>
              <w:rPr>
                <w:noProof/>
              </w:rPr>
            </w:pPr>
            <w:r>
              <w:rPr>
                <w:noProof/>
              </w:rPr>
              <w:t>Pour l’Union</w:t>
            </w:r>
          </w:p>
        </w:tc>
        <w:tc>
          <w:tcPr>
            <w:tcW w:w="4607" w:type="dxa"/>
          </w:tcPr>
          <w:p>
            <w:pPr>
              <w:jc w:val="center"/>
              <w:rPr>
                <w:noProof/>
              </w:rPr>
            </w:pPr>
            <w:r>
              <w:rPr>
                <w:noProof/>
              </w:rPr>
              <w:t>Pour l’Ukraine</w:t>
            </w:r>
          </w:p>
        </w:tc>
      </w:tr>
    </w:tbl>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noProof/>
        </w:rPr>
      </w:pPr>
      <w:r>
        <w:rPr>
          <w:noProof/>
        </w:rPr>
        <w:t>ANNEXE</w:t>
      </w:r>
    </w:p>
    <w:p>
      <w:pPr>
        <w:spacing w:after="360"/>
        <w:jc w:val="center"/>
        <w:rPr>
          <w:noProof/>
        </w:rPr>
      </w:pPr>
      <w:r>
        <w:rPr>
          <w:noProof/>
        </w:rPr>
        <w:t>MODIFICATION DE L’ANNEXE V DE L’ACCORD D’ASSOCIATION</w:t>
      </w:r>
    </w:p>
    <w:p>
      <w:pPr>
        <w:rPr>
          <w:noProof/>
        </w:rPr>
      </w:pPr>
      <w:r>
        <w:rPr>
          <w:noProof/>
        </w:rPr>
        <w:t>L’annexe V est remplacée par le texte suivant:</w:t>
      </w:r>
    </w:p>
    <w:p>
      <w:pPr>
        <w:spacing w:before="360" w:after="360"/>
        <w:jc w:val="center"/>
        <w:rPr>
          <w:noProof/>
        </w:rPr>
      </w:pPr>
      <w:r>
        <w:rPr>
          <w:noProof/>
        </w:rPr>
        <w:t>«ANNEXE V</w:t>
      </w:r>
    </w:p>
    <w:p>
      <w:pPr>
        <w:spacing w:after="360"/>
        <w:jc w:val="center"/>
        <w:rPr>
          <w:noProof/>
        </w:rPr>
      </w:pPr>
      <w:r>
        <w:rPr>
          <w:noProof/>
        </w:rPr>
        <w:t>LISTE DE LA LÉGISLATION DE L’UNION AVEC LAQUELLE L’UKRAINE DOIT RAPPROCHER SA LÉGISLATION</w:t>
      </w:r>
    </w:p>
    <w:p>
      <w:pPr>
        <w:spacing w:after="360"/>
        <w:rPr>
          <w:noProof/>
        </w:rPr>
      </w:pPr>
      <w:r>
        <w:rPr>
          <w:noProof/>
        </w:rPr>
        <w:t>L’Ukraine s’engage à procéder au rapprochement de sa législation avec la législation suivante de l’Union dans les délais d’adoption et de mise en œuvre indiqués ci-dessous, conformément à l’article 64, paragraphe 4, du présent accord.</w:t>
      </w:r>
    </w:p>
    <w:tbl>
      <w:tblPr>
        <w:tblW w:w="53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5"/>
        <w:gridCol w:w="2801"/>
      </w:tblGrid>
      <w:tr>
        <w:trPr>
          <w:tblHeader/>
        </w:trPr>
        <w:tc>
          <w:tcPr>
            <w:tcW w:w="3579" w:type="pct"/>
            <w:shd w:val="clear" w:color="auto" w:fill="auto"/>
          </w:tcPr>
          <w:p>
            <w:pPr>
              <w:spacing w:before="60" w:after="60"/>
              <w:jc w:val="center"/>
              <w:rPr>
                <w:caps/>
                <w:noProof/>
                <w:szCs w:val="24"/>
              </w:rPr>
            </w:pPr>
            <w:r>
              <w:rPr>
                <w:noProof/>
              </w:rPr>
              <w:t>Législation de l’Union</w:t>
            </w:r>
          </w:p>
        </w:tc>
        <w:tc>
          <w:tcPr>
            <w:tcW w:w="1421" w:type="pct"/>
            <w:shd w:val="clear" w:color="auto" w:fill="auto"/>
          </w:tcPr>
          <w:p>
            <w:pPr>
              <w:spacing w:before="60" w:after="60"/>
              <w:jc w:val="center"/>
              <w:rPr>
                <w:noProof/>
                <w:szCs w:val="24"/>
              </w:rPr>
            </w:pPr>
            <w:r>
              <w:rPr>
                <w:noProof/>
              </w:rPr>
              <w:t>Délai pour l’adoption</w:t>
            </w:r>
            <w:r>
              <w:rPr>
                <w:rStyle w:val="FootnoteReference"/>
                <w:noProof/>
              </w:rPr>
              <w:footnoteReference w:id="2"/>
            </w:r>
          </w:p>
        </w:tc>
      </w:tr>
      <w:tr>
        <w:tc>
          <w:tcPr>
            <w:tcW w:w="5000" w:type="pct"/>
            <w:gridSpan w:val="2"/>
            <w:shd w:val="clear" w:color="auto" w:fill="auto"/>
          </w:tcPr>
          <w:p>
            <w:pPr>
              <w:spacing w:before="60" w:after="60"/>
              <w:jc w:val="center"/>
              <w:rPr>
                <w:caps/>
                <w:noProof/>
                <w:szCs w:val="24"/>
              </w:rPr>
            </w:pPr>
            <w:r>
              <w:rPr>
                <w:noProof/>
              </w:rPr>
              <w:t>Chapitre I - Législation générale (santé publique)</w:t>
            </w:r>
          </w:p>
        </w:tc>
      </w:tr>
      <w:tr>
        <w:tc>
          <w:tcPr>
            <w:tcW w:w="3579" w:type="pct"/>
            <w:shd w:val="clear" w:color="auto" w:fill="auto"/>
          </w:tcPr>
          <w:p>
            <w:pPr>
              <w:spacing w:before="60" w:after="60"/>
              <w:jc w:val="left"/>
              <w:rPr>
                <w:noProof/>
                <w:szCs w:val="24"/>
              </w:rPr>
            </w:pPr>
            <w:r>
              <w:rPr>
                <w:noProof/>
              </w:rPr>
              <w:t>Directive 91/496/CEE du Conseil du 15 juillet 1991 fixant les principes relatifs à l’organisation des contrôles vétérinaires pour les animaux en provenance des pays tiers introduits dans la Communauté et modifiant les directives 89/662/CEE, 90/425/CEE et 90/675/CEE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Directive 97/78/CE du Conseil du 18 décembre 1997 fixant les principes relatifs à l’organisation des contrôles vétérinaires pour les produits en provenance des pays tiers introduits dans la Communauté</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autoSpaceDE w:val="0"/>
              <w:autoSpaceDN w:val="0"/>
              <w:adjustRightInd w:val="0"/>
              <w:spacing w:before="60" w:after="60"/>
              <w:jc w:val="left"/>
              <w:rPr>
                <w:noProof/>
                <w:szCs w:val="24"/>
              </w:rPr>
            </w:pPr>
            <w:r>
              <w:rPr>
                <w:noProof/>
              </w:rPr>
              <w:t>Règlement (CE) nº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w:t>
            </w:r>
          </w:p>
        </w:tc>
        <w:tc>
          <w:tcPr>
            <w:tcW w:w="1421" w:type="pct"/>
            <w:shd w:val="clear" w:color="auto" w:fill="auto"/>
          </w:tcPr>
          <w:p>
            <w:pPr>
              <w:spacing w:before="60" w:after="60"/>
              <w:jc w:val="center"/>
              <w:rPr>
                <w:caps/>
                <w:noProof/>
                <w:szCs w:val="24"/>
              </w:rPr>
            </w:pPr>
            <w:r>
              <w:rPr>
                <w:caps/>
                <w:noProof/>
                <w:szCs w:val="24"/>
              </w:rPr>
              <w:t>2016</w:t>
            </w:r>
          </w:p>
        </w:tc>
      </w:tr>
      <w:tr>
        <w:tc>
          <w:tcPr>
            <w:tcW w:w="3579" w:type="pct"/>
            <w:shd w:val="clear" w:color="auto" w:fill="auto"/>
          </w:tcPr>
          <w:p>
            <w:pPr>
              <w:spacing w:before="60" w:after="60"/>
              <w:jc w:val="left"/>
              <w:rPr>
                <w:noProof/>
                <w:szCs w:val="24"/>
              </w:rPr>
            </w:pPr>
            <w:r>
              <w:rPr>
                <w:noProof/>
              </w:rPr>
              <w:t>Directive 2002/99/CE du Conseil du 16 décembre 2002 fixant les règles de police sanitaire régissant la production, la transformation, la distribution et l’introduction des produits d’origine animale destinés à la consommation humaine</w:t>
            </w:r>
          </w:p>
        </w:tc>
        <w:tc>
          <w:tcPr>
            <w:tcW w:w="1421" w:type="pct"/>
            <w:shd w:val="clear" w:color="auto" w:fill="auto"/>
          </w:tcPr>
          <w:p>
            <w:pPr>
              <w:widowControl w:val="0"/>
              <w:spacing w:before="60" w:after="60"/>
              <w:jc w:val="center"/>
              <w:rPr>
                <w:noProof/>
                <w:szCs w:val="24"/>
              </w:rPr>
            </w:pPr>
            <w:r>
              <w:rPr>
                <w:noProof/>
              </w:rPr>
              <w:t>2018</w:t>
            </w:r>
          </w:p>
        </w:tc>
      </w:tr>
      <w:tr>
        <w:tc>
          <w:tcPr>
            <w:tcW w:w="3579" w:type="pct"/>
            <w:shd w:val="clear" w:color="auto" w:fill="auto"/>
          </w:tcPr>
          <w:p>
            <w:pPr>
              <w:pageBreakBefore/>
              <w:autoSpaceDE w:val="0"/>
              <w:autoSpaceDN w:val="0"/>
              <w:adjustRightInd w:val="0"/>
              <w:spacing w:before="60" w:after="60"/>
              <w:jc w:val="left"/>
              <w:rPr>
                <w:noProof/>
                <w:szCs w:val="24"/>
              </w:rPr>
            </w:pPr>
            <w:r>
              <w:rPr>
                <w:noProof/>
              </w:rPr>
              <w:t>Règlement (CE) nº 852/2004 du Parlement européen et du Conseil du 29 avril 2004 relatif à l’hygiène des denrées alimentaires</w:t>
            </w:r>
          </w:p>
        </w:tc>
        <w:tc>
          <w:tcPr>
            <w:tcW w:w="1421" w:type="pct"/>
            <w:shd w:val="clear" w:color="auto" w:fill="auto"/>
          </w:tcPr>
          <w:p>
            <w:pPr>
              <w:spacing w:before="60" w:after="60"/>
              <w:jc w:val="center"/>
              <w:rPr>
                <w:caps/>
                <w:noProof/>
                <w:szCs w:val="24"/>
              </w:rPr>
            </w:pPr>
            <w:r>
              <w:rPr>
                <w:caps/>
                <w:noProof/>
                <w:szCs w:val="24"/>
              </w:rPr>
              <w:t>2016</w:t>
            </w:r>
          </w:p>
        </w:tc>
      </w:tr>
      <w:tr>
        <w:tc>
          <w:tcPr>
            <w:tcW w:w="3579" w:type="pct"/>
            <w:shd w:val="clear" w:color="auto" w:fill="auto"/>
          </w:tcPr>
          <w:p>
            <w:pPr>
              <w:autoSpaceDE w:val="0"/>
              <w:autoSpaceDN w:val="0"/>
              <w:adjustRightInd w:val="0"/>
              <w:spacing w:before="60" w:after="60"/>
              <w:jc w:val="left"/>
              <w:rPr>
                <w:noProof/>
                <w:szCs w:val="24"/>
              </w:rPr>
            </w:pPr>
            <w:r>
              <w:rPr>
                <w:noProof/>
              </w:rPr>
              <w:t>Règlement (CE) nº 853/2004 du Parlement européen et du Conseil du 29 avril 2004 fixant des règles spécifiques d’hygiène applicables aux denrées alimentaires d’origine animale</w:t>
            </w:r>
          </w:p>
        </w:tc>
        <w:tc>
          <w:tcPr>
            <w:tcW w:w="1421" w:type="pct"/>
            <w:shd w:val="clear" w:color="auto" w:fill="auto"/>
          </w:tcPr>
          <w:p>
            <w:pPr>
              <w:spacing w:before="60" w:after="60"/>
              <w:jc w:val="center"/>
              <w:rPr>
                <w:caps/>
                <w:noProof/>
                <w:szCs w:val="24"/>
              </w:rPr>
            </w:pPr>
            <w:r>
              <w:rPr>
                <w:caps/>
                <w:noProof/>
                <w:szCs w:val="24"/>
              </w:rPr>
              <w:t>2018</w:t>
            </w:r>
          </w:p>
        </w:tc>
      </w:tr>
      <w:tr>
        <w:tc>
          <w:tcPr>
            <w:tcW w:w="3579" w:type="pct"/>
            <w:shd w:val="clear" w:color="auto" w:fill="auto"/>
          </w:tcPr>
          <w:p>
            <w:pPr>
              <w:autoSpaceDE w:val="0"/>
              <w:autoSpaceDN w:val="0"/>
              <w:adjustRightInd w:val="0"/>
              <w:spacing w:before="60" w:after="60"/>
              <w:jc w:val="left"/>
              <w:rPr>
                <w:noProof/>
                <w:szCs w:val="24"/>
              </w:rPr>
            </w:pPr>
            <w:r>
              <w:rPr>
                <w:noProof/>
              </w:rPr>
              <w:t>Règlement (CE) nº 854/2004 du Parlement européen et du Conseil du 29 avril 2004 fixant les règles spécifiques d’organisation des contrôles officiels concernant les produits d’origine animale destinés à la consommation humaine</w:t>
            </w:r>
          </w:p>
        </w:tc>
        <w:tc>
          <w:tcPr>
            <w:tcW w:w="1421" w:type="pct"/>
            <w:shd w:val="clear" w:color="auto" w:fill="auto"/>
          </w:tcPr>
          <w:p>
            <w:pPr>
              <w:spacing w:before="60" w:after="60"/>
              <w:jc w:val="center"/>
              <w:rPr>
                <w:caps/>
                <w:noProof/>
                <w:szCs w:val="24"/>
              </w:rPr>
            </w:pPr>
            <w:r>
              <w:rPr>
                <w:caps/>
                <w:noProof/>
                <w:szCs w:val="24"/>
              </w:rPr>
              <w:t>2016</w:t>
            </w:r>
          </w:p>
        </w:tc>
      </w:tr>
      <w:tr>
        <w:tc>
          <w:tcPr>
            <w:tcW w:w="3579" w:type="pct"/>
            <w:shd w:val="clear" w:color="auto" w:fill="auto"/>
          </w:tcPr>
          <w:p>
            <w:pPr>
              <w:autoSpaceDE w:val="0"/>
              <w:autoSpaceDN w:val="0"/>
              <w:adjustRightInd w:val="0"/>
              <w:spacing w:before="60" w:after="60"/>
              <w:jc w:val="left"/>
              <w:rPr>
                <w:noProof/>
                <w:szCs w:val="24"/>
              </w:rPr>
            </w:pPr>
            <w:r>
              <w:rPr>
                <w:noProof/>
              </w:rPr>
              <w:t>Règlement (CE) nº 669/2009 de la Commission du 24 juillet 2009 portant modalités d’exécution du règlement (CE) nº 882/2004 du Parlement européen et du Conseil en ce qui concerne les contrôles officiels renforcés à l’importation de certains aliments pour animaux et certaines denrées alimentaires d’origine non animale et modifiant la décision 2006/504/CE</w:t>
            </w:r>
          </w:p>
        </w:tc>
        <w:tc>
          <w:tcPr>
            <w:tcW w:w="1421" w:type="pct"/>
            <w:shd w:val="clear" w:color="auto" w:fill="auto"/>
          </w:tcPr>
          <w:p>
            <w:pPr>
              <w:spacing w:before="60" w:after="60"/>
              <w:jc w:val="center"/>
              <w:rPr>
                <w:caps/>
                <w:noProof/>
                <w:szCs w:val="24"/>
              </w:rPr>
            </w:pPr>
            <w:r>
              <w:rPr>
                <w:caps/>
                <w:noProof/>
                <w:szCs w:val="24"/>
              </w:rPr>
              <w:t>2018</w:t>
            </w:r>
          </w:p>
        </w:tc>
      </w:tr>
      <w:tr>
        <w:tc>
          <w:tcPr>
            <w:tcW w:w="3579" w:type="pct"/>
            <w:shd w:val="clear" w:color="auto" w:fill="auto"/>
          </w:tcPr>
          <w:p>
            <w:pPr>
              <w:autoSpaceDE w:val="0"/>
              <w:autoSpaceDN w:val="0"/>
              <w:adjustRightInd w:val="0"/>
              <w:spacing w:before="60" w:after="60"/>
              <w:jc w:val="left"/>
              <w:rPr>
                <w:noProof/>
                <w:szCs w:val="24"/>
              </w:rPr>
            </w:pPr>
            <w:r>
              <w:rPr>
                <w:noProof/>
              </w:rPr>
              <w:t>Règlement (UE) nº 16/2011 de la Commission du 10 janvier 2011 portant modalités d’application relatives au système d’alerte rapide pour les denrées alimentaires et les aliments pour animaux</w:t>
            </w:r>
          </w:p>
        </w:tc>
        <w:tc>
          <w:tcPr>
            <w:tcW w:w="1421" w:type="pct"/>
            <w:shd w:val="clear" w:color="auto" w:fill="auto"/>
          </w:tcPr>
          <w:p>
            <w:pPr>
              <w:spacing w:before="60" w:after="60"/>
              <w:jc w:val="center"/>
              <w:rPr>
                <w:caps/>
                <w:noProof/>
                <w:szCs w:val="24"/>
              </w:rPr>
            </w:pPr>
            <w:r>
              <w:rPr>
                <w:caps/>
                <w:noProof/>
                <w:szCs w:val="24"/>
              </w:rPr>
              <w:t>2020</w:t>
            </w:r>
          </w:p>
        </w:tc>
      </w:tr>
      <w:tr>
        <w:tc>
          <w:tcPr>
            <w:tcW w:w="3579" w:type="pct"/>
            <w:shd w:val="clear" w:color="auto" w:fill="auto"/>
          </w:tcPr>
          <w:p>
            <w:pPr>
              <w:autoSpaceDE w:val="0"/>
              <w:autoSpaceDN w:val="0"/>
              <w:adjustRightInd w:val="0"/>
              <w:spacing w:before="60" w:after="60"/>
              <w:jc w:val="left"/>
              <w:rPr>
                <w:noProof/>
                <w:szCs w:val="24"/>
              </w:rPr>
            </w:pPr>
            <w:r>
              <w:rPr>
                <w:noProof/>
              </w:rPr>
              <w:t>Règlement d’exécution (UE) nº 931/2011 de la Commission du 19 septembre 2011 relatif aux exigences de traçabilité définies par le règlement (CE) nº 178/2002 du Parlement européen et du Conseil en ce qui concerne les denrées alimentaires d’origine animale</w:t>
            </w:r>
          </w:p>
        </w:tc>
        <w:tc>
          <w:tcPr>
            <w:tcW w:w="1421" w:type="pct"/>
            <w:shd w:val="clear" w:color="auto" w:fill="auto"/>
          </w:tcPr>
          <w:p>
            <w:pPr>
              <w:spacing w:before="60" w:after="60"/>
              <w:jc w:val="center"/>
              <w:rPr>
                <w:caps/>
                <w:noProof/>
                <w:szCs w:val="24"/>
              </w:rPr>
            </w:pPr>
            <w:r>
              <w:rPr>
                <w:caps/>
                <w:noProof/>
                <w:szCs w:val="24"/>
              </w:rPr>
              <w:t>2018</w:t>
            </w:r>
          </w:p>
        </w:tc>
      </w:tr>
      <w:tr>
        <w:tc>
          <w:tcPr>
            <w:tcW w:w="3579" w:type="pct"/>
            <w:shd w:val="clear" w:color="auto" w:fill="auto"/>
          </w:tcPr>
          <w:p>
            <w:pPr>
              <w:autoSpaceDE w:val="0"/>
              <w:autoSpaceDN w:val="0"/>
              <w:adjustRightInd w:val="0"/>
              <w:spacing w:before="60" w:after="60"/>
              <w:jc w:val="left"/>
              <w:rPr>
                <w:noProof/>
                <w:szCs w:val="24"/>
              </w:rPr>
            </w:pPr>
            <w:r>
              <w:rPr>
                <w:noProof/>
              </w:rPr>
              <w:t>Règlement d’exécution (UE) nº 208/2013 de la Commission du 11 mars 2013 sur les exigences en matière de traçabilité pour les germes et les graines destinées à la production de germes</w:t>
            </w:r>
          </w:p>
        </w:tc>
        <w:tc>
          <w:tcPr>
            <w:tcW w:w="1421" w:type="pct"/>
            <w:shd w:val="clear" w:color="auto" w:fill="auto"/>
          </w:tcPr>
          <w:p>
            <w:pPr>
              <w:spacing w:before="60" w:after="60"/>
              <w:jc w:val="center"/>
              <w:rPr>
                <w:caps/>
                <w:noProof/>
                <w:szCs w:val="24"/>
              </w:rPr>
            </w:pPr>
            <w:r>
              <w:rPr>
                <w:caps/>
                <w:noProof/>
                <w:szCs w:val="24"/>
              </w:rPr>
              <w:t>2018</w:t>
            </w:r>
          </w:p>
        </w:tc>
      </w:tr>
      <w:tr>
        <w:tc>
          <w:tcPr>
            <w:tcW w:w="5000" w:type="pct"/>
            <w:gridSpan w:val="2"/>
            <w:shd w:val="clear" w:color="auto" w:fill="auto"/>
          </w:tcPr>
          <w:p>
            <w:pPr>
              <w:pageBreakBefore/>
              <w:spacing w:before="60" w:after="60"/>
              <w:jc w:val="center"/>
              <w:rPr>
                <w:noProof/>
                <w:szCs w:val="24"/>
              </w:rPr>
            </w:pPr>
            <w:r>
              <w:rPr>
                <w:noProof/>
              </w:rPr>
              <w:t>Étiquetage et information sur les denrées alimentaires</w:t>
            </w:r>
          </w:p>
        </w:tc>
      </w:tr>
      <w:tr>
        <w:trPr>
          <w:trHeight w:val="718"/>
        </w:trPr>
        <w:tc>
          <w:tcPr>
            <w:tcW w:w="3579" w:type="pct"/>
            <w:shd w:val="clear" w:color="auto" w:fill="auto"/>
          </w:tcPr>
          <w:p>
            <w:pPr>
              <w:spacing w:before="60" w:after="60"/>
              <w:jc w:val="left"/>
              <w:rPr>
                <w:noProof/>
                <w:szCs w:val="24"/>
              </w:rPr>
            </w:pPr>
            <w:r>
              <w:rPr>
                <w:noProof/>
              </w:rPr>
              <w:t>Règlement (CE) nº 1924/2006 du Parlement européen et du Conseil du 20 décembre 2006 concernant les allégations nutritionnelles et de santé portant sur les denrées alimentaires</w:t>
            </w:r>
          </w:p>
        </w:tc>
        <w:tc>
          <w:tcPr>
            <w:tcW w:w="1421" w:type="pct"/>
            <w:shd w:val="clear" w:color="auto" w:fill="auto"/>
          </w:tcPr>
          <w:p>
            <w:pPr>
              <w:spacing w:before="60" w:after="60"/>
              <w:jc w:val="center"/>
              <w:rPr>
                <w:noProof/>
                <w:szCs w:val="24"/>
              </w:rPr>
            </w:pPr>
            <w:r>
              <w:rPr>
                <w:noProof/>
              </w:rPr>
              <w:t>2018</w:t>
            </w:r>
          </w:p>
        </w:tc>
      </w:tr>
      <w:tr>
        <w:trPr>
          <w:trHeight w:val="718"/>
        </w:trPr>
        <w:tc>
          <w:tcPr>
            <w:tcW w:w="3579" w:type="pct"/>
            <w:shd w:val="clear" w:color="auto" w:fill="auto"/>
          </w:tcPr>
          <w:p>
            <w:pPr>
              <w:spacing w:before="60" w:after="60"/>
              <w:jc w:val="left"/>
              <w:rPr>
                <w:noProof/>
                <w:szCs w:val="24"/>
              </w:rPr>
            </w:pPr>
            <w:r>
              <w:rPr>
                <w:noProof/>
              </w:rPr>
              <w:t>Règlement (CE) nº 1925/2006 du Parlement européen et du Conseil du 20 décembre 2006 concernant l’adjonction de vitamines, de minéraux et de certaines autres substances aux denrées alimentaires</w:t>
            </w:r>
          </w:p>
        </w:tc>
        <w:tc>
          <w:tcPr>
            <w:tcW w:w="1421" w:type="pct"/>
            <w:shd w:val="clear" w:color="auto" w:fill="auto"/>
          </w:tcPr>
          <w:p>
            <w:pPr>
              <w:spacing w:before="60" w:after="60"/>
              <w:jc w:val="center"/>
              <w:rPr>
                <w:noProof/>
                <w:szCs w:val="24"/>
              </w:rPr>
            </w:pPr>
            <w:r>
              <w:rPr>
                <w:noProof/>
              </w:rPr>
              <w:t>2018</w:t>
            </w:r>
          </w:p>
        </w:tc>
      </w:tr>
      <w:tr>
        <w:trPr>
          <w:trHeight w:val="718"/>
        </w:trPr>
        <w:tc>
          <w:tcPr>
            <w:tcW w:w="3579" w:type="pct"/>
            <w:shd w:val="clear" w:color="auto" w:fill="auto"/>
          </w:tcPr>
          <w:p>
            <w:pPr>
              <w:spacing w:before="60" w:after="60"/>
              <w:jc w:val="left"/>
              <w:rPr>
                <w:noProof/>
                <w:szCs w:val="24"/>
              </w:rPr>
            </w:pPr>
            <w:r>
              <w:rPr>
                <w:noProof/>
              </w:rPr>
              <w:t>Règlement (UE) nº 1169/2011 du Parlement européen et du Conseil du 25 octobre 2011 concernant l’information des consommateurs sur les denrées alimentaires, modifiant les règlements (CE) nº 1924/2006 et (CE) nº 1925/2006 du Parlement européen et du Conseil et abrogeant la directive 87/250/CEE de la Commission, la directive 90/496/CEE du Conseil, la directive 1999/10/CE de la Commission, la directive 2000/13/CE du Parlement européen et du Conseil, les directives 2002/67/CE et 2008/5/CE de la Commission et le règlement (CE) nº 608/2004 de la Commission</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Directive 2011/91/UE du Parlement européen et du Conseil du 13 décembre 2011 relative aux mentions ou marques permettant d’identifier le lot auquel appartient une denrée alimentaire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Règlement (UE) nº 432/2012 de la Commission du 16 mai 2012 établissant une liste des allégations de santé autorisées portant sur les denrées alimentaires, autres que celles faisant référence à la réduction du risque de maladie ainsi qu’au développement et à la santé infantiles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Décision d’exécution 2013/63/UE de la Commission du 24 janvier 2013 portant adoption d’orientations aux fins de l’application des conditions spécifiques concernant les allégations de santé énoncées à l’article 10 du règlement (CE) nº 1924/2006 du Parlement européen et du Conseil</w:t>
            </w:r>
          </w:p>
        </w:tc>
        <w:tc>
          <w:tcPr>
            <w:tcW w:w="1421" w:type="pct"/>
            <w:shd w:val="clear" w:color="auto" w:fill="auto"/>
          </w:tcPr>
          <w:p>
            <w:pPr>
              <w:spacing w:before="60" w:after="60"/>
              <w:jc w:val="center"/>
              <w:rPr>
                <w:noProof/>
                <w:szCs w:val="24"/>
              </w:rPr>
            </w:pPr>
            <w:r>
              <w:rPr>
                <w:noProof/>
              </w:rPr>
              <w:t>2018</w:t>
            </w:r>
          </w:p>
        </w:tc>
      </w:tr>
      <w:tr>
        <w:tc>
          <w:tcPr>
            <w:tcW w:w="5000" w:type="pct"/>
            <w:gridSpan w:val="2"/>
            <w:shd w:val="clear" w:color="auto" w:fill="auto"/>
          </w:tcPr>
          <w:p>
            <w:pPr>
              <w:pageBreakBefore/>
              <w:spacing w:before="60" w:after="60"/>
              <w:jc w:val="center"/>
              <w:rPr>
                <w:noProof/>
                <w:szCs w:val="24"/>
              </w:rPr>
            </w:pPr>
            <w:r>
              <w:rPr>
                <w:noProof/>
              </w:rPr>
              <w:t>Mesures applicables aux produits animaux</w:t>
            </w:r>
          </w:p>
        </w:tc>
      </w:tr>
      <w:tr>
        <w:trPr>
          <w:trHeight w:val="317"/>
        </w:trPr>
        <w:tc>
          <w:tcPr>
            <w:tcW w:w="3579" w:type="pct"/>
            <w:shd w:val="clear" w:color="auto" w:fill="auto"/>
          </w:tcPr>
          <w:p>
            <w:pPr>
              <w:spacing w:before="60" w:after="60"/>
              <w:jc w:val="left"/>
              <w:rPr>
                <w:noProof/>
                <w:szCs w:val="24"/>
              </w:rPr>
            </w:pPr>
            <w:r>
              <w:rPr>
                <w:noProof/>
              </w:rPr>
              <w:t>Directive 2001/110/CE du Conseil du 20 décembre 2001 relative au miel</w:t>
            </w:r>
          </w:p>
        </w:tc>
        <w:tc>
          <w:tcPr>
            <w:tcW w:w="1421" w:type="pct"/>
            <w:shd w:val="clear" w:color="auto" w:fill="auto"/>
          </w:tcPr>
          <w:p>
            <w:pPr>
              <w:spacing w:before="60" w:after="60"/>
              <w:jc w:val="center"/>
              <w:rPr>
                <w:noProof/>
                <w:szCs w:val="24"/>
              </w:rPr>
            </w:pPr>
            <w:r>
              <w:rPr>
                <w:noProof/>
              </w:rPr>
              <w:t>2019</w:t>
            </w:r>
          </w:p>
        </w:tc>
      </w:tr>
      <w:tr>
        <w:trPr>
          <w:trHeight w:val="20"/>
        </w:trPr>
        <w:tc>
          <w:tcPr>
            <w:tcW w:w="3579" w:type="pct"/>
            <w:shd w:val="clear" w:color="auto" w:fill="auto"/>
          </w:tcPr>
          <w:p>
            <w:pPr>
              <w:spacing w:before="60" w:after="60"/>
              <w:jc w:val="left"/>
              <w:rPr>
                <w:noProof/>
                <w:szCs w:val="24"/>
              </w:rPr>
            </w:pPr>
            <w:r>
              <w:rPr>
                <w:noProof/>
              </w:rPr>
              <w:t>Décision 2002/226/CE de la Commission du 15 mars 2002 instaurant des contrôles sanitaires spéciaux pour la récolte et le traitement de certains mollusques bivalves présentant un taux de toxine ASP (</w:t>
            </w:r>
            <w:r>
              <w:rPr>
                <w:i/>
                <w:noProof/>
              </w:rPr>
              <w:t>Amnesic Shellfish Poison</w:t>
            </w:r>
            <w:r>
              <w:rPr>
                <w:noProof/>
              </w:rPr>
              <w:t>) supérieur à la limite fixée par la directive 91/492/CEE du Conseil</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(CE) nº 2065/2003 du Parlement européen et du Conseil du 10 novembre 2003 relatif aux arômes de fumée utilisés ou destinés à être utilisés dans ou sur les denrées alimentaires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Règlement (CE) nº 853/2004 du Parlement européen et du Conseil du 29 avril 2004 fixant des règles spécifiques d’hygiène applicables aux denrées alimentaires d’origine animale (chapitre I, appendice II)</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Règlement (CE) nº 853/2004 du Parlement européen et du Conseil du 29 avril 2004 fixant des règles spécifiques d’hygiène applicables aux denrées alimentaires d’origine animale (chapitre V, appendice III)</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Règlement (CE) nº 853/2004 du Parlement européen et du Conseil du 29 avril 2004 fixant des règles spécifiques d’hygiène applicables aux denrées alimentaires d’origine animale (chapitre VII, appendice III)</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Règlement (CE) nº 853/2004 du Parlement européen et du Conseil du 29 avril 2004 fixant des règles spécifiques d’hygiène applicables aux denrées alimentaires d’origine animale (chapitre VIII, appendice III)</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pageBreakBefore/>
              <w:spacing w:before="60" w:after="60"/>
              <w:jc w:val="left"/>
              <w:rPr>
                <w:noProof/>
                <w:szCs w:val="24"/>
              </w:rPr>
            </w:pPr>
            <w:r>
              <w:rPr>
                <w:noProof/>
              </w:rPr>
              <w:t>Règlement (CE) nº 853/2004 du Parlement européen et du Conseil du 29 avril 2004 fixant des règles spécifiques d’hygiène applicables aux denrées alimentaires d’origine animale (chapitre IX, appendice III)</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Règlement (CE) nº 853/2004 du Parlement européen et du Conseil du 29 avril 2004 fixant des règles spécifiques d’hygiène applicables aux denrées alimentaires d’origine animale (chapitre X, appendice III)</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Règlement (CE) nº 853/2004 du Parlement européen et du Conseil du 29 avril 2004 fixant des règles spécifiques d’hygiène applicables aux denrées alimentaires d’origine animale (chapitre XI, appendice III)</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Règlement (CE) nº 853/2004 du Parlement européen et du Conseil du 29 avril 2004 fixant des règles spécifiques d’hygiène applicables aux denrées alimentaires d’origine animale (chapitre XII, appendice III)</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(CE) nº 853/2004 du Parlement européen et du Conseil du 29 avril 2004 fixant des règles spécifiques d’hygiène applicables aux denrées alimentaires d’origine animale (chapitre XIII, appendice III)</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Règlement (CE) nº 853/2004 du Parlement européen et du Conseil du 29 avril 2004 fixant des règles spécifiques d’hygiène applicables aux denrées alimentaires d’origine animale (chapitre XIV, appendice III)</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Règlement (CE) nº 853/2004 du Parlement européen et du Conseil du 29 avril 2004 fixant des règles spécifiques d’hygiène applicables aux denrées alimentaires d’origine animale (chapitre XV, appendice III)</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(CE) nº 854/2004 du Parlement européen et du Conseil du 29 avril 2004 fixant les règles spécifiques d’organisation des contrôles officiels concernant les produits d’origine animale destinés à la consommation humaine</w:t>
            </w:r>
          </w:p>
        </w:tc>
        <w:tc>
          <w:tcPr>
            <w:tcW w:w="1421" w:type="pct"/>
            <w:shd w:val="clear" w:color="auto" w:fill="auto"/>
          </w:tcPr>
          <w:p>
            <w:pPr>
              <w:spacing w:before="60" w:after="60"/>
              <w:jc w:val="center"/>
              <w:rPr>
                <w:noProof/>
                <w:szCs w:val="24"/>
              </w:rPr>
            </w:pPr>
            <w:r>
              <w:rPr>
                <w:noProof/>
              </w:rPr>
              <w:t>2019</w:t>
            </w:r>
          </w:p>
        </w:tc>
      </w:tr>
      <w:tr>
        <w:tc>
          <w:tcPr>
            <w:tcW w:w="3579" w:type="pct"/>
            <w:tcBorders>
              <w:top w:val="single" w:sz="4" w:space="0" w:color="auto"/>
              <w:left w:val="single" w:sz="4" w:space="0" w:color="auto"/>
              <w:bottom w:val="single" w:sz="4" w:space="0" w:color="auto"/>
              <w:right w:val="single" w:sz="4" w:space="0" w:color="auto"/>
            </w:tcBorders>
            <w:shd w:val="clear" w:color="auto" w:fill="auto"/>
          </w:tcPr>
          <w:p>
            <w:pPr>
              <w:spacing w:before="60" w:after="60"/>
              <w:jc w:val="left"/>
              <w:rPr>
                <w:noProof/>
                <w:szCs w:val="24"/>
              </w:rPr>
            </w:pPr>
            <w:r>
              <w:rPr>
                <w:noProof/>
              </w:rPr>
              <w:t>Règlement (CE) nº 37/2005 de la Commission du 12 janvier 2005 relatif au contrôle des températures dans les moyens de transport et les locaux d’entreposage et de stockage des aliments surgelés destinés à l’alimentation humaine</w:t>
            </w:r>
          </w:p>
        </w:tc>
        <w:tc>
          <w:tcPr>
            <w:tcW w:w="1421" w:type="pct"/>
            <w:tcBorders>
              <w:top w:val="single" w:sz="4" w:space="0" w:color="auto"/>
              <w:left w:val="single" w:sz="4" w:space="0" w:color="auto"/>
              <w:bottom w:val="single" w:sz="4" w:space="0" w:color="auto"/>
              <w:right w:val="single" w:sz="4" w:space="0" w:color="auto"/>
            </w:tcBorders>
            <w:shd w:val="clear" w:color="auto" w:fill="auto"/>
          </w:tcPr>
          <w:p>
            <w:pPr>
              <w:spacing w:before="60" w:after="60"/>
              <w:jc w:val="center"/>
              <w:rPr>
                <w:noProof/>
                <w:szCs w:val="24"/>
              </w:rPr>
            </w:pPr>
            <w:r>
              <w:rPr>
                <w:noProof/>
              </w:rPr>
              <w:t>2016</w:t>
            </w:r>
          </w:p>
        </w:tc>
      </w:tr>
      <w:tr>
        <w:trPr>
          <w:trHeight w:val="792"/>
        </w:trPr>
        <w:tc>
          <w:tcPr>
            <w:tcW w:w="3579" w:type="pct"/>
            <w:shd w:val="clear" w:color="auto" w:fill="auto"/>
          </w:tcPr>
          <w:p>
            <w:pPr>
              <w:pageBreakBefore/>
              <w:spacing w:before="60" w:after="60"/>
              <w:jc w:val="left"/>
              <w:rPr>
                <w:noProof/>
                <w:szCs w:val="24"/>
              </w:rPr>
            </w:pPr>
            <w:r>
              <w:rPr>
                <w:noProof/>
              </w:rPr>
              <w:t>Règlement (CE) nº 1331/2008 du Parlement européen et du Conseil du 16 décembre 2008 établissant une procédure d’autorisation uniforme pour les additifs, enzymes et arômes alimentaires</w:t>
            </w:r>
          </w:p>
        </w:tc>
        <w:tc>
          <w:tcPr>
            <w:tcW w:w="1421" w:type="pct"/>
            <w:shd w:val="clear" w:color="auto" w:fill="auto"/>
          </w:tcPr>
          <w:p>
            <w:pPr>
              <w:spacing w:before="60" w:after="60"/>
              <w:jc w:val="center"/>
              <w:rPr>
                <w:noProof/>
                <w:szCs w:val="24"/>
              </w:rPr>
            </w:pPr>
            <w:r>
              <w:rPr>
                <w:noProof/>
              </w:rPr>
              <w:t>2018</w:t>
            </w:r>
          </w:p>
        </w:tc>
      </w:tr>
      <w:tr>
        <w:trPr>
          <w:trHeight w:val="520"/>
        </w:trPr>
        <w:tc>
          <w:tcPr>
            <w:tcW w:w="3579" w:type="pct"/>
            <w:shd w:val="clear" w:color="auto" w:fill="auto"/>
          </w:tcPr>
          <w:p>
            <w:pPr>
              <w:spacing w:before="60" w:after="60"/>
              <w:jc w:val="left"/>
              <w:rPr>
                <w:noProof/>
                <w:szCs w:val="24"/>
              </w:rPr>
            </w:pPr>
            <w:r>
              <w:rPr>
                <w:noProof/>
              </w:rPr>
              <w:t>Règlement (CE) nº 1332/2008 du Parlement européen et du Conseil du 16 décembre 2008 concernant les enzymes alimentaires et modifiant la directive 83/417/CEE du Conseil, le règlement (CE) nº 1493/1999 du Conseil, la directive 2000/13/CE, la directive 2001/112/CE du Conseil et le règlement (CE) nº 258/97</w:t>
            </w:r>
          </w:p>
        </w:tc>
        <w:tc>
          <w:tcPr>
            <w:tcW w:w="1421" w:type="pct"/>
            <w:shd w:val="clear" w:color="auto" w:fill="auto"/>
          </w:tcPr>
          <w:p>
            <w:pPr>
              <w:spacing w:before="60" w:after="60"/>
              <w:jc w:val="center"/>
              <w:rPr>
                <w:noProof/>
                <w:szCs w:val="24"/>
              </w:rPr>
            </w:pPr>
            <w:r>
              <w:rPr>
                <w:noProof/>
              </w:rPr>
              <w:t>2018</w:t>
            </w:r>
          </w:p>
        </w:tc>
      </w:tr>
      <w:tr>
        <w:trPr>
          <w:trHeight w:val="520"/>
        </w:trPr>
        <w:tc>
          <w:tcPr>
            <w:tcW w:w="3579" w:type="pct"/>
            <w:shd w:val="clear" w:color="auto" w:fill="auto"/>
          </w:tcPr>
          <w:p>
            <w:pPr>
              <w:spacing w:before="60" w:after="60"/>
              <w:jc w:val="left"/>
              <w:rPr>
                <w:noProof/>
                <w:szCs w:val="24"/>
              </w:rPr>
            </w:pPr>
            <w:r>
              <w:rPr>
                <w:noProof/>
              </w:rPr>
              <w:t>Règlement (CE) nº 1333/2008 du Parlement européen et du Conseil du 16 décembre 2008 sur les additifs alimentaires</w:t>
            </w:r>
          </w:p>
        </w:tc>
        <w:tc>
          <w:tcPr>
            <w:tcW w:w="1421" w:type="pct"/>
            <w:shd w:val="clear" w:color="auto" w:fill="auto"/>
          </w:tcPr>
          <w:p>
            <w:pPr>
              <w:spacing w:before="60" w:after="60"/>
              <w:jc w:val="center"/>
              <w:rPr>
                <w:noProof/>
                <w:szCs w:val="24"/>
              </w:rPr>
            </w:pPr>
            <w:r>
              <w:rPr>
                <w:noProof/>
              </w:rPr>
              <w:t>2018</w:t>
            </w:r>
          </w:p>
        </w:tc>
      </w:tr>
      <w:tr>
        <w:trPr>
          <w:trHeight w:val="520"/>
        </w:trPr>
        <w:tc>
          <w:tcPr>
            <w:tcW w:w="3579" w:type="pct"/>
            <w:shd w:val="clear" w:color="auto" w:fill="auto"/>
          </w:tcPr>
          <w:p>
            <w:pPr>
              <w:spacing w:before="60" w:after="60"/>
              <w:jc w:val="left"/>
              <w:rPr>
                <w:noProof/>
                <w:szCs w:val="24"/>
              </w:rPr>
            </w:pPr>
            <w:r>
              <w:rPr>
                <w:noProof/>
              </w:rPr>
              <w:t>Règlement (CE) nº 1334/2008 du Parlement européen et du Conseil du 16 décembre 2008 relatif aux arômes et à certains ingrédients alimentaires possédant des propriétés aromatisantes qui sont destinés à être utilisés dans et sur les denrées alimentaires et modifiant le règlement (CEE) nº 1601/91 du Conseil, les règlements (CE) nº 2232/96 et (CE) nº 110/2008 et la directive 2000/13/CE</w:t>
            </w:r>
          </w:p>
        </w:tc>
        <w:tc>
          <w:tcPr>
            <w:tcW w:w="1421" w:type="pct"/>
            <w:shd w:val="clear" w:color="auto" w:fill="auto"/>
          </w:tcPr>
          <w:p>
            <w:pPr>
              <w:spacing w:before="60" w:after="60"/>
              <w:jc w:val="center"/>
              <w:rPr>
                <w:noProof/>
                <w:szCs w:val="24"/>
              </w:rPr>
            </w:pPr>
            <w:r>
              <w:rPr>
                <w:noProof/>
              </w:rPr>
              <w:t>2018</w:t>
            </w:r>
          </w:p>
        </w:tc>
      </w:tr>
      <w:tr>
        <w:trPr>
          <w:trHeight w:val="520"/>
        </w:trPr>
        <w:tc>
          <w:tcPr>
            <w:tcW w:w="3579" w:type="pct"/>
            <w:shd w:val="clear" w:color="auto" w:fill="auto"/>
          </w:tcPr>
          <w:p>
            <w:pPr>
              <w:spacing w:before="60" w:after="60"/>
              <w:jc w:val="left"/>
              <w:rPr>
                <w:noProof/>
                <w:szCs w:val="24"/>
              </w:rPr>
            </w:pPr>
            <w:r>
              <w:rPr>
                <w:noProof/>
              </w:rPr>
              <w:t>Règlement (UE) nº 234/2011 de la Commission du 10 mars 2011 portant application du règlement (CE) nº 1331/2008 du Parlement européen et du Conseil établissant une procédure d’autorisation uniforme pour les additifs, enzymes et arômes alimentaires</w:t>
            </w:r>
          </w:p>
        </w:tc>
        <w:tc>
          <w:tcPr>
            <w:tcW w:w="1421" w:type="pct"/>
            <w:shd w:val="clear" w:color="auto" w:fill="auto"/>
          </w:tcPr>
          <w:p>
            <w:pPr>
              <w:spacing w:before="60" w:after="60"/>
              <w:jc w:val="center"/>
              <w:rPr>
                <w:noProof/>
                <w:szCs w:val="24"/>
              </w:rPr>
            </w:pPr>
            <w:r>
              <w:rPr>
                <w:noProof/>
              </w:rPr>
              <w:t>2018</w:t>
            </w:r>
          </w:p>
        </w:tc>
      </w:tr>
      <w:tr>
        <w:trPr>
          <w:trHeight w:val="520"/>
        </w:trPr>
        <w:tc>
          <w:tcPr>
            <w:tcW w:w="3579" w:type="pct"/>
            <w:shd w:val="clear" w:color="auto" w:fill="auto"/>
          </w:tcPr>
          <w:p>
            <w:pPr>
              <w:spacing w:before="60" w:after="60"/>
              <w:jc w:val="left"/>
              <w:rPr>
                <w:noProof/>
                <w:szCs w:val="24"/>
              </w:rPr>
            </w:pPr>
            <w:r>
              <w:rPr>
                <w:noProof/>
              </w:rPr>
              <w:t>Règlement (UE) nº 231/2012 de la Commission du 9 mars 2012 établissant les spécifications des additifs alimentaires énumérés aux annexes II et III du règlement (CE) nº 1333/2008 du Parlement européen et du Conseil</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pageBreakBefore/>
              <w:spacing w:before="60" w:after="60"/>
              <w:jc w:val="left"/>
              <w:rPr>
                <w:noProof/>
                <w:szCs w:val="24"/>
              </w:rPr>
            </w:pPr>
            <w:r>
              <w:rPr>
                <w:noProof/>
              </w:rPr>
              <w:t>Règlement d’exécution (UE) nº 872/2012 de la Commission du 1</w:t>
            </w:r>
            <w:r>
              <w:rPr>
                <w:noProof/>
                <w:vertAlign w:val="superscript"/>
              </w:rPr>
              <w:t>er</w:t>
            </w:r>
            <w:r>
              <w:rPr>
                <w:noProof/>
              </w:rPr>
              <w:t> octobre 2012 portant adoption de la liste de substances aromatisantes prévue par le règlement (CE) nº 2232/96 du Parlement européen et du Conseil, introduction de ladite liste dans l’annexe I du règlement (CE) nº 1334/2008 du Parlement européen et du Conseil et abrogation du règlement (CE) nº 1565/2000 de la Commission et de la décision 1999/217/CE de la Commission</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Règlement (UE) nº 873/2012 de la Commission du 1</w:t>
            </w:r>
            <w:r>
              <w:rPr>
                <w:noProof/>
                <w:vertAlign w:val="superscript"/>
              </w:rPr>
              <w:t>er</w:t>
            </w:r>
            <w:r>
              <w:rPr>
                <w:noProof/>
              </w:rPr>
              <w:t> octobre 2012 relatif à des mesures transitoires en ce qui concerne la liste de l’Union des arômes et matériaux de base établie à l’annexe I du règlement (CE) nº 1334/2008 du Parlement européen et du Conseil</w:t>
            </w:r>
          </w:p>
        </w:tc>
        <w:tc>
          <w:tcPr>
            <w:tcW w:w="1421" w:type="pct"/>
            <w:shd w:val="clear" w:color="auto" w:fill="auto"/>
          </w:tcPr>
          <w:p>
            <w:pPr>
              <w:spacing w:before="60" w:after="60"/>
              <w:jc w:val="center"/>
              <w:rPr>
                <w:noProof/>
                <w:szCs w:val="24"/>
              </w:rPr>
            </w:pPr>
            <w:r>
              <w:rPr>
                <w:noProof/>
              </w:rPr>
              <w:t>2018</w:t>
            </w:r>
          </w:p>
        </w:tc>
      </w:tr>
      <w:tr>
        <w:tc>
          <w:tcPr>
            <w:tcW w:w="5000" w:type="pct"/>
            <w:gridSpan w:val="2"/>
            <w:shd w:val="clear" w:color="auto" w:fill="auto"/>
          </w:tcPr>
          <w:p>
            <w:pPr>
              <w:spacing w:before="60" w:after="60"/>
              <w:jc w:val="center"/>
              <w:rPr>
                <w:noProof/>
                <w:szCs w:val="24"/>
              </w:rPr>
            </w:pPr>
            <w:r>
              <w:rPr>
                <w:noProof/>
              </w:rPr>
              <w:t>Autres mesures</w:t>
            </w:r>
          </w:p>
        </w:tc>
      </w:tr>
      <w:tr>
        <w:tc>
          <w:tcPr>
            <w:tcW w:w="3579" w:type="pct"/>
            <w:shd w:val="clear" w:color="auto" w:fill="auto"/>
          </w:tcPr>
          <w:p>
            <w:pPr>
              <w:spacing w:before="60" w:after="60"/>
              <w:jc w:val="left"/>
              <w:rPr>
                <w:noProof/>
                <w:szCs w:val="24"/>
              </w:rPr>
            </w:pPr>
            <w:r>
              <w:rPr>
                <w:noProof/>
              </w:rPr>
              <w:t>Directive 78/142/CEE du Conseil du 30 janvier 1978 relative au rapprochement des législations des États membres en ce qui concerne les matériaux et objets contenant du chlorure de vinyle monomère destinés à entrer en contact avec les denrées alimentaires</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Directive 82/711/CEE du Conseil du 18 octobre 1982, établissant les règles de base nécessaires à la vérification de la migration des constituants des matériaux et objets en matière plastique destinés à entrer en contact avec les denrées alimentaires</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Directive 84/500/CEE du Conseil du 15 octobre 1984 relative au rapprochement des législations des États membres en ce qui concerne les objets céramiques destinés à entrer en contact avec les denrées alimentaires</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Directive 85/572/CEE du Conseil du 19 décembre 1985 fixant la liste des simulants à utiliser pour vérifier la migration des constituants des matériaux et objets en matière plastique destinés à entrer en contact avec les denrées alimentaires</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Directive 93/11/CEE de la Commission du 15 mars 1993 concernant la libération de N-nitrosamines et de substances N-nitrosables par les tétines et les sucettes en élastomère ou caoutchouc</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pageBreakBefore/>
              <w:spacing w:before="60" w:after="60"/>
              <w:jc w:val="left"/>
              <w:rPr>
                <w:noProof/>
                <w:szCs w:val="24"/>
              </w:rPr>
            </w:pPr>
            <w:r>
              <w:rPr>
                <w:noProof/>
              </w:rPr>
              <w:t>Règlement (CE) nº 1829/2003 du Parlement européen et du Conseil du 22 septembre 2003 concernant les denrées alimentaires et les aliments pour animaux génétiquement modifiés</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Règlement (CE) nº 641/2004 de la Commission du 6 avril 2004 fixant les modalités d’application du règlement (CE) nº 1829/2003 du Parlement européen et du Conseil en ce qui concerne la demande d’autorisation de nouvelles denrées alimentaires et de nouveaux aliments pour animaux génétiquement modifiés, la notification de produits existants et la présence fortuite ou techniquement inévitable de matériel génétiquement modifié ayant fait l’objet d’une évaluation du risque et obtenu un avis favorable</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Règlement (CE) nº 1935/2004 du Parlement européen et du Conseil du 27 octobre 2004 concernant les matériaux et objets destinés à entrer en contact avec des denrées alimentaires et abrogeant les directives 80/590/CEE et 89/109/CEE</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Règlement (CE) nº 1895/2005 de la Commission du 18 novembre 2005 concernant la limitation de l’utilisation de certains dérivés époxydiques dans les matériaux et objets destinés à entrer en contact avec des denrées alimentaires</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Règlement (CE) nº 2023/2006 de la Commission du 22 décembre 2006 relatif aux bonnes pratiques de fabrication des matériaux et objets destinés à entrer en contact avec des denrées alimentaires</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Décision 2007/275/CE de la Commission du 17 avril 2007 relative aux listes des animaux et des produits devant faire l’objet de contrôles aux postes d’inspection frontaliers conformément aux directives du Conseil 91/496/CEE et 97/78/CE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Directive 2007/42/CE de la Commission du 29 juin 2007 relative aux matériaux et aux objets en pellicule de cellulose régénérée, destinés à entrer en contact avec les denrées alimentaires</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pageBreakBefore/>
              <w:spacing w:before="60" w:after="60"/>
              <w:jc w:val="left"/>
              <w:rPr>
                <w:noProof/>
                <w:szCs w:val="24"/>
              </w:rPr>
            </w:pPr>
            <w:r>
              <w:rPr>
                <w:noProof/>
              </w:rPr>
              <w:t>Règlement (CE) nº 282/2008 de la Commission du 27 mars 2008 relatif aux matériaux et aux objets en matière plastique recyclée destinés à entrer en contact avec des denrées alimentaires et modifiant le règlement (CE) nº 2023/2006</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(CE) nº 450/2009 de la Commission du 29 mai 2009 concernant les matériaux et objets actifs et intelligents destinés à entrer en contact avec des denrées alimentaires</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Décision 2010/169/UE de la Commission du 19 mars 2010 relative à la non-inscription du 2,4,4’-trichloro-2’-hydroxy diphényl éther sur la liste UE des additifs pouvant, conformément à la directive 2002/72/CE, entrer dans la fabrication des matériaux et objets en matière plastique destinés à entrer en contact avec les denrées alimentaires</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Règlement (UE) nº 10/2011 de la Commission du 14 janvier 2011 concernant les matériaux et objets en matière plastique destinés à entrer en contact avec des denrées alimentaires</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Règlement (UE) nº 284/2011 de la Commission du 22 mars 2011 fixant des conditions particulières et des procédures détaillées pour l’importation d’ustensiles de cuisine en matière plastique polyamide et mélamine originaires ou en provenance de la République populaire de Chine et de la région administrative spéciale de Hong Kong, Chine</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Règlement (UE) nº 28/2012 de la Commission du 11 janvier 2012 fixant les exigences de certification applicables à certains produits composés importés dans l’Union ou transitant par celle-ci, et modifiant la décision 2007/275/CE et le règlement (CE) nº 1162/2009</w:t>
            </w:r>
          </w:p>
        </w:tc>
        <w:tc>
          <w:tcPr>
            <w:tcW w:w="1421" w:type="pct"/>
            <w:shd w:val="clear" w:color="auto" w:fill="auto"/>
          </w:tcPr>
          <w:p>
            <w:pPr>
              <w:spacing w:before="60" w:after="60"/>
              <w:jc w:val="center"/>
              <w:rPr>
                <w:noProof/>
                <w:szCs w:val="24"/>
              </w:rPr>
            </w:pPr>
            <w:r>
              <w:rPr>
                <w:noProof/>
              </w:rPr>
              <w:t>2021</w:t>
            </w:r>
          </w:p>
        </w:tc>
      </w:tr>
      <w:tr>
        <w:tc>
          <w:tcPr>
            <w:tcW w:w="5000" w:type="pct"/>
            <w:gridSpan w:val="2"/>
            <w:shd w:val="clear" w:color="auto" w:fill="auto"/>
          </w:tcPr>
          <w:p>
            <w:pPr>
              <w:spacing w:before="60" w:after="60"/>
              <w:jc w:val="center"/>
              <w:rPr>
                <w:noProof/>
                <w:szCs w:val="24"/>
              </w:rPr>
            </w:pPr>
            <w:r>
              <w:rPr>
                <w:noProof/>
              </w:rPr>
              <w:t>Mesures à instaurer après le rapprochement des législations</w:t>
            </w:r>
          </w:p>
        </w:tc>
      </w:tr>
      <w:tr>
        <w:tc>
          <w:tcPr>
            <w:tcW w:w="3579" w:type="pct"/>
            <w:shd w:val="clear" w:color="auto" w:fill="auto"/>
          </w:tcPr>
          <w:p>
            <w:pPr>
              <w:spacing w:before="60" w:after="60"/>
              <w:jc w:val="left"/>
              <w:rPr>
                <w:noProof/>
                <w:szCs w:val="24"/>
              </w:rPr>
            </w:pPr>
            <w:r>
              <w:rPr>
                <w:noProof/>
              </w:rPr>
              <w:t>Directive 96/23/CE du Conseil du 29 avril 1996 relative aux mesures de contrôle à mettre en œuvre à l’égard de certaines substances et de leurs résidus dans les animaux vivants et leurs produits et abrogeant les directives 85/358/CEE et 86/469/CEE et les décisions 89/187/CEE et 91/664/CEE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Règlement (CE) nº 258/97 du Parlement européen et du Conseil du 27 janvier 1997 relatif aux nouveaux aliments et aux nouveaux ingrédients alimentaires</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Directive 1999/2/CE du Parlement européen et du Conseil du 22 février 1999 relative au rapprochement des législations des États membres sur les denrées et ingrédients alimentaires traités par ionisation</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pageBreakBefore/>
              <w:spacing w:before="60" w:after="60"/>
              <w:jc w:val="left"/>
              <w:rPr>
                <w:noProof/>
                <w:szCs w:val="24"/>
              </w:rPr>
            </w:pPr>
            <w:r>
              <w:rPr>
                <w:noProof/>
              </w:rPr>
              <w:t>Directive 1999/3/CE du Parlement européen et du Conseil du 22 février 1999 établissant une liste communautaire de denrées et ingrédients alimentaires traités par ionisation</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Directive 2002/63/CE de la Commission du 11 juillet 2002 fixant des méthodes communautaires de prélèvement d’échantillons pour le contrôle officiel des résidus de pesticides sur et dans les produits d’origine végétale et animale et abrogeant la directive 79/700/CEE</w:t>
            </w:r>
          </w:p>
        </w:tc>
        <w:tc>
          <w:tcPr>
            <w:tcW w:w="1421" w:type="pct"/>
            <w:shd w:val="clear" w:color="auto" w:fill="auto"/>
          </w:tcPr>
          <w:p>
            <w:pPr>
              <w:spacing w:before="60" w:after="60"/>
              <w:jc w:val="center"/>
              <w:rPr>
                <w:noProof/>
                <w:szCs w:val="24"/>
              </w:rPr>
            </w:pPr>
            <w:r>
              <w:rPr>
                <w:noProof/>
              </w:rPr>
              <w:t>2018</w:t>
            </w:r>
          </w:p>
        </w:tc>
      </w:tr>
      <w:tr>
        <w:trPr>
          <w:trHeight w:val="681"/>
        </w:trPr>
        <w:tc>
          <w:tcPr>
            <w:tcW w:w="3579" w:type="pct"/>
            <w:shd w:val="clear" w:color="auto" w:fill="auto"/>
          </w:tcPr>
          <w:p>
            <w:pPr>
              <w:spacing w:before="60" w:after="60"/>
              <w:jc w:val="left"/>
              <w:rPr>
                <w:noProof/>
                <w:szCs w:val="24"/>
              </w:rPr>
            </w:pPr>
            <w:r>
              <w:rPr>
                <w:noProof/>
              </w:rPr>
              <w:t>Règlement (CE) nº 401/2006 de la Commission du 23 février 2006 portant fixation des modes de prélèvement d’échantillons et des méthodes d’analyse pour le contrôle officiel des teneurs en mycotoxines des denrées alimentaires.</w:t>
            </w:r>
          </w:p>
        </w:tc>
        <w:tc>
          <w:tcPr>
            <w:tcW w:w="1421" w:type="pct"/>
            <w:shd w:val="clear" w:color="auto" w:fill="auto"/>
          </w:tcPr>
          <w:p>
            <w:pPr>
              <w:spacing w:before="60" w:after="60"/>
              <w:jc w:val="center"/>
              <w:rPr>
                <w:noProof/>
                <w:szCs w:val="24"/>
              </w:rPr>
            </w:pPr>
            <w:r>
              <w:rPr>
                <w:noProof/>
              </w:rPr>
              <w:t>2018</w:t>
            </w:r>
          </w:p>
        </w:tc>
      </w:tr>
      <w:tr>
        <w:trPr>
          <w:trHeight w:val="681"/>
        </w:trPr>
        <w:tc>
          <w:tcPr>
            <w:tcW w:w="3579" w:type="pct"/>
            <w:shd w:val="clear" w:color="auto" w:fill="auto"/>
          </w:tcPr>
          <w:p>
            <w:pPr>
              <w:spacing w:before="60" w:after="60"/>
              <w:jc w:val="left"/>
              <w:rPr>
                <w:noProof/>
                <w:szCs w:val="24"/>
              </w:rPr>
            </w:pPr>
            <w:r>
              <w:rPr>
                <w:noProof/>
              </w:rPr>
              <w:t>Règlement (CE) nº 1881/2006 de la Commission du 19 décembre 2006 portant fixation de teneurs maximales pour certains contaminants dans les denrées alimentaires</w:t>
            </w:r>
          </w:p>
        </w:tc>
        <w:tc>
          <w:tcPr>
            <w:tcW w:w="1421" w:type="pct"/>
            <w:shd w:val="clear" w:color="auto" w:fill="auto"/>
          </w:tcPr>
          <w:p>
            <w:pPr>
              <w:spacing w:before="60" w:after="60"/>
              <w:jc w:val="center"/>
              <w:rPr>
                <w:noProof/>
                <w:szCs w:val="24"/>
              </w:rPr>
            </w:pPr>
            <w:r>
              <w:rPr>
                <w:noProof/>
              </w:rPr>
              <w:t>2018</w:t>
            </w:r>
          </w:p>
        </w:tc>
      </w:tr>
      <w:tr>
        <w:trPr>
          <w:trHeight w:val="681"/>
        </w:trPr>
        <w:tc>
          <w:tcPr>
            <w:tcW w:w="3579" w:type="pct"/>
            <w:shd w:val="clear" w:color="auto" w:fill="auto"/>
          </w:tcPr>
          <w:p>
            <w:pPr>
              <w:spacing w:before="60" w:after="60"/>
              <w:jc w:val="left"/>
              <w:rPr>
                <w:noProof/>
                <w:szCs w:val="24"/>
              </w:rPr>
            </w:pPr>
            <w:r>
              <w:rPr>
                <w:noProof/>
              </w:rPr>
              <w:t>Règlement (CE) nº 1882/2006 de la Commission du 19 décembre 2006 portant fixation des méthodes de prélèvement et d’analyse d’échantillons utilisées pour le contrôle officiel des teneurs en nitrates de certaines denrées alimentaires.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Règlement (CE) nº 333/2007 de la Commission du 28 mars 2007 portant fixation des modes de prélèvement d’échantillons et des méthodes d’analyse pour le contrôle des teneurs en éléments traces et en contaminants issus de procédés de transformation dans les denrées alimentaires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Règlement (UE) nº 589/2014 de la Commission du 2 juin 2014 portant fixation des méthodes de prélèvement et d’analyse d’échantillons à utiliser pour le contrôle des teneurs en dioxines, en PCB de type dioxine et en PCB autres que ceux de type dioxine de certaines denrées alimentaires et abrogeant le règlement (UE) nº 252/2012</w:t>
            </w:r>
          </w:p>
        </w:tc>
        <w:tc>
          <w:tcPr>
            <w:tcW w:w="1421" w:type="pct"/>
            <w:shd w:val="clear" w:color="auto" w:fill="auto"/>
          </w:tcPr>
          <w:p>
            <w:pPr>
              <w:spacing w:before="60" w:after="60"/>
              <w:jc w:val="center"/>
              <w:rPr>
                <w:noProof/>
                <w:szCs w:val="24"/>
              </w:rPr>
            </w:pPr>
            <w:r>
              <w:rPr>
                <w:noProof/>
              </w:rPr>
              <w:t>2018</w:t>
            </w:r>
          </w:p>
        </w:tc>
      </w:tr>
      <w:tr>
        <w:tc>
          <w:tcPr>
            <w:tcW w:w="5000" w:type="pct"/>
            <w:gridSpan w:val="2"/>
            <w:shd w:val="clear" w:color="auto" w:fill="auto"/>
          </w:tcPr>
          <w:p>
            <w:pPr>
              <w:pageBreakBefore/>
              <w:spacing w:before="60" w:after="60"/>
              <w:jc w:val="center"/>
              <w:rPr>
                <w:noProof/>
                <w:szCs w:val="24"/>
              </w:rPr>
            </w:pPr>
            <w:r>
              <w:rPr>
                <w:noProof/>
              </w:rPr>
              <w:t>Chapitre II - Santé animale</w:t>
            </w:r>
          </w:p>
        </w:tc>
      </w:tr>
      <w:tr>
        <w:tc>
          <w:tcPr>
            <w:tcW w:w="3579" w:type="pct"/>
            <w:shd w:val="clear" w:color="auto" w:fill="auto"/>
          </w:tcPr>
          <w:p>
            <w:pPr>
              <w:spacing w:before="60" w:after="60"/>
              <w:jc w:val="left"/>
              <w:rPr>
                <w:noProof/>
                <w:szCs w:val="24"/>
              </w:rPr>
            </w:pPr>
            <w:r>
              <w:rPr>
                <w:noProof/>
              </w:rPr>
              <w:t>Directive 64/432/CEE du Conseil du 26 juin 1964 relative à des problèmes de police sanitaire en matière d’échanges intracommunautaires d’animaux des espèces bovine et porcine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Décision 86/474/CEE de la Commission du 11 septembre 1986 relative à la mise en œuvre des contrôles sur place effectués dans le cadre du régime applicable aux importations d’animaux des espèces bovine et porcine ainsi que de viandes fraîches en provenance des pays tiers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Directive 88/407/CEE du Conseil du 14 juin 1988 fixant les exigences de police sanitaire applicables aux échanges intracommunautaires et aux importations de sperme d’animaux de l’espèce bovine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Directive 89/556/CEE du Conseil du 25 septembre 1989 fixant les conditions de police sanitaire régissant les échanges intracommunautaires et les importations en provenance des pays tiers d’embryons d’animaux domestiques de l’espèce bovine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Directive 90/429/CEE du Conseil du 26 juin 1990 fixant les exigences de police sanitaire applicables aux échanges intracommunautaires et aux importations de sperme d’animaux de l’espèce porcine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Directive 92/65/CEE du Conseil du 13 juillet 1992 définissant les conditions de police sanitaire régissant les échanges et les importations dans la Communauté d’animaux, de spermes, d’ovules et d’embryons non soumis, en ce qui concerne les conditions de police sanitaire, aux réglementations communautaires spécifiques visées à l’annexe A section I de la directive 90/425/CEE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Règlement (CE) nº 338/97 du Conseil du 9 décembre 1996 relatif à la protection des espèces de faune et de flore sauvages par le contrôle de leur commerce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pageBreakBefore/>
              <w:spacing w:before="60" w:after="60"/>
              <w:jc w:val="left"/>
              <w:rPr>
                <w:noProof/>
                <w:szCs w:val="24"/>
              </w:rPr>
            </w:pPr>
            <w:r>
              <w:rPr>
                <w:noProof/>
              </w:rPr>
              <w:t>Décision 2004/211/CE de la Commission du 6 janvier 2004 établissant la liste des pays tiers et des parties de territoires de ces pays en provenance desquels les États membres autorisent les importations d’équidés vivants et de sperme, d’ovules et d’embryons de l’espèce équine, et modifiant les décisions 93/195/CEE et 94/63/CE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Règlement (CE) nº 853/2004 du Parlement européen et du Conseil du 29 avril 2004 fixant des règles spécifiques d’hygiène applicables aux denrées alimentaires d’origine animale (chapitre VII)</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(CE) nº 1739/2005 de la Commission du 21 octobre 2005 définissant les conditions de police sanitaire relatives aux mouvements d’animaux de cirque entre les États membres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Décision 2006/168/CE de la Commission du 4 janvier 2006 établissant les conditions de police sanitaire et la certification vétérinaire relatives à l’importation dans la Communauté d’embryons de bovins et abrogeant la décision 2005/217/CE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Décision 2006/605/CE de la Commission du 6 septembre 2006 concernant certaines mesures de protection relatives aux échanges intracommunautaires de volailles destinées à la fourniture de gibier sauvage de repeuplement</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Directive 2006/88/CE du Conseil du 24 octobre 2006 relative aux conditions de police sanitaire applicables aux animaux et aux produits d’aquaculture, et relative à la prévention de certaines maladies chez les animaux aquatiques et aux mesures de lutte contre ces maladies</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Décision 2006/767/CE de la Commission du 6 novembre 2006 modifiant les décisions 2003/804/CE et 2003/858/CE en ce qui concerne les exigences de certification relatives aux mollusques vivants et aux poissons vivants issus de l’aquaculture ainsi qu’aux produits qui en sont dérivés, destinés à la consommation humaine</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pageBreakBefore/>
              <w:spacing w:before="60" w:after="60"/>
              <w:jc w:val="left"/>
              <w:rPr>
                <w:noProof/>
                <w:szCs w:val="24"/>
              </w:rPr>
            </w:pPr>
            <w:r>
              <w:rPr>
                <w:noProof/>
              </w:rPr>
              <w:t>Règlement (CE) nº 798/2008 de la Commission du 8 août 2008 établissant une liste des pays tiers, territoires, zones ou compartiments en provenance desquels les volailles et les produits de volailles peuvent être importés dans la Communauté et transiter par celle-ci ainsi que les règles en matière de certification vétérinaire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Règlement (CE) nº 1251/2008 de la Commission du 12 décembre 2008 portant application de la directive 2006/88/CE du Conseil en ce qui concerne les conditions et les exigences de certification applicables à la mise sur le marché et à l’importation dans la Communauté d’animaux d’aquaculture et de produits issus de ces animaux et établissant une liste des espèces vectrices</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Décision 2009/712/CE de la Commission du 18 septembre 2009 portant modalités d’application de la directive 2008/73/CE du Conseil en ce qui concerne les pages d’information fondées sur l’internet contenant des listes d’établissements et de laboratoires agréés par les États membres conformément à la législation vétérinaire et zootechnique communautaire</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Directive 2009/156/CE du Conseil du 30 novembre 2009 relative aux conditions de police sanitaire régissant les mouvements d’équidés et les importations d’équidés en provenance des pays tiers</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Directive 2009/158/CE du Conseil du 30 novembre 2009 relative aux conditions de police sanitaire régissant les échanges intracommunautaires et les importations en provenance des pays tiers de volailles et d’œufs à couver</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Décision 2010/57/UE de la Commission du 3 février 2010 établissant des garanties sanitaires pour le transit des équidés transportés à travers les territoires mentionnés à l’annexe I de la directive 97/78/CE du Conseil</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Décision 2010/270/UE de la Commission du 6 mai 2010 modifiant la première et la deuxième partie de l’annexe E de la directive 92/65/CEE du Conseil relatives aux modèles des certificats sanitaires pour les animaux provenant des exploitations et pour les abeilles et les bourdons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pageBreakBefore/>
              <w:spacing w:before="60" w:after="60"/>
              <w:jc w:val="left"/>
              <w:rPr>
                <w:noProof/>
                <w:szCs w:val="24"/>
              </w:rPr>
            </w:pPr>
            <w:r>
              <w:rPr>
                <w:noProof/>
              </w:rPr>
              <w:t>Décision 2010/471/UE de la Commission du 26 août 2010 relative aux importations de sperme, d’ovules et d’embryons d’équidés dans l’Union en ce qui concerne les listes des stations et des centres de collecte et de stockage de sperme et des équipes de collecte et de production d’embryons ainsi que les conditions de certification</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Décision 2010/472/UE de la Commission du 26 août 2010 relative aux importations dans l’Union de sperme, d’ovules et d’embryons d’ovins et de caprins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Décision d’exécution 2011/630/UE de la Commission du 20 septembre 2011 relative aux importations dans l’Union de sperme d’animaux domestiques de l’espèce bovine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Décision d’exécution 2012/137/UE de la Commission du 1</w:t>
            </w:r>
            <w:r>
              <w:rPr>
                <w:noProof/>
                <w:vertAlign w:val="superscript"/>
              </w:rPr>
              <w:t>er</w:t>
            </w:r>
            <w:r>
              <w:rPr>
                <w:noProof/>
              </w:rPr>
              <w:t> mars 2012 relative à l’importation dans l’Union de sperme d’animaux domestiques de l’espèce porcine</w:t>
            </w:r>
          </w:p>
        </w:tc>
        <w:tc>
          <w:tcPr>
            <w:tcW w:w="1421" w:type="pct"/>
            <w:shd w:val="clear" w:color="auto" w:fill="auto"/>
          </w:tcPr>
          <w:p>
            <w:pPr>
              <w:spacing w:before="60" w:after="60"/>
              <w:jc w:val="center"/>
              <w:rPr>
                <w:noProof/>
                <w:szCs w:val="24"/>
              </w:rPr>
            </w:pPr>
            <w:r>
              <w:rPr>
                <w:noProof/>
              </w:rPr>
              <w:t>2018</w:t>
            </w:r>
          </w:p>
        </w:tc>
      </w:tr>
      <w:tr>
        <w:tc>
          <w:tcPr>
            <w:tcW w:w="5000" w:type="pct"/>
            <w:gridSpan w:val="2"/>
            <w:shd w:val="clear" w:color="auto" w:fill="auto"/>
          </w:tcPr>
          <w:p>
            <w:pPr>
              <w:spacing w:before="60" w:after="60"/>
              <w:jc w:val="center"/>
              <w:rPr>
                <w:noProof/>
                <w:szCs w:val="24"/>
              </w:rPr>
            </w:pPr>
            <w:r>
              <w:rPr>
                <w:noProof/>
              </w:rPr>
              <w:t>Maladies animales</w:t>
            </w:r>
          </w:p>
        </w:tc>
      </w:tr>
      <w:tr>
        <w:tc>
          <w:tcPr>
            <w:tcW w:w="3579" w:type="pct"/>
            <w:shd w:val="clear" w:color="auto" w:fill="auto"/>
          </w:tcPr>
          <w:p>
            <w:pPr>
              <w:spacing w:before="60" w:after="60"/>
              <w:jc w:val="left"/>
              <w:rPr>
                <w:noProof/>
                <w:szCs w:val="24"/>
              </w:rPr>
            </w:pPr>
            <w:r>
              <w:rPr>
                <w:noProof/>
              </w:rPr>
              <w:t>Directive 82/894/CEE du Conseil du 21 décembre 1982 concernant la notification des maladies des animaux dans la Communauté</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Décision 92/260/CEE de la Commission du 10 avril 1992 relative aux conditions sanitaires et à la certification sanitaire requises pour l’admission temporaire de chevaux enregistrés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Directive 92/35/CEE du Conseil du 29 avril 1992 établissant les règles de contrôle et les mesures de lutte contre la peste équine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Directive 92/119/CEE du Conseil du 17 décembre 1992, établissant des mesures communautaires générales de lutte contre certaines maladies animales ainsi que des mesures spécifiques à l’égard de la maladie vésiculeuse du porc</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pageBreakBefore/>
              <w:spacing w:before="60" w:after="60"/>
              <w:jc w:val="left"/>
              <w:rPr>
                <w:noProof/>
                <w:szCs w:val="24"/>
              </w:rPr>
            </w:pPr>
            <w:r>
              <w:rPr>
                <w:noProof/>
              </w:rPr>
              <w:t>Décision 93/197/CEE de la Commission du 5 février 1993 relative aux conditions sanitaires et à la certification sanitaire requises pour les importations d’équidés enregistrés ainsi que d’équidés d’élevage et de rente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Décision 2000/428/CE de la Commission du 4 juillet 2000 établissant des procédures de diagnostic, des méthodes d’échantillonnage et des critères pour l’appréciation des résultats des tests en laboratoire de confirmation et de diagnostic différentiel de la maladie vésiculeuse du porc</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 xml:space="preserve">Directive 2000/75/CE du Conseil du 20 novembre 2000 arrêtant des dispositions spécifiques relatives aux mesures de lutte et d’éradication de la fièvre catarrhale du mouton ou </w:t>
            </w:r>
            <w:r>
              <w:rPr>
                <w:i/>
                <w:noProof/>
              </w:rPr>
              <w:t>bluetongue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Directive 2001/89/CE du Conseil du 23 octobre 2001 relative à des mesures communautaires de lutte contre la peste porcine classique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Directive 2002/60/CE du Conseil du 27 juin 2002 établissant des dispositions spécifiques pour la lutte contre la peste porcine africaine et modifiant la directive 92/119/CEE, en ce qui concerne la maladie de Teschen et la peste porcine africaine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Décision 2003/466/CE de la Commission du 13 juin 2003 établissant les critères de zonage et les mesures de surveillance officielle à adopter après suspicion ou confirmation de la présence de l’anémie infectieuse du saumon (AIS)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Décision 2003/634/CE de la Commission du 28 août 2003 approuvant des programmes visant à obtenir le statut de zones agréées et de fermes d’élevage agréées situées dans des zones non agréées au regard des maladies des poissons que sont la septicémie hémorragique virale (SHV) et la nécrose hématopoïétique infectieuse (NHI)</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Décision 2005/217/CE de la Commission du 9 mars 2005 établissant les conditions de police sanitaire et la certification vétérinaire relatives à l’importation dans la Communauté d’embryons de bovins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pageBreakBefore/>
              <w:spacing w:before="60" w:after="60"/>
              <w:jc w:val="left"/>
              <w:rPr>
                <w:rFonts w:eastAsia="Calibri"/>
                <w:noProof/>
                <w:szCs w:val="24"/>
              </w:rPr>
            </w:pPr>
            <w:r>
              <w:rPr>
                <w:noProof/>
              </w:rPr>
              <w:t>Décision 2008/855/CE de la Commission du 3 novembre 2008 concernant des mesures zoosanitaires de lutte contre la peste porcine classique dans certains États membres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Décision 2009/3/CE de la Commission du 18 décembre 2008 constituant des réserves communautaires de vaccins contre la peste équine</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(CE) nº 789/2009 de la Commission du 28 août 2009 modifiant le règlement (CE) nº 1266/2007 en ce qui concerne la protection contre les attaques des vecteurs et les exigences minimales applicables aux programmes de suivi et de surveillance de la fièvre catarrhale du mouton</w:t>
            </w:r>
          </w:p>
        </w:tc>
        <w:tc>
          <w:tcPr>
            <w:tcW w:w="1421" w:type="pct"/>
            <w:shd w:val="clear" w:color="auto" w:fill="auto"/>
          </w:tcPr>
          <w:p>
            <w:pPr>
              <w:spacing w:before="60" w:after="60"/>
              <w:jc w:val="center"/>
              <w:rPr>
                <w:noProof/>
                <w:szCs w:val="24"/>
              </w:rPr>
            </w:pPr>
            <w:r>
              <w:rPr>
                <w:noProof/>
              </w:rPr>
              <w:t>2018</w:t>
            </w:r>
          </w:p>
        </w:tc>
      </w:tr>
      <w:tr>
        <w:tc>
          <w:tcPr>
            <w:tcW w:w="5000" w:type="pct"/>
            <w:gridSpan w:val="2"/>
            <w:shd w:val="clear" w:color="auto" w:fill="auto"/>
          </w:tcPr>
          <w:p>
            <w:pPr>
              <w:spacing w:before="60" w:after="60"/>
              <w:jc w:val="center"/>
              <w:rPr>
                <w:noProof/>
                <w:szCs w:val="24"/>
              </w:rPr>
            </w:pPr>
            <w:r>
              <w:rPr>
                <w:noProof/>
              </w:rPr>
              <w:t>Identification et enregistrement des animaux</w:t>
            </w:r>
          </w:p>
        </w:tc>
      </w:tr>
      <w:tr>
        <w:tc>
          <w:tcPr>
            <w:tcW w:w="3579" w:type="pct"/>
            <w:shd w:val="clear" w:color="auto" w:fill="auto"/>
          </w:tcPr>
          <w:p>
            <w:pPr>
              <w:spacing w:before="60" w:after="60"/>
              <w:jc w:val="left"/>
              <w:rPr>
                <w:noProof/>
                <w:szCs w:val="24"/>
              </w:rPr>
            </w:pPr>
            <w:r>
              <w:rPr>
                <w:noProof/>
              </w:rPr>
              <w:t>Règlement (CE) nº 494/98 de la Commission du 27 février 1998 arrêtant certaines modalités d’application du règlement (CE) nº 820/97 du Conseil concernant l’application de sanctions administratives minimales dans le cadre du système d’identification et d’enregistrement des bovins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rFonts w:eastAsia="Calibri"/>
                <w:noProof/>
                <w:szCs w:val="24"/>
              </w:rPr>
            </w:pPr>
            <w:r>
              <w:rPr>
                <w:noProof/>
              </w:rPr>
              <w:t>Règlement (CE) nº 1760/2000 du Parlement européen et du Conseil du 17 juillet 2000 établissant un système d’identification et d’enregistrement des bovins et concernant l’étiquetage de la viande bovine et des produits à base de viande bovine, et abrogeant le règlement (CE) nº 820/97 du Conseil</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rFonts w:eastAsia="Calibri"/>
                <w:noProof/>
                <w:szCs w:val="24"/>
              </w:rPr>
            </w:pPr>
            <w:r>
              <w:rPr>
                <w:noProof/>
              </w:rPr>
              <w:t>Décision 2000/678/CE de la Commission du 23 octobre 2000 établissant les modalités d’enregistrement des exploitations dans les bases de données nationales concernant les animaux de l’espèce porcine conformément à la directive 64/432/CEE du Conseil</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Règlement (CE) nº 1082/2003 de la Commission du 23 juin 2003 fixant les modalités d’application du règlement (CE) nº 1760/2000 du Parlement européen et du Conseil en ce qui concerne les contrôles minimaux à effectuer dans le cadre du système d’identification et d’enregistrement des bovins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pageBreakBefore/>
              <w:spacing w:before="60" w:after="60"/>
              <w:jc w:val="left"/>
              <w:rPr>
                <w:noProof/>
                <w:szCs w:val="24"/>
              </w:rPr>
            </w:pPr>
            <w:r>
              <w:rPr>
                <w:noProof/>
              </w:rPr>
              <w:t>Règlement (CE) nº 21/2004 du Conseil du 17 décembre 2003 établissant un système d’identification et d’enregistrement des animaux des espèces ovine et caprine et modifiant le règlement (CE) nº 1782/2003 et les directives 92/102/CEE et 64/432/CEE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Règlement (CE) nº 911/2004 de la Commission du 29 avril 2004 portant dispositions d’exécution du règlement (CE) nº 1760/2000 du Parlement européen et du Conseil en ce qui concerne les marques auriculaires, les passeports et les registres d’exploitation</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rFonts w:eastAsia="Calibri"/>
                <w:noProof/>
                <w:szCs w:val="24"/>
              </w:rPr>
            </w:pPr>
            <w:r>
              <w:rPr>
                <w:noProof/>
              </w:rPr>
              <w:t>Décision 2006/28/CE de la Commission du 18 janvier 2006 concernant la prolongation du délai maximal prévu pour l’apposition de marques auriculaires sur certains bovins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rFonts w:eastAsia="Calibri"/>
                <w:noProof/>
                <w:szCs w:val="24"/>
              </w:rPr>
            </w:pPr>
            <w:r>
              <w:rPr>
                <w:noProof/>
              </w:rPr>
              <w:t>Règlement (CE) nº 1505/2006 de la Commission du 11 octobre 2006 portant application du règlement (CE) nº 21/2004 du Conseil en ce qui concerne les contrôles minimaux à effectuer en rapport avec l’identification et l’enregistrement des animaux des espèces ovine et caprine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rFonts w:eastAsia="Calibri"/>
                <w:noProof/>
                <w:szCs w:val="24"/>
              </w:rPr>
            </w:pPr>
            <w:r>
              <w:rPr>
                <w:noProof/>
              </w:rPr>
              <w:t>Décision 2006/968/CE de la Commission du 15 décembre 2006 portant application du règlement (CE) nº 21/2004 du Conseil en ce qui concerne les lignes directrices et procédures relatives à l’identification électronique des animaux des espèces ovine et caprine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rFonts w:eastAsia="Calibri"/>
                <w:noProof/>
                <w:szCs w:val="24"/>
              </w:rPr>
            </w:pPr>
            <w:r>
              <w:rPr>
                <w:noProof/>
              </w:rPr>
              <w:t>Directive 2008/71/CE du Conseil du 15 juillet 2008 concernant l’identification et l’enregistrement des animaux de l’espèce porcine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rFonts w:eastAsia="Calibri"/>
                <w:noProof/>
                <w:szCs w:val="24"/>
              </w:rPr>
            </w:pPr>
            <w:r>
              <w:rPr>
                <w:noProof/>
              </w:rPr>
              <w:t>Règlement d’exécution (UE) 2015/262 de la Commission du 17 février 2015 établissant des règles conformément aux directives du Conseil 90/427/CEE et 2009/156/CE en ce qui concerne les méthodes d’identification des équidés (règlement sur le passeport équin)</w:t>
            </w:r>
          </w:p>
        </w:tc>
        <w:tc>
          <w:tcPr>
            <w:tcW w:w="1421" w:type="pct"/>
            <w:shd w:val="clear" w:color="auto" w:fill="auto"/>
          </w:tcPr>
          <w:p>
            <w:pPr>
              <w:spacing w:before="60" w:after="60"/>
              <w:jc w:val="center"/>
              <w:rPr>
                <w:noProof/>
                <w:szCs w:val="24"/>
              </w:rPr>
            </w:pPr>
            <w:r>
              <w:rPr>
                <w:noProof/>
              </w:rPr>
              <w:t>2018</w:t>
            </w:r>
          </w:p>
        </w:tc>
      </w:tr>
      <w:tr>
        <w:tc>
          <w:tcPr>
            <w:tcW w:w="5000" w:type="pct"/>
            <w:gridSpan w:val="2"/>
            <w:shd w:val="clear" w:color="auto" w:fill="auto"/>
          </w:tcPr>
          <w:p>
            <w:pPr>
              <w:pageBreakBefore/>
              <w:spacing w:before="60" w:after="60"/>
              <w:jc w:val="center"/>
              <w:rPr>
                <w:noProof/>
                <w:color w:val="C00000"/>
                <w:szCs w:val="24"/>
              </w:rPr>
            </w:pPr>
            <w:r>
              <w:rPr>
                <w:noProof/>
              </w:rPr>
              <w:t>Sous-produits animaux</w:t>
            </w:r>
          </w:p>
        </w:tc>
      </w:tr>
      <w:tr>
        <w:tc>
          <w:tcPr>
            <w:tcW w:w="3579" w:type="pct"/>
            <w:shd w:val="clear" w:color="auto" w:fill="auto"/>
          </w:tcPr>
          <w:p>
            <w:pPr>
              <w:spacing w:before="60" w:after="60"/>
              <w:jc w:val="left"/>
              <w:rPr>
                <w:noProof/>
                <w:szCs w:val="24"/>
              </w:rPr>
            </w:pPr>
            <w:r>
              <w:rPr>
                <w:noProof/>
              </w:rPr>
              <w:t>Règlement (CE) nº 2160/2003 du Parlement européen et du Conseil du 17 novembre 2003 sur le contrôle des salmonelles et d’autres agents zoonotiques spécifiques présents dans la chaîne alimentaire.</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Directive 2003/99/CE du Parlement européen et du Conseil du 17 novembre 2003 sur la surveillance des zoonoses et des agents zoonotiques, modifiant la décision 90/424/CEE du Conseil et abrogeant la directive 92/117/CEE du Conseil</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Règlement (CE) nº 1069/2009 du Parlement européen et du Conseil du 21 octobre 2009 établissant des règles sanitaires applicables aux sous-produits animaux et produits dérivés non destinés à la consommation humaine et abrogeant le règlement (CE) nº 1774/2002 (règlement relatif aux sous-produits animaux)</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Règlement (UE) nº 142/2011 de la Commission du 25 février 2011 portant application du règlement (CE) nº 1069/2009 du Parlement européen et du Conseil établissant des règles sanitaires applicables aux sous-produits animaux et produits dérivés non destinés à la consommation humaine et portant application de la directive 97/78/CE du Conseil en ce qui concerne certains échantillons et articles exemptés des contrôles vétérinaires effectués aux frontières en vertu de cette directive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Règlement (UE) nº 749/2011 de la Commission du 29 juillet 2011 modifiant le règlement (UE) nº 142/2011 portant application du règlement (CE) nº 1069/2009 du Parlement européen et du Conseil établissant des règles sanitaires applicables aux sous-produits animaux et produits dérivés non destinés à la consommation humaine et portant application de la directive 97/78/CE du Conseil en ce qui concerne certains échantillons et articles exemptés des contrôles vétérinaires effectués aux frontières en vertu de cette directive</w:t>
            </w:r>
          </w:p>
        </w:tc>
        <w:tc>
          <w:tcPr>
            <w:tcW w:w="1421" w:type="pct"/>
            <w:shd w:val="clear" w:color="auto" w:fill="auto"/>
          </w:tcPr>
          <w:p>
            <w:pPr>
              <w:spacing w:before="60" w:after="60"/>
              <w:jc w:val="center"/>
              <w:rPr>
                <w:noProof/>
                <w:szCs w:val="24"/>
              </w:rPr>
            </w:pPr>
            <w:r>
              <w:rPr>
                <w:noProof/>
              </w:rPr>
              <w:t>2018</w:t>
            </w:r>
          </w:p>
        </w:tc>
      </w:tr>
      <w:tr>
        <w:tc>
          <w:tcPr>
            <w:tcW w:w="5000" w:type="pct"/>
            <w:gridSpan w:val="2"/>
            <w:shd w:val="clear" w:color="auto" w:fill="auto"/>
          </w:tcPr>
          <w:p>
            <w:pPr>
              <w:pageBreakBefore/>
              <w:spacing w:before="60" w:after="60"/>
              <w:jc w:val="center"/>
              <w:rPr>
                <w:noProof/>
                <w:szCs w:val="24"/>
              </w:rPr>
            </w:pPr>
            <w:r>
              <w:rPr>
                <w:noProof/>
              </w:rPr>
              <w:t>Mesures applicables aux aliments pour animaux et additifs pour l’alimentation animale</w:t>
            </w:r>
          </w:p>
        </w:tc>
      </w:tr>
      <w:tr>
        <w:tc>
          <w:tcPr>
            <w:tcW w:w="3579" w:type="pct"/>
            <w:shd w:val="clear" w:color="auto" w:fill="auto"/>
          </w:tcPr>
          <w:p>
            <w:pPr>
              <w:spacing w:before="60" w:after="60"/>
              <w:jc w:val="left"/>
              <w:rPr>
                <w:noProof/>
                <w:szCs w:val="24"/>
              </w:rPr>
            </w:pPr>
            <w:r>
              <w:rPr>
                <w:noProof/>
              </w:rPr>
              <w:t>Directive 90/167/CEE du Conseil du 26 mars 1990 établissant les conditions de préparation, de mise sur le marché et d’utilisation des aliments médicamenteux pour animaux dans la Communauté</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Directive 2001/82/CE du Parlement européen et du Conseil du 6 novembre 2001 instituant un code communautaire relatif aux médicaments vétérinaires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Règlement (CE) nº 1831/2003 du Parlement européen et du Conseil du 22 septembre 2003 relatif aux additifs destinés à l’alimentation des animaux</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Directive 2004/28/CE du Parlement européen et du Conseil du 31 mars 2004 modifiant la directive 2001/82/CE instituant un code communautaire relatif aux médicaments vétérinaires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Recommandation 2004/704/CE de la Commission du 11 octobre 2004 relative au contrôle des niveaux de fond de dioxines et de PCB de type dioxine dans les aliments pour animaux</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Règlement (CE) nº 183/2005 du Parlement européen et du Conseil du 12 janvier 2005 établissant des exigences en matière d’hygiène des aliments pour animaux</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Règlement (CE) nº 378/2005 de la Commission du 4 mars 2005 portant modalités de mise en œuvre du règlement (CE) nº 1831/2003 du Parlement européen et du Conseil s’agissant des fonctions et tâches du laboratoire communautaire de référence concernant les demandes d’autorisation d’additifs pour l’alimentation animale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Règlement (CE) nº 1876/2006 de la Commission du 18 décembre 2006 portant autorisation provisoire ou permanente de certains additifs dans l’alimentation des animaux</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Directive 2008/38/CE de la Commission du 5 mars 2008 établissant une liste des destinations des aliments pour animaux visant des objectifs nutritionnels particuliers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pageBreakBefore/>
              <w:spacing w:before="60" w:after="60"/>
              <w:jc w:val="left"/>
              <w:rPr>
                <w:noProof/>
                <w:szCs w:val="24"/>
              </w:rPr>
            </w:pPr>
            <w:r>
              <w:rPr>
                <w:noProof/>
              </w:rPr>
              <w:t>Règlement (CE) nº 429/2008 de la Commission du 25 avril 2008 relatif aux modalités d’application du règlement (CE) nº 1831/2003 du Parlement européen et du Conseil en ce qui concerne l’établissement et la présentation des demandes ainsi que l’évaluation et l’autorisation des additifs pour l’alimentation animale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Règlement (CE) nº 470/2009 du Parlement européen et du Conseil du 6 mai 2009 établissant des procédures communautaires pour la fixation des limites de résidus des substances pharmacologiquement actives dans les aliments d’origine animale, abrogeant le règlement (CEE) nº 2377/90 du Conseil et modifiant la directive 2001/82/CE du Parlement européen et du Conseil et le règlement (CE) nº 726/2004 du Parlement européen et du Conseil</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Règlement (CE) nº 767/2009 du Parlement européen et du Conseil du 13 juillet 2009 concernant la mise sur le marché et l’utilisation des aliments pour animaux, modifiant le règlement (CE) nº 1831/2003 du Parlement européen et du Conseil et abrogeant la directive 79/373/CEE du Conseil, la directive 80/511/CEE de la Commission, les directives 82/471/CEE, 83/228/CEE, 93/74/CEE, 93/113/CE et 96/25/CE du Conseil, ainsi que la décision 2004/217/CE de la Commission</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Règlement (UE) nº 1270/2009 de la Commission du 21 décembre 2009 concernant l’autorisation permanente de certains additifs dans l’alimentation des animaux</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Règlement (UE) nº 37/2010 de la Commission du 22 décembre 2009 relatif aux substances pharmacologiquement actives et à leur classification en ce qui concerne les limites maximales de résidus dans les aliments d’origine animale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Règlement (UE) nº 892/2010 de la Commission du 8 octobre 2010 concernant le statut de certains produits au regard des additifs pour l’alimentation animale relevant du champ d’application du règlement (CE) nº 1831/2003 du Parlement européen et du Conseil</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pageBreakBefore/>
              <w:spacing w:before="60" w:after="60"/>
              <w:jc w:val="left"/>
              <w:rPr>
                <w:noProof/>
                <w:szCs w:val="24"/>
              </w:rPr>
            </w:pPr>
            <w:r>
              <w:rPr>
                <w:noProof/>
              </w:rPr>
              <w:t>Recommandation 2011/25/UE de la Commission du 14 janvier 2011 arrêtant des lignes directrices pour la distinction entre les matières premières pour aliments des animaux, les additifs pour l’alimentation animale, les produits biocides et les médicaments vétérinaires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Règlement (UE) nº 68/2013 de la Commission du 16 janvier 2013 relatif au catalogue des matières premières pour aliments des animaux</w:t>
            </w:r>
          </w:p>
        </w:tc>
        <w:tc>
          <w:tcPr>
            <w:tcW w:w="1421" w:type="pct"/>
            <w:shd w:val="clear" w:color="auto" w:fill="auto"/>
          </w:tcPr>
          <w:p>
            <w:pPr>
              <w:spacing w:before="60" w:after="60"/>
              <w:jc w:val="center"/>
              <w:rPr>
                <w:noProof/>
                <w:szCs w:val="24"/>
              </w:rPr>
            </w:pPr>
            <w:r>
              <w:rPr>
                <w:noProof/>
              </w:rPr>
              <w:t>2018</w:t>
            </w:r>
          </w:p>
        </w:tc>
      </w:tr>
      <w:tr>
        <w:tc>
          <w:tcPr>
            <w:tcW w:w="5000" w:type="pct"/>
            <w:gridSpan w:val="2"/>
            <w:shd w:val="clear" w:color="auto" w:fill="auto"/>
          </w:tcPr>
          <w:p>
            <w:pPr>
              <w:spacing w:before="60" w:after="60"/>
              <w:jc w:val="center"/>
              <w:rPr>
                <w:noProof/>
                <w:szCs w:val="24"/>
              </w:rPr>
            </w:pPr>
            <w:r>
              <w:rPr>
                <w:noProof/>
              </w:rPr>
              <w:t>Bien-être des animaux</w:t>
            </w:r>
          </w:p>
        </w:tc>
      </w:tr>
      <w:tr>
        <w:tc>
          <w:tcPr>
            <w:tcW w:w="3579" w:type="pct"/>
            <w:shd w:val="clear" w:color="auto" w:fill="auto"/>
          </w:tcPr>
          <w:p>
            <w:pPr>
              <w:spacing w:before="60" w:after="60"/>
              <w:jc w:val="left"/>
              <w:rPr>
                <w:noProof/>
                <w:szCs w:val="24"/>
              </w:rPr>
            </w:pPr>
            <w:r>
              <w:rPr>
                <w:noProof/>
              </w:rPr>
              <w:t>Directive 1999/74/CE du Conseil du 19 juillet 1999 établissant les normes minimales relatives à la protection des poules pondeuses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Directive 2002/4/CE de la Commission du 30 janvier 2002 concernant l’enregistrement des établissements d’élevage de poules pondeuses relevant de la directive 1999/74/CE du Conseil</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Règlement (CE) nº 1/2005 du Conseil du 22 décembre 2004 relatif à la protection des animaux pendant le transport et les opérations annexes et modifiant les directives 64/432/CEE et 93/119/CE et le règlement (CE) nº 1255/97</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Décision 2006/778/CE de la Commission du 14 novembre 2006 concernant les exigences minimales relatives à la collecte d’informations lors des inspections de sites de production de certains animaux d’élevage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Directive 2007/43/CE du Conseil du 28 juin 2007 fixant des règles minimales relatives à la protection des poulets destinés à la production de viande.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Directive 2008/119/CE du Conseil du 18 décembre 2008 établissant les normes minimales relatives à la protection des veaux</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Directive 2008/120/CE du Conseil du 18 décembre 2008 établissant les normes minimales relatives à la protection des porcs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pageBreakBefore/>
              <w:spacing w:before="60" w:after="60"/>
              <w:jc w:val="left"/>
              <w:rPr>
                <w:noProof/>
                <w:szCs w:val="24"/>
              </w:rPr>
            </w:pPr>
            <w:r>
              <w:rPr>
                <w:noProof/>
              </w:rPr>
              <w:t>Règlement (CE) nº 1099/2009 du Conseil du 24 septembre 2009 sur la protection des animaux au moment de leur mise à mort</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Décision d’exécution 2013/188/UE de la Commission du 18 avril 2013 relative aux rapports annuels à établir concernant les inspections non discriminatoires réalisées conformément au règlement (CE) nº 1/2005 du Conseil relatif à la protection des animaux pendant le transport et les opérations annexes et modifiant les directives 64/432/CEE et 93/119/CE et le règlement (CE) nº 1255/97</w:t>
            </w:r>
          </w:p>
        </w:tc>
        <w:tc>
          <w:tcPr>
            <w:tcW w:w="1421" w:type="pct"/>
            <w:shd w:val="clear" w:color="auto" w:fill="auto"/>
          </w:tcPr>
          <w:p>
            <w:pPr>
              <w:spacing w:before="60" w:after="60"/>
              <w:jc w:val="center"/>
              <w:rPr>
                <w:noProof/>
                <w:szCs w:val="24"/>
              </w:rPr>
            </w:pPr>
            <w:r>
              <w:rPr>
                <w:noProof/>
              </w:rPr>
              <w:t>2018</w:t>
            </w:r>
          </w:p>
        </w:tc>
      </w:tr>
      <w:tr>
        <w:tc>
          <w:tcPr>
            <w:tcW w:w="5000" w:type="pct"/>
            <w:gridSpan w:val="2"/>
            <w:shd w:val="clear" w:color="auto" w:fill="auto"/>
          </w:tcPr>
          <w:p>
            <w:pPr>
              <w:spacing w:before="60" w:after="60"/>
              <w:jc w:val="center"/>
              <w:rPr>
                <w:noProof/>
                <w:szCs w:val="24"/>
              </w:rPr>
            </w:pPr>
            <w:r>
              <w:rPr>
                <w:noProof/>
              </w:rPr>
              <w:t>Chapitre III - Mesures phytosanitaires</w:t>
            </w:r>
          </w:p>
        </w:tc>
      </w:tr>
      <w:tr>
        <w:tc>
          <w:tcPr>
            <w:tcW w:w="3579" w:type="pct"/>
            <w:shd w:val="clear" w:color="auto" w:fill="auto"/>
          </w:tcPr>
          <w:p>
            <w:pPr>
              <w:spacing w:before="60" w:after="60"/>
              <w:jc w:val="left"/>
              <w:rPr>
                <w:noProof/>
                <w:szCs w:val="24"/>
              </w:rPr>
            </w:pPr>
            <w:r>
              <w:rPr>
                <w:noProof/>
              </w:rPr>
              <w:t>Directive 66/401/CEE du Conseil du 14 juin 1966 concernant la commercialisation des semences de plantes fourragères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Directive 66/402/CEE du Conseil du 14 juin 1966 concernant la commercialisation des semences de céréales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Directive 69/464/CEE du Conseil du 8 décembre 1969 concernant la lutte contre la galle verruqueuse</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Directive 92/90/CEE de la Commission du 3 novembre 1992 établissant certaines obligations auxquelles sont soumis les producteurs et importateurs de végétaux, produits végétaux ou autres objets ainsi que les modalités de leur immatriculation</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Directive 92/105/CEE de la Commission du 3 décembre 1992 établissant une certaine normalisation des passeports phytosanitaires à utiliser pour les mouvements de certains végétaux, produits végétaux ou autres objets à l’intérieur de la Communauté et fixant les modalités relatives à la délivrance de tels passeports phytosanitaires, ainsi que les conditions et modalités de leur remplacement</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Directive 93/51/CEE de la Commission du 24 juin 1993 établissant des règles pour la circulation de certains végétaux, produits végétaux ou autres objets traversant une zone protégée et pour la circulation de tels végétaux, produits végétaux ou autres objets originaires de et circulant à l’intérieur d’une telle zone protégée</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pageBreakBefore/>
              <w:spacing w:before="60" w:after="60"/>
              <w:jc w:val="left"/>
              <w:rPr>
                <w:noProof/>
                <w:szCs w:val="24"/>
              </w:rPr>
            </w:pPr>
            <w:r>
              <w:rPr>
                <w:noProof/>
              </w:rPr>
              <w:t>Directive 93/85/CEE du Conseil du 4 octobre 1993 concernant la lutte contre le flétrissement bactérien de la pomme de terre</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Directive 94/3/CE de la Commission du 21 janvier 1994 établissant une procédure de notification d’interception d’un envoi ou d’un organisme nuisible en provenance de pays tiers et présentant un danger phytosanitaire imminent</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Règlement (CE) nº 2100/94 du Conseil du 27 juillet 1994 instituant un régime de protection communautaire des obtentions végétales</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(CE) nº 1238/95 de la Commission du 31 mai 1995 établissant les règles d’exécution du règlement (CE) nº 2100/94 du Conseil en ce qui concerne les taxes dues à l’Office communautaire des variétés végétales</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(CE) nº 1768/95 de la Commission du 24 juillet 1995 établissant les modalités d’application de la dérogation prévue à l’article 14, paragraphe 3, du règlement (CE) nº 2100/94 du Conseil instituant un régime de protection communautaire des obtentions végétales</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(CE) nº 2506/95 du Conseil du 25 octobre 1995 modifiant le règlement (CE) nº 2100/94 instituant un régime de protection communautaire des obtentions végétales</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(CE) nº 2470/96 du Conseil du 17 décembre 1996 prorogeant la durée de la protection communautaire des obtentions végétales en ce qui concerne les pommes de terre</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Directive 97/46/CE de la Commission du 25 juillet 1997 modifiant la directive 95/44/CE fixant les conditions dans lesquelles certains organismes nuisibles, végétaux, produits végétaux et autres objets énumérés aux annexes I à V de la directive 77/93/CEE du Conseil peuvent être introduits ou circuler dans la Communauté ou dans certaines zones protégées de la Communauté pour des travaux à des fins d’essai ou à des fins scientifiques ou pour des travaux sur les sélections variétales</w:t>
            </w:r>
          </w:p>
        </w:tc>
        <w:tc>
          <w:tcPr>
            <w:tcW w:w="1421" w:type="pct"/>
            <w:shd w:val="clear" w:color="auto" w:fill="auto"/>
          </w:tcPr>
          <w:p>
            <w:pPr>
              <w:spacing w:before="60" w:after="60"/>
              <w:jc w:val="center"/>
              <w:rPr>
                <w:noProof/>
                <w:szCs w:val="24"/>
              </w:rPr>
            </w:pPr>
            <w:r>
              <w:rPr>
                <w:noProof/>
              </w:rPr>
              <w:t>2021</w:t>
            </w:r>
          </w:p>
        </w:tc>
      </w:tr>
      <w:tr>
        <w:tc>
          <w:tcPr>
            <w:tcW w:w="3579" w:type="pct"/>
            <w:shd w:val="clear" w:color="auto" w:fill="auto"/>
          </w:tcPr>
          <w:p>
            <w:pPr>
              <w:spacing w:before="60" w:after="60"/>
              <w:jc w:val="left"/>
              <w:rPr>
                <w:noProof/>
                <w:szCs w:val="24"/>
              </w:rPr>
            </w:pPr>
            <w:r>
              <w:rPr>
                <w:noProof/>
              </w:rPr>
              <w:t>Directive 98/22/CE de la Commission du 15 avril 1998 fixant les conditions minimales pour la réalisation des contrôles phytosanitaires dans la Communauté, à des postes d’inspection autres que ceux situés au lieu de destination, de végétaux, produits végétaux ou autres objets en provenance de pays tiers</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pageBreakBefore/>
              <w:spacing w:before="60" w:after="60"/>
              <w:jc w:val="left"/>
              <w:rPr>
                <w:noProof/>
                <w:szCs w:val="24"/>
              </w:rPr>
            </w:pPr>
            <w:r>
              <w:rPr>
                <w:noProof/>
              </w:rPr>
              <w:t>Directive 98/56/CE du Conseil du 20 juillet 1998 concernant la commercialisation des matériels de multiplication des plantes ornementales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 xml:space="preserve">Directive 98/57/CE du Conseil du 20 juillet 1998 concernant la lutte contre </w:t>
            </w:r>
            <w:r>
              <w:rPr>
                <w:i/>
                <w:iCs/>
                <w:noProof/>
                <w:szCs w:val="24"/>
              </w:rPr>
              <w:t>Ralstonia solanacearum (Smith) Yabuuchi et al.</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(CE) nº 2605/98 de la Commission du 3 décembre 1998 modifiant le règlement (CE) nº 1768/95 établissant les modalités d’application de la dérogation prévue à l’article 14, paragraphe 3, du règlement (CE) nº 2100/94 du Conseil instituant un régime de protection communautaire des obtentions végétales</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Directive 2000/29/CE du Conseil du 8 mai 2000 concernant les mesures de protection contre l’introduction dans la Communauté d’organismes nuisibles aux végétaux ou aux produits végétaux et contre leur propagation à l’intérieur de la Communauté</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Directive 2002/54/CE du Conseil du 13 juin 2002 concernant la commercialisation des semences de betteraves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Directive 2002/55/CE du Conseil du 13 juin 2002 concernant la commercialisation des semences de légumes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Directive 2002/56/CE du Conseil du 13 juin 2002 concernant la commercialisation des plants de pommes de terre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Directive 2002/57/CE du Conseil du 13 juin 2002 concernant la commercialisation des semences de plantes oléagineuses et à fibres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Décision 2003/17/CE du Conseil du 16 décembre 2002 concernant l’équivalence des inspections sur pied des cultures productrices de semences effectuées dans des pays tiers et l’équivalence des semences produites dans des pays tiers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pageBreakBefore/>
              <w:spacing w:before="60" w:after="60"/>
              <w:jc w:val="left"/>
              <w:rPr>
                <w:noProof/>
                <w:szCs w:val="24"/>
              </w:rPr>
            </w:pPr>
            <w:r>
              <w:rPr>
                <w:noProof/>
              </w:rPr>
              <w:t>Règlement (CE) nº 1830/2003 du Parlement européen et du Conseil du 22 septembre 2003 concernant la traçabilité et l’étiquetage des organismes génétiquement modifiés et la traçabilité des produits destinés à l’alimentation humaine ou animale produits à partir d’organismes génétiquement modifiés, et modifiant la directive 2001/18/CE</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Règlement (CE) nº 2003/2003 du Parlement européen et du Conseil du 13 octobre 2003 relatif aux engrais</w:t>
            </w:r>
          </w:p>
        </w:tc>
        <w:tc>
          <w:tcPr>
            <w:tcW w:w="1421" w:type="pct"/>
            <w:shd w:val="clear" w:color="auto" w:fill="auto"/>
          </w:tcPr>
          <w:p>
            <w:pPr>
              <w:spacing w:before="60" w:after="60"/>
              <w:jc w:val="center"/>
              <w:rPr>
                <w:noProof/>
                <w:szCs w:val="24"/>
              </w:rPr>
            </w:pPr>
            <w:r>
              <w:rPr>
                <w:noProof/>
              </w:rPr>
              <w:t>2021</w:t>
            </w:r>
          </w:p>
        </w:tc>
      </w:tr>
      <w:tr>
        <w:tc>
          <w:tcPr>
            <w:tcW w:w="3579" w:type="pct"/>
            <w:shd w:val="clear" w:color="auto" w:fill="auto"/>
          </w:tcPr>
          <w:p>
            <w:pPr>
              <w:spacing w:before="60" w:after="60"/>
              <w:jc w:val="left"/>
              <w:rPr>
                <w:noProof/>
                <w:szCs w:val="24"/>
              </w:rPr>
            </w:pPr>
            <w:r>
              <w:rPr>
                <w:noProof/>
              </w:rPr>
              <w:t>Règlement (CE) nº 882/2004 du Parlement européen et du Conseil du 29 avril 2004 relatif aux contrôles officiels effectués pour s’assurer de la conformité avec la législation sur les aliments pour animaux et les denrées alimentaires et avec les dispositions relatives à la santé animale et au bien-être des animaux</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Directive 2004/102/CE de la Commission du 5 octobre 2004 modifiant les annexes II, III, IV et V de la directive 2000/29/CE du Conseil concernant les mesures de protection contre l’introduction dans la Communauté d’organismes nuisibles aux végétaux ou aux produits végétaux et contre leur propagation à l’intérieur de la Communauté</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Directive 2004/103/CE de la Commission du 7 octobre 2004 relative aux contrôles d’identité et aux contrôles sanitaires des végétaux, produits végétaux et autres objets inscrits à l’annexe V, partie B, de la directive 2000/29/CE du Conseil, qui peuvent être effectués dans un autre lieu que le point d’entrée dans la Communauté ou dans un endroit situé à proximité, et établissant les conditions régissant ces contrôles</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(CE) nº 1756/2004 de la Commission du 11 octobre 2004 fixant les conditions spécifiques relatives aux éléments probants requis et les critères relatifs aux type et niveau de réduction des contrôles phytosanitaires de certains végétaux, produits végétaux ou autres objets énumérés à l’annexe V, partie B, de la directive 2000/29/CE du Conseil</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Directive 2004/105/CE de la Commission du 15 octobre 2004 établissant les modèles de certificats phytosanitaires ou de certificats phytosanitaires de réexportation officiels, accompagnant des végétaux, des produits végétaux ou autres objets réglementés par la directive 2000/29/CE du Conseil, en provenance de pays tiers</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pageBreakBefore/>
              <w:spacing w:before="60" w:after="60"/>
              <w:jc w:val="left"/>
              <w:rPr>
                <w:noProof/>
                <w:szCs w:val="24"/>
              </w:rPr>
            </w:pPr>
            <w:r>
              <w:rPr>
                <w:noProof/>
              </w:rPr>
              <w:t>Règlement (CE) nº 396/2005 du Parlement européen et du Conseil du 23 février 2005 concernant les limites maximales applicables aux résidus de pesticides présents dans ou sur les denrées alimentaires et les aliments pour animaux d’origine végétale et animale et modifiant la directive 91/414/CEE du Conseil</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(CE) nº 217/2006 de la Commission du 8 février 2006 portant modalités d’application des directives 66/401/CEE, 66/402/CEE, 2002/54/CE, 2002/55/CE et 2002/57/CE du Conseil en ce qui concerne l’autorisation accordée aux États membres de permettre la commercialisation temporaire de semences ne satisfaisant pas aux exigences en matière de faculté germinative minimale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Directive 2007/33/CE du Conseil du 11 juin 2007 concernant la lutte contre les nématodes à kystes de la pomme de terre et abrogeant la directive 69/465/CEE</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Décision 2008/495/CE de la Commission du 7 mai 2008 concernant l’interdiction provisoire de l’utilisation et de la vente, en Autriche, de maïs génétiquement modifié (</w:t>
            </w:r>
            <w:r>
              <w:rPr>
                <w:i/>
                <w:iCs/>
                <w:noProof/>
                <w:szCs w:val="24"/>
              </w:rPr>
              <w:t>Zea mays</w:t>
            </w:r>
            <w:r>
              <w:rPr>
                <w:noProof/>
              </w:rPr>
              <w:t xml:space="preserve"> L. lignée MON810), conformément à la directive 2001/18/CE du Parlement européen et du Conseil</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Directive 2008/61/CE de la Commission du 17 juin 2008 fixant les conditions dans lesquelles certains organismes nuisibles, végétaux, produits végétaux et autres objets énumérés aux annexes I à V de la directive 2000/29/CE du Conseil peuvent être introduits ou circuler dans la Communauté ou dans certaines zones protégées de la Communauté pour des travaux à des fins d’essai ou à des fins scientifiques ou pour des travaux sur les sélections variétales</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Directive 2008/72/CE du Conseil du 15 juillet 2008 concernant la commercialisation des plants de légumes et des matériels de multiplication de légumes autres que les semences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Directive 2008/90/CE du Conseil du 29 septembre 2008 concernant la commercialisation des matériels de multiplication de plantes fruitières et des plantes fruitières destinées à la production de fruits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Décision 2009/244/CE de la Commission du 16 mars 2009 concernant la mise sur le marché, conformément à la directive 2001/18/CE du Parlement européen et du Conseil, d’un œillet (</w:t>
            </w:r>
            <w:r>
              <w:rPr>
                <w:i/>
                <w:noProof/>
                <w:szCs w:val="24"/>
              </w:rPr>
              <w:t>Dianthus caryophyllus</w:t>
            </w:r>
            <w:r>
              <w:rPr>
                <w:noProof/>
              </w:rPr>
              <w:t xml:space="preserve"> L., lignée 123.8.12) génétiquement modifié pour changer la couleur de la fleur</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Directive 2009/41/CE du Parlement européen et du Conseil du 6 mai 2009 relative à l’utilisation confinée de micro-organismes génétiquement modifiés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pageBreakBefore/>
              <w:spacing w:before="60" w:after="60"/>
              <w:jc w:val="left"/>
              <w:rPr>
                <w:noProof/>
                <w:szCs w:val="24"/>
              </w:rPr>
            </w:pPr>
            <w:r>
              <w:rPr>
                <w:noProof/>
              </w:rPr>
              <w:t>Règlement (CE) nº 874/2009 de la Commission du 17 septembre 2009 établissant les modalités d’application du règlement (CE) nº 2100/94 du Conseil en ce qui concerne la procédure devant l’Office communautaire des variétés végétales</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Décision 2009/770/CE de la Commission du 13 octobre 2009 établissant des formulaires types pour la présentation des résultats de la surveillance relative à la dissémination volontaire dans l’environnement d’organismes génétiquement modifiés, en tant que produits ou éléments de produits, aux fins de leur mise sur le marché, conformément à la directive 2001/18/CE du Parlement européen et du Conseil</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Directive 2009/128/CE du Parlement européen et du Conseil du 21 octobre 2009 instaurant un cadre d’action communautaire pour parvenir à une utilisation des pesticides compatible avec le développement durable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Règlement (CE) nº 1107/2009 du Parlement européen et du Conseil du 21 octobre 2009 concernant la mise sur le marché des produits phytopharmaceutiques et abrogeant les directives 79/117/CEE et 91/414/CEE du Conseil</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Décision 2010/135/UE de la Commission du 2 mars 2010 concernant la mise sur le marché, conformément à la directive 2001/18/CE du Parlement européen et du Conseil, d’une pomme de terre (</w:t>
            </w:r>
            <w:r>
              <w:rPr>
                <w:i/>
                <w:noProof/>
                <w:szCs w:val="24"/>
              </w:rPr>
              <w:t>Solanum tuberosum</w:t>
            </w:r>
            <w:r>
              <w:rPr>
                <w:noProof/>
              </w:rPr>
              <w:t xml:space="preserve"> L. lignée EH92-527-1) génétiquement modifiée pour l’obtention d’un amidon à teneur accrue en amylopectine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Recommandation 2010/C 200/01 de la Commission du 13 juillet 2010 établissant des lignes directrices pour l’élaboration de mesures nationales de coexistence visant à éviter la présence accidentelle d’OGM dans les cultures conventionnelles et biologiques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Règlement (UE) nº 188/2011 de la Commission du 25 février 2011 portant modalités d’application de la directive 91/414/CEE du Conseil en ce qui concerne la procédure d’évaluation des substances actives qui n’étaient pas sur le marché deux ans après la date de notification de ladite directive</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pageBreakBefore/>
              <w:spacing w:before="60" w:after="60"/>
              <w:jc w:val="left"/>
              <w:rPr>
                <w:noProof/>
                <w:szCs w:val="24"/>
              </w:rPr>
            </w:pPr>
            <w:r>
              <w:rPr>
                <w:noProof/>
              </w:rPr>
              <w:t>Règlement d’exécution (UE) nº 540/2011 de la Commission du 25 mai 2011 portant application du règlement (CE) nº 1107/2009 du Parlement européen et du Conseil, en ce qui concerne la liste des substances actives approuvées</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d’exécution (UE) nº 541/2011 de la Commission du 1</w:t>
            </w:r>
            <w:r>
              <w:rPr>
                <w:noProof/>
                <w:vertAlign w:val="superscript"/>
              </w:rPr>
              <w:t>er</w:t>
            </w:r>
            <w:r>
              <w:rPr>
                <w:noProof/>
              </w:rPr>
              <w:t> juin 2011 modifiant le règlement d’exécution (UE) nº 540/2011 portant exécution du règlement (CE) nº 1107/2009 du Parlement européen et du Conseil ce qui concerne la liste des substances actives approuvées</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(UE) nº 547/2011 de la Commission du 8 juin 2011 portant application du règlement (CE) nº 1107/2009 du Parlement européen et du Conseil concernant les exigences en matière d’étiquetage de produits phytopharmaceutiques</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(UE) nº 544/2011 de la Commission du 10 juin 2011 portant application du règlement (CE) nº 1107/2009 du Parlement européen et du Conseil en ce qui concerne les exigences en matière de données applicables aux substances actives</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(UE) nº 545/2011 de la Commission du 10 juin 2011 portant application du règlement (CE) nº 1107/2009 du Parlement européen et du Conseil en ce qui concerne les exigences en matière de données applicables aux produits phytopharmaceutiques</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d’exécution (UE) nº 702/2011 de la Commission du 20 juillet 2011 portant approbation de la substance active prohexadione, conformément au règlement (CE) nº 1107/2009 du Parlement européen et du Conseil concernant la mise sur le marché des produits phytopharmaceutiques, et modifiant l’annexe du règlement d’exécution (UE) nº 540/2011 de la Commission</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d’exécution (UE) nº 703/2011 de la Commission du 20 juillet 2011 portant approbation de la substance active azoxystrobine, conformément au règlement (CE) nº 1107/2009 du Parlement européen et du Conseil concernant la mise sur le marché des produits phytopharmaceutiques, et modifiant l’annexe du règlement d’exécution (UE) nº 540/2011 de la Commission</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pageBreakBefore/>
              <w:spacing w:before="60" w:after="60"/>
              <w:jc w:val="left"/>
              <w:rPr>
                <w:noProof/>
                <w:szCs w:val="24"/>
              </w:rPr>
            </w:pPr>
            <w:r>
              <w:rPr>
                <w:noProof/>
              </w:rPr>
              <w:t>Règlement d’exécution (UE) nº 704/2011 de la Commission du 20 juillet 2011 portant approbation de la substance active azimsulfuron, conformément au règlement (CE) nº 1107/2009 du Parlement européen et du Conseil concernant la mise sur le marché des produits phytopharmaceutiques, et modifiant l’annexe du règlement d’exécution (UE) nº 540/2011 de la Commission</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d’exécution (UE) nº 705/2011 de la Commission du 20 juillet 2011 portant approbation de la substance active imazalil, conformément au règlement (CE) nº 1107/2009 du Parlement européen et du Conseil concernant la mise sur le marché des produits phytopharmaceutiques, et modifiant l’annexe du règlement d’exécution (UE) nº 540/2011 de la Commission</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d’exécution (UE) nº 706/2011 de la Commission du 20 juillet 2011 approuvant la substance active profoxydime, conformément au règlement (CE) nº 1107/2009 du Parlement européen et du Conseil concernant la mise sur le marché des produits phytopharmaceutiques, et modifiant l’annexe du règlement d’exécution (UE) nº 540/2011 de la Commission</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d’exécution (UE) nº 736/2011 de la Commission du 26 juillet 2011 approuvant la substance active fluroxypyr, conformément au règlement (CE) nº 1107/2009 du Parlement européen et du Conseil concernant la mise sur le marché des produits phytopharmaceutiques, et modifiant l’annexe du règlement d’exécution (UE) nº 540/2011 de la Commission</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d’exécution (UE) nº 740/2011 de la Commission du 27 juillet 2011 approuvant la substance active bispyribac, conformément au règlement (CE) nº 1107/2009 du Parlement européen et du Conseil concernant la mise sur le marché des produits phytopharmaceutiques, et modifiant l’annexe du règlement d’exécution (UE) nº 540/2011 de la Commission</w:t>
            </w:r>
          </w:p>
        </w:tc>
        <w:tc>
          <w:tcPr>
            <w:tcW w:w="1421" w:type="pct"/>
            <w:shd w:val="clear" w:color="auto" w:fill="auto"/>
          </w:tcPr>
          <w:p>
            <w:pPr>
              <w:spacing w:before="60" w:after="60"/>
              <w:jc w:val="center"/>
              <w:rPr>
                <w:noProof/>
                <w:color w:val="C00000"/>
                <w:szCs w:val="24"/>
              </w:rPr>
            </w:pPr>
            <w:r>
              <w:rPr>
                <w:noProof/>
              </w:rPr>
              <w:t>2020</w:t>
            </w:r>
          </w:p>
        </w:tc>
      </w:tr>
      <w:tr>
        <w:tc>
          <w:tcPr>
            <w:tcW w:w="3579" w:type="pct"/>
            <w:shd w:val="clear" w:color="auto" w:fill="auto"/>
          </w:tcPr>
          <w:p>
            <w:pPr>
              <w:pageBreakBefore/>
              <w:spacing w:before="60" w:after="60"/>
              <w:jc w:val="left"/>
              <w:rPr>
                <w:noProof/>
                <w:szCs w:val="24"/>
              </w:rPr>
            </w:pPr>
            <w:r>
              <w:rPr>
                <w:noProof/>
              </w:rPr>
              <w:t>Règlement d’exécution (UE) nº 786/2011 de la Commission du 5 août 2011 approuvant la substance active «1-naphthylacétamide» conformément au règlement (CE) nº 1107/2009 du Parlement européen et du Conseil concernant la mise sur le marché des produits phytopharmaceutiques et modifiant l’annexe du règlement d’exécution (UE) nº 540/2011 de la Commission ainsi que l’annexe de la décision 2008/941/CE de la Commission</w:t>
            </w:r>
          </w:p>
        </w:tc>
        <w:tc>
          <w:tcPr>
            <w:tcW w:w="1421" w:type="pct"/>
            <w:shd w:val="clear" w:color="auto" w:fill="auto"/>
          </w:tcPr>
          <w:p>
            <w:pPr>
              <w:spacing w:before="60" w:after="60"/>
              <w:jc w:val="center"/>
              <w:rPr>
                <w:noProof/>
                <w:color w:val="C00000"/>
                <w:szCs w:val="24"/>
              </w:rPr>
            </w:pPr>
            <w:r>
              <w:rPr>
                <w:noProof/>
              </w:rPr>
              <w:t>2020</w:t>
            </w:r>
          </w:p>
        </w:tc>
      </w:tr>
      <w:tr>
        <w:tc>
          <w:tcPr>
            <w:tcW w:w="3579" w:type="pct"/>
            <w:shd w:val="clear" w:color="auto" w:fill="auto"/>
          </w:tcPr>
          <w:p>
            <w:pPr>
              <w:spacing w:before="60" w:after="60"/>
              <w:jc w:val="left"/>
              <w:rPr>
                <w:noProof/>
                <w:szCs w:val="24"/>
              </w:rPr>
            </w:pPr>
            <w:r>
              <w:rPr>
                <w:noProof/>
              </w:rPr>
              <w:t>Règlement d’exécution (UE) nº 787/2011 de la Commission du 5 août 2011 portant approbation de la substance active acide 1-naphthylacétique conformément au règlement (CE) nº 1107/2009 du Parlement européen et du Conseil concernant la mise sur le marché des produits phytopharmaceutiques, et modifiant l’annexe du règlement d’exécution (UE) nº 540/2011 de la Commission et la décision 2008/941/CE de la Commission</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d’exécution (UE) nº 788/2011 de la Commission du 5 août 2011 approuvant la substance active fluazifop-P, conformément au règlement (CE) nº 1107/2009 du Parlement européen et du Conseil concernant la mise sur le marché des produits phytopharmaceutiques, et modifiant l’annexe du règlement d’exécution (UE) nº 540/2011 de la Commission ainsi que la décision 2008/934/CE de la Commission</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d’exécution (UE) nº 797/2011 de la Commission du 9 août 2011 portant approbation de la substance active «spiroxamine» conformément au règlement (CE) nº 1107/2009 du Parlement européen et du Conseil concernant la mise sur le marché des produits phytopharmaceutiques et modifiant l’annexe du règlement d’exécution (UE) nº 540/2011 de la Commission</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d’exécution (UE) nº 798/2011 de la Commission du 9 août 2011 portant approbation de la substance active «oxyfluorfène» conformément au règlement (CE) nº 1107/2009 du Parlement européen et du Conseil concernant la mise sur le marché des produits phytopharmaceutiques et modifiant l’annexe du règlement d’exécution (UE) nº 540/2011 de la Commission ainsi que l’annexe de la décision 2008/934/CE de la Commission</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pageBreakBefore/>
              <w:spacing w:before="60" w:after="60"/>
              <w:jc w:val="left"/>
              <w:rPr>
                <w:noProof/>
                <w:szCs w:val="24"/>
              </w:rPr>
            </w:pPr>
            <w:r>
              <w:rPr>
                <w:noProof/>
              </w:rPr>
              <w:t>Règlement d’exécution (UE) nº 800/2011 de la Commission du 9 août 2011 portant approbation de la substance active téfluthrine, conformément au règlement (CE) nº 1107/2009 du Parlement européen et du Conseil concernant la mise sur le marché des produits phytopharmaceutiques, et modifiant l’annexe du règlement d’exécution (UE) nº 540/2011 de la Commission et la décision 2008/934/CE de la Commission</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d’exécution (UE) nº 807/2011 de la Commission du 10 août 2011 portant approbation de la substance active «triazoxide», conformément au règlement (CE) nº 1107/2009 du Parlement européen et du Conseil concernant la mise sur le marché des produits phytopharmaceutiques, et modifiant l’annexe du règlement d’exécution (UE) nº 540/2011</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d’exécution (UE) nº 810/2011 de la Commission du 11 août 2011 portant approbation de la substance active krésoxim-méthyl, conformément au règlement (CE) nº 1107/2009 du Parlement européen et du Conseil concernant la mise sur le marché des produits phytopharmaceutiques, et modifiant l’annexe du règlement d’exécution (UE) nº 540/2011 de la Commission</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d’exécution (UE) nº 974/2011 de la Commission du 29 septembre 2011 portant approbation de la substance active acrinathrine, conformément au règlement (CE) nº 1107/2009 du Parlement européen et du Conseil concernant la mise sur le marché des produits phytopharmaceutiques, et modifiant l’annexe du règlement d’exécution (UE) nº 540/2011 de la Commission et la décision 2008/934/CE de la Commission</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d’exécution (UE) nº 993/2011 de la Commission du 6 octobre 2011 portant approbation de la substance active hydroxy-8-quinoléine, conformément au règlement (CE) nº 1107/2009 du Parlement européen et du Conseil concernant la mise sur le marché des produits phytopharmaceutiques, et modifiant l’annexe du règlement d’exécution (UE) nº 540/2011 de la Commission</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pageBreakBefore/>
              <w:spacing w:before="60" w:after="60"/>
              <w:jc w:val="left"/>
              <w:rPr>
                <w:noProof/>
                <w:szCs w:val="24"/>
              </w:rPr>
            </w:pPr>
            <w:r>
              <w:rPr>
                <w:noProof/>
              </w:rPr>
              <w:t>Règlement d’exécution (UE) nº 1143/2011 de la Commission du 10 novembre 2011 portant approbation de la substance active prochloraz conformément au règlement (CE) nº 1107/2009 du Parlement européen et du Conseil concernant la mise sur le marché des produits phytopharmaceutiques et modifiant l’annexe du règlement d’exécution (UE) nº 540/2011 de la Commission ainsi que l’annexe de la décision 2008/934/CE de la Commission</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 xml:space="preserve">Décision d’exécution 2011/787/UE de la Commission du 29 novembre 2011 autorisant les États membres à prendre provisoirement des mesures d’urgence en vue de se protéger contre la propagation de </w:t>
            </w:r>
            <w:r>
              <w:rPr>
                <w:i/>
                <w:iCs/>
                <w:noProof/>
                <w:szCs w:val="24"/>
              </w:rPr>
              <w:t>Ralstonia solanacearum</w:t>
            </w:r>
            <w:r>
              <w:rPr>
                <w:noProof/>
              </w:rPr>
              <w:t xml:space="preserve"> (Smith) Yabuuchi et al. en provenance d’Égypte</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Décision d’exécution 2012/138/UE de la Commission du 1</w:t>
            </w:r>
            <w:r>
              <w:rPr>
                <w:noProof/>
                <w:vertAlign w:val="superscript"/>
              </w:rPr>
              <w:t>er</w:t>
            </w:r>
            <w:r>
              <w:rPr>
                <w:noProof/>
              </w:rPr>
              <w:t> mars 2012 relative à des mesures d’urgence destinées à éviter l’introduction et la propagation d’</w:t>
            </w:r>
            <w:r>
              <w:rPr>
                <w:i/>
                <w:iCs/>
                <w:noProof/>
                <w:szCs w:val="24"/>
              </w:rPr>
              <w:t>Anoplophora chinensis</w:t>
            </w:r>
            <w:r>
              <w:rPr>
                <w:noProof/>
              </w:rPr>
              <w:t xml:space="preserve"> (Forster) dans l’Union</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d’exécution (UE) nº 359/2012 de la Commission du 25 avril 2012 portant approbation de la substance active métam conformément au règlement (CE) nº 1107/2009 du Parlement européen et du Conseil concernant la mise sur le marché des produits phytopharmaceutiques, et modifiant l’annexe du règlement d’exécution (UE) nº 540/2011 de la Commission</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Décision d’exécution 2012/340/UE de la Commission du 25 juin 2012 relative à l’organisation d’une expérience temporaire conformément aux directives 66/401/CEE, 66/402/CEE, 2002/54/CE, 2002/55/CE et 2002/57/CE du Conseil en ce qui concerne l’inspection sur pied sous contrôle officiel des semences de base et des semences de sélection de générations antérieures aux semences de base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Règlement d’exécution (UE) nº 582/2012 de la Commission du 2 juillet 2012 portant approbation de la substance active bifenthrine, conformément au règlement (CE) nº 1107/2009 du Parlement européen et du Conseil concernant la mise sur le marché des produits phytopharmaceutiques, et modifiant l’annexe du règlement d’exécution (UE) nº 540/2011 de la Commission</w:t>
            </w:r>
          </w:p>
        </w:tc>
        <w:tc>
          <w:tcPr>
            <w:tcW w:w="1421" w:type="pct"/>
            <w:shd w:val="clear" w:color="auto" w:fill="auto"/>
          </w:tcPr>
          <w:p>
            <w:pPr>
              <w:spacing w:before="60" w:after="60"/>
              <w:jc w:val="center"/>
              <w:rPr>
                <w:noProof/>
                <w:color w:val="C00000"/>
                <w:szCs w:val="24"/>
              </w:rPr>
            </w:pPr>
            <w:r>
              <w:rPr>
                <w:noProof/>
              </w:rPr>
              <w:t>2020</w:t>
            </w:r>
          </w:p>
        </w:tc>
      </w:tr>
      <w:tr>
        <w:tc>
          <w:tcPr>
            <w:tcW w:w="3579" w:type="pct"/>
            <w:shd w:val="clear" w:color="auto" w:fill="auto"/>
          </w:tcPr>
          <w:p>
            <w:pPr>
              <w:pageBreakBefore/>
              <w:spacing w:before="60" w:after="60"/>
              <w:jc w:val="left"/>
              <w:rPr>
                <w:noProof/>
                <w:szCs w:val="24"/>
              </w:rPr>
            </w:pPr>
            <w:r>
              <w:rPr>
                <w:noProof/>
              </w:rPr>
              <w:t>Règlement d’exécution (UE) nº 589/2012 de la Commission du 4 juillet 2012 approuvant la substance active fluxapyroxad, conformément au règlement (CE) nº 1107/2009 du Parlement européen et du Conseil concernant la mise sur le marché des produits phytopharmaceutiques, et modifiant l’annexe du règlement d’exécution (UE) nº 540/2011 de la Commission</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d’exécution (UE) nº 595/2012 de la Commission du 5 juillet 2012 approuvant la substance active fenpyrazamine, conformément au règlement (CE) nº 1107/2009 du Parlement européen et du Conseil concernant la mise sur le marché des produits phytopharmaceutiques, et modifiant l’annexe du règlement d’exécution (UE) nº 540/2011 de la Commission</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 xml:space="preserve">Règlement d’exécution (UE) nº 746/2012 de la Commission du 16 août 2012 portant approbation de la substance active </w:t>
            </w:r>
            <w:r>
              <w:rPr>
                <w:i/>
                <w:iCs/>
                <w:noProof/>
                <w:szCs w:val="24"/>
              </w:rPr>
              <w:t>Adoxophyes orana granulovirus</w:t>
            </w:r>
            <w:r>
              <w:rPr>
                <w:noProof/>
              </w:rPr>
              <w:t xml:space="preserve"> conformément au règlement (CE) nº 1107/2009 du Parlement européen et du Conseil concernant la mise sur le marché des produits phytopharmaceutiques, et modifiant l’annexe du règlement d’exécution (UE) nº 540/2011 de la Commission</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 xml:space="preserve">Décision d’exécution 2012/535/UE de la Commission du 26 septembre 2012 relative aux mesures d’urgence destinées à prévenir la propagation, dans l’Union, de </w:t>
            </w:r>
            <w:r>
              <w:rPr>
                <w:i/>
                <w:iCs/>
                <w:noProof/>
                <w:szCs w:val="24"/>
              </w:rPr>
              <w:t>Bursaphelenchus xylophilus</w:t>
            </w:r>
            <w:r>
              <w:rPr>
                <w:noProof/>
              </w:rPr>
              <w:t xml:space="preserve"> (Steiner et Buhrer) Nickle et al. (nématode du pin)</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d’exécution (UE) nº 485/2013 de la Commission du 24 mai 2013 modifiant le règlement d’exécution (UE) nº 540/2011 en ce qui concerne les conditions d’approbation des substances actives clothianidine, thiaméthoxame et imidaclopride et interdisant l’utilisation et la vente de semences traitées avec des produits phytopharmaceutiques contenant ces substances actives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pageBreakBefore/>
              <w:spacing w:before="60" w:after="60"/>
              <w:jc w:val="left"/>
              <w:rPr>
                <w:noProof/>
                <w:szCs w:val="24"/>
              </w:rPr>
            </w:pPr>
            <w:r>
              <w:rPr>
                <w:noProof/>
              </w:rPr>
              <w:t>Directive d’exécution 2014/20/UE de la Commission du 6 février 2014 portant définition des classes de l’Union de plants de pommes de terre de base et de plants de pommes de terre certifiés, ainsi que les conditions et dénominations applicables à ces classes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Directive d’exécution 2014/21/UE de la Commission du 6 février 2014 portant définition de conditions minimales et de classes de l’Union pour les plants de pommes de terre prébase</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Règlement d’exécution (UE) nº 632/2014 de la Commission du 13 mai 2014 portant approbation de la substance active «flubendiamide», conformément au règlement (CE) nº 1107/2009 du Parlement européen et du Conseil concernant la mise sur le marché des produits phytopharmaceutiques, et modifiant l’annexe du règlement d’exécution (UE) nº 540/2011 de la Commission</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Règlement d’exécution (UE) nº 571/2014 de la Commission du 26 mai 2014 portant approbation de la substance active «ipconazole», conformément au règlement (CE) nº 1107/2009 du Parlement européen et du Conseil concernant la mise sur le marché des produits phytopharmaceutiques, et modifiant l’annexe du règlement d’exécution (UE) nº 540/2011 de la Commission</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Décision d’exécution 2014/362/UE de la Commission du 13 juin 2014 modifiant la décision 2009/109/CE relative à l’organisation d’une expérience temporaire impliquant l’octroi de certaines dérogations en vue de la commercialisation de mélanges de semences destinés à être utilisés comme plantes fourragères conformément à la directive 66/401/CEE du Conseil</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Décision d’exécution 2014/367/UE de la Commission du 16 juin 2014 modifiant la directive 2002/56/CE du Conseil en ce qui concerne la date fixée à l’article 21, paragraphe 3, jusqu’à laquelle les États membres sont autorisés à prolonger la durée de validité des décisions relatives à l’équivalence de plants de pommes de terre provenant de pays tiers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pageBreakBefore/>
              <w:spacing w:before="60" w:after="60"/>
              <w:jc w:val="left"/>
              <w:rPr>
                <w:noProof/>
                <w:szCs w:val="24"/>
              </w:rPr>
            </w:pPr>
            <w:r>
              <w:rPr>
                <w:noProof/>
              </w:rPr>
              <w:t>Directive d’exécution 2014/83/UE de la Commission du 25 juin 2014 modifiant les annexes I, II, III, IV et V de la directive 2000/29/CE du Conseil concernant les mesures de protection contre l’introduction dans la Communauté d’organismes nuisibles aux végétaux ou aux produits végétaux et contre leur propagation à l’intérieur de la Communauté</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Directive d’exécution 2014/96/UE de la Commission du 15 octobre 2014 relative aux prescriptions en matière d’étiquetage, de fermeture et d’emballage des matériels de multiplication de plantes fruitières et des plantes fruitières destinées à la production de fruits relevant du champ d’application de la directive 2008/90/CE du Conseil</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Directive d’exécution 2014/97/UE de la Commission du 15 octobre 2014 portant mesures d’exécution de la directive 2008/90/CE du Conseil en ce qui concerne l’enregistrement des fournisseurs et des variétés et la liste commune des variétés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Directive d’exécution 2014/98/UE de la Commission du 15 octobre 2014 portant mesures d’exécution de la directive 2008/90/CE du Conseil en ce qui concerne les prescriptions spécifiques applicables aux genres et aux espèces de plantes fruitières visés à l’annexe I de ladite directive, les prescriptions spécifiques applicables par les fournisseurs et les règles détaillées des inspections officielles</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b/>
                <w:noProof/>
                <w:szCs w:val="24"/>
              </w:rPr>
            </w:pPr>
            <w:r>
              <w:rPr>
                <w:bCs/>
                <w:noProof/>
                <w:szCs w:val="24"/>
                <w:bdr w:val="none" w:sz="0" w:space="0" w:color="auto" w:frame="1"/>
                <w:shd w:val="clear" w:color="auto" w:fill="FFFFFF"/>
              </w:rPr>
              <w:t>Directive 2001/18/CE du Parlement européen et du Conseil du 12 mars 2001 relative à la dissémination volontaire d’organismes génétiquement modifiés dans l’environnement et abrogeant la directive 90/220/CEE du Conseil</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0" w:after="0"/>
              <w:jc w:val="left"/>
              <w:rPr>
                <w:noProof/>
              </w:rPr>
            </w:pPr>
            <w:r>
              <w:rPr>
                <w:noProof/>
              </w:rPr>
              <w:t>Règlement (CE) nº 1946/2003 du Parlement européen et du Conseil du 15 juillet 2003 relatif aux mouvements transfrontières des organismes génétiquement modifiés</w:t>
            </w:r>
          </w:p>
        </w:tc>
        <w:tc>
          <w:tcPr>
            <w:tcW w:w="1421" w:type="pct"/>
            <w:shd w:val="clear" w:color="auto" w:fill="auto"/>
          </w:tcPr>
          <w:p>
            <w:pPr>
              <w:spacing w:before="0" w:after="0"/>
              <w:jc w:val="center"/>
              <w:rPr>
                <w:noProof/>
                <w:szCs w:val="24"/>
              </w:rPr>
            </w:pPr>
            <w:r>
              <w:rPr>
                <w:noProof/>
              </w:rPr>
              <w:t>2018</w:t>
            </w:r>
          </w:p>
        </w:tc>
      </w:tr>
    </w:tbl>
    <w:p>
      <w:pPr>
        <w:rPr>
          <w:noProof/>
        </w:rPr>
      </w:pPr>
      <w:r>
        <w:rPr>
          <w:noProof/>
        </w:rPr>
        <w: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161 du 29.5.2014, p. 3.</w:t>
      </w:r>
    </w:p>
  </w:footnote>
  <w:footnote w:id="2">
    <w:p>
      <w:pPr>
        <w:pStyle w:val="FootnoteText"/>
      </w:pPr>
      <w:r>
        <w:rPr>
          <w:rStyle w:val="FootnoteReference"/>
        </w:rPr>
        <w:footnoteRef/>
      </w:r>
      <w:r>
        <w:tab/>
        <w:t>Par «adoption», on entend la date de mise en œuvre fixée dans l’acte juridique correspondant publié au «Journal officiel de l’Ukraine» ou au «Courrier du gouvernement» ou annoncée sur le site internet officiel du Service national de l’Ukraine pour la sécurité alimentaire et la protection des consommateurs, avec effet immédiat ou avec une période transitoire indiquée.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AB4E0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118315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E8668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42ACC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7949D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01AA16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D300FE0"/>
    <w:lvl w:ilvl="0">
      <w:start w:val="1"/>
      <w:numFmt w:val="decimal"/>
      <w:pStyle w:val="ListNumber"/>
      <w:lvlText w:val="%1."/>
      <w:lvlJc w:val="left"/>
      <w:pPr>
        <w:tabs>
          <w:tab w:val="num" w:pos="360"/>
        </w:tabs>
        <w:ind w:left="360" w:hanging="360"/>
      </w:pPr>
    </w:lvl>
  </w:abstractNum>
  <w:abstractNum w:abstractNumId="7">
    <w:nsid w:val="FFFFFF89"/>
    <w:multiLevelType w:val="singleLevel"/>
    <w:tmpl w:val="44921DC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1"/>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5 15:00:1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403CE819-882B-4065-AB73-E3872DA82131"/>
    <w:docVar w:name="LW_COVERPAGE_TYPE" w:val="1"/>
    <w:docVar w:name="LW_CROSSREFERENCE" w:val="&lt;UNUSED&gt;"/>
    <w:docVar w:name="LW_DocType" w:val="ANNEX"/>
    <w:docVar w:name="LW_EMISSION" w:val="22.7.2019"/>
    <w:docVar w:name="LW_EMISSION_ISODATE" w:val="2019-07-22"/>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sous-comité de gestion des mesures sanitaires et phytosanitaires institué par l\u8217?accord d\u8217?association entre l\u8217?Union européenne et la Communauté européenne de l\u8217?énergie atomique et leurs États membres, d\u8217?une part, et l\u8217?Ukraine, d\u8217?autre part"/>
    <w:docVar w:name="LW_OBJETACTEPRINCIPAL.CP" w:val="relative à la position à prendre, au nom de l\u8217?Union européenne, au sein du sous-comité de gestion des mesures sanitaires et phytosanitaires institué par l\u8217?accord d\u8217?association entre l\u8217?Union européenne et la Communauté européenne de l\u8217?énergie atomique et leurs États membres, d\u8217?une part, et l\u8217?Ukraine, d\u8217?autre part"/>
    <w:docVar w:name="LW_PART_NBR" w:val="1"/>
    <w:docVar w:name="LW_PART_NBR_TOTAL" w:val="1"/>
    <w:docVar w:name="LW_REF.INST.NEW" w:val="COM"/>
    <w:docVar w:name="LW_REF.INST.NEW_ADOPTED" w:val="final"/>
    <w:docVar w:name="LW_REF.INST.NEW_TEXT" w:val="(2019) 3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numbering" w:customStyle="1" w:styleId="NoList1">
    <w:name w:val="No List1"/>
    <w:next w:val="NoList"/>
    <w:uiPriority w:val="99"/>
    <w:semiHidden/>
    <w:unhideWhenUsed/>
  </w:style>
  <w:style w:type="paragraph" w:customStyle="1" w:styleId="HeaderCouncilLarge">
    <w:name w:val="Header Council Large"/>
    <w:basedOn w:val="Normal"/>
    <w:link w:val="HeaderCouncilLargeChar"/>
    <w:pPr>
      <w:spacing w:before="0" w:after="440" w:line="360" w:lineRule="auto"/>
      <w:jc w:val="left"/>
    </w:pPr>
    <w:rPr>
      <w:sz w:val="2"/>
    </w:rPr>
  </w:style>
  <w:style w:type="character" w:customStyle="1" w:styleId="LignefinalChar">
    <w:name w:val="Ligne final Char"/>
    <w:basedOn w:val="DefaultParagraphFont"/>
    <w:rPr>
      <w:rFonts w:ascii="Times New Roman" w:hAnsi="Times New Roman" w:cs="Times New Roman"/>
      <w:b/>
      <w:sz w:val="24"/>
      <w:lang w:val="fr-FR"/>
    </w:rPr>
  </w:style>
  <w:style w:type="character" w:customStyle="1" w:styleId="HeaderCouncilLargeChar">
    <w:name w:val="Header Council Large Char"/>
    <w:basedOn w:val="LignefinalChar"/>
    <w:link w:val="HeaderCouncilLarge"/>
    <w:rPr>
      <w:rFonts w:ascii="Times New Roman" w:hAnsi="Times New Roman" w:cs="Times New Roman"/>
      <w:b w:val="0"/>
      <w:sz w:val="2"/>
      <w:lang w:val="fr-FR"/>
    </w:rPr>
  </w:style>
  <w:style w:type="paragraph" w:customStyle="1" w:styleId="FooterText">
    <w:name w:val="Footer Text"/>
    <w:basedOn w:val="Normal"/>
    <w:pPr>
      <w:spacing w:before="0" w:after="0"/>
      <w:jc w:val="left"/>
    </w:pPr>
    <w:rPr>
      <w:rFonts w:eastAsia="Times New Roman"/>
      <w:szCs w:val="24"/>
    </w:rPr>
  </w:style>
  <w:style w:type="paragraph" w:styleId="ListNumber3">
    <w:name w:val="List Number 3"/>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TitreobjetPagedecouverture">
    <w:name w:val="Titre objet (Page de couverture)"/>
    <w:basedOn w:val="Titreobjet"/>
    <w:next w:val="Sous-titreobjetPagedecouverture"/>
    <w:pPr>
      <w:spacing w:line="240" w:lineRule="auto"/>
    </w:pPr>
  </w:style>
  <w:style w:type="paragraph" w:customStyle="1" w:styleId="Sous-titreobjetPagedecouverture">
    <w:name w:val="Sous-titre objet (Page de couverture)"/>
    <w:basedOn w:val="Sous-titreobjet"/>
    <w:pPr>
      <w:spacing w:line="240" w:lineRule="auto"/>
    </w:pPr>
  </w:style>
  <w:style w:type="character" w:customStyle="1" w:styleId="TechnicalBlockChar">
    <w:name w:val="Technical Block Char"/>
    <w:basedOn w:val="DefaultParagraphFont"/>
    <w:rPr>
      <w:rFonts w:ascii="Times New Roman" w:hAnsi="Times New Roman" w:cs="Times New Roman"/>
      <w:sz w:val="24"/>
      <w:lang w:val="fr-FR"/>
    </w:rPr>
  </w:style>
  <w:style w:type="paragraph" w:customStyle="1" w:styleId="pj">
    <w:name w:val="p.j."/>
    <w:basedOn w:val="TechnicalBlock"/>
    <w:link w:val="pjChar"/>
    <w:pPr>
      <w:spacing w:before="1200" w:after="12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character" w:customStyle="1" w:styleId="HeaderCouncilChar">
    <w:name w:val="Header Council Char"/>
    <w:basedOn w:val="pjChar"/>
    <w:rPr>
      <w:rFonts w:ascii="Times New Roman" w:hAnsi="Times New Roman" w:cs="Times New Roman"/>
      <w:sz w:val="2"/>
      <w:lang w:val="fr-FR"/>
    </w:rPr>
  </w:style>
  <w:style w:type="character" w:customStyle="1" w:styleId="FooterCouncilChar">
    <w:name w:val="Footer Council Char"/>
    <w:basedOn w:val="pjChar"/>
    <w:rPr>
      <w:rFonts w:ascii="Times New Roman" w:hAnsi="Times New Roman" w:cs="Times New Roman"/>
      <w:sz w:val="2"/>
      <w:lang w:val="fr-FR"/>
    </w:rPr>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character" w:customStyle="1" w:styleId="super">
    <w:name w:val="super"/>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Annexetitreacte">
    <w:name w:val="Annexe titre (acte)"/>
    <w:basedOn w:val="Normal"/>
    <w:next w:val="Normal"/>
    <w:pPr>
      <w:spacing w:line="360" w:lineRule="auto"/>
      <w:jc w:val="center"/>
    </w:pPr>
    <w:rPr>
      <w:b/>
      <w:u w:val="single"/>
    </w:rPr>
  </w:style>
  <w:style w:type="paragraph" w:customStyle="1" w:styleId="Annexetitreglobale">
    <w:name w:val="Annexe titre (globale)"/>
    <w:basedOn w:val="Normal"/>
    <w:next w:val="Normal"/>
    <w:pPr>
      <w:spacing w:line="360" w:lineRule="auto"/>
      <w:jc w:val="center"/>
    </w:pPr>
    <w:rPr>
      <w:b/>
      <w:u w:val="single"/>
    </w:rPr>
  </w:style>
  <w:style w:type="paragraph" w:customStyle="1" w:styleId="Sous-titreobjet">
    <w:name w:val="Sous-titre objet"/>
    <w:basedOn w:val="Normal"/>
    <w:pPr>
      <w:spacing w:before="0" w:after="0" w:line="360" w:lineRule="auto"/>
      <w:jc w:val="center"/>
    </w:pPr>
    <w:rPr>
      <w:b/>
    </w:rPr>
  </w:style>
  <w:style w:type="paragraph" w:customStyle="1" w:styleId="Titreobjet">
    <w:name w:val="Titre objet"/>
    <w:basedOn w:val="Normal"/>
    <w:next w:val="Sous-titreobjet"/>
    <w:pPr>
      <w:spacing w:before="360" w:after="360" w:line="360" w:lineRule="auto"/>
      <w:jc w:val="center"/>
    </w:pPr>
    <w:rPr>
      <w:b/>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Rfrenceinterinstitutionelle">
    <w:name w:val="Référence interinstitutionelle"/>
    <w:basedOn w:val="Normal"/>
    <w:next w:val="Statut"/>
    <w:pPr>
      <w:spacing w:before="0" w:after="0" w:line="360" w:lineRule="auto"/>
      <w:ind w:left="5103"/>
      <w:jc w:val="left"/>
    </w:p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numbering" w:customStyle="1" w:styleId="NoList1">
    <w:name w:val="No List1"/>
    <w:next w:val="NoList"/>
    <w:uiPriority w:val="99"/>
    <w:semiHidden/>
    <w:unhideWhenUsed/>
  </w:style>
  <w:style w:type="paragraph" w:customStyle="1" w:styleId="HeaderCouncilLarge">
    <w:name w:val="Header Council Large"/>
    <w:basedOn w:val="Normal"/>
    <w:link w:val="HeaderCouncilLargeChar"/>
    <w:pPr>
      <w:spacing w:before="0" w:after="440" w:line="360" w:lineRule="auto"/>
      <w:jc w:val="left"/>
    </w:pPr>
    <w:rPr>
      <w:sz w:val="2"/>
    </w:rPr>
  </w:style>
  <w:style w:type="character" w:customStyle="1" w:styleId="LignefinalChar">
    <w:name w:val="Ligne final Char"/>
    <w:basedOn w:val="DefaultParagraphFont"/>
    <w:rPr>
      <w:rFonts w:ascii="Times New Roman" w:hAnsi="Times New Roman" w:cs="Times New Roman"/>
      <w:b/>
      <w:sz w:val="24"/>
      <w:lang w:val="fr-FR"/>
    </w:rPr>
  </w:style>
  <w:style w:type="character" w:customStyle="1" w:styleId="HeaderCouncilLargeChar">
    <w:name w:val="Header Council Large Char"/>
    <w:basedOn w:val="LignefinalChar"/>
    <w:link w:val="HeaderCouncilLarge"/>
    <w:rPr>
      <w:rFonts w:ascii="Times New Roman" w:hAnsi="Times New Roman" w:cs="Times New Roman"/>
      <w:b w:val="0"/>
      <w:sz w:val="2"/>
      <w:lang w:val="fr-FR"/>
    </w:rPr>
  </w:style>
  <w:style w:type="paragraph" w:customStyle="1" w:styleId="FooterText">
    <w:name w:val="Footer Text"/>
    <w:basedOn w:val="Normal"/>
    <w:pPr>
      <w:spacing w:before="0" w:after="0"/>
      <w:jc w:val="left"/>
    </w:pPr>
    <w:rPr>
      <w:rFonts w:eastAsia="Times New Roman"/>
      <w:szCs w:val="24"/>
    </w:rPr>
  </w:style>
  <w:style w:type="paragraph" w:styleId="ListNumber3">
    <w:name w:val="List Number 3"/>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TitreobjetPagedecouverture">
    <w:name w:val="Titre objet (Page de couverture)"/>
    <w:basedOn w:val="Titreobjet"/>
    <w:next w:val="Sous-titreobjetPagedecouverture"/>
    <w:pPr>
      <w:spacing w:line="240" w:lineRule="auto"/>
    </w:pPr>
  </w:style>
  <w:style w:type="paragraph" w:customStyle="1" w:styleId="Sous-titreobjetPagedecouverture">
    <w:name w:val="Sous-titre objet (Page de couverture)"/>
    <w:basedOn w:val="Sous-titreobjet"/>
    <w:pPr>
      <w:spacing w:line="240" w:lineRule="auto"/>
    </w:pPr>
  </w:style>
  <w:style w:type="character" w:customStyle="1" w:styleId="TechnicalBlockChar">
    <w:name w:val="Technical Block Char"/>
    <w:basedOn w:val="DefaultParagraphFont"/>
    <w:rPr>
      <w:rFonts w:ascii="Times New Roman" w:hAnsi="Times New Roman" w:cs="Times New Roman"/>
      <w:sz w:val="24"/>
      <w:lang w:val="fr-FR"/>
    </w:rPr>
  </w:style>
  <w:style w:type="paragraph" w:customStyle="1" w:styleId="pj">
    <w:name w:val="p.j."/>
    <w:basedOn w:val="TechnicalBlock"/>
    <w:link w:val="pjChar"/>
    <w:pPr>
      <w:spacing w:before="1200" w:after="12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character" w:customStyle="1" w:styleId="HeaderCouncilChar">
    <w:name w:val="Header Council Char"/>
    <w:basedOn w:val="pjChar"/>
    <w:rPr>
      <w:rFonts w:ascii="Times New Roman" w:hAnsi="Times New Roman" w:cs="Times New Roman"/>
      <w:sz w:val="2"/>
      <w:lang w:val="fr-FR"/>
    </w:rPr>
  </w:style>
  <w:style w:type="character" w:customStyle="1" w:styleId="FooterCouncilChar">
    <w:name w:val="Footer Council Char"/>
    <w:basedOn w:val="pjChar"/>
    <w:rPr>
      <w:rFonts w:ascii="Times New Roman" w:hAnsi="Times New Roman" w:cs="Times New Roman"/>
      <w:sz w:val="2"/>
      <w:lang w:val="fr-FR"/>
    </w:rPr>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character" w:customStyle="1" w:styleId="super">
    <w:name w:val="super"/>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Annexetitreacte">
    <w:name w:val="Annexe titre (acte)"/>
    <w:basedOn w:val="Normal"/>
    <w:next w:val="Normal"/>
    <w:pPr>
      <w:spacing w:line="360" w:lineRule="auto"/>
      <w:jc w:val="center"/>
    </w:pPr>
    <w:rPr>
      <w:b/>
      <w:u w:val="single"/>
    </w:rPr>
  </w:style>
  <w:style w:type="paragraph" w:customStyle="1" w:styleId="Annexetitreglobale">
    <w:name w:val="Annexe titre (globale)"/>
    <w:basedOn w:val="Normal"/>
    <w:next w:val="Normal"/>
    <w:pPr>
      <w:spacing w:line="360" w:lineRule="auto"/>
      <w:jc w:val="center"/>
    </w:pPr>
    <w:rPr>
      <w:b/>
      <w:u w:val="single"/>
    </w:rPr>
  </w:style>
  <w:style w:type="paragraph" w:customStyle="1" w:styleId="Sous-titreobjet">
    <w:name w:val="Sous-titre objet"/>
    <w:basedOn w:val="Normal"/>
    <w:pPr>
      <w:spacing w:before="0" w:after="0" w:line="360" w:lineRule="auto"/>
      <w:jc w:val="center"/>
    </w:pPr>
    <w:rPr>
      <w:b/>
    </w:rPr>
  </w:style>
  <w:style w:type="paragraph" w:customStyle="1" w:styleId="Titreobjet">
    <w:name w:val="Titre objet"/>
    <w:basedOn w:val="Normal"/>
    <w:next w:val="Sous-titreobjet"/>
    <w:pPr>
      <w:spacing w:before="360" w:after="360" w:line="360" w:lineRule="auto"/>
      <w:jc w:val="center"/>
    </w:pPr>
    <w:rPr>
      <w:b/>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Rfrenceinterinstitutionelle">
    <w:name w:val="Référence interinstitutionelle"/>
    <w:basedOn w:val="Normal"/>
    <w:next w:val="Statut"/>
    <w:pPr>
      <w:spacing w:before="0" w:after="0" w:line="360" w:lineRule="auto"/>
      <w:ind w:left="5103"/>
      <w:jc w:val="left"/>
    </w:p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39</Pages>
  <Words>9837</Words>
  <Characters>56369</Characters>
  <Application>Microsoft Office Word</Application>
  <DocSecurity>0</DocSecurity>
  <Lines>1374</Lines>
  <Paragraphs>624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WES PDFC Administrator</cp:lastModifiedBy>
  <cp:revision>8</cp:revision>
  <cp:lastPrinted>2019-05-16T15:39:00Z</cp:lastPrinted>
  <dcterms:created xsi:type="dcterms:W3CDTF">2019-06-24T13:45:00Z</dcterms:created>
  <dcterms:modified xsi:type="dcterms:W3CDTF">2019-07-15T13:00:00Z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