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2B9125A-2189-4CAE-8341-B134E5439061" style="width:450.75pt;height:406.5pt">
            <v:imagedata r:id="rId8" o:title=""/>
          </v:shape>
        </w:pict>
      </w:r>
    </w:p>
    <w:p>
      <w:pPr>
        <w:rPr>
          <w:noProof/>
          <w:szCs w:val="24"/>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rPr>
        <w:lastRenderedPageBreak/>
        <w:t>ОБЯСНИТЕЛЕН МЕМОРАНДУМ</w:t>
      </w:r>
    </w:p>
    <w:p>
      <w:pPr>
        <w:pStyle w:val="ManualHeading1"/>
        <w:rPr>
          <w:noProof/>
          <w:szCs w:val="24"/>
        </w:rPr>
      </w:pPr>
      <w:r>
        <w:t>1.</w:t>
      </w:r>
      <w:r>
        <w:tab/>
      </w:r>
      <w:r>
        <w:rPr>
          <w:noProof/>
        </w:rPr>
        <w:t>Предмет на предложението</w:t>
      </w:r>
    </w:p>
    <w:p>
      <w:pPr>
        <w:rPr>
          <w:noProof/>
          <w:szCs w:val="24"/>
        </w:rPr>
      </w:pPr>
      <w:r>
        <w:rPr>
          <w:noProof/>
        </w:rPr>
        <w:t>Настоящото предложение се отнася до решението за установяване на позицията, която трябва да се заеме от името на Европейския съюз („Съюза“) в рамките на Комитета по СИП, създаден съгласно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 (наричано по-нататък „Споразумението“)</w:t>
      </w:r>
      <w:r>
        <w:rPr>
          <w:rStyle w:val="FootnoteReference"/>
          <w:noProof/>
        </w:rPr>
        <w:footnoteReference w:id="1"/>
      </w:r>
      <w:r>
        <w:rPr>
          <w:noProof/>
        </w:rPr>
        <w:t>, във връзка с предвиденото приемане на процедурния правилник за медиацията, процедурния правилник за арбитража и етичния кодекс на арбитрите.</w:t>
      </w:r>
    </w:p>
    <w:p>
      <w:pPr>
        <w:pStyle w:val="ManualHeading1"/>
        <w:rPr>
          <w:noProof/>
          <w:szCs w:val="24"/>
        </w:rPr>
      </w:pPr>
      <w:r>
        <w:t>2.</w:t>
      </w:r>
      <w:r>
        <w:tab/>
      </w:r>
      <w:r>
        <w:rPr>
          <w:noProof/>
        </w:rPr>
        <w:t>Контекст на предложението</w:t>
      </w:r>
    </w:p>
    <w:p>
      <w:pPr>
        <w:pStyle w:val="ManualHeading2"/>
        <w:rPr>
          <w:noProof/>
          <w:szCs w:val="24"/>
        </w:rPr>
      </w:pPr>
      <w:r>
        <w:t>2.1.</w:t>
      </w:r>
      <w:r>
        <w:tab/>
      </w:r>
      <w:r>
        <w:rPr>
          <w:noProof/>
        </w:rPr>
        <w:t>Временното споразумение за икономическо партньорство между ЕС и Централна Африка</w:t>
      </w:r>
    </w:p>
    <w:p>
      <w:pPr>
        <w:pBdr>
          <w:top w:val="nil"/>
          <w:left w:val="nil"/>
          <w:bottom w:val="nil"/>
          <w:right w:val="nil"/>
          <w:between w:val="nil"/>
          <w:bar w:val="nil"/>
        </w:pBdr>
        <w:spacing w:after="100" w:afterAutospacing="1"/>
        <w:rPr>
          <w:noProof/>
          <w:szCs w:val="24"/>
        </w:rPr>
      </w:pPr>
      <w:r>
        <w:rPr>
          <w:noProof/>
        </w:rPr>
        <w:t>Със Споразумението се цели да се установи първоначална рамка за всеобхватно регионално споразумение за икономическо партньорство в съответствие със Споразумението от Котону. Понастоящем страната по споразумението Централна Африка се състои от Република Камерун. Споразумението се прилага временно от 4 август 2014 г.</w:t>
      </w:r>
    </w:p>
    <w:p>
      <w:pPr>
        <w:pStyle w:val="ManualHeading2"/>
        <w:rPr>
          <w:noProof/>
          <w:szCs w:val="24"/>
        </w:rPr>
      </w:pPr>
      <w:r>
        <w:t>2.2.</w:t>
      </w:r>
      <w:r>
        <w:tab/>
      </w:r>
      <w:r>
        <w:rPr>
          <w:noProof/>
        </w:rPr>
        <w:t>Комитет по СИП</w:t>
      </w:r>
    </w:p>
    <w:p>
      <w:pPr>
        <w:pBdr>
          <w:top w:val="nil"/>
          <w:left w:val="nil"/>
          <w:bottom w:val="nil"/>
          <w:right w:val="nil"/>
          <w:between w:val="nil"/>
          <w:bar w:val="nil"/>
        </w:pBdr>
        <w:spacing w:after="100" w:afterAutospacing="1"/>
        <w:rPr>
          <w:noProof/>
          <w:szCs w:val="24"/>
        </w:rPr>
      </w:pPr>
      <w:r>
        <w:rPr>
          <w:noProof/>
        </w:rPr>
        <w:t>Комитетът по СИП е съвместният институционален орган към Споразумението. В член 92 от Споразумението се предвижда, че Комитетът по СИП отговаря за управлението на всички области, попадащи в приложното поле на Споразумението, и за осъществяването на всички посочени в него задачи. Комитетът по СИП взема своите решения с консенсус. Функционирането на Комитета по СИП е описано в неговия процедурен правилник</w:t>
      </w:r>
      <w:r>
        <w:rPr>
          <w:rStyle w:val="FootnoteReference"/>
          <w:noProof/>
        </w:rPr>
        <w:footnoteReference w:id="2"/>
      </w:r>
      <w:r>
        <w:rPr>
          <w:noProof/>
        </w:rPr>
        <w:t xml:space="preserve">. </w:t>
      </w:r>
    </w:p>
    <w:p>
      <w:pPr>
        <w:pStyle w:val="ManualHeading2"/>
        <w:rPr>
          <w:noProof/>
          <w:szCs w:val="24"/>
        </w:rPr>
      </w:pPr>
      <w:r>
        <w:t>2.3.</w:t>
      </w:r>
      <w:r>
        <w:tab/>
      </w:r>
      <w:r>
        <w:rPr>
          <w:noProof/>
        </w:rPr>
        <w:t>Предвиденият акт на Комитета по СИП</w:t>
      </w:r>
    </w:p>
    <w:p>
      <w:pPr>
        <w:pBdr>
          <w:top w:val="nil"/>
          <w:left w:val="nil"/>
          <w:bottom w:val="nil"/>
          <w:right w:val="nil"/>
          <w:between w:val="nil"/>
          <w:bar w:val="nil"/>
        </w:pBdr>
        <w:spacing w:after="100" w:afterAutospacing="1"/>
        <w:rPr>
          <w:noProof/>
          <w:szCs w:val="24"/>
        </w:rPr>
      </w:pPr>
      <w:r>
        <w:rPr>
          <w:noProof/>
        </w:rPr>
        <w:t xml:space="preserve">По време на петото си заседание, насрочено за [дата], Комитетът по СИП трябва да приеме решение относно процедурите за уреждане на спорове („предвидения акт“). </w:t>
      </w:r>
    </w:p>
    <w:p>
      <w:pPr>
        <w:pBdr>
          <w:top w:val="nil"/>
          <w:left w:val="nil"/>
          <w:bottom w:val="nil"/>
          <w:right w:val="nil"/>
          <w:between w:val="nil"/>
          <w:bar w:val="nil"/>
        </w:pBdr>
        <w:spacing w:after="100" w:afterAutospacing="1"/>
        <w:rPr>
          <w:noProof/>
          <w:szCs w:val="24"/>
        </w:rPr>
      </w:pPr>
      <w:r>
        <w:rPr>
          <w:noProof/>
        </w:rPr>
        <w:t>В член 80, параграф 1 от Споразумението се предвижда, че „[п]роцедурите по уреждане на спорове, предвидени в глава 3, се уреждат от процедурния правилник и етичния кодекс, които ще бъдат приети от Комитета по СИП.“</w:t>
      </w:r>
    </w:p>
    <w:p>
      <w:pPr>
        <w:pBdr>
          <w:top w:val="nil"/>
          <w:left w:val="nil"/>
          <w:bottom w:val="nil"/>
          <w:right w:val="nil"/>
          <w:between w:val="nil"/>
          <w:bar w:val="nil"/>
        </w:pBdr>
        <w:spacing w:after="100" w:afterAutospacing="1"/>
        <w:rPr>
          <w:noProof/>
          <w:szCs w:val="24"/>
        </w:rPr>
      </w:pPr>
      <w:r>
        <w:rPr>
          <w:noProof/>
        </w:rPr>
        <w:t>В член 88 от Споразумението се предвижда, че „Комитетът по СИП може да вземе решение за изменение на настоящия дял и неговите приложения.“</w:t>
      </w:r>
    </w:p>
    <w:p>
      <w:pPr>
        <w:pBdr>
          <w:top w:val="nil"/>
          <w:left w:val="nil"/>
          <w:bottom w:val="nil"/>
          <w:right w:val="nil"/>
          <w:between w:val="nil"/>
          <w:bar w:val="nil"/>
        </w:pBdr>
        <w:spacing w:after="100" w:afterAutospacing="1"/>
        <w:rPr>
          <w:noProof/>
          <w:szCs w:val="24"/>
        </w:rPr>
      </w:pPr>
      <w:r>
        <w:rPr>
          <w:noProof/>
        </w:rPr>
        <w:t>Целта на предвидения акт е да се установят правилата и процедурите за изпълнение на действията, предвидени в дял VI от Споразумението, с оглед предотвратяване и разрешаване на конфликтите, които могат да възникнат между страните. Приемането на тези правила е елемент от съществено значение за завършване на оперативната рамка по разпоредбите на Споразумението, отнасящи се до предотвратяването и уреждането на спорове.</w:t>
      </w:r>
    </w:p>
    <w:p>
      <w:pPr>
        <w:pStyle w:val="ManualHeading1"/>
        <w:rPr>
          <w:noProof/>
          <w:szCs w:val="24"/>
        </w:rPr>
      </w:pPr>
      <w:r>
        <w:lastRenderedPageBreak/>
        <w:t>3.</w:t>
      </w:r>
      <w:r>
        <w:tab/>
      </w:r>
      <w:r>
        <w:rPr>
          <w:noProof/>
        </w:rPr>
        <w:t>Позиция, която трябва да се заеме от името на Съюза</w:t>
      </w:r>
    </w:p>
    <w:p>
      <w:pPr>
        <w:pBdr>
          <w:top w:val="nil"/>
          <w:left w:val="nil"/>
          <w:bottom w:val="nil"/>
          <w:right w:val="nil"/>
          <w:between w:val="nil"/>
          <w:bar w:val="nil"/>
        </w:pBdr>
        <w:spacing w:after="100" w:afterAutospacing="1"/>
        <w:rPr>
          <w:noProof/>
          <w:szCs w:val="24"/>
        </w:rPr>
      </w:pPr>
      <w:r>
        <w:rPr>
          <w:noProof/>
        </w:rPr>
        <w:t>С настоящото предложение за решение на Съвета се определя позицията, която трябва да се заеме от името на Съюза в рамките на Комитета по СИП, създаден съгласно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 във връзка с установяването на процедурния правилник за медиацията, процедурния правилник за арбитража и етичния кодекс на арбитрите.</w:t>
      </w:r>
    </w:p>
    <w:p>
      <w:pPr>
        <w:pBdr>
          <w:top w:val="nil"/>
          <w:left w:val="nil"/>
          <w:bottom w:val="nil"/>
          <w:right w:val="nil"/>
          <w:between w:val="nil"/>
          <w:bar w:val="nil"/>
        </w:pBdr>
        <w:spacing w:after="100" w:afterAutospacing="1"/>
        <w:rPr>
          <w:noProof/>
          <w:szCs w:val="24"/>
        </w:rPr>
      </w:pPr>
      <w:r>
        <w:rPr>
          <w:noProof/>
        </w:rPr>
        <w:t>Страните по споразумението постигнаха съгласие по настоящия проект на решение, парафираха го по време на четвъртото заседание на Комитета по СИП, проведено на 18 и</w:t>
      </w:r>
      <w:r>
        <w:rPr>
          <w:noProof/>
          <w:lang w:val="fr-CA"/>
        </w:rPr>
        <w:t> </w:t>
      </w:r>
      <w:r>
        <w:rPr>
          <w:noProof/>
        </w:rPr>
        <w:t>19 февруари 2019 г., и при спазване на процедурите за вземане на решения на Европейския съюз се очаква да го приемат по време на следващото заседание на Комитета по СИП, което се предвижда да се проведе в края на 2019 г.</w:t>
      </w:r>
    </w:p>
    <w:p>
      <w:pPr>
        <w:pBdr>
          <w:top w:val="nil"/>
          <w:left w:val="nil"/>
          <w:bottom w:val="nil"/>
          <w:right w:val="nil"/>
          <w:between w:val="nil"/>
          <w:bar w:val="nil"/>
        </w:pBdr>
        <w:spacing w:after="100" w:afterAutospacing="1"/>
        <w:rPr>
          <w:noProof/>
          <w:szCs w:val="24"/>
        </w:rPr>
      </w:pPr>
      <w:r>
        <w:rPr>
          <w:noProof/>
        </w:rPr>
        <w:t>Настоящото решение е от съществено значение за привеждане в действие на разпоредбите на дял VІ от Споразумението, отнасящ се за предотвратяването и уреждането на спорове, а оттам и за гарантиране на безпрепятственото прилагане на Споразумението.</w:t>
      </w:r>
    </w:p>
    <w:p>
      <w:pPr>
        <w:pStyle w:val="ManualHeading1"/>
        <w:rPr>
          <w:noProof/>
          <w:szCs w:val="24"/>
        </w:rPr>
      </w:pPr>
      <w:r>
        <w:t>4.</w:t>
      </w:r>
      <w:r>
        <w:tab/>
      </w:r>
      <w:r>
        <w:rPr>
          <w:noProof/>
        </w:rPr>
        <w:t>Правно основание</w:t>
      </w:r>
      <w:bookmarkStart w:id="1" w:name="bookmark7"/>
    </w:p>
    <w:p>
      <w:pPr>
        <w:pStyle w:val="ManualHeading2"/>
        <w:rPr>
          <w:noProof/>
          <w:szCs w:val="24"/>
        </w:rPr>
      </w:pPr>
      <w:r>
        <w:t>4.1.</w:t>
      </w:r>
      <w:r>
        <w:tab/>
      </w:r>
      <w:r>
        <w:rPr>
          <w:noProof/>
        </w:rPr>
        <w:t>Процесуалноправно основание</w:t>
      </w:r>
      <w:bookmarkEnd w:id="1"/>
    </w:p>
    <w:p>
      <w:pPr>
        <w:pStyle w:val="ManualHeading3"/>
        <w:rPr>
          <w:noProof/>
        </w:rPr>
      </w:pPr>
      <w:r>
        <w:rPr>
          <w:noProof/>
        </w:rPr>
        <w:t>4.1.1.</w:t>
      </w:r>
      <w:r>
        <w:rPr>
          <w:noProof/>
        </w:rPr>
        <w:tab/>
        <w:t>Принципи</w:t>
      </w:r>
    </w:p>
    <w:p>
      <w:pPr>
        <w:pBdr>
          <w:top w:val="nil"/>
          <w:left w:val="nil"/>
          <w:bottom w:val="nil"/>
          <w:right w:val="nil"/>
          <w:between w:val="nil"/>
          <w:bar w:val="nil"/>
        </w:pBdr>
        <w:spacing w:after="100" w:afterAutospacing="1"/>
        <w:rPr>
          <w:noProof/>
          <w:szCs w:val="24"/>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pBdr>
          <w:top w:val="nil"/>
          <w:left w:val="nil"/>
          <w:bottom w:val="nil"/>
          <w:right w:val="nil"/>
          <w:between w:val="nil"/>
          <w:bar w:val="nil"/>
        </w:pBdr>
        <w:spacing w:after="100" w:afterAutospacing="1"/>
        <w:rPr>
          <w:noProof/>
          <w:szCs w:val="24"/>
        </w:rPr>
      </w:pPr>
      <w:r>
        <w:rPr>
          <w:noProof/>
        </w:rPr>
        <w:t>Понятието „актове с правно действие“ включва актовете с правно действие по силата на нормите на международното право, които уреждат съответния орган. Това понятие включва и актове,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3"/>
      </w:r>
      <w:r>
        <w:rPr>
          <w:noProof/>
        </w:rPr>
        <w:t>.</w:t>
      </w:r>
    </w:p>
    <w:p>
      <w:pPr>
        <w:pStyle w:val="ManualHeading3"/>
        <w:rPr>
          <w:noProof/>
          <w:szCs w:val="24"/>
        </w:rPr>
      </w:pPr>
      <w:r>
        <w:rPr>
          <w:noProof/>
        </w:rPr>
        <w:t>4.</w:t>
      </w:r>
      <w:r>
        <w:rPr>
          <w:noProof/>
          <w:lang w:val="ru-RU"/>
        </w:rPr>
        <w:t>1</w:t>
      </w:r>
      <w:r>
        <w:rPr>
          <w:noProof/>
        </w:rPr>
        <w:t>.</w:t>
      </w:r>
      <w:r>
        <w:rPr>
          <w:noProof/>
          <w:lang w:val="ru-RU"/>
        </w:rPr>
        <w:t>2</w:t>
      </w:r>
      <w:r>
        <w:rPr>
          <w:noProof/>
        </w:rPr>
        <w:t>.</w:t>
      </w:r>
      <w:r>
        <w:rPr>
          <w:noProof/>
        </w:rPr>
        <w:tab/>
        <w:t>Приложение в конкретния случай</w:t>
      </w:r>
    </w:p>
    <w:p>
      <w:pPr>
        <w:pBdr>
          <w:top w:val="nil"/>
          <w:left w:val="nil"/>
          <w:bottom w:val="nil"/>
          <w:right w:val="nil"/>
          <w:between w:val="nil"/>
          <w:bar w:val="nil"/>
        </w:pBdr>
        <w:spacing w:after="100" w:afterAutospacing="1"/>
        <w:rPr>
          <w:noProof/>
          <w:szCs w:val="24"/>
        </w:rPr>
      </w:pPr>
      <w:r>
        <w:rPr>
          <w:noProof/>
        </w:rPr>
        <w:t>Комитетът по СИП е орган, създаден със споразумение, а именно с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w:t>
      </w:r>
    </w:p>
    <w:p>
      <w:pPr>
        <w:pBdr>
          <w:top w:val="nil"/>
          <w:left w:val="nil"/>
          <w:bottom w:val="nil"/>
          <w:right w:val="nil"/>
          <w:between w:val="nil"/>
          <w:bar w:val="nil"/>
        </w:pBdr>
        <w:spacing w:after="100" w:afterAutospacing="1"/>
        <w:rPr>
          <w:noProof/>
          <w:szCs w:val="24"/>
        </w:rPr>
      </w:pPr>
      <w:r>
        <w:rPr>
          <w:noProof/>
        </w:rPr>
        <w:t>Актът, който Комитетът по СИП има за задача да приеме, представлява акт с правно действие. Предвиденият акт ще бъде обвързващ по силата на международното право в съответствие с членове 80 и 88 от Споразумението.</w:t>
      </w:r>
    </w:p>
    <w:p>
      <w:pPr>
        <w:pBdr>
          <w:top w:val="nil"/>
          <w:left w:val="nil"/>
          <w:bottom w:val="nil"/>
          <w:right w:val="nil"/>
          <w:between w:val="nil"/>
          <w:bar w:val="nil"/>
        </w:pBdr>
        <w:spacing w:after="100" w:afterAutospacing="1"/>
        <w:rPr>
          <w:noProof/>
          <w:szCs w:val="24"/>
        </w:rPr>
      </w:pPr>
      <w:r>
        <w:rPr>
          <w:noProof/>
        </w:rPr>
        <w:lastRenderedPageBreak/>
        <w:t>С предвидения акт не се допълва, нито се изменя институционалната рамка на Споразумението.</w:t>
      </w:r>
    </w:p>
    <w:p>
      <w:pPr>
        <w:pBdr>
          <w:top w:val="nil"/>
          <w:left w:val="nil"/>
          <w:bottom w:val="nil"/>
          <w:right w:val="nil"/>
          <w:between w:val="nil"/>
          <w:bar w:val="nil"/>
        </w:pBdr>
        <w:spacing w:after="100" w:afterAutospacing="1"/>
        <w:rPr>
          <w:noProof/>
          <w:szCs w:val="24"/>
        </w:rPr>
      </w:pPr>
      <w:r>
        <w:rPr>
          <w:noProof/>
        </w:rPr>
        <w:t>Поради това процесуалноправното основание за предложеното решение е член 218, параграф 9 от ДФЕС.</w:t>
      </w:r>
    </w:p>
    <w:p>
      <w:pPr>
        <w:pStyle w:val="ManualHeading2"/>
        <w:rPr>
          <w:noProof/>
          <w:szCs w:val="24"/>
        </w:rPr>
      </w:pPr>
      <w:bookmarkStart w:id="2" w:name="bookmark8"/>
      <w:r>
        <w:t>4.2.</w:t>
      </w:r>
      <w:r>
        <w:tab/>
      </w:r>
      <w:r>
        <w:rPr>
          <w:noProof/>
        </w:rPr>
        <w:t>Материалноправно основание</w:t>
      </w:r>
      <w:bookmarkEnd w:id="2"/>
    </w:p>
    <w:p>
      <w:pPr>
        <w:pStyle w:val="ManualHeading3"/>
        <w:rPr>
          <w:noProof/>
          <w:szCs w:val="24"/>
        </w:rPr>
      </w:pPr>
      <w:r>
        <w:rPr>
          <w:noProof/>
        </w:rPr>
        <w:t>4.2.1.</w:t>
      </w:r>
      <w:r>
        <w:rPr>
          <w:noProof/>
        </w:rPr>
        <w:tab/>
        <w:t>Принципи</w:t>
      </w:r>
    </w:p>
    <w:p>
      <w:pPr>
        <w:pBdr>
          <w:top w:val="nil"/>
          <w:left w:val="nil"/>
          <w:bottom w:val="nil"/>
          <w:right w:val="nil"/>
          <w:between w:val="nil"/>
          <w:bar w:val="nil"/>
        </w:pBdr>
        <w:spacing w:after="100" w:afterAutospacing="1"/>
        <w:rPr>
          <w:noProof/>
          <w:szCs w:val="24"/>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rPr>
          <w:noProof/>
        </w:rPr>
        <w:t>4.2.2.</w:t>
      </w:r>
      <w:r>
        <w:rPr>
          <w:noProof/>
        </w:rPr>
        <w:tab/>
        <w:t>Приложение в конкретния случай</w:t>
      </w:r>
    </w:p>
    <w:p>
      <w:pPr>
        <w:pBdr>
          <w:top w:val="nil"/>
          <w:left w:val="nil"/>
          <w:bottom w:val="nil"/>
          <w:right w:val="nil"/>
          <w:between w:val="nil"/>
          <w:bar w:val="nil"/>
        </w:pBdr>
        <w:spacing w:after="100" w:afterAutospacing="1"/>
        <w:rPr>
          <w:noProof/>
        </w:rPr>
      </w:pPr>
      <w:r>
        <w:rPr>
          <w:noProof/>
        </w:rPr>
        <w:t>Целта и съдържанието на предвидения акт са свързани основно с общата търговска политика. Поради това материалноправното основание за предложеното решение е член 207 от ДФЕС.</w:t>
      </w:r>
    </w:p>
    <w:p>
      <w:pPr>
        <w:pStyle w:val="ManualHeading2"/>
        <w:rPr>
          <w:noProof/>
          <w:szCs w:val="24"/>
        </w:rPr>
      </w:pPr>
      <w:bookmarkStart w:id="3" w:name="bookmark9"/>
      <w:r>
        <w:t>4.3.</w:t>
      </w:r>
      <w:r>
        <w:tab/>
      </w:r>
      <w:r>
        <w:rPr>
          <w:noProof/>
        </w:rPr>
        <w:t>Заключение</w:t>
      </w:r>
      <w:bookmarkEnd w:id="3"/>
    </w:p>
    <w:p>
      <w:pPr>
        <w:rPr>
          <w:noProof/>
          <w:szCs w:val="24"/>
        </w:rPr>
      </w:pPr>
      <w:r>
        <w:rPr>
          <w:noProof/>
        </w:rPr>
        <w:t>Правното основание за предложеното решение следва да бъде член 207, параграф 4, първа алинея от ДФЕС във връзка с член 218, параграф 9 от него.</w:t>
      </w:r>
    </w:p>
    <w:p>
      <w:pPr>
        <w:rPr>
          <w:noProof/>
          <w:szCs w:val="24"/>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2019/0159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по СИП, създаден съгласно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 във връзка с приемането на процедурния правилник за медиацията, процедурния правилник за арбитража и етичния кодекс на арбитрите</w:t>
      </w:r>
    </w:p>
    <w:p>
      <w:pPr>
        <w:pStyle w:val="Institutionquiagit"/>
        <w:rPr>
          <w:noProof/>
          <w:szCs w:val="24"/>
        </w:rPr>
      </w:pPr>
      <w:r>
        <w:rPr>
          <w:noProof/>
        </w:rPr>
        <w:t>СЪВЕТЪТ НА ЕВРОПЕЙСКИЯ СЪЮЗ,</w:t>
      </w:r>
    </w:p>
    <w:p>
      <w:pPr>
        <w:rPr>
          <w:noProof/>
        </w:rPr>
      </w:pPr>
      <w:r>
        <w:rPr>
          <w:noProof/>
        </w:rPr>
        <w:t>като взе предвид Договора за функционирането на Европейския съюз (ДФЕС), и по</w:t>
      </w:r>
      <w:r>
        <w:rPr>
          <w:noProof/>
        </w:rPr>
        <w:noBreakHyphen/>
        <w:t xml:space="preserve">специално член 207, параграф 4, първа алинея във връзка с член 218, параграф 9 от него, </w:t>
      </w:r>
    </w:p>
    <w:p>
      <w:pPr>
        <w:rPr>
          <w:noProof/>
        </w:rPr>
      </w:pPr>
      <w:r>
        <w:rPr>
          <w:noProof/>
        </w:rPr>
        <w:t>като взе предвид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 („Споразумението“)</w:t>
      </w:r>
      <w:r>
        <w:rPr>
          <w:rStyle w:val="FootnoteReference"/>
          <w:noProof/>
        </w:rPr>
        <w:footnoteReference w:id="4"/>
      </w:r>
      <w:r>
        <w:rPr>
          <w:noProof/>
        </w:rPr>
        <w:t>,</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szCs w:val="24"/>
        </w:rPr>
      </w:pPr>
      <w:r>
        <w:t>(1)</w:t>
      </w:r>
      <w:r>
        <w:tab/>
      </w:r>
      <w:r>
        <w:rPr>
          <w:noProof/>
        </w:rPr>
        <w:t>Споразумението бе сключено от името на Европейския съюз („Съюза“) с Решение 2009/152/ЕО</w:t>
      </w:r>
      <w:r>
        <w:rPr>
          <w:rStyle w:val="FootnoteReference"/>
          <w:noProof/>
        </w:rPr>
        <w:footnoteReference w:id="5"/>
      </w:r>
      <w:r>
        <w:rPr>
          <w:noProof/>
        </w:rPr>
        <w:t xml:space="preserve"> и се прилага временно от 4 август 2014 г.</w:t>
      </w:r>
    </w:p>
    <w:p>
      <w:pPr>
        <w:pStyle w:val="ManualConsidrant"/>
        <w:rPr>
          <w:rFonts w:eastAsia="Times New Roman"/>
          <w:noProof/>
          <w:szCs w:val="24"/>
        </w:rPr>
      </w:pPr>
      <w:r>
        <w:t>(2)</w:t>
      </w:r>
      <w:r>
        <w:tab/>
      </w:r>
      <w:r>
        <w:rPr>
          <w:noProof/>
        </w:rPr>
        <w:t>В съответствие с член 80, параграф 1 от Споразумението, Комитетът по СИП установява процедурния правилник и етичния кодекс.</w:t>
      </w:r>
    </w:p>
    <w:p>
      <w:pPr>
        <w:pStyle w:val="ManualConsidrant"/>
        <w:rPr>
          <w:rFonts w:eastAsia="Times New Roman"/>
          <w:noProof/>
          <w:szCs w:val="24"/>
        </w:rPr>
      </w:pPr>
      <w:r>
        <w:t>(3)</w:t>
      </w:r>
      <w:r>
        <w:tab/>
      </w:r>
      <w:r>
        <w:rPr>
          <w:noProof/>
        </w:rPr>
        <w:t>Съгласно член 88 от Споразумението Комитетът по СИП може да вземе решение за изменение на дял VI от Споразумението и неговите приложения.</w:t>
      </w:r>
    </w:p>
    <w:p>
      <w:pPr>
        <w:pStyle w:val="ManualConsidrant"/>
        <w:rPr>
          <w:rFonts w:eastAsia="Times New Roman"/>
          <w:noProof/>
          <w:szCs w:val="24"/>
        </w:rPr>
      </w:pPr>
      <w:r>
        <w:t>(4)</w:t>
      </w:r>
      <w:r>
        <w:tab/>
      </w:r>
      <w:r>
        <w:rPr>
          <w:noProof/>
        </w:rPr>
        <w:t>На годишното си заседание, насрочено за [дата], Комитетът по СИП има за задача да приеме решение за установяване на процедурния правилник за медиацията и за арбитража и на етичния кодекс на арбитрите.</w:t>
      </w:r>
    </w:p>
    <w:p>
      <w:pPr>
        <w:pStyle w:val="ManualConsidrant"/>
        <w:rPr>
          <w:rFonts w:eastAsia="Times New Roman"/>
          <w:noProof/>
          <w:szCs w:val="24"/>
        </w:rPr>
      </w:pPr>
      <w:r>
        <w:t>(5)</w:t>
      </w:r>
      <w:r>
        <w:tab/>
      </w:r>
      <w:r>
        <w:rPr>
          <w:noProof/>
        </w:rPr>
        <w:t>Целесъобразно е да се установи позицията, която трябва да се заеме от името на Съюза в рамките на Комитета по СИП, тъй като решението ще бъде обвързващо за Съюза,</w:t>
      </w:r>
    </w:p>
    <w:p>
      <w:pPr>
        <w:pStyle w:val="Formuledadoption"/>
        <w:rPr>
          <w:noProof/>
          <w:szCs w:val="24"/>
        </w:rPr>
      </w:pPr>
      <w:r>
        <w:rPr>
          <w:noProof/>
        </w:rPr>
        <w:t>ПРИЕ НАСТОЯЩОТО РЕШЕНИЕ:</w:t>
      </w:r>
    </w:p>
    <w:p>
      <w:pPr>
        <w:pStyle w:val="Titrearticle"/>
        <w:rPr>
          <w:noProof/>
          <w:szCs w:val="24"/>
        </w:rPr>
      </w:pPr>
      <w:r>
        <w:rPr>
          <w:noProof/>
        </w:rPr>
        <w:t>Член 1</w:t>
      </w:r>
    </w:p>
    <w:p>
      <w:pPr>
        <w:rPr>
          <w:noProof/>
        </w:rPr>
      </w:pPr>
      <w:r>
        <w:rPr>
          <w:noProof/>
        </w:rPr>
        <w:t>Позицията, която трябва да се заеме от името на Съюза в рамките на Комитета по СИП, се основава на приложения към настоящото решение проект на решение на Комитета по СИП във връзка с процедурните правилници и етичния кодекс.</w:t>
      </w:r>
    </w:p>
    <w:p>
      <w:pPr>
        <w:rPr>
          <w:noProof/>
        </w:rPr>
      </w:pPr>
      <w:r>
        <w:rPr>
          <w:noProof/>
        </w:rPr>
        <w:lastRenderedPageBreak/>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szCs w:val="24"/>
        </w:rPr>
      </w:pPr>
      <w:r>
        <w:rPr>
          <w:noProof/>
        </w:rPr>
        <w:tab/>
        <w:t>За Съвета</w:t>
      </w:r>
    </w:p>
    <w:p>
      <w:pPr>
        <w:pStyle w:val="Personnequisigne"/>
        <w:rPr>
          <w:noProof/>
          <w:szCs w:val="24"/>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ОВ L 57, 28.2.2009 г., стр. 2.</w:t>
      </w:r>
    </w:p>
  </w:footnote>
  <w:footnote w:id="2">
    <w:p>
      <w:pPr>
        <w:pStyle w:val="FootnoteText"/>
        <w:rPr>
          <w:lang w:val="ru-RU"/>
        </w:rPr>
      </w:pPr>
      <w:r>
        <w:rPr>
          <w:rStyle w:val="FootnoteReference"/>
        </w:rPr>
        <w:footnoteRef/>
      </w:r>
      <w:r>
        <w:tab/>
        <w:t>ОВ L 17, 21.1.2017 г., стр. 46.</w:t>
      </w:r>
    </w:p>
  </w:footnote>
  <w:footnote w:id="3">
    <w:p>
      <w:pPr>
        <w:pStyle w:val="FootnoteText"/>
        <w:rPr>
          <w:lang w:val="ru-RU"/>
        </w:rPr>
      </w:pPr>
      <w:r>
        <w:rPr>
          <w:rStyle w:val="FootnoteReference"/>
        </w:rPr>
        <w:footnoteRef/>
      </w:r>
      <w:r>
        <w:tab/>
        <w:t xml:space="preserve">Решение на Съда от 7 октомври 2014 г., Германия/Съвет, C-399/12, EU:C:2014:2258, т. 61—64. </w:t>
      </w:r>
    </w:p>
  </w:footnote>
  <w:footnote w:id="4">
    <w:p>
      <w:pPr>
        <w:pStyle w:val="FootnoteText"/>
        <w:rPr>
          <w:lang w:val="ru-RU"/>
        </w:rPr>
      </w:pPr>
      <w:r>
        <w:rPr>
          <w:rStyle w:val="FootnoteReference"/>
        </w:rPr>
        <w:footnoteRef/>
      </w:r>
      <w:r>
        <w:tab/>
        <w:t>ОВ L 57, 28.2.2009 г., стр. 2.</w:t>
      </w:r>
    </w:p>
  </w:footnote>
  <w:footnote w:id="5">
    <w:p>
      <w:pPr>
        <w:pStyle w:val="FootnoteText"/>
        <w:rPr>
          <w:lang w:val="ru-RU"/>
        </w:rPr>
      </w:pPr>
      <w:r>
        <w:rPr>
          <w:rStyle w:val="FootnoteReference"/>
        </w:rPr>
        <w:footnoteRef/>
      </w:r>
      <w:r>
        <w:tab/>
        <w:t>ОВ L 57, 28.2.2009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4C8B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26E52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DC04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DC24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E86A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DAAC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CC6F66"/>
    <w:lvl w:ilvl="0">
      <w:start w:val="1"/>
      <w:numFmt w:val="decimal"/>
      <w:pStyle w:val="ListNumber"/>
      <w:lvlText w:val="%1."/>
      <w:lvlJc w:val="left"/>
      <w:pPr>
        <w:tabs>
          <w:tab w:val="num" w:pos="360"/>
        </w:tabs>
        <w:ind w:left="360" w:hanging="360"/>
      </w:pPr>
    </w:lvl>
  </w:abstractNum>
  <w:abstractNum w:abstractNumId="7">
    <w:nsid w:val="FFFFFF89"/>
    <w:multiLevelType w:val="singleLevel"/>
    <w:tmpl w:val="6F7C4C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5 17:11: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2B9125A-2189-4CAE-8341-B134E5439061"/>
    <w:docVar w:name="LW_COVERPAGE_TYPE" w:val="1"/>
    <w:docVar w:name="LW_CROSSREFERENCE" w:val="&lt;UNUSED&gt;"/>
    <w:docVar w:name="LW_DocType" w:val="COM"/>
    <w:docVar w:name="LW_EMISSION" w:val="25.7.2019"/>
    <w:docVar w:name="LW_EMISSION_ISODATE" w:val="2019-07-25"/>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59"/>
    <w:docVar w:name="LW_REF.II.NEW.CP_YEAR" w:val="2019"/>
    <w:docVar w:name="LW_REF.INST.NEW" w:val="COM"/>
    <w:docVar w:name="LW_REF.INST.NEW_ADOPTED" w:val="final"/>
    <w:docVar w:name="LW_REF.INST.NEW_TEXT" w:val="(2019) 3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57?\u1048?\u1055?, \u1089?\u1098?\u1079?\u1076?\u1072?\u1076?\u1077?\u1085? \u1089?\u1098?\u1075?\u1083?\u1072?\u1089?\u1085?\u1086? \u1042?\u1088?\u1077?\u1084?\u1077?\u1085?\u1085?\u1086?\u1090?\u1086? \u1089?\u1087?\u1086?\u1088?\u1072?\u1079?\u1091?\u1084?\u1077?\u1085?\u1080?\u1077? \u1079?\u1072? \u1080?\u1082?\u1086?\u1085?\u1086?\u1084?\u1080?\u1095?\u1077?\u1089?\u1082?\u1086? \u1087?\u1072?\u1088?\u1090?\u1085?\u1100?\u1086?\u1088?\u1089?\u1090?\u1074?\u1086?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89?\u1090?\u1088?\u1072?\u1085?\u1072?\u1090?\u1072? \u1087?\u1086? \u1089?\u1087?\u1086?\u1088?\u1072?\u1079?\u1091?\u1084?\u1077?\u1085?\u1080?\u1077?\u1090?\u1086? \u1062?\u1077?\u1085?\u1090?\u1088?\u1072?\u1083?\u1085?\u1072? \u1040?\u1092?\u1088?\u1080?\u1082?\u1072?, \u1086?\u1090? \u1076?\u1088?\u1091?\u1075?\u1072? \u1089?\u1090?\u1088?\u1072?\u1085?\u1072?, \u1074?\u1098?\u1074? \u1074?\u1088?\u1098?\u1079?\u1082?\u1072? \u1089? \u1087?\u1088?\u1080?\u1077?\u1084?\u1072?\u1085?\u1077?\u1090?\u1086? \u1085?\u1072? \u1087?\u1088?\u1086?\u1094?\u1077?\u1076?\u1091?\u1088?\u1085?\u1080?\u1103? \u1087?\u1088?\u1072?\u1074?\u1080?\u1083?\u1085?\u1080?\u1082? \u1079?\u1072? \u1084?\u1077?\u1076?\u1080?\u1072?\u1094?\u1080?\u1103?\u1090?\u1072?, \u1087?\u1088?\u1086?\u1094?\u1077?\u1076?\u1091?\u1088?\u1085?\u1080?\u1103? \u1087?\u1088?\u1072?\u1074?\u1080?\u1083?\u1085?\u1080?\u1082? \u1079?\u1072? \u1072?\u1088?\u1073?\u1080?\u1090?\u1088?\u1072?\u1078?\u1072? \u1080? \u1077?\u1090?\u1080?\u1095?\u1085?\u1080?\u1103? \u1082?\u1086?\u1076?\u1077?\u1082?\u1089? \u1085?\u1072? \u1072?\u1088?\u1073?\u1080?\u1090?\u1088?\u1080?\u1090?\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520" w:after="260" w:line="266" w:lineRule="exact"/>
      <w:ind w:hanging="880"/>
      <w:jc w:val="center"/>
    </w:pPr>
    <w:rPr>
      <w:rFonts w:asciiTheme="minorHAnsi" w:hAnsiTheme="minorHAnsi" w:cstheme="minorBidi"/>
      <w:sz w:val="22"/>
    </w:rPr>
  </w:style>
  <w:style w:type="character" w:customStyle="1" w:styleId="Heading30">
    <w:name w:val="Heading #3_"/>
    <w:basedOn w:val="DefaultParagraphFont"/>
    <w:link w:val="Heading31"/>
    <w:rPr>
      <w:b/>
      <w:bCs/>
      <w:shd w:val="clear" w:color="auto" w:fill="FFFFFF"/>
    </w:rPr>
  </w:style>
  <w:style w:type="character" w:customStyle="1" w:styleId="Bodytext8">
    <w:name w:val="Body text (8)_"/>
    <w:basedOn w:val="DefaultParagraphFont"/>
    <w:link w:val="Bodytext80"/>
    <w:rPr>
      <w:b/>
      <w:bCs/>
      <w:shd w:val="clear" w:color="auto" w:fill="FFFFFF"/>
    </w:rPr>
  </w:style>
  <w:style w:type="character" w:customStyle="1" w:styleId="Bodytext8SmallCaps">
    <w:name w:val="Body text (8) + Small Caps"/>
    <w:basedOn w:val="Bodytext8"/>
    <w:rPr>
      <w:rFonts w:ascii="Times New Roman" w:eastAsia="Times New Roman" w:hAnsi="Times New Roman" w:cs="Times New Roman"/>
      <w:b/>
      <w:bCs/>
      <w:smallCaps/>
      <w:color w:val="000000"/>
      <w:spacing w:val="0"/>
      <w:w w:val="100"/>
      <w:position w:val="0"/>
      <w:shd w:val="clear" w:color="auto" w:fill="FFFFFF"/>
      <w:lang w:val="bg-BG" w:eastAsia="bg-BG" w:bidi="bg-BG"/>
    </w:rPr>
  </w:style>
  <w:style w:type="character" w:customStyle="1" w:styleId="Bodytext9">
    <w:name w:val="Body text (9)_"/>
    <w:basedOn w:val="DefaultParagraphFont"/>
    <w:link w:val="Bodytext90"/>
    <w:rPr>
      <w:i/>
      <w:iCs/>
      <w:shd w:val="clear" w:color="auto" w:fill="FFFFFF"/>
    </w:rPr>
  </w:style>
  <w:style w:type="character" w:customStyle="1" w:styleId="Bodytext9NotItalic">
    <w:name w:val="Body text (9) + Not Italic"/>
    <w:basedOn w:val="Bodytext9"/>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bg-BG" w:eastAsia="bg-BG" w:bidi="bg-BG"/>
    </w:rPr>
  </w:style>
  <w:style w:type="character" w:customStyle="1" w:styleId="Bodytext10">
    <w:name w:val="Body text (10)_"/>
    <w:basedOn w:val="DefaultParagraphFont"/>
    <w:link w:val="Bodytext100"/>
    <w:rPr>
      <w:sz w:val="20"/>
      <w:szCs w:val="20"/>
      <w:shd w:val="clear" w:color="auto" w:fill="FFFFFF"/>
    </w:rPr>
  </w:style>
  <w:style w:type="paragraph" w:customStyle="1" w:styleId="Heading31">
    <w:name w:val="Heading #3"/>
    <w:basedOn w:val="Normal"/>
    <w:link w:val="Heading30"/>
    <w:pPr>
      <w:widowControl w:val="0"/>
      <w:shd w:val="clear" w:color="auto" w:fill="FFFFFF"/>
      <w:spacing w:before="380" w:after="380" w:line="244" w:lineRule="exact"/>
      <w:ind w:hanging="880"/>
      <w:jc w:val="center"/>
      <w:outlineLvl w:val="2"/>
    </w:pPr>
    <w:rPr>
      <w:rFonts w:asciiTheme="minorHAnsi" w:hAnsiTheme="minorHAnsi" w:cstheme="minorBidi"/>
      <w:b/>
      <w:bCs/>
      <w:sz w:val="22"/>
    </w:rPr>
  </w:style>
  <w:style w:type="paragraph" w:customStyle="1" w:styleId="Bodytext80">
    <w:name w:val="Body text (8)"/>
    <w:basedOn w:val="Normal"/>
    <w:link w:val="Bodytext8"/>
    <w:pPr>
      <w:widowControl w:val="0"/>
      <w:shd w:val="clear" w:color="auto" w:fill="FFFFFF"/>
      <w:spacing w:before="380" w:line="244" w:lineRule="exact"/>
    </w:pPr>
    <w:rPr>
      <w:rFonts w:asciiTheme="minorHAnsi" w:hAnsiTheme="minorHAnsi" w:cstheme="minorBidi"/>
      <w:b/>
      <w:bCs/>
      <w:sz w:val="22"/>
    </w:rPr>
  </w:style>
  <w:style w:type="paragraph" w:customStyle="1" w:styleId="Bodytext90">
    <w:name w:val="Body text (9)"/>
    <w:basedOn w:val="Normal"/>
    <w:link w:val="Bodytext9"/>
    <w:pPr>
      <w:widowControl w:val="0"/>
      <w:shd w:val="clear" w:color="auto" w:fill="FFFFFF"/>
      <w:spacing w:before="140" w:after="140" w:line="266" w:lineRule="exact"/>
    </w:pPr>
    <w:rPr>
      <w:rFonts w:asciiTheme="minorHAnsi" w:hAnsiTheme="minorHAnsi" w:cstheme="minorBidi"/>
      <w:i/>
      <w:iCs/>
      <w:sz w:val="22"/>
    </w:rPr>
  </w:style>
  <w:style w:type="paragraph" w:customStyle="1" w:styleId="Bodytext100">
    <w:name w:val="Body text (10)"/>
    <w:basedOn w:val="Normal"/>
    <w:link w:val="Bodytext10"/>
    <w:pPr>
      <w:widowControl w:val="0"/>
      <w:shd w:val="clear" w:color="auto" w:fill="FFFFFF"/>
      <w:spacing w:before="1580" w:after="0" w:line="226" w:lineRule="exact"/>
    </w:pPr>
    <w:rPr>
      <w:rFonts w:asciiTheme="minorHAnsi" w:hAnsiTheme="minorHAnsi" w:cstheme="minorBidi"/>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520" w:after="260" w:line="266" w:lineRule="exact"/>
      <w:ind w:hanging="880"/>
      <w:jc w:val="center"/>
    </w:pPr>
    <w:rPr>
      <w:rFonts w:asciiTheme="minorHAnsi" w:hAnsiTheme="minorHAnsi" w:cstheme="minorBidi"/>
      <w:sz w:val="22"/>
    </w:rPr>
  </w:style>
  <w:style w:type="character" w:customStyle="1" w:styleId="Heading30">
    <w:name w:val="Heading #3_"/>
    <w:basedOn w:val="DefaultParagraphFont"/>
    <w:link w:val="Heading31"/>
    <w:rPr>
      <w:b/>
      <w:bCs/>
      <w:shd w:val="clear" w:color="auto" w:fill="FFFFFF"/>
    </w:rPr>
  </w:style>
  <w:style w:type="character" w:customStyle="1" w:styleId="Bodytext8">
    <w:name w:val="Body text (8)_"/>
    <w:basedOn w:val="DefaultParagraphFont"/>
    <w:link w:val="Bodytext80"/>
    <w:rPr>
      <w:b/>
      <w:bCs/>
      <w:shd w:val="clear" w:color="auto" w:fill="FFFFFF"/>
    </w:rPr>
  </w:style>
  <w:style w:type="character" w:customStyle="1" w:styleId="Bodytext8SmallCaps">
    <w:name w:val="Body text (8) + Small Caps"/>
    <w:basedOn w:val="Bodytext8"/>
    <w:rPr>
      <w:rFonts w:ascii="Times New Roman" w:eastAsia="Times New Roman" w:hAnsi="Times New Roman" w:cs="Times New Roman"/>
      <w:b/>
      <w:bCs/>
      <w:smallCaps/>
      <w:color w:val="000000"/>
      <w:spacing w:val="0"/>
      <w:w w:val="100"/>
      <w:position w:val="0"/>
      <w:shd w:val="clear" w:color="auto" w:fill="FFFFFF"/>
      <w:lang w:val="bg-BG" w:eastAsia="bg-BG" w:bidi="bg-BG"/>
    </w:rPr>
  </w:style>
  <w:style w:type="character" w:customStyle="1" w:styleId="Bodytext9">
    <w:name w:val="Body text (9)_"/>
    <w:basedOn w:val="DefaultParagraphFont"/>
    <w:link w:val="Bodytext90"/>
    <w:rPr>
      <w:i/>
      <w:iCs/>
      <w:shd w:val="clear" w:color="auto" w:fill="FFFFFF"/>
    </w:rPr>
  </w:style>
  <w:style w:type="character" w:customStyle="1" w:styleId="Bodytext9NotItalic">
    <w:name w:val="Body text (9) + Not Italic"/>
    <w:basedOn w:val="Bodytext9"/>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bg-BG" w:eastAsia="bg-BG" w:bidi="bg-BG"/>
    </w:rPr>
  </w:style>
  <w:style w:type="character" w:customStyle="1" w:styleId="Bodytext10">
    <w:name w:val="Body text (10)_"/>
    <w:basedOn w:val="DefaultParagraphFont"/>
    <w:link w:val="Bodytext100"/>
    <w:rPr>
      <w:sz w:val="20"/>
      <w:szCs w:val="20"/>
      <w:shd w:val="clear" w:color="auto" w:fill="FFFFFF"/>
    </w:rPr>
  </w:style>
  <w:style w:type="paragraph" w:customStyle="1" w:styleId="Heading31">
    <w:name w:val="Heading #3"/>
    <w:basedOn w:val="Normal"/>
    <w:link w:val="Heading30"/>
    <w:pPr>
      <w:widowControl w:val="0"/>
      <w:shd w:val="clear" w:color="auto" w:fill="FFFFFF"/>
      <w:spacing w:before="380" w:after="380" w:line="244" w:lineRule="exact"/>
      <w:ind w:hanging="880"/>
      <w:jc w:val="center"/>
      <w:outlineLvl w:val="2"/>
    </w:pPr>
    <w:rPr>
      <w:rFonts w:asciiTheme="minorHAnsi" w:hAnsiTheme="minorHAnsi" w:cstheme="minorBidi"/>
      <w:b/>
      <w:bCs/>
      <w:sz w:val="22"/>
    </w:rPr>
  </w:style>
  <w:style w:type="paragraph" w:customStyle="1" w:styleId="Bodytext80">
    <w:name w:val="Body text (8)"/>
    <w:basedOn w:val="Normal"/>
    <w:link w:val="Bodytext8"/>
    <w:pPr>
      <w:widowControl w:val="0"/>
      <w:shd w:val="clear" w:color="auto" w:fill="FFFFFF"/>
      <w:spacing w:before="380" w:line="244" w:lineRule="exact"/>
    </w:pPr>
    <w:rPr>
      <w:rFonts w:asciiTheme="minorHAnsi" w:hAnsiTheme="minorHAnsi" w:cstheme="minorBidi"/>
      <w:b/>
      <w:bCs/>
      <w:sz w:val="22"/>
    </w:rPr>
  </w:style>
  <w:style w:type="paragraph" w:customStyle="1" w:styleId="Bodytext90">
    <w:name w:val="Body text (9)"/>
    <w:basedOn w:val="Normal"/>
    <w:link w:val="Bodytext9"/>
    <w:pPr>
      <w:widowControl w:val="0"/>
      <w:shd w:val="clear" w:color="auto" w:fill="FFFFFF"/>
      <w:spacing w:before="140" w:after="140" w:line="266" w:lineRule="exact"/>
    </w:pPr>
    <w:rPr>
      <w:rFonts w:asciiTheme="minorHAnsi" w:hAnsiTheme="minorHAnsi" w:cstheme="minorBidi"/>
      <w:i/>
      <w:iCs/>
      <w:sz w:val="22"/>
    </w:rPr>
  </w:style>
  <w:style w:type="paragraph" w:customStyle="1" w:styleId="Bodytext100">
    <w:name w:val="Body text (10)"/>
    <w:basedOn w:val="Normal"/>
    <w:link w:val="Bodytext10"/>
    <w:pPr>
      <w:widowControl w:val="0"/>
      <w:shd w:val="clear" w:color="auto" w:fill="FFFFFF"/>
      <w:spacing w:before="1580" w:after="0" w:line="226" w:lineRule="exact"/>
    </w:pPr>
    <w:rPr>
      <w:rFonts w:asciiTheme="minorHAnsi" w:hAnsiTheme="minorHAnsi" w:cstheme="minorBidi"/>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5506">
      <w:bodyDiv w:val="1"/>
      <w:marLeft w:val="0"/>
      <w:marRight w:val="0"/>
      <w:marTop w:val="0"/>
      <w:marBottom w:val="0"/>
      <w:divBdr>
        <w:top w:val="none" w:sz="0" w:space="0" w:color="auto"/>
        <w:left w:val="none" w:sz="0" w:space="0" w:color="auto"/>
        <w:bottom w:val="none" w:sz="0" w:space="0" w:color="auto"/>
        <w:right w:val="none" w:sz="0" w:space="0" w:color="auto"/>
      </w:divBdr>
    </w:div>
    <w:div w:id="105011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6</Pages>
  <Words>1235</Words>
  <Characters>7009</Characters>
  <Application>Microsoft Office Word</Application>
  <DocSecurity>0</DocSecurity>
  <Lines>140</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2019-06-12T15:35:00Z</dcterms:created>
  <dcterms:modified xsi:type="dcterms:W3CDTF">2019-07-15T15:11:00Z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