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DF6F1D8-7DED-4706-BC9E-3C7531BF127C" style="width:451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AND THE COUNCIL</w:t>
      </w:r>
    </w:p>
    <w:p>
      <w:pPr>
        <w:pStyle w:val="Titreobjet"/>
        <w:rPr>
          <w:noProof/>
        </w:rPr>
      </w:pPr>
      <w:r>
        <w:rPr>
          <w:noProof/>
        </w:rPr>
        <w:t xml:space="preserve">Towards better implementation of the EU’s anti-money laundering and countering the financing of terrorism framework </w:t>
      </w:r>
      <w:r>
        <w:rPr>
          <w:noProof/>
        </w:rPr>
        <w:br/>
      </w:r>
      <w:r>
        <w:rPr>
          <w:noProof/>
        </w:rPr>
        <w:br/>
      </w:r>
    </w:p>
    <w:p>
      <w:pPr>
        <w:pStyle w:val="Heading1"/>
      </w:pPr>
      <w:r>
        <w:t>Introduction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Risks of money laundering and the financing of terrorism remain a major concern for the integrity of Union's financial system and the security of its citizens. According to Europol,</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as much as 0.7</w:t>
      </w:r>
      <w:r>
        <w:rPr>
          <w:rFonts w:ascii="Times New Roman" w:hAnsi="Times New Roman" w:cs="Times New Roman"/>
          <w:noProof/>
          <w:sz w:val="24"/>
          <w:szCs w:val="24"/>
        </w:rPr>
        <w:noBreakHyphen/>
        <w:t>1.28% of the European Union’s (EU) annual Gross Domestic Product is ‘detected as being involved in suspect financial activity’.</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The fight against money laundering and terrorism financing is therefore an important priority for the Union and part of delivering the Security Union.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Over time, the Union has developed a solid regulatory framework for preventing money laundering and terrorist financing, in line with international standards adopted by the Financial Action Task Force. </w:t>
      </w:r>
      <w:r>
        <w:rPr>
          <w:rFonts w:ascii="Times New Roman" w:hAnsi="Times New Roman" w:cs="Times New Roman"/>
          <w:noProof/>
          <w:sz w:val="24"/>
          <w:szCs w:val="24"/>
        </w:rPr>
        <w:t xml:space="preserve">The regulatory framework needs to keep pace with the increasing integration of financial flows in the internal market, the evolving trends, technological developments and the ingenuity of criminals to exploit any gaps or loopholes in the system. </w:t>
      </w:r>
    </w:p>
    <w:p>
      <w:pPr>
        <w:spacing w:before="120"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This Communication summarises a set of reports relating to the Union’s legal framework for preventing money laundering and terrorist financing and its implementation. It is accompanied by the Commission’s biennial supranational risk assessment</w:t>
      </w:r>
      <w:r>
        <w:rPr>
          <w:rFonts w:ascii="Times New Roman" w:eastAsia="Times New Roman" w:hAnsi="Times New Roman" w:cs="Times New Roman"/>
          <w:noProof/>
          <w:sz w:val="24"/>
          <w:szCs w:val="24"/>
          <w:vertAlign w:val="superscript"/>
          <w:lang w:val="en-GB"/>
        </w:rPr>
        <w:footnoteReference w:id="3"/>
      </w:r>
      <w:r>
        <w:rPr>
          <w:rFonts w:ascii="Times New Roman" w:eastAsia="Times New Roman" w:hAnsi="Times New Roman" w:cs="Times New Roman"/>
          <w:noProof/>
          <w:sz w:val="24"/>
          <w:szCs w:val="24"/>
          <w:lang w:val="en-GB"/>
        </w:rPr>
        <w:t xml:space="preserve"> of money laundering and terrorist financing risks facing the Union’s internal market, as well as an assessment of recent alleged money laundering cases involving EU credit institutions, and Reports on cooperation between Financial Intelligence Units</w:t>
      </w:r>
      <w:r>
        <w:rPr>
          <w:rFonts w:ascii="Times New Roman" w:eastAsia="Times New Roman" w:hAnsi="Times New Roman" w:cs="Times New Roman"/>
          <w:noProof/>
          <w:sz w:val="24"/>
          <w:szCs w:val="24"/>
          <w:vertAlign w:val="superscript"/>
          <w:lang w:val="en-GB"/>
        </w:rPr>
        <w:footnoteReference w:id="4"/>
      </w:r>
      <w:r>
        <w:rPr>
          <w:rFonts w:ascii="Times New Roman" w:eastAsia="Times New Roman" w:hAnsi="Times New Roman" w:cs="Times New Roman"/>
          <w:noProof/>
          <w:sz w:val="24"/>
          <w:szCs w:val="24"/>
          <w:lang w:val="en-GB"/>
        </w:rPr>
        <w:t xml:space="preserve"> and on the interconnection of national centralised automated mechanisms of the Member States on bank accounts.</w:t>
      </w:r>
      <w:r>
        <w:rPr>
          <w:rFonts w:ascii="Times New Roman" w:eastAsia="Times New Roman" w:hAnsi="Times New Roman" w:cs="Times New Roman"/>
          <w:noProof/>
          <w:sz w:val="24"/>
          <w:szCs w:val="24"/>
          <w:vertAlign w:val="superscript"/>
          <w:lang w:val="en-GB"/>
        </w:rPr>
        <w:footnoteReference w:id="5"/>
      </w:r>
    </w:p>
    <w:p>
      <w:pPr>
        <w:spacing w:before="120"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findings set out in this Communication and in the reports adopted today are intended to inform the debate about how the anti-money laundering/countering the financing of terrorism framework could be further improved and to provide the basis for further discussions with  relevant stakeholders.</w:t>
      </w:r>
    </w:p>
    <w:p>
      <w:pPr>
        <w:pStyle w:val="Heading1"/>
      </w:pPr>
      <w:r>
        <w:t xml:space="preserve">Context: Development of the Legal Framework to date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Union has considerably strengthened its legal framework on </w:t>
      </w:r>
      <w:r>
        <w:rPr>
          <w:rFonts w:ascii="Times New Roman" w:eastAsia="Times New Roman" w:hAnsi="Times New Roman" w:cs="Times New Roman"/>
          <w:noProof/>
          <w:sz w:val="24"/>
          <w:szCs w:val="24"/>
          <w:lang w:val="en-GB"/>
        </w:rPr>
        <w:t>preventing money laundering and terrorist financing</w:t>
      </w:r>
      <w:r>
        <w:rPr>
          <w:rFonts w:ascii="Times New Roman" w:hAnsi="Times New Roman" w:cs="Times New Roman"/>
          <w:noProof/>
          <w:sz w:val="24"/>
          <w:szCs w:val="24"/>
        </w:rPr>
        <w:t xml:space="preserve"> in recent years.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w:t>
      </w:r>
      <w:r>
        <w:rPr>
          <w:rFonts w:ascii="Times New Roman" w:hAnsi="Times New Roman" w:cs="Times New Roman"/>
          <w:noProof/>
          <w:sz w:val="24"/>
          <w:szCs w:val="24"/>
        </w:rPr>
        <w:lastRenderedPageBreak/>
        <w:t>Directive</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was adopted in May 2015 and had to be transposed by Member States by June 2017</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Action Plan for strengthening the fight against terrorist financing adopted in February 2016</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and in response to the Panama Papers revelations of April 2016,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was adopted in April 2018 and Member States are to transpose it into national law by January 2020. This revision increases transparency of beneficial ownership information, gives Financial Intelligence Units wider access to information, enhances the cooperation between supervisors, and regulates virtual currencies and pre-paid cards to better prevent terrorist financing.</w:t>
      </w:r>
    </w:p>
    <w:p>
      <w:pPr>
        <w:spacing w:after="120" w:line="240" w:lineRule="auto"/>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As regards the financial sector, n</w:t>
      </w:r>
      <w:r>
        <w:rPr>
          <w:rFonts w:ascii="Times New Roman" w:eastAsia="Times New Roman" w:hAnsi="Times New Roman" w:cs="Times New Roman"/>
          <w:noProof/>
          <w:sz w:val="24"/>
          <w:szCs w:val="24"/>
          <w:lang w:val="en-GB"/>
        </w:rPr>
        <w:t xml:space="preserve">ew rules on information sharing and dissemination should significantly improve cooperation among prudential and anti-money laundering/countering the financing of terrorism </w:t>
      </w:r>
      <w:r>
        <w:rPr>
          <w:rFonts w:ascii="Times New Roman" w:eastAsia="Times New Roman" w:hAnsi="Times New Roman" w:cs="Times New Roman"/>
          <w:iCs/>
          <w:noProof/>
          <w:sz w:val="24"/>
          <w:szCs w:val="24"/>
          <w:lang w:val="en-GB"/>
        </w:rPr>
        <w:t>supervisors</w:t>
      </w:r>
      <w:r>
        <w:rPr>
          <w:rFonts w:ascii="Times New Roman" w:eastAsia="Times New Roman" w:hAnsi="Times New Roman" w:cs="Times New Roman"/>
          <w:noProof/>
          <w:sz w:val="24"/>
          <w:szCs w:val="24"/>
          <w:vertAlign w:val="superscript"/>
          <w:lang w:val="en-GB"/>
        </w:rPr>
        <w:footnoteReference w:id="10"/>
      </w:r>
      <w:r>
        <w:rPr>
          <w:rFonts w:ascii="Times New Roman" w:eastAsia="Times New Roman" w:hAnsi="Times New Roman" w:cs="Times New Roman"/>
          <w:iCs/>
          <w:noProof/>
          <w:sz w:val="24"/>
          <w:szCs w:val="24"/>
          <w:lang w:val="en-GB"/>
        </w:rPr>
        <w:t>, and strengthen the European Banking Authority’s role in ensuring compliance with Union rules and enhancing cooperation on issues related to anti-money laundering and combating of terrorism financing.</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en-GB"/>
        </w:rPr>
        <w:t xml:space="preserve">Moreover, Directive </w:t>
      </w:r>
      <w:r>
        <w:rPr>
          <w:rFonts w:ascii="Times New Roman" w:hAnsi="Times New Roman" w:cs="Times New Roman"/>
          <w:noProof/>
          <w:sz w:val="24"/>
          <w:szCs w:val="24"/>
          <w:lang w:val="en-IE"/>
        </w:rPr>
        <w:t>2018/1673 on combating money laundering by criminal law</w:t>
      </w:r>
      <w:r>
        <w:rPr>
          <w:rFonts w:ascii="Times New Roman" w:hAnsi="Times New Roman" w:cs="Times New Roman"/>
          <w:noProof/>
          <w:sz w:val="24"/>
          <w:szCs w:val="24"/>
          <w:vertAlign w:val="superscript"/>
          <w:lang w:val="en-IE"/>
        </w:rPr>
        <w:footnoteReference w:id="11"/>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eastAsia="en-GB"/>
        </w:rPr>
        <w:t xml:space="preserve">complements this preventive framework by harmonising the definition of the criminal offence of money laundering and related sanctions. </w:t>
      </w:r>
      <w:r>
        <w:rPr>
          <w:rFonts w:ascii="Times New Roman" w:eastAsia="Times New Roman" w:hAnsi="Times New Roman" w:cs="Times New Roman"/>
          <w:noProof/>
          <w:sz w:val="24"/>
          <w:szCs w:val="24"/>
        </w:rPr>
        <w:t>The Directive entered into force in December 2018 and Member States have until December 2020 to transpose it.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Directive 2019/1153 facilitating the the use of financial and other information</w:t>
      </w:r>
      <w:r>
        <w:rPr>
          <w:rStyle w:val="FootnoteReference"/>
          <w:rFonts w:ascii="Times New Roman" w:eastAsia="Times New Roman" w:hAnsi="Times New Roman" w:cs="Times New Roman"/>
          <w:noProof/>
          <w:sz w:val="24"/>
          <w:szCs w:val="24"/>
          <w:lang w:val="en-GB"/>
        </w:rPr>
        <w:footnoteReference w:id="12"/>
      </w:r>
      <w:r>
        <w:rPr>
          <w:rFonts w:ascii="Times New Roman" w:eastAsia="Times New Roman" w:hAnsi="Times New Roman" w:cs="Times New Roman"/>
          <w:noProof/>
          <w:sz w:val="24"/>
          <w:szCs w:val="24"/>
          <w:lang w:val="en-GB"/>
        </w:rPr>
        <w:t xml:space="preserve"> further strengthens the criminal law legal framework by speeding up the access to financial information for law enforcement authorities and by enhancing the exchange of financial information between law enforcement authorities and Financial Intelligence Units. The Directive will enter into force in August 2019 and Member States will have until August 2021 to transpose it.</w:t>
      </w:r>
    </w:p>
    <w:p>
      <w:pPr>
        <w:pStyle w:val="Heading1"/>
      </w:pPr>
      <w:r>
        <w:t>Money Laundering and Terrorism Financing Risks and Areas for Improvement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Despite the recent enhancement of the legislative framework, challenges remain. T</w:t>
      </w:r>
      <w:r>
        <w:rPr>
          <w:rFonts w:ascii="Times New Roman" w:eastAsia="Times New Roman" w:hAnsi="Times New Roman" w:cs="Times New Roman"/>
          <w:noProof/>
          <w:sz w:val="24"/>
          <w:szCs w:val="24"/>
        </w:rPr>
        <w:t>he Commission publishes today a series of reports that assess risks and identify areas for improvement.</w:t>
      </w:r>
    </w:p>
    <w:p>
      <w:pPr>
        <w:pStyle w:val="ListParagraph"/>
        <w:numPr>
          <w:ilvl w:val="0"/>
          <w:numId w:val="4"/>
        </w:num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Assessment of risks affecting the Union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Firstly, the Commission presents a</w:t>
      </w:r>
      <w:r>
        <w:rPr>
          <w:rFonts w:ascii="Times New Roman" w:hAnsi="Times New Roman" w:cs="Times New Roman"/>
          <w:b/>
          <w:noProof/>
          <w:sz w:val="24"/>
          <w:szCs w:val="24"/>
        </w:rPr>
        <w:t xml:space="preserve"> supranational risk assessment</w:t>
      </w:r>
      <w:r>
        <w:rPr>
          <w:rFonts w:ascii="Times New Roman" w:hAnsi="Times New Roman" w:cs="Times New Roman"/>
          <w:noProof/>
          <w:sz w:val="24"/>
          <w:szCs w:val="24"/>
        </w:rPr>
        <w:t xml:space="preserve"> of the money laundering and terrorist financing risks affecting the Union internal market and relating to cross border activities, as required by Article 6 of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It updates the first supranational risk assessment adopted in 2017</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and follows up on recommendations made to actors involved in the fight against money laundering and terrorist financing.</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The report shows that most recommendations of the first supranational risk assessment have been implemented by the various actors. At the same time, some horizontal vulnerabilities remain, particularly on anonymous products, on identification of beneficial owners and on new unregulated products like virtual assets. Some of them are expected to be addressed through the upcoming transposition of the 5</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Anti-Money Laundering Directive, for example through the inclusion of virtual currency providers in the scope of the Directive and the expansion and wider accessibility of beneficial ownership registers. Other horizontal vulnerabilities relating to Financial Intelligence Units and financial supervision have been identified in the </w:t>
      </w:r>
      <w:r>
        <w:rPr>
          <w:rFonts w:ascii="Times New Roman" w:hAnsi="Times New Roman" w:cs="Times New Roman"/>
          <w:noProof/>
          <w:sz w:val="24"/>
          <w:szCs w:val="24"/>
        </w:rPr>
        <w:t>Commission’s report on Financial Intelligence Units and the Commission’s report on the assessment of recent alleged anti-money laundering cases involving EU credit institutions</w:t>
      </w:r>
      <w:r>
        <w:rPr>
          <w:noProof/>
        </w:rPr>
        <w:t>.</w:t>
      </w:r>
      <w:r>
        <w:rPr>
          <w:rFonts w:ascii="Times New Roman" w:hAnsi="Times New Roman" w:cs="Times New Roman"/>
          <w:noProof/>
          <w:sz w:val="24"/>
          <w:szCs w:val="24"/>
        </w:rPr>
        <w:t xml:space="preserve"> The report makes recommendations for each sector and the compliance with these recommendations will be followed up in the next supranational risk assessment to be issued within two years.</w:t>
      </w:r>
    </w:p>
    <w:p>
      <w:pPr>
        <w:pStyle w:val="ListParagraph"/>
        <w:numPr>
          <w:ilvl w:val="0"/>
          <w:numId w:val="4"/>
        </w:numPr>
        <w:spacing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lang w:val="en-GB"/>
        </w:rPr>
        <w:t xml:space="preserve">Areas for improvement </w:t>
      </w:r>
      <w:r>
        <w:rPr>
          <w:rFonts w:ascii="Times New Roman" w:eastAsia="Calibri" w:hAnsi="Times New Roman" w:cs="Times New Roman"/>
          <w:b/>
          <w:noProof/>
          <w:sz w:val="24"/>
          <w:szCs w:val="24"/>
        </w:rPr>
        <w:t>of the EU anti-money laundering / terrorism financing framework</w:t>
      </w:r>
    </w:p>
    <w:p>
      <w:pPr>
        <w:spacing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The report </w:t>
      </w:r>
      <w:r>
        <w:rPr>
          <w:rFonts w:ascii="Times New Roman" w:hAnsi="Times New Roman" w:cs="Times New Roman"/>
          <w:noProof/>
          <w:sz w:val="24"/>
          <w:szCs w:val="24"/>
        </w:rPr>
        <w:t xml:space="preserve">on the </w:t>
      </w:r>
      <w:r>
        <w:rPr>
          <w:rFonts w:ascii="Times New Roman" w:hAnsi="Times New Roman" w:cs="Times New Roman"/>
          <w:b/>
          <w:noProof/>
          <w:sz w:val="24"/>
          <w:szCs w:val="24"/>
        </w:rPr>
        <w:t>assessment of recent alleged money laundering cases involving EU credit institutions</w:t>
      </w:r>
      <w:r>
        <w:rPr>
          <w:rFonts w:ascii="Times New Roman" w:hAnsi="Times New Roman" w:cs="Times New Roman"/>
          <w:noProof/>
          <w:sz w:val="24"/>
          <w:szCs w:val="24"/>
          <w:vertAlign w:val="superscript"/>
        </w:rPr>
        <w:footnoteReference w:id="15"/>
      </w:r>
      <w:r>
        <w:rPr>
          <w:rFonts w:ascii="Times New Roman" w:eastAsia="Calibri" w:hAnsi="Times New Roman" w:cs="Times New Roman"/>
          <w:noProof/>
          <w:sz w:val="24"/>
          <w:szCs w:val="24"/>
        </w:rPr>
        <w:t xml:space="preserve"> draws on facts from case studies covering a sample of ten public cases involving credit institutions during the period 2012-2018. It assesses the role of the credit institutions, and the powers and actions of the anti-money laundering/countering financing of terrorism and prudential supervisors. The report is presented as a response to </w:t>
      </w:r>
      <w:r>
        <w:rPr>
          <w:rFonts w:ascii="Times New Roman" w:eastAsia="Times New Roman" w:hAnsi="Times New Roman" w:cs="Times New Roman"/>
          <w:noProof/>
          <w:sz w:val="24"/>
          <w:szCs w:val="24"/>
        </w:rPr>
        <w:t>the Council conclusions on an Anti-Money Laundering action plan of 4 December 2018,</w:t>
      </w:r>
      <w:r>
        <w:rPr>
          <w:rFonts w:ascii="Times New Roman" w:eastAsia="Times New Roman" w:hAnsi="Times New Roman" w:cs="Times New Roman"/>
          <w:noProof/>
          <w:sz w:val="24"/>
          <w:szCs w:val="24"/>
          <w:vertAlign w:val="superscript"/>
        </w:rPr>
        <w:footnoteReference w:id="16"/>
      </w:r>
      <w:r>
        <w:rPr>
          <w:rFonts w:ascii="Times New Roman" w:eastAsia="Times New Roman" w:hAnsi="Times New Roman" w:cs="Times New Roman"/>
          <w:noProof/>
          <w:sz w:val="24"/>
          <w:szCs w:val="24"/>
        </w:rPr>
        <w:t xml:space="preserve"> that invited the Commission to conduct “a post-mortem review of the recent alleged money laundering cases involving EU credit institutions.” </w:t>
      </w:r>
    </w:p>
    <w:p>
      <w:pPr>
        <w:spacing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analysis of the selected cases revealed substantial incidents of failures by credit institutions to comply with core requirements of the Anti-Money Laundering Directive, such as risk assessment, customer due diligence, and reporting of suspicious transactions and activities to Financial Intelligence Units. In some cases, supervisors were effective in pre-emptively identifying shortcomings in credit institutions and requiring remedial action, but in a number of other cases, supervisors only intervened after significant risks had materialised or in the face of repeated compliance and governance failures. The timeliness and effectiveness of subsequent supervisory measures imposed on credit institutions varied greatly. Group supervision from an anti-money laundering and countering of financing terrorism perspective was largely deficient. Regulatory and supervisory fragmentation impinged on the effectiveness of cooperation among various actors concerned.</w:t>
      </w:r>
    </w:p>
    <w:p>
      <w:pPr>
        <w:spacing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The report on </w:t>
      </w:r>
      <w:r>
        <w:rPr>
          <w:rFonts w:ascii="Times New Roman" w:eastAsia="Times New Roman" w:hAnsi="Times New Roman" w:cs="Times New Roman"/>
          <w:b/>
          <w:noProof/>
          <w:sz w:val="24"/>
          <w:szCs w:val="24"/>
          <w:lang w:eastAsia="en-GB"/>
        </w:rPr>
        <w:t>Financial Intelligence Units</w:t>
      </w:r>
      <w:r>
        <w:rPr>
          <w:rFonts w:ascii="Times New Roman" w:eastAsia="Times New Roman" w:hAnsi="Times New Roman" w:cs="Times New Roman"/>
          <w:noProof/>
          <w:sz w:val="24"/>
          <w:szCs w:val="24"/>
          <w:vertAlign w:val="superscript"/>
          <w:lang w:eastAsia="en-GB"/>
        </w:rPr>
        <w:footnoteReference w:id="17"/>
      </w:r>
      <w:r>
        <w:rPr>
          <w:rFonts w:ascii="Times New Roman" w:eastAsia="Times New Roman" w:hAnsi="Times New Roman" w:cs="Times New Roman"/>
          <w:noProof/>
          <w:sz w:val="24"/>
          <w:szCs w:val="24"/>
          <w:lang w:eastAsia="en-GB"/>
        </w:rPr>
        <w:t xml:space="preserve"> </w:t>
      </w:r>
      <w:r>
        <w:rPr>
          <w:rFonts w:ascii="Times New Roman" w:eastAsia="Calibri" w:hAnsi="Times New Roman" w:cs="Times New Roman"/>
          <w:noProof/>
          <w:sz w:val="24"/>
          <w:szCs w:val="24"/>
        </w:rPr>
        <w:t>assesses the framework for Financial Intelligence Units’ cooperation with third countries and obstacles and opportunities to enhance cooperation between Financial Intelligence Units in the European Union, including the possi</w:t>
      </w:r>
      <w:r>
        <w:rPr>
          <w:rFonts w:ascii="Times New Roman" w:eastAsia="Calibri" w:hAnsi="Times New Roman" w:cs="Times New Roman"/>
          <w:noProof/>
          <w:sz w:val="24"/>
          <w:szCs w:val="24"/>
        </w:rPr>
        <w:softHyphen/>
        <w:t xml:space="preserve">bility of establishing a coordination and support mechanism. The report is published in response to the legal obligation on the Commission under Article 65(2) of the Anti-Money Laundering Directive.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assessment showed that some Financial Intelligence Units fail to engage in a meaningful dialogue with obliged entities by giving quality feedback on suspicious transaction reports. The lack of templates for reporting also hampers the quality of the reports by obliged entities. Several Financial Intelligence Units do not fully comply with their obligation to exchange information with other Financial Intelligence Units. </w:t>
      </w:r>
      <w:r>
        <w:rPr>
          <w:rFonts w:ascii="Times New Roman" w:eastAsia="Calibri" w:hAnsi="Times New Roman" w:cs="Times New Roman"/>
          <w:noProof/>
          <w:sz w:val="24"/>
          <w:szCs w:val="24"/>
          <w:lang w:val="en-GB"/>
        </w:rPr>
        <w:t xml:space="preserve">The recurrent technical difficulties in the functioning of the FIU.net seem to have been an important factor and make it more cumbersome for </w:t>
      </w:r>
      <w:r>
        <w:rPr>
          <w:rFonts w:ascii="Times New Roman" w:eastAsia="Calibri" w:hAnsi="Times New Roman" w:cs="Times New Roman"/>
          <w:noProof/>
          <w:sz w:val="24"/>
          <w:szCs w:val="24"/>
        </w:rPr>
        <w:t>Financial Intelligence Units</w:t>
      </w:r>
      <w:r>
        <w:rPr>
          <w:rFonts w:ascii="Times New Roman" w:eastAsia="Calibri" w:hAnsi="Times New Roman" w:cs="Times New Roman"/>
          <w:noProof/>
          <w:sz w:val="24"/>
          <w:szCs w:val="24"/>
          <w:lang w:val="en-GB"/>
        </w:rPr>
        <w:t xml:space="preserve"> to share information.</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lang w:val="en-GB"/>
        </w:rPr>
        <w:t xml:space="preserve">The assessment also showed that the lack of regulation of exchanges of information between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rPr>
        <w:t>Financial Intelligence Units</w:t>
      </w:r>
      <w:r>
        <w:rPr>
          <w:rFonts w:ascii="Times New Roman" w:eastAsia="Calibri" w:hAnsi="Times New Roman" w:cs="Times New Roman"/>
          <w:noProof/>
          <w:sz w:val="24"/>
          <w:szCs w:val="24"/>
          <w:lang w:val="en-GB"/>
        </w:rPr>
        <w:t xml:space="preserve">  and </w:t>
      </w:r>
      <w:r>
        <w:rPr>
          <w:rFonts w:ascii="Times New Roman" w:eastAsia="Calibri" w:hAnsi="Times New Roman" w:cs="Times New Roman"/>
          <w:noProof/>
          <w:sz w:val="24"/>
          <w:szCs w:val="24"/>
        </w:rPr>
        <w:t>Financial Intelligence Units</w:t>
      </w:r>
      <w:r>
        <w:rPr>
          <w:rFonts w:ascii="Times New Roman" w:eastAsia="Calibri" w:hAnsi="Times New Roman" w:cs="Times New Roman"/>
          <w:noProof/>
          <w:sz w:val="24"/>
          <w:szCs w:val="24"/>
          <w:lang w:val="en-GB"/>
        </w:rPr>
        <w:t xml:space="preserve"> of third countries led to a non-harmonised approach to such exchanges. The compliance of such exchanges with the Union’s data protection framework also needs to be ensured.</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Finally, the report on the </w:t>
      </w:r>
      <w:r>
        <w:rPr>
          <w:rFonts w:ascii="Times New Roman" w:eastAsia="Times New Roman" w:hAnsi="Times New Roman" w:cs="Times New Roman"/>
          <w:b/>
          <w:noProof/>
          <w:sz w:val="24"/>
          <w:szCs w:val="24"/>
        </w:rPr>
        <w:t>interconnection of national centralised automated mechanisms of the Member States on bank accounts</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vertAlign w:val="superscript"/>
        </w:rPr>
        <w:footnoteReference w:id="18"/>
      </w:r>
      <w:r>
        <w:rPr>
          <w:rFonts w:ascii="Times New Roman" w:eastAsia="Times New Roman" w:hAnsi="Times New Roman" w:cs="Times New Roman"/>
          <w:noProof/>
          <w:sz w:val="24"/>
          <w:szCs w:val="24"/>
        </w:rPr>
        <w:t xml:space="preserve"> is presented as a response to </w:t>
      </w:r>
      <w:r>
        <w:rPr>
          <w:rFonts w:ascii="Times New Roman" w:hAnsi="Times New Roman" w:cs="Times New Roman"/>
          <w:noProof/>
          <w:sz w:val="24"/>
          <w:szCs w:val="24"/>
        </w:rPr>
        <w:t xml:space="preserve">Article 32a(5) of the Anti-Money Laundering Directive which requires the Commission to assess the conditions and the technical specifications and procedures for ensuring secure and efficient interconnection of the centralised automated mechanisms. Therefore, the report assesses the various IT solutions at EU level, already operational or being currently under development, which may serve as models for a possible interconnection of the centralised mechanisms. </w:t>
      </w:r>
      <w:r>
        <w:rPr>
          <w:rFonts w:ascii="Times New Roman" w:hAnsi="Times New Roman" w:cs="Times New Roman"/>
          <w:noProof/>
          <w:sz w:val="24"/>
          <w:szCs w:val="24"/>
          <w:lang w:val="en-GB"/>
        </w:rPr>
        <w:t xml:space="preserve">The report concludes that the interconnection is technically feasible and that, given that a future EU-wide interconnection of the centralised mechanisms would speed up access to financial information and facilitate cross border cooperation, the Commission intends to further consult with relevant stakeholders, governments, as well as </w:t>
      </w:r>
      <w:r>
        <w:rPr>
          <w:rFonts w:ascii="Times New Roman" w:eastAsia="Calibri" w:hAnsi="Times New Roman" w:cs="Times New Roman"/>
          <w:noProof/>
          <w:sz w:val="24"/>
          <w:szCs w:val="24"/>
        </w:rPr>
        <w:t>Financial Intelligence Units</w:t>
      </w:r>
      <w:r>
        <w:rPr>
          <w:rFonts w:ascii="Times New Roman" w:hAnsi="Times New Roman" w:cs="Times New Roman"/>
          <w:noProof/>
          <w:sz w:val="24"/>
          <w:szCs w:val="24"/>
          <w:lang w:val="en-GB"/>
        </w:rPr>
        <w:t xml:space="preserve"> , law enforcement authorities and Asset Recovery Offices as potential “end-users” of a possible interconnection system. </w:t>
      </w:r>
      <w:r>
        <w:rPr>
          <w:rFonts w:ascii="Times New Roman" w:hAnsi="Times New Roman" w:cs="Times New Roman"/>
          <w:noProof/>
          <w:sz w:val="24"/>
          <w:szCs w:val="24"/>
        </w:rPr>
        <w:t>For an interconnection to be achieved, a legislative instrument would be required.</w:t>
      </w:r>
    </w:p>
    <w:p>
      <w:pPr>
        <w:pStyle w:val="Heading1"/>
      </w:pPr>
      <w:r>
        <w:t xml:space="preserve">Conclusion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fight against money laundering and terrorist financing is a continuous task underpinned by a regulatory framework that requires regular updates to keep pace with new developments. Much has been achieved to improve the existing framework, particularly through the legislative adjustments made in recent years. Yet there are major divergences in the application of the framework, presenting a structural problem in the Union’s capacity to prevent that the financial system is used for illegitimate purposes.</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an integrated internal market, fragmentation and failures in the application of the legal framework pose threats to the integrity of the Union’s financial system and the Union’s security more generally. This </w:t>
      </w:r>
      <w:r>
        <w:rPr>
          <w:rFonts w:ascii="Times New Roman" w:hAnsi="Times New Roman" w:cs="Times New Roman"/>
          <w:noProof/>
          <w:sz w:val="24"/>
          <w:szCs w:val="24"/>
        </w:rPr>
        <w:t>calls for continued determined, rapid and coherent action to ensure legislation on anti-money laundering /countering the financing of terrorism is fully implemented in a coherent and effective manner, notably by key competent authorities such as supervisors and Financial Intelligence Units.</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Commission will continue to monitor the implementation of the updated legal framework and of the recommendations in its supranational risk assessment</w:t>
      </w:r>
      <w:r>
        <w:rPr>
          <w:rFonts w:ascii="Times New Roman" w:eastAsia="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8834"/>
      </w:tblGrid>
      <w:tr>
        <w:tc>
          <w:tcPr>
            <w:tcW w:w="8834" w:type="dxa"/>
            <w:tcBorders>
              <w:top w:val="nil"/>
              <w:left w:val="nil"/>
              <w:bottom w:val="nil"/>
              <w:right w:val="nil"/>
            </w:tcBorders>
          </w:tcPr>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Whereas many risks and shortcomings have already been or will shortly be addressed thanks to the recent changes in the regulatory framework, some of the shortcomings identified are structural in their nature and have not yet been addressed.</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findings in the reports adopted today are intended to inform the debate about how the framework for anti-money laundering and countering the financing of terrorism could be further improved and to provide the basis for further discussions with  relevant stakeholders.</w:t>
            </w:r>
          </w:p>
          <w:p>
            <w:pPr>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Consideration could be given to further harmonising the anti-money laundering/countering the financing of terrorism rulebook. One option would be the transformation of the Anti-Money Laundering Directive into a Regulation, which would have the potential of setting a harmonised, directly applicable Union regulatory anti-money laundering framework. Different alternatives could also be envisaged in order to ensure high quality and consistent anti-money laundering supervision of the financial sector, which may require conferring specific anti-money laundering supervisory tasks to a Union body. Moreover, the assessments show a need for a stronger mechanism to </w:t>
            </w:r>
            <w:r>
              <w:rPr>
                <w:rFonts w:ascii="Times New Roman" w:eastAsia="Times New Roman" w:hAnsi="Times New Roman" w:cs="Times New Roman"/>
                <w:bCs/>
                <w:noProof/>
                <w:sz w:val="24"/>
                <w:szCs w:val="24"/>
              </w:rPr>
              <w:t>coordinate and support cross-border cooperation and analysis</w:t>
            </w:r>
            <w:r>
              <w:rPr>
                <w:rFonts w:ascii="Times New Roman" w:eastAsia="Times New Roman" w:hAnsi="Times New Roman" w:cs="Times New Roman"/>
                <w:noProof/>
                <w:sz w:val="24"/>
                <w:szCs w:val="24"/>
              </w:rPr>
              <w:t xml:space="preserve"> by Financial Intelligence Units.</w:t>
            </w:r>
            <w:r>
              <w:rPr>
                <w:rFonts w:ascii="Times New Roman" w:eastAsia="Calibri"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6863"/>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Europol is the EU’s law enforcement agency, </w:t>
      </w:r>
      <w:hyperlink r:id="rId1" w:history="1">
        <w:r>
          <w:rPr>
            <w:rStyle w:val="Hyperlink"/>
          </w:rPr>
          <w:t>https://www.europol.europa.eu/</w:t>
        </w:r>
      </w:hyperlink>
    </w:p>
  </w:footnote>
  <w:footnote w:id="2">
    <w:p>
      <w:pPr>
        <w:pStyle w:val="FootnoteText"/>
        <w:ind w:left="284" w:hanging="284"/>
      </w:pPr>
      <w:r>
        <w:rPr>
          <w:rStyle w:val="FootnoteReference"/>
        </w:rPr>
        <w:footnoteRef/>
      </w:r>
      <w:r>
        <w:t xml:space="preserve"> Europol Financial Intelligence Group, Report ‘</w:t>
      </w:r>
      <w:r>
        <w:rPr>
          <w:i/>
        </w:rPr>
        <w:t>From suspicion to action’</w:t>
      </w:r>
      <w:r>
        <w:t>, 2017:</w:t>
      </w:r>
    </w:p>
    <w:p>
      <w:pPr>
        <w:pStyle w:val="FootnoteText"/>
        <w:rPr>
          <w:color w:val="0563C1" w:themeColor="hyperlink"/>
          <w:u w:val="single"/>
        </w:rPr>
      </w:pPr>
      <w:hyperlink r:id="rId2" w:history="1">
        <w:r>
          <w:rPr>
            <w:rStyle w:val="Hyperlink"/>
          </w:rPr>
          <w:t>https://www.europol.europa.eu/publications-documents/suspicion-to-action-converting-financial-intelligence-greater-operational-impact</w:t>
        </w:r>
      </w:hyperlink>
    </w:p>
  </w:footnote>
  <w:footnote w:id="3">
    <w:p>
      <w:pPr>
        <w:pStyle w:val="FootnoteText"/>
      </w:pPr>
      <w:r>
        <w:rPr>
          <w:rStyle w:val="FootnoteReference"/>
        </w:rPr>
        <w:footnoteRef/>
      </w:r>
      <w:r>
        <w:t xml:space="preserve"> Report from the Commission to the European Parliament and the Council on the assessment of the risk of money laundering and terrorist financing affecting the internal market and relating to cross-border activities  COM (2019) 370.</w:t>
      </w:r>
    </w:p>
  </w:footnote>
  <w:footnote w:id="4">
    <w:p>
      <w:pPr>
        <w:pStyle w:val="FootnoteText"/>
      </w:pPr>
      <w:r>
        <w:rPr>
          <w:rStyle w:val="FootnoteReference"/>
        </w:rPr>
        <w:footnoteRef/>
      </w:r>
      <w:r>
        <w:t xml:space="preserve"> Report from the Commission to the European Parliament and the Council assessing the framework for cooperation between Financial Intelligence Units COM(2019) 371</w:t>
      </w:r>
    </w:p>
  </w:footnote>
  <w:footnote w:id="5">
    <w:p>
      <w:pPr>
        <w:pStyle w:val="FootnoteText"/>
      </w:pPr>
      <w:r>
        <w:rPr>
          <w:rStyle w:val="FootnoteReference"/>
        </w:rPr>
        <w:footnoteRef/>
      </w:r>
      <w:r>
        <w:t xml:space="preserve"> Report from the Commission to the European Parliament and the on the interconnection of national centralised automated mechanisms (central registries or central electronic data retrieval systems) of the Member States on bank accounts COM(2019) 372.</w:t>
      </w:r>
    </w:p>
  </w:footnote>
  <w:footnote w:id="6">
    <w:p>
      <w:pPr>
        <w:pStyle w:val="FootnoteText"/>
      </w:pPr>
      <w:r>
        <w:rPr>
          <w:rStyle w:val="FootnoteReference"/>
        </w:rPr>
        <w:footnoteRef/>
      </w:r>
      <w: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r>
        <w:rPr>
          <w:i/>
        </w:rPr>
        <w:t>.</w:t>
      </w:r>
    </w:p>
  </w:footnote>
  <w:footnote w:id="7">
    <w:p>
      <w:pPr>
        <w:pStyle w:val="FootnoteText"/>
      </w:pPr>
      <w:r>
        <w:rPr>
          <w:rStyle w:val="FootnoteReference"/>
        </w:rPr>
        <w:footnoteRef/>
      </w:r>
      <w:r>
        <w:t xml:space="preserve"> The Commission is assessing the transposition of the 4th Anti-Money Laundering Directive, while also working to verify that the rules are implemented by Member States. The Commission has launched infringement procedures against all 28 Member States as it assessed that the communications received from the Member States did not represent a complete transposition of this Directive.</w:t>
      </w:r>
    </w:p>
  </w:footnote>
  <w:footnote w:id="8">
    <w:p>
      <w:pPr>
        <w:pStyle w:val="FootnoteText"/>
        <w:ind w:left="284" w:hanging="284"/>
      </w:pPr>
      <w:r>
        <w:rPr>
          <w:rStyle w:val="FootnoteReference"/>
        </w:rPr>
        <w:footnoteRef/>
      </w:r>
      <w:r>
        <w:t xml:space="preserve"> COM(2016) 050 final.</w:t>
      </w:r>
    </w:p>
  </w:footnote>
  <w:footnote w:id="9">
    <w:p>
      <w:pPr>
        <w:pStyle w:val="FootnoteText"/>
      </w:pPr>
      <w:r>
        <w:rPr>
          <w:rStyle w:val="FootnoteReference"/>
        </w:rPr>
        <w:footnoteRef/>
      </w:r>
      <w: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 OJ L 156, 19.6.2018, p. 43.</w:t>
      </w:r>
    </w:p>
  </w:footnote>
  <w:footnote w:id="10">
    <w:p>
      <w:pPr>
        <w:pStyle w:val="FootnoteText"/>
      </w:pPr>
      <w:r>
        <w:rPr>
          <w:rStyle w:val="FootnoteReference"/>
        </w:rPr>
        <w:footnoteRef/>
      </w:r>
      <w:r>
        <w:t xml:space="preserve">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OJ L 150, 7.6.2019.</w:t>
      </w:r>
    </w:p>
  </w:footnote>
  <w:footnote w:id="11">
    <w:p>
      <w:pPr>
        <w:pStyle w:val="FootnoteText"/>
        <w:rPr>
          <w:lang w:val="en-IE"/>
        </w:rPr>
      </w:pPr>
      <w:r>
        <w:rPr>
          <w:rStyle w:val="FootnoteReference"/>
        </w:rPr>
        <w:footnoteRef/>
      </w:r>
      <w:r>
        <w:t xml:space="preserve"> </w:t>
      </w:r>
      <w:r>
        <w:rPr>
          <w:lang w:val="en-IE"/>
        </w:rPr>
        <w:t>Directive (EU) 2018/1673 of the European Parliament and of the Council of 23 October 2018 on combating money laundering by criminal law; PE/30/2018/REV/1; OJ L 284, 12.11.2018, p. 22–30.</w:t>
      </w:r>
    </w:p>
  </w:footnote>
  <w:footnote w:id="12">
    <w:p>
      <w:pPr>
        <w:pStyle w:val="FootnoteText"/>
      </w:pPr>
      <w:r>
        <w:rPr>
          <w:rStyle w:val="FootnoteReference"/>
        </w:rPr>
        <w:footnoteRef/>
      </w:r>
      <w:r>
        <w:t xml:space="preserve"> Directive (EU) of the European Parliament and the Council of 20 June 2019 laying down rules facilitation the use of financial and other inforamtion for the prevention, detection, investigation or presecution of certain criminal offences, and repealing Council Decision 2000/642/JHA, OJ L 186, 11.7.2019.</w:t>
      </w:r>
    </w:p>
  </w:footnote>
  <w:footnote w:id="13">
    <w:p>
      <w:pPr>
        <w:pStyle w:val="FootnoteText"/>
      </w:pPr>
      <w:r>
        <w:rPr>
          <w:rStyle w:val="FootnoteReference"/>
        </w:rPr>
        <w:footnoteRef/>
      </w:r>
      <w:r>
        <w:t xml:space="preserve"> COM(2017) 340 final, 26.6.2017.</w:t>
      </w:r>
    </w:p>
  </w:footnote>
  <w:footnote w:id="14">
    <w:p>
      <w:pPr>
        <w:pStyle w:val="FootnoteText"/>
        <w:rPr>
          <w:lang w:val="en-US"/>
        </w:rPr>
      </w:pPr>
      <w:r>
        <w:rPr>
          <w:rStyle w:val="FootnoteReference"/>
        </w:rPr>
        <w:footnoteRef/>
      </w:r>
      <w:r>
        <w:t xml:space="preserve"> The assessment of risks associated with third countries posing significant threats to the Union financial system remains a distinct process from this supranational risk assessment and is conducted through the Commission delegated acts identifying such high-risk third countries. The current list of high-risk third countries is set out in Commission Delegated Regulation (EU) 2016/1675 of 14 July 2016 supplementing Directive (EU) 2015/849 of the European Parliament and of the Council by identifying high-risk third countries with strategic deficiencies, as last amended by Delegated Regulation (EU) 2018/1467 of 27 July 2018. Following the Council’s rejection of the Delegated Regulation adopted by the Commission on 13 February 2019, which would have replaced the current list, the Commission is engaging with the European Parliament and Council on a refined methodology and has intensified its engagement with relevant third countries and with the Financial Action Task Force (FATF).  </w:t>
      </w:r>
    </w:p>
  </w:footnote>
  <w:footnote w:id="15">
    <w:p>
      <w:pPr>
        <w:spacing w:after="0" w:line="240" w:lineRule="auto"/>
        <w:jc w:val="both"/>
      </w:pPr>
      <w:r>
        <w:rPr>
          <w:rStyle w:val="FootnoteReference"/>
          <w:rFonts w:ascii="Times New Roman" w:hAnsi="Times New Roman" w:cs="Times New Roman"/>
        </w:rPr>
        <w:footnoteRef/>
      </w:r>
      <w:r>
        <w:t xml:space="preserve"> </w:t>
      </w:r>
      <w:r>
        <w:rPr>
          <w:rFonts w:ascii="Times New Roman" w:hAnsi="Times New Roman" w:cs="Times New Roman"/>
          <w:sz w:val="20"/>
          <w:szCs w:val="20"/>
        </w:rPr>
        <w:t>Report from the Commission to the European Parliament and the Council on the assessment of recent alleged money laundering cases involving EU credit institutions  COM(2019) 373.</w:t>
      </w:r>
    </w:p>
  </w:footnote>
  <w:footnote w:id="16">
    <w:p>
      <w:pPr>
        <w:pStyle w:val="FootnoteText"/>
        <w:rPr>
          <w:lang w:val="en-IE"/>
        </w:rPr>
      </w:pPr>
      <w:r>
        <w:rPr>
          <w:rStyle w:val="FootnoteReference"/>
        </w:rPr>
        <w:footnoteRef/>
      </w:r>
      <w:r>
        <w:t xml:space="preserve"> </w:t>
      </w:r>
      <w:hyperlink r:id="rId3" w:history="1">
        <w:r>
          <w:rPr>
            <w:rStyle w:val="Hyperlink"/>
          </w:rPr>
          <w:t>https://www.consilium.europa.eu/en/press/press-releases/2018/12/04/money-laundering-council-adopts-conclusions-on-an-action-plan-for-enhanced-monitoring/</w:t>
        </w:r>
      </w:hyperlink>
    </w:p>
  </w:footnote>
  <w:footnote w:id="17">
    <w:p>
      <w:pPr>
        <w:pStyle w:val="FootnoteText"/>
      </w:pPr>
      <w:r>
        <w:rPr>
          <w:rStyle w:val="FootnoteReference"/>
        </w:rPr>
        <w:footnoteRef/>
      </w:r>
      <w:r>
        <w:t xml:space="preserve"> Report from the Commission to the European Parliament and the Council assessing the framework for cooperation between Financial Intelligence Units COM(2019) 371.</w:t>
      </w:r>
    </w:p>
  </w:footnote>
  <w:footnote w:id="18">
    <w:p>
      <w:pPr>
        <w:pStyle w:val="FootnoteText"/>
      </w:pPr>
      <w:r>
        <w:rPr>
          <w:rStyle w:val="FootnoteReference"/>
        </w:rPr>
        <w:footnoteRef/>
      </w:r>
      <w:r>
        <w:t xml:space="preserve"> Report from the Commission to the European Parliament and the on the interconnection of national centralised automated mechanisms (central registries or central electronic data retrieval systems) of the Member States on bank accounts COM(2019) 372.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6C6"/>
    <w:multiLevelType w:val="hybridMultilevel"/>
    <w:tmpl w:val="A9B06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5C508D"/>
    <w:multiLevelType w:val="hybridMultilevel"/>
    <w:tmpl w:val="DE24BF1C"/>
    <w:lvl w:ilvl="0" w:tplc="D6728FDC">
      <w:start w:val="1"/>
      <w:numFmt w:val="upperRoman"/>
      <w:pStyle w:val="Heading1"/>
      <w:lvlText w:val="%1."/>
      <w:lvlJc w:val="righ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583DBA"/>
    <w:multiLevelType w:val="hybridMultilevel"/>
    <w:tmpl w:val="BF3AA91C"/>
    <w:lvl w:ilvl="0" w:tplc="65563198">
      <w:start w:val="1"/>
      <w:numFmt w:val="upperRoman"/>
      <w:lvlText w:val="%1."/>
      <w:lvlJc w:val="left"/>
      <w:pPr>
        <w:ind w:left="1080" w:hanging="720"/>
      </w:pPr>
      <w:rPr>
        <w:rFonts w:hint="default"/>
      </w:rPr>
    </w:lvl>
    <w:lvl w:ilvl="1" w:tplc="361AF990">
      <w:start w:val="1"/>
      <w:numFmt w:val="lowerLetter"/>
      <w:lvlText w:val="%2)"/>
      <w:lvlJc w:val="left"/>
      <w:pPr>
        <w:ind w:left="1170" w:hanging="9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CONNELL Kevin (CAB-JOUROVA)">
    <w15:presenceInfo w15:providerId="None" w15:userId="O'CONNELL Kevin (CAB-JOU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F6F1D8-7DED-4706-BC9E-3C7531BF127C"/>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wards better implementation of the EU\u8217?s anti-money laundering and countering the financing of terrorism framework _x000b__x000b_"/>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w:eastAsiaTheme="majorEastAsia" w:hAnsi="Times New Roman" w:cstheme="majorBidi"/>
      <w:b/>
      <w:smallCaps/>
      <w:noProof/>
      <w:kern w:val="28"/>
      <w:sz w:val="28"/>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en-GB"/>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qFormat/>
    <w:pPr>
      <w:spacing w:after="0" w:line="240" w:lineRule="auto"/>
      <w:jc w:val="both"/>
    </w:pPr>
    <w:rPr>
      <w:rFonts w:ascii="Times New Roman" w:eastAsia="Times New Roman" w:hAnsi="Times New Roman" w:cs="Times New Roman"/>
      <w:noProof/>
      <w:sz w:val="20"/>
      <w:szCs w:val="20"/>
      <w:lang w:val="en-GB"/>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noProof/>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w:eastAsiaTheme="majorEastAsia" w:hAnsi="Times New Roman" w:cstheme="majorBidi"/>
      <w:b/>
      <w:smallCaps/>
      <w:noProof/>
      <w:kern w:val="28"/>
      <w:sz w:val="28"/>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smallCaps/>
      <w:noProof/>
      <w:kern w:val="28"/>
      <w:sz w:val="28"/>
      <w:szCs w:val="32"/>
      <w:lang w:val="en-GB"/>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qFormat/>
    <w:pPr>
      <w:spacing w:after="0" w:line="240" w:lineRule="auto"/>
      <w:jc w:val="both"/>
    </w:pPr>
    <w:rPr>
      <w:rFonts w:ascii="Times New Roman" w:eastAsia="Times New Roman" w:hAnsi="Times New Roman" w:cs="Times New Roman"/>
      <w:noProof/>
      <w:sz w:val="20"/>
      <w:szCs w:val="20"/>
      <w:lang w:val="en-GB"/>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noProof/>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8/12/04/money-laundering-council-adopts-conclusions-on-an-action-plan-for-enhanced-monitoring/" TargetMode="External"/><Relationship Id="rId2" Type="http://schemas.openxmlformats.org/officeDocument/2006/relationships/hyperlink" Target="https://www.europol.europa.eu/publications-documents/suspicion-to-action-converting-financial-intelligence-greater-operational-impact" TargetMode="External"/><Relationship Id="rId1" Type="http://schemas.openxmlformats.org/officeDocument/2006/relationships/hyperlink" Target="https://www.europol.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5D718A-4C33-4D22-8F4B-986A51FC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1820</Words>
  <Characters>10976</Characters>
  <Application>Microsoft Office Word</Application>
  <DocSecurity>0</DocSecurity>
  <Lines>177</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2019-07-22T10:41:00Z</dcterms:created>
  <dcterms:modified xsi:type="dcterms:W3CDTF">2019-07-22T14:52:00Z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