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546D010-7061-4048-89D3-AE0B1177662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850"/>
        </w:tabs>
        <w:spacing w:before="360" w:after="120" w:line="240" w:lineRule="auto"/>
        <w:ind w:left="850" w:hanging="850"/>
        <w:jc w:val="both"/>
        <w:outlineLvl w:val="0"/>
        <w:rPr>
          <w:rFonts w:ascii="Times New Roman" w:hAnsi="Times New Roman" w:cs="Times New Roman"/>
          <w:b/>
          <w:smallCaps/>
          <w:noProof/>
          <w:sz w:val="24"/>
          <w:szCs w:val="24"/>
        </w:rPr>
      </w:pPr>
      <w:bookmarkStart w:id="1" w:name="_Toc158436259"/>
      <w:bookmarkStart w:id="2" w:name="_GoBack"/>
      <w:bookmarkEnd w:id="2"/>
      <w:r>
        <w:rPr>
          <w:rFonts w:ascii="Times New Roman" w:hAnsi="Times New Roman" w:cs="Times New Roman"/>
          <w:b/>
          <w:smallCaps/>
          <w:noProof/>
          <w:sz w:val="24"/>
          <w:szCs w:val="24"/>
        </w:rPr>
        <w:lastRenderedPageBreak/>
        <w:t>Въведение</w:t>
      </w:r>
      <w:bookmarkEnd w:id="1"/>
    </w:p>
    <w:p>
      <w:pPr>
        <w:keepNext/>
        <w:numPr>
          <w:ilvl w:val="1"/>
          <w:numId w:val="30"/>
        </w:numPr>
        <w:spacing w:before="120" w:after="120" w:line="240" w:lineRule="auto"/>
        <w:jc w:val="both"/>
        <w:outlineLvl w:val="1"/>
        <w:rPr>
          <w:rFonts w:ascii="Times New Roman" w:hAnsi="Times New Roman" w:cs="Times New Roman"/>
          <w:b/>
          <w:noProof/>
          <w:sz w:val="24"/>
          <w:szCs w:val="24"/>
        </w:rPr>
      </w:pPr>
      <w:r>
        <w:rPr>
          <w:rFonts w:ascii="Times New Roman" w:hAnsi="Times New Roman" w:cs="Times New Roman"/>
          <w:b/>
          <w:noProof/>
          <w:sz w:val="24"/>
          <w:szCs w:val="24"/>
        </w:rPr>
        <w:t>Контекст</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1.1.1. Приложно поле на Рамковото решение и обхват на доклада</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Рамково решение 2003/568/ПВР на Съвета от 22 юли 2003 г. относно борбата с корупцията в частния сектор</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(наричано по-нататък „Рамковото решение“) има за цел да се гарантира, че:</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както активната, така и пасивната корупция в частния сектор са дефинирани като престъпление във всички държави — членки на ЕС; </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 юридическите лица (т.е. стопански субекти, неправителствени организации или публични организации) също може да се търси отговорност за тези престъпления; както и</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за тези престъпления се налагат ефективни, съразмерни и възпиращи санкции.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Член 2 се прилага за „стопанската дейност на субекти със стопанска или нестопанска цел“, което ограничава приложното поле на Рамковото решение до корупцията, извършена от лица от частния сектор.</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Съгласно Рамковото решение държавите членки обявяват за наказуеми два вида поведение:</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обещаване, предлагане или даване на подкуп на лице от частния сектор, за да извърши или да се въздържи от дадено действие в нарушение на неговите задължения;</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поискване или получаване на подкуп или приемане на обещание за такъв подкуп от лице, което работи в частния сектор, за да извърши или да се въздържи от дадено действие в нарушение на неговите задължения.</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Член 9, параграф 1 от Рамковото решение изисква държавите членки да предприемат мерките, необходими за да се съобразят с разпоредбите на това рамково решение, преди 22 юли 2005 г. Съгласно член 9, параграф 2 от тях се изисква да предадат на Съвета и на Комисията текста на разпоредбите за транспониране в тяхното национално право на задълженията, които произтичат от Рамковото решение.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че първоначално Рамковото решение се прилагаше за Обединеното кралство, на 1 септември 2014 г.  Обединеното кралство реши да не го транспонира в националното си право въз основа на член 10, параграф 4 от </w:t>
      </w:r>
      <w:r>
        <w:rPr>
          <w:rFonts w:ascii="Times New Roman" w:hAnsi="Times New Roman" w:cs="Times New Roman"/>
          <w:noProof/>
          <w:color w:val="000000"/>
          <w:sz w:val="24"/>
          <w:szCs w:val="24"/>
        </w:rPr>
        <w:t>Протокол 36, приложен към Договорите</w:t>
      </w:r>
      <w:r>
        <w:rPr>
          <w:rStyle w:val="FootnoteReference"/>
          <w:rFonts w:ascii="Times New Roman" w:hAnsi="Times New Roman" w:cs="Times New Roman"/>
          <w:noProof/>
          <w:sz w:val="24"/>
          <w:szCs w:val="24"/>
        </w:rPr>
        <w:footnoteReference w:id="3"/>
      </w:r>
      <w:r>
        <w:rPr>
          <w:rFonts w:ascii="Times New Roman" w:hAnsi="Times New Roman" w:cs="Times New Roman"/>
          <w:noProof/>
          <w:color w:val="000000"/>
          <w:sz w:val="24"/>
          <w:szCs w:val="24"/>
        </w:rPr>
        <w:t>. Следователно настоящият доклад не обхваща Обединеното кралство.</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1.1.2. Цел на настоящия доклад за изпълнението</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Договора от Лисабон бяха въведени съществени промени в пространството на свобода, сигурност и правосъдие. На 1 декември 2014 г. петгодишният преходен период, предвиден в </w:t>
      </w:r>
      <w:r>
        <w:rPr>
          <w:rFonts w:ascii="Times New Roman" w:hAnsi="Times New Roman" w:cs="Times New Roman"/>
          <w:noProof/>
          <w:color w:val="000000"/>
          <w:sz w:val="24"/>
          <w:szCs w:val="24"/>
        </w:rPr>
        <w:t>член 10, параграф 1 от Протокол 36, приложен към Договорите,</w:t>
      </w:r>
      <w:r>
        <w:rPr>
          <w:rFonts w:ascii="Times New Roman" w:hAnsi="Times New Roman" w:cs="Times New Roman"/>
          <w:noProof/>
          <w:sz w:val="24"/>
          <w:szCs w:val="24"/>
        </w:rPr>
        <w:t xml:space="preserve"> изтече. С това бяха премахнати ограниченията върху съдебния контрол от страна на Съда на Европейския съюз и върху изпълнителните правомощия на Комисията в областите полицейско сътрудничество и съдебно сътрудничество по наказателноправни въпроси. Тези съществени промени допринесоха за ефективността на свободата, сигурността и правосъдието в ЕС и засилиха взаимното доверие между държавите членки и доверието на гражданите на ЕС.</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публикуването на последните доклади за изпълнението на Комисията през 2007 г.</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и 2011 г.</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в някои от държавите членки бяха изпълнени някои важни реформи в областта на наказателното право. Освен това инкриминирането на активното и пасивното подкупване, включително в частния сектор, е задължително по силата на Наказателната конвенция относно корупцията на Съвета на Европа и Конвенцията на ООН срещу корупцията (UNCAC)</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по която всички държави членки са страни. Тези развития доведоха до по-нататъшно хармонизиране от държавите членки на националните мерки за изпълнение в съответствие с международните и европейските стандарти. В настоящия трети доклад за изпълнението се прави преглед на новите развития и се информират съзаконодателите и широката общественост за напредъка на държавите членки в тази област. Констатациите от настоящия доклад не засягат правоприлагащите правомощия на Комисията по силата на Договорите.</w:t>
      </w:r>
    </w:p>
    <w:p>
      <w:pPr>
        <w:autoSpaceDE w:val="0"/>
        <w:autoSpaceDN w:val="0"/>
        <w:adjustRightInd w:val="0"/>
        <w:spacing w:before="120" w:after="120" w:line="240" w:lineRule="auto"/>
        <w:jc w:val="both"/>
        <w:rPr>
          <w:rFonts w:ascii="Times New Roman" w:hAnsi="Times New Roman" w:cs="Times New Roman"/>
          <w:noProof/>
          <w:sz w:val="24"/>
          <w:szCs w:val="24"/>
        </w:rPr>
      </w:pP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1.1.3. Събиране на информация и методика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w:t>
      </w:r>
      <w:r>
        <w:rPr>
          <w:rFonts w:ascii="Times New Roman" w:hAnsi="Times New Roman" w:cs="Times New Roman"/>
          <w:noProof/>
          <w:color w:val="000000"/>
          <w:sz w:val="24"/>
          <w:szCs w:val="24"/>
        </w:rPr>
        <w:t xml:space="preserve"> 15 декември 2014 г.</w:t>
      </w:r>
      <w:r>
        <w:rPr>
          <w:rFonts w:ascii="Times New Roman" w:hAnsi="Times New Roman" w:cs="Times New Roman"/>
          <w:noProof/>
          <w:sz w:val="24"/>
          <w:szCs w:val="24"/>
        </w:rPr>
        <w:t xml:space="preserve"> Комисията прикани съответните органи на всички държави членки да уведомят Комисията чрез базата данни MNE (</w:t>
      </w:r>
      <w:r>
        <w:rPr>
          <w:rFonts w:ascii="Times New Roman" w:hAnsi="Times New Roman" w:cs="Times New Roman"/>
          <w:i/>
          <w:noProof/>
          <w:sz w:val="24"/>
          <w:szCs w:val="24"/>
        </w:rPr>
        <w:t>Mesures Nationales d’Exécution</w:t>
      </w:r>
      <w:r>
        <w:rPr>
          <w:rFonts w:ascii="Times New Roman" w:hAnsi="Times New Roman" w:cs="Times New Roman"/>
          <w:noProof/>
          <w:sz w:val="24"/>
          <w:szCs w:val="24"/>
        </w:rPr>
        <w:t>) за националните мерки за изпълнение за инструментите в рамките на предишния трети стълб до 1 март 2015 г</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През 2018 г. Комисията поиска от държавите членки да предоставят актуализирана информация относно изпълнението на Рамковото решение. Описанието и анализът в настоящия доклад се основават на информацията, предоставена от държавите членки до 1 август 2018 г.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допълнение, през 2014 г. Комисията събра официална статистическа информация за третирането на случаи на корупция на различни етапи от наказателното производство в държавите членки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Чрез експертната група за проучване на нуждите на политиката от данни за престъпността и мрежата от национални точки за контакт по въпросите на корупцията бяха получени отговори от 26 държави членки за референтните години 2011, 2012 и 2013. През 2018 г. събирането на данни беше разширено и включи референтните години 2014, 2015 и 2016. От 22-те държави членки, предоставили данни</w:t>
      </w:r>
      <w:r>
        <w:rPr>
          <w:rStyle w:val="FootnoteReference"/>
          <w:rFonts w:ascii="Times New Roman" w:eastAsia="Times New Roman" w:hAnsi="Times New Roman" w:cs="Times New Roman"/>
          <w:noProof/>
          <w:sz w:val="24"/>
          <w:szCs w:val="24"/>
        </w:rPr>
        <w:footnoteReference w:id="8"/>
      </w:r>
      <w:r>
        <w:rPr>
          <w:rFonts w:ascii="Times New Roman" w:hAnsi="Times New Roman" w:cs="Times New Roman"/>
          <w:noProof/>
          <w:sz w:val="24"/>
          <w:szCs w:val="24"/>
        </w:rPr>
        <w:t>, само 7</w:t>
      </w:r>
      <w:r>
        <w:rPr>
          <w:rStyle w:val="FootnoteReference"/>
          <w:rFonts w:ascii="Times New Roman" w:eastAsia="Times New Roman" w:hAnsi="Times New Roman" w:cs="Times New Roman"/>
          <w:noProof/>
          <w:sz w:val="24"/>
          <w:szCs w:val="24"/>
        </w:rPr>
        <w:footnoteReference w:id="9"/>
      </w:r>
      <w:r>
        <w:rPr>
          <w:rFonts w:ascii="Times New Roman" w:hAnsi="Times New Roman" w:cs="Times New Roman"/>
          <w:noProof/>
          <w:sz w:val="24"/>
          <w:szCs w:val="24"/>
        </w:rPr>
        <w:t xml:space="preserve"> предоставиха данни за „окончателни присъди за случаи на подкупване в частния сектор“ за която и да е от референтните години между 2014 и 2016 г. Макар данните да подлежат на някои присъщи ограничения и трябва да се тълкуват внимателно и след внимателно разглеждане на предоставените методически бележки</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те помагат да се демонстрира правоприлагането по отношение на престъпленията в Рамковото решение.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АНАЛИЗ</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следващия раздел се съдържа подробна информация за анализа, като се прави общ преглед на положението с транспонирането на Рамковото решение в националното законодателство. Националното транспониране във всички държави членки беше оценено спрямо само един критерий, а именно дали разпоредбите на Рамковото решение са включени в националното законодателство.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Докладът се съсредоточава върху членове 2—7 от Рамковото решение. Той не покрива членове 8—11 (тоест разпоредбите относно отмяна, изпълнение, териториално приложение, влизане в сила), тъй като за тях не се изисква транспониране на национално равнище.</w:t>
      </w:r>
    </w:p>
    <w:p>
      <w:pPr>
        <w:pStyle w:val="ManualHeading2"/>
        <w:rPr>
          <w:noProof/>
        </w:rPr>
      </w:pPr>
      <w:bookmarkStart w:id="3" w:name="_Toc275870016"/>
      <w:r>
        <w:t>1.1.</w:t>
      </w:r>
      <w:r>
        <w:tab/>
      </w:r>
      <w:r>
        <w:rPr>
          <w:noProof/>
        </w:rPr>
        <w:t>Член 2 — Активна и пасивна корупция в частния сектор</w:t>
      </w:r>
      <w:bookmarkEnd w:id="3"/>
    </w:p>
    <w:p>
      <w:pPr>
        <w:keepNext/>
        <w:numPr>
          <w:ilvl w:val="2"/>
          <w:numId w:val="30"/>
        </w:numPr>
        <w:spacing w:before="120" w:after="120" w:line="240" w:lineRule="auto"/>
        <w:jc w:val="both"/>
        <w:outlineLvl w:val="2"/>
        <w:rPr>
          <w:rFonts w:ascii="Times New Roman" w:hAnsi="Times New Roman" w:cs="Times New Roman"/>
          <w:i/>
          <w:noProof/>
          <w:sz w:val="24"/>
          <w:szCs w:val="24"/>
        </w:rPr>
      </w:pPr>
      <w:r>
        <w:rPr>
          <w:rFonts w:ascii="Times New Roman" w:hAnsi="Times New Roman" w:cs="Times New Roman"/>
          <w:i/>
          <w:noProof/>
          <w:sz w:val="24"/>
          <w:szCs w:val="24"/>
        </w:rPr>
        <w:t>Общи бележки</w:t>
      </w:r>
    </w:p>
    <w:p>
      <w:pPr>
        <w:shd w:val="clear" w:color="auto" w:fill="FFFFFF"/>
        <w:tabs>
          <w:tab w:val="left" w:pos="9000"/>
        </w:tabs>
        <w:spacing w:before="197"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Член 2 е ключова разпоредба от Рамковото решение. В него се съдържат определенията за престъпленията, свързани с активна и пасивна корупция, когато са извършени при осъществяване на стопанска дейност. В приложното поле на член 2, параграф 1 се включва стопанската дейност както на субектите със стопанска, така и на субектите с нестопанска цел.</w:t>
      </w:r>
    </w:p>
    <w:p>
      <w:pPr>
        <w:shd w:val="clear" w:color="auto" w:fill="FFFFFF"/>
        <w:spacing w:before="197"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По-долу са изброени седемте компонента на член 2, параграф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6"/>
      </w:tblGrid>
      <w:tr>
        <w:tc>
          <w:tcPr>
            <w:tcW w:w="4643" w:type="dxa"/>
          </w:tcPr>
          <w:p>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Член 2, параграф 1, буква а) — Активна корупция</w:t>
            </w:r>
          </w:p>
        </w:tc>
        <w:tc>
          <w:tcPr>
            <w:tcW w:w="4646" w:type="dxa"/>
          </w:tcPr>
          <w:p>
            <w:pPr>
              <w:spacing w:after="120" w:line="240" w:lineRule="auto"/>
              <w:ind w:right="-108"/>
              <w:jc w:val="center"/>
              <w:rPr>
                <w:rFonts w:ascii="Times New Roman" w:hAnsi="Times New Roman" w:cs="Times New Roman"/>
                <w:noProof/>
                <w:color w:val="000000"/>
                <w:sz w:val="24"/>
                <w:szCs w:val="24"/>
              </w:rPr>
            </w:pPr>
            <w:r>
              <w:rPr>
                <w:rFonts w:ascii="Times New Roman" w:hAnsi="Times New Roman" w:cs="Times New Roman"/>
                <w:b/>
                <w:noProof/>
                <w:sz w:val="24"/>
                <w:szCs w:val="24"/>
              </w:rPr>
              <w:t>Член 2, параграф 1, буква б) — Пасивна корупция</w:t>
            </w:r>
          </w:p>
        </w:tc>
      </w:tr>
      <w:tr>
        <w:tc>
          <w:tcPr>
            <w:tcW w:w="4643" w:type="dxa"/>
          </w:tcPr>
          <w:p>
            <w:pPr>
              <w:tabs>
                <w:tab w:val="num" w:pos="283"/>
              </w:tabs>
              <w:spacing w:before="120"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„обещаване, предлагане или даване“</w:t>
            </w:r>
          </w:p>
          <w:p>
            <w:pPr>
              <w:tabs>
                <w:tab w:val="num" w:pos="283"/>
              </w:tabs>
              <w:spacing w:before="120"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„пряко или чрез посредник“</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„лице, което в каквото и да е качество ръководи или работи“</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„в юридическо лице от частния сектор“</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„каквато и да е недължима облага“</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„за него или за трето лице“</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„да извърши или да се въздържи от дадено действие в нарушение на неговите задължения“</w:t>
            </w:r>
          </w:p>
        </w:tc>
        <w:tc>
          <w:tcPr>
            <w:tcW w:w="4646" w:type="dxa"/>
          </w:tcPr>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„поискване или получаване, или приемане на обещание“</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„пряко или чрез посредник“</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„което в каквото и да е качество ръководи или работи“</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„в юридическо лице от частния сектор“</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„каквато и да е недължима облага“</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„за него или за трето лице“</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„да извърши или да се въздържи от дадено действие в нарушение на неговите задължения“</w:t>
            </w:r>
          </w:p>
        </w:tc>
      </w:tr>
    </w:tbl>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таблицата по-горе само първите изброени елементи („обещаване, предлагане или даване“/„поискване или получаване, или приемане на обещание) се различават значително за активната и пасивната корупция. Ето защо като цяло държавите членки са транспонирали шестте оставащи елемента в своите национални законодателства чрез сходни формулировки. Поради това по-долу тези шест съставни елемента на активната и пасивната корупция се разглеждат заедно.</w:t>
      </w:r>
    </w:p>
    <w:p>
      <w:pPr>
        <w:keepNext/>
        <w:numPr>
          <w:ilvl w:val="2"/>
          <w:numId w:val="0"/>
        </w:numPr>
        <w:tabs>
          <w:tab w:val="num" w:pos="850"/>
        </w:tabs>
        <w:spacing w:before="120" w:after="120" w:line="240" w:lineRule="auto"/>
        <w:ind w:left="850" w:hanging="850"/>
        <w:jc w:val="both"/>
        <w:outlineLvl w:val="2"/>
        <w:rPr>
          <w:rFonts w:ascii="Times New Roman" w:hAnsi="Times New Roman" w:cs="Times New Roman"/>
          <w:i/>
          <w:noProof/>
          <w:sz w:val="24"/>
          <w:szCs w:val="24"/>
        </w:rPr>
      </w:pPr>
      <w:r>
        <w:rPr>
          <w:rFonts w:ascii="Times New Roman" w:hAnsi="Times New Roman" w:cs="Times New Roman"/>
          <w:i/>
          <w:noProof/>
          <w:sz w:val="24"/>
          <w:szCs w:val="24"/>
        </w:rPr>
        <w:t>Подробен анализ</w:t>
      </w:r>
    </w:p>
    <w:p>
      <w:pPr>
        <w:keepNext/>
        <w:numPr>
          <w:ilvl w:val="3"/>
          <w:numId w:val="30"/>
        </w:numPr>
        <w:spacing w:before="120" w:after="120" w:line="240" w:lineRule="auto"/>
        <w:jc w:val="both"/>
        <w:outlineLvl w:val="3"/>
        <w:rPr>
          <w:rFonts w:ascii="Times New Roman" w:hAnsi="Times New Roman" w:cs="Times New Roman"/>
          <w:noProof/>
          <w:sz w:val="24"/>
          <w:szCs w:val="24"/>
        </w:rPr>
      </w:pPr>
      <w:r>
        <w:rPr>
          <w:rFonts w:ascii="Times New Roman" w:hAnsi="Times New Roman" w:cs="Times New Roman"/>
          <w:noProof/>
          <w:sz w:val="24"/>
          <w:szCs w:val="24"/>
        </w:rPr>
        <w:t>Член 2, параграф 1, буква а) – активна корупция – „обещаване, предлагане или даване“</w:t>
      </w:r>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Трите действия на нарушителя леко се различават, въпреки че са възможни припокривания. „</w:t>
      </w:r>
      <w:r>
        <w:rPr>
          <w:rFonts w:ascii="Times New Roman" w:hAnsi="Times New Roman" w:cs="Times New Roman"/>
          <w:i/>
          <w:iCs/>
          <w:noProof/>
          <w:sz w:val="24"/>
          <w:szCs w:val="24"/>
        </w:rPr>
        <w:t>Обещаването</w:t>
      </w:r>
      <w:r>
        <w:rPr>
          <w:rFonts w:ascii="Times New Roman" w:hAnsi="Times New Roman" w:cs="Times New Roman"/>
          <w:noProof/>
          <w:sz w:val="24"/>
          <w:szCs w:val="24"/>
        </w:rPr>
        <w:t>“ може например да обхваща ситуации, при които лицето, предлагащо подкуп, се ангажира да даде недължима облага на по-късен етап, или когато е налице споразумение между лицето, предлагащо подкуп, и лицето, приемащо подкуп, че лицето, предлагащо подкуп, ще даде недължимата облага на по-късен етап. „</w:t>
      </w:r>
      <w:r>
        <w:rPr>
          <w:rFonts w:ascii="Times New Roman" w:hAnsi="Times New Roman" w:cs="Times New Roman"/>
          <w:i/>
          <w:iCs/>
          <w:noProof/>
          <w:sz w:val="24"/>
          <w:szCs w:val="24"/>
        </w:rPr>
        <w:t>Предлагането</w:t>
      </w:r>
      <w:r>
        <w:rPr>
          <w:rFonts w:ascii="Times New Roman" w:hAnsi="Times New Roman" w:cs="Times New Roman"/>
          <w:noProof/>
          <w:sz w:val="24"/>
          <w:szCs w:val="24"/>
        </w:rPr>
        <w:t>“ може да обхваща ситуации, при които лицето, предлагащо подкуп, показва готовност да даде недължимата облага във всеки един момент. И накрая, „</w:t>
      </w:r>
      <w:r>
        <w:rPr>
          <w:rFonts w:ascii="Times New Roman" w:hAnsi="Times New Roman" w:cs="Times New Roman"/>
          <w:i/>
          <w:iCs/>
          <w:noProof/>
          <w:sz w:val="24"/>
          <w:szCs w:val="24"/>
        </w:rPr>
        <w:t>даването</w:t>
      </w:r>
      <w:r>
        <w:rPr>
          <w:rFonts w:ascii="Times New Roman" w:hAnsi="Times New Roman" w:cs="Times New Roman"/>
          <w:noProof/>
          <w:sz w:val="24"/>
          <w:szCs w:val="24"/>
        </w:rPr>
        <w:t>“</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може да включва също ситуации, в които лицето, предлагащо подкуп, прехвърля недължимата облага.</w:t>
      </w:r>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19 държави членки (BG, CZ, DK, DE, EL, ES, FR, HR, IT, CY, LT, NL, AT, PT, RO, SK, SI, FI и SE) са транспонирали почти буквално трите понятия „обещаване, предлагане или даване“ в своето законодателство.</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допълнение, в седем държави членки (BE, EE, IE, LU, HU, MT и PL) съответната национална съдебна практика съдържа понятия за транспониране с еквивалентно значение. В Естония, Унгария, Ирландия и Полша понятието „предлагане на подкуп“ не се споменава в сегашното определение за активно подкупване, но е обхванато от съдебната практика. В Белгия и Люксембург наказателният кодекс съдържа формулировката </w:t>
      </w:r>
      <w:r>
        <w:rPr>
          <w:rFonts w:ascii="Times New Roman" w:hAnsi="Times New Roman" w:cs="Times New Roman"/>
          <w:i/>
          <w:noProof/>
          <w:sz w:val="24"/>
          <w:szCs w:val="24"/>
        </w:rPr>
        <w:t>„отправяне на предложение, обещание или облага от всякакво естество“</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В Mалта лицето, което „</w:t>
      </w:r>
      <w:r>
        <w:rPr>
          <w:rFonts w:ascii="Times New Roman" w:hAnsi="Times New Roman" w:cs="Times New Roman"/>
          <w:i/>
          <w:iCs/>
          <w:noProof/>
          <w:sz w:val="24"/>
          <w:szCs w:val="24"/>
        </w:rPr>
        <w:t>подкупва</w:t>
      </w:r>
      <w:r>
        <w:rPr>
          <w:rFonts w:ascii="Times New Roman" w:hAnsi="Times New Roman" w:cs="Times New Roman"/>
          <w:noProof/>
          <w:sz w:val="24"/>
          <w:szCs w:val="24"/>
        </w:rPr>
        <w:t>“, носи отговорност като съучастник. Лицето, което се опитва да убеди друго лице да извърши престъплението, подлежи на наказание, дори ако неговият опит е неуспешен</w:t>
      </w:r>
      <w:r>
        <w:rPr>
          <w:rStyle w:val="FootnoteReference"/>
          <w:rFonts w:ascii="Times New Roman" w:eastAsia="Times New Roman" w:hAnsi="Times New Roman" w:cs="Times New Roman"/>
          <w:noProof/>
          <w:sz w:val="24"/>
          <w:szCs w:val="24"/>
        </w:rPr>
        <w:footnoteReference w:id="12"/>
      </w:r>
      <w:r>
        <w:rPr>
          <w:rFonts w:ascii="Times New Roman" w:hAnsi="Times New Roman" w:cs="Times New Roman"/>
          <w:noProof/>
          <w:sz w:val="24"/>
          <w:szCs w:val="24"/>
        </w:rPr>
        <w:t>.</w:t>
      </w:r>
    </w:p>
    <w:p>
      <w:pPr>
        <w:spacing w:before="150" w:after="150" w:line="240" w:lineRule="auto"/>
        <w:ind w:left="34" w:right="101"/>
        <w:jc w:val="both"/>
        <w:rPr>
          <w:rFonts w:ascii="Times New Roman" w:hAnsi="Times New Roman" w:cs="Times New Roman"/>
          <w:noProof/>
          <w:sz w:val="24"/>
          <w:szCs w:val="24"/>
        </w:rPr>
      </w:pPr>
      <w:r>
        <w:rPr>
          <w:rFonts w:ascii="Times New Roman" w:hAnsi="Times New Roman" w:cs="Times New Roman"/>
          <w:noProof/>
          <w:sz w:val="24"/>
          <w:szCs w:val="24"/>
        </w:rPr>
        <w:t>В Латвия понятието „</w:t>
      </w:r>
      <w:r>
        <w:rPr>
          <w:rFonts w:ascii="Times New Roman" w:hAnsi="Times New Roman" w:cs="Times New Roman"/>
          <w:i/>
          <w:iCs/>
          <w:noProof/>
          <w:sz w:val="24"/>
          <w:szCs w:val="24"/>
        </w:rPr>
        <w:t>обещаването на подкуп</w:t>
      </w:r>
      <w:r>
        <w:rPr>
          <w:rFonts w:ascii="Times New Roman" w:hAnsi="Times New Roman" w:cs="Times New Roman"/>
          <w:noProof/>
          <w:sz w:val="24"/>
          <w:szCs w:val="24"/>
        </w:rPr>
        <w:t xml:space="preserve">“ не е изрично включено. </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noProof/>
          <w:sz w:val="24"/>
          <w:szCs w:val="24"/>
        </w:rPr>
      </w:pPr>
      <w:r>
        <w:rPr>
          <w:rFonts w:ascii="Times New Roman" w:hAnsi="Times New Roman" w:cs="Times New Roman"/>
          <w:noProof/>
          <w:sz w:val="24"/>
          <w:szCs w:val="24"/>
        </w:rPr>
        <w:t>Член 2, параграф 1, буква б) - пасивна корупция - „поискване или получаване, или приемане на обещание“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случая на престъпление, свързано с пасивна корупция, съществените елементи включват поискване или получаване на недължима облага или приемане на обещание за това. „</w:t>
      </w:r>
      <w:r>
        <w:rPr>
          <w:rFonts w:ascii="Times New Roman" w:hAnsi="Times New Roman" w:cs="Times New Roman"/>
          <w:i/>
          <w:iCs/>
          <w:noProof/>
          <w:sz w:val="24"/>
          <w:szCs w:val="24"/>
        </w:rPr>
        <w:t>Поискване</w:t>
      </w:r>
      <w:r>
        <w:rPr>
          <w:rFonts w:ascii="Times New Roman" w:hAnsi="Times New Roman" w:cs="Times New Roman"/>
          <w:noProof/>
          <w:sz w:val="24"/>
          <w:szCs w:val="24"/>
        </w:rPr>
        <w:t>“ може, например, да се отнася до едностранен акт, т.е. не е от значение фактът дали то е било прието.</w:t>
      </w:r>
      <w:r>
        <w:rPr>
          <w:rFonts w:ascii="Times New Roman" w:hAnsi="Times New Roman" w:cs="Times New Roman"/>
          <w:i/>
          <w:noProof/>
          <w:sz w:val="24"/>
          <w:szCs w:val="24"/>
        </w:rPr>
        <w:t xml:space="preserve"> </w:t>
      </w:r>
      <w:r>
        <w:rPr>
          <w:rFonts w:ascii="Times New Roman" w:hAnsi="Times New Roman" w:cs="Times New Roman"/>
          <w:noProof/>
          <w:sz w:val="24"/>
          <w:szCs w:val="24"/>
        </w:rPr>
        <w:t>„</w:t>
      </w:r>
      <w:r>
        <w:rPr>
          <w:rFonts w:ascii="Times New Roman" w:hAnsi="Times New Roman" w:cs="Times New Roman"/>
          <w:i/>
          <w:iCs/>
          <w:noProof/>
          <w:sz w:val="24"/>
          <w:szCs w:val="24"/>
        </w:rPr>
        <w:t>Получаване</w:t>
      </w:r>
      <w:r>
        <w:rPr>
          <w:rFonts w:ascii="Times New Roman" w:hAnsi="Times New Roman" w:cs="Times New Roman"/>
          <w:noProof/>
          <w:sz w:val="24"/>
          <w:szCs w:val="24"/>
        </w:rPr>
        <w:t>“ може да означава, например, действителното вземане на изгодата</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w:t>
      </w:r>
      <w:r>
        <w:rPr>
          <w:rFonts w:ascii="Times New Roman" w:hAnsi="Times New Roman" w:cs="Times New Roman"/>
          <w:i/>
          <w:iCs/>
          <w:noProof/>
          <w:sz w:val="24"/>
          <w:szCs w:val="24"/>
        </w:rPr>
        <w:t>Приемане на обещанието</w:t>
      </w:r>
      <w:r>
        <w:rPr>
          <w:rFonts w:ascii="Times New Roman" w:hAnsi="Times New Roman" w:cs="Times New Roman"/>
          <w:noProof/>
          <w:sz w:val="24"/>
          <w:szCs w:val="24"/>
        </w:rPr>
        <w:t>“ за недължима облага може да се отнася за ситуации, в които подкупеното лице се съгласява да получи облагата в по-късен момент.</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18 държави членки (BE, BG, DE, EL, HR, LT, LU, HU, MT, AT, PT, SK, FI, IT, RO, NL, PL и SE) са транспонирали почти буквално трите понятия „</w:t>
      </w:r>
      <w:r>
        <w:rPr>
          <w:rFonts w:ascii="Times New Roman" w:hAnsi="Times New Roman" w:cs="Times New Roman"/>
          <w:i/>
          <w:iCs/>
          <w:noProof/>
          <w:sz w:val="24"/>
          <w:szCs w:val="24"/>
        </w:rPr>
        <w:t>поискване или получаване, или приемане на обещание</w:t>
      </w:r>
      <w:r>
        <w:rPr>
          <w:rFonts w:ascii="Times New Roman" w:hAnsi="Times New Roman" w:cs="Times New Roman"/>
          <w:noProof/>
          <w:sz w:val="24"/>
          <w:szCs w:val="24"/>
        </w:rPr>
        <w:t>“ в законодателството си.</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В шест държави членки (CZ, DK, EE, FR, IE и SI) макар понятията, използвани при транспонирането в наказателния кодекс, да са различни, тяхното значение е еквивалентно съгласно съответната съдебна практика. В допълнение, в Латвия понятието „</w:t>
      </w:r>
      <w:r>
        <w:rPr>
          <w:rFonts w:ascii="Times New Roman" w:hAnsi="Times New Roman" w:cs="Times New Roman"/>
          <w:i/>
          <w:iCs/>
          <w:noProof/>
          <w:color w:val="000000"/>
          <w:sz w:val="24"/>
          <w:szCs w:val="24"/>
        </w:rPr>
        <w:t>приемане на обещание за подкуп</w:t>
      </w:r>
      <w:r>
        <w:rPr>
          <w:rFonts w:ascii="Times New Roman" w:hAnsi="Times New Roman" w:cs="Times New Roman"/>
          <w:noProof/>
          <w:color w:val="000000"/>
          <w:sz w:val="24"/>
          <w:szCs w:val="24"/>
        </w:rPr>
        <w:t>“ не е изрично обхванато, а в същото време понятието „</w:t>
      </w:r>
      <w:r>
        <w:rPr>
          <w:rFonts w:ascii="Times New Roman" w:hAnsi="Times New Roman" w:cs="Times New Roman"/>
          <w:i/>
          <w:iCs/>
          <w:noProof/>
          <w:color w:val="000000"/>
          <w:sz w:val="24"/>
          <w:szCs w:val="24"/>
        </w:rPr>
        <w:t>приемане на предложението за подкуп</w:t>
      </w:r>
      <w:r>
        <w:rPr>
          <w:rFonts w:ascii="Times New Roman" w:hAnsi="Times New Roman" w:cs="Times New Roman"/>
          <w:noProof/>
          <w:color w:val="000000"/>
          <w:sz w:val="24"/>
          <w:szCs w:val="24"/>
        </w:rPr>
        <w:t xml:space="preserve">“ е обхванато. В Чешката република понятието </w:t>
      </w:r>
      <w:r>
        <w:rPr>
          <w:rFonts w:ascii="Times New Roman" w:hAnsi="Times New Roman" w:cs="Times New Roman"/>
          <w:i/>
          <w:iCs/>
          <w:noProof/>
          <w:color w:val="000000"/>
          <w:sz w:val="24"/>
          <w:szCs w:val="24"/>
        </w:rPr>
        <w:t>„приемане на обещанието за недължима облага</w:t>
      </w:r>
      <w:r>
        <w:rPr>
          <w:rFonts w:ascii="Times New Roman" w:hAnsi="Times New Roman" w:cs="Times New Roman"/>
          <w:noProof/>
          <w:color w:val="000000"/>
          <w:sz w:val="24"/>
          <w:szCs w:val="24"/>
        </w:rPr>
        <w:t>“ не се съдържа изрично в сегашното определение за пасивна корупция, което съдържа формулировката „</w:t>
      </w:r>
      <w:r>
        <w:rPr>
          <w:rFonts w:ascii="Times New Roman" w:hAnsi="Times New Roman" w:cs="Times New Roman"/>
          <w:i/>
          <w:iCs/>
          <w:noProof/>
          <w:color w:val="000000"/>
          <w:sz w:val="24"/>
          <w:szCs w:val="24"/>
        </w:rPr>
        <w:t>се съгласява да приеме всякакъв подарък или възнаграждение като стимул или заплащане</w:t>
      </w:r>
      <w:r>
        <w:rPr>
          <w:rFonts w:ascii="Times New Roman" w:hAnsi="Times New Roman" w:cs="Times New Roman"/>
          <w:noProof/>
          <w:color w:val="000000"/>
          <w:sz w:val="24"/>
          <w:szCs w:val="24"/>
        </w:rPr>
        <w:t>“.</w:t>
      </w:r>
    </w:p>
    <w:p>
      <w:pPr>
        <w:spacing w:before="150" w:after="150" w:line="240" w:lineRule="auto"/>
        <w:ind w:left="34" w:right="101"/>
        <w:jc w:val="both"/>
        <w:rPr>
          <w:rFonts w:ascii="Times New Roman" w:hAnsi="Times New Roman" w:cs="Times New Roman"/>
          <w:noProof/>
          <w:color w:val="000000"/>
          <w:sz w:val="24"/>
          <w:szCs w:val="24"/>
        </w:rPr>
      </w:pPr>
      <w:r>
        <w:rPr>
          <w:rFonts w:ascii="Times New Roman" w:hAnsi="Times New Roman" w:cs="Times New Roman"/>
          <w:noProof/>
          <w:sz w:val="24"/>
          <w:szCs w:val="24"/>
        </w:rPr>
        <w:t>В Испания елементът „</w:t>
      </w:r>
      <w:r>
        <w:rPr>
          <w:rFonts w:ascii="Times New Roman" w:hAnsi="Times New Roman" w:cs="Times New Roman"/>
          <w:i/>
          <w:iCs/>
          <w:noProof/>
          <w:sz w:val="24"/>
          <w:szCs w:val="24"/>
        </w:rPr>
        <w:t>приемане на обещание за подкуп</w:t>
      </w:r>
      <w:r>
        <w:rPr>
          <w:rFonts w:ascii="Times New Roman" w:hAnsi="Times New Roman" w:cs="Times New Roman"/>
          <w:noProof/>
          <w:sz w:val="24"/>
          <w:szCs w:val="24"/>
        </w:rPr>
        <w:t>“ не е изрично включен, тъй като законът включва позоваване само на приемането на „</w:t>
      </w:r>
      <w:r>
        <w:rPr>
          <w:rFonts w:ascii="Times New Roman" w:hAnsi="Times New Roman" w:cs="Times New Roman"/>
          <w:i/>
          <w:iCs/>
          <w:noProof/>
          <w:sz w:val="24"/>
          <w:szCs w:val="24"/>
        </w:rPr>
        <w:t>недължима полза или облага</w:t>
      </w:r>
      <w:r>
        <w:rPr>
          <w:rFonts w:ascii="Times New Roman" w:hAnsi="Times New Roman" w:cs="Times New Roman"/>
          <w:noProof/>
          <w:sz w:val="24"/>
          <w:szCs w:val="24"/>
        </w:rPr>
        <w:t>“.</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noProof/>
          <w:sz w:val="24"/>
          <w:szCs w:val="24"/>
        </w:rPr>
      </w:pPr>
      <w:r>
        <w:rPr>
          <w:rFonts w:ascii="Times New Roman" w:hAnsi="Times New Roman" w:cs="Times New Roman"/>
          <w:noProof/>
          <w:sz w:val="24"/>
          <w:szCs w:val="24"/>
        </w:rPr>
        <w:t>Член 2, параграф 1, букви а) и б): останалите пет съставни елемента</w:t>
      </w:r>
    </w:p>
    <w:p>
      <w:pPr>
        <w:tabs>
          <w:tab w:val="num" w:pos="283"/>
        </w:tabs>
        <w:spacing w:before="120" w:after="24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„пряко или чрез посредник“</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Независимо от това дали лицето, което получава недължимата облага, или лицето, за което в крайна сметка е предназначена недължимата облага, е лицето, получаващо подкупа, или трето лице, член 2 предвижда, че криминализирането следва да обхваща и посредниците.</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 14 държави членки — BE, CZ, ES, EL, FR, HR, CY, LV, LT, LU, MT, PT, RO и SK, този аспект е транспониран буквално.</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В допълнение, в 12 държави членки (BG, DE, DK, IE, IT, HU, NL AT, PL, FI, SI и SE) понятието „</w:t>
      </w:r>
      <w:r>
        <w:rPr>
          <w:rFonts w:ascii="Times New Roman" w:hAnsi="Times New Roman" w:cs="Times New Roman"/>
          <w:i/>
          <w:iCs/>
          <w:noProof/>
          <w:sz w:val="24"/>
          <w:szCs w:val="24"/>
        </w:rPr>
        <w:t>пряко или чрез посредник</w:t>
      </w:r>
      <w:r>
        <w:rPr>
          <w:rFonts w:ascii="Times New Roman" w:hAnsi="Times New Roman" w:cs="Times New Roman"/>
          <w:noProof/>
          <w:sz w:val="24"/>
          <w:szCs w:val="24"/>
        </w:rPr>
        <w:t xml:space="preserve">“ не е изрично включено. В Естония този аспект не е обхванат от определението за активно подкупване, но е отразен в определението за пасивно подкупване. </w:t>
      </w:r>
      <w:r>
        <w:rPr>
          <w:rFonts w:ascii="Times New Roman" w:hAnsi="Times New Roman" w:cs="Times New Roman"/>
          <w:noProof/>
          <w:color w:val="000000"/>
          <w:sz w:val="24"/>
          <w:szCs w:val="24"/>
        </w:rPr>
        <w:t>От информацията, получена от естонските органи, не става ясно дали някои от елементите, включени само в определението за пасивно подкупване, се прилагат също така в случаите на активно подкупване.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това, без да е включена формулировката „пряко или чрез посредник“, се предполага, че националното законодателство покрива и двата случая, следователно всички държави членки са транспонирали този елемент. </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„лице, което упражнява управленска или трудова функция“/„ което в каквото и да е качество ръководи или работи“</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12 държави членки (BG, BE, DE, EL, ES, FR, LV, LU, HU, MT, PL и FI) са транспонирали този елемент буквално.</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В допълнение, 10 държави членки (CZ, DK, HR, LT, NL, AT, PT, SE, SK и SI) са я транспонирали с незначителни вариации.</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В Хърватия, Нидерландия и Австрия законодателството не се позовава на „</w:t>
      </w:r>
      <w:r>
        <w:rPr>
          <w:rFonts w:ascii="Times New Roman" w:hAnsi="Times New Roman" w:cs="Times New Roman"/>
          <w:i/>
          <w:iCs/>
          <w:noProof/>
          <w:sz w:val="24"/>
          <w:szCs w:val="24"/>
        </w:rPr>
        <w:t>ръководи</w:t>
      </w:r>
      <w:r>
        <w:rPr>
          <w:rFonts w:ascii="Times New Roman" w:hAnsi="Times New Roman" w:cs="Times New Roman"/>
          <w:noProof/>
          <w:sz w:val="24"/>
          <w:szCs w:val="24"/>
        </w:rPr>
        <w:t>“, а просто посочва „</w:t>
      </w:r>
      <w:r>
        <w:rPr>
          <w:rFonts w:ascii="Times New Roman" w:hAnsi="Times New Roman" w:cs="Times New Roman"/>
          <w:i/>
          <w:iCs/>
          <w:noProof/>
          <w:sz w:val="24"/>
          <w:szCs w:val="24"/>
        </w:rPr>
        <w:t>работи</w:t>
      </w:r>
      <w:r>
        <w:rPr>
          <w:rFonts w:ascii="Times New Roman" w:hAnsi="Times New Roman" w:cs="Times New Roman"/>
          <w:noProof/>
          <w:sz w:val="24"/>
          <w:szCs w:val="24"/>
        </w:rPr>
        <w:t xml:space="preserve">“. В Португалия определението включва понятието „ръководи“, но включва позоваване на </w:t>
      </w:r>
      <w:r>
        <w:rPr>
          <w:rFonts w:ascii="Times New Roman" w:hAnsi="Times New Roman" w:cs="Times New Roman"/>
          <w:i/>
          <w:noProof/>
          <w:sz w:val="24"/>
          <w:szCs w:val="24"/>
        </w:rPr>
        <w:t>„заети в частния сектор“</w:t>
      </w:r>
      <w:r>
        <w:rPr>
          <w:rFonts w:ascii="Times New Roman" w:hAnsi="Times New Roman" w:cs="Times New Roman"/>
          <w:noProof/>
          <w:sz w:val="24"/>
          <w:szCs w:val="24"/>
        </w:rPr>
        <w:t xml:space="preserve"> за пасивна корупция и на „</w:t>
      </w:r>
      <w:r>
        <w:rPr>
          <w:rFonts w:ascii="Times New Roman" w:hAnsi="Times New Roman" w:cs="Times New Roman"/>
          <w:i/>
          <w:iCs/>
          <w:noProof/>
          <w:sz w:val="24"/>
          <w:szCs w:val="24"/>
        </w:rPr>
        <w:t>всяко лице</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за активна корупция. В Латвия подкупването в частния сектор се криминализира само в случаите на лица със „</w:t>
      </w:r>
      <w:r>
        <w:rPr>
          <w:rFonts w:ascii="Times New Roman" w:hAnsi="Times New Roman" w:cs="Times New Roman"/>
          <w:i/>
          <w:iCs/>
          <w:noProof/>
          <w:sz w:val="24"/>
          <w:szCs w:val="24"/>
        </w:rPr>
        <w:t>съответни административни правомощия</w:t>
      </w:r>
      <w:r>
        <w:rPr>
          <w:rFonts w:ascii="Times New Roman" w:hAnsi="Times New Roman" w:cs="Times New Roman"/>
          <w:noProof/>
          <w:sz w:val="24"/>
          <w:szCs w:val="24"/>
        </w:rPr>
        <w:t>“ или които са „</w:t>
      </w:r>
      <w:r>
        <w:rPr>
          <w:rFonts w:ascii="Times New Roman" w:hAnsi="Times New Roman" w:cs="Times New Roman"/>
          <w:i/>
          <w:iCs/>
          <w:noProof/>
          <w:sz w:val="24"/>
          <w:szCs w:val="24"/>
        </w:rPr>
        <w:t>опълномощени да извършват действия от името на агенция, предприятие или организация</w:t>
      </w:r>
      <w:r>
        <w:rPr>
          <w:rFonts w:ascii="Times New Roman" w:hAnsi="Times New Roman" w:cs="Times New Roman"/>
          <w:noProof/>
          <w:sz w:val="24"/>
          <w:szCs w:val="24"/>
        </w:rPr>
        <w:t>“ или които „</w:t>
      </w:r>
      <w:r>
        <w:rPr>
          <w:rFonts w:ascii="Times New Roman" w:hAnsi="Times New Roman" w:cs="Times New Roman"/>
          <w:i/>
          <w:iCs/>
          <w:noProof/>
          <w:sz w:val="24"/>
          <w:szCs w:val="24"/>
        </w:rPr>
        <w:t>изпълняват публични функции</w:t>
      </w:r>
      <w:r>
        <w:rPr>
          <w:rFonts w:ascii="Times New Roman" w:hAnsi="Times New Roman" w:cs="Times New Roman"/>
          <w:noProof/>
          <w:sz w:val="24"/>
          <w:szCs w:val="24"/>
        </w:rPr>
        <w:t>“. Органите на Латвия твърдят, че управленската или трудовата функция са пояснени в съдебната практика на Върховния съд. В Чешката република и Словакия няма изрично ограничение, свързани с понятията за ръководене или работа, тъй като формулировката изглежда обхваща всички видове отношения или връзки с частно дружество. В Швеция законодателството се позовава на „</w:t>
      </w:r>
      <w:r>
        <w:rPr>
          <w:rFonts w:ascii="Times New Roman" w:hAnsi="Times New Roman" w:cs="Times New Roman"/>
          <w:i/>
          <w:iCs/>
          <w:noProof/>
          <w:sz w:val="24"/>
          <w:szCs w:val="24"/>
        </w:rPr>
        <w:t>лице, което е работник или има мандат</w:t>
      </w:r>
      <w:r>
        <w:rPr>
          <w:rFonts w:ascii="Times New Roman" w:hAnsi="Times New Roman" w:cs="Times New Roman"/>
          <w:noProof/>
          <w:sz w:val="24"/>
          <w:szCs w:val="24"/>
        </w:rPr>
        <w:t>“ (пасивна корупция) или на всяко „</w:t>
      </w:r>
      <w:r>
        <w:rPr>
          <w:rFonts w:ascii="Times New Roman" w:hAnsi="Times New Roman" w:cs="Times New Roman"/>
          <w:i/>
          <w:iCs/>
          <w:noProof/>
          <w:sz w:val="24"/>
          <w:szCs w:val="24"/>
        </w:rPr>
        <w:t>лице</w:t>
      </w:r>
      <w:r>
        <w:rPr>
          <w:rFonts w:ascii="Times New Roman" w:hAnsi="Times New Roman" w:cs="Times New Roman"/>
          <w:noProof/>
          <w:sz w:val="24"/>
          <w:szCs w:val="24"/>
        </w:rPr>
        <w:t>“ (активна корупция). Това изглежда обхваща както аспектите на понятието „ръководи“, така и аспектите на „работи“. В Дания и Словения, тъй като законът не конкретизира връзката между извършителя и юридическото лице, се предполага, че всички тези елементи са обхванати.</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Що се отнася до Естония, аспектът „</w:t>
      </w:r>
      <w:r>
        <w:rPr>
          <w:rFonts w:ascii="Times New Roman" w:hAnsi="Times New Roman" w:cs="Times New Roman"/>
          <w:i/>
          <w:iCs/>
          <w:noProof/>
          <w:sz w:val="24"/>
          <w:szCs w:val="24"/>
        </w:rPr>
        <w:t>работи или ръководи</w:t>
      </w:r>
      <w:r>
        <w:rPr>
          <w:rFonts w:ascii="Times New Roman" w:hAnsi="Times New Roman" w:cs="Times New Roman"/>
          <w:noProof/>
          <w:sz w:val="24"/>
          <w:szCs w:val="24"/>
        </w:rPr>
        <w:t>“ не е включен в определението за активно подкупване, докато определението за пасивно подкупване се позовава на тях в по-широк смисъл, а именно „</w:t>
      </w:r>
      <w:r>
        <w:rPr>
          <w:rFonts w:ascii="Times New Roman" w:hAnsi="Times New Roman" w:cs="Times New Roman"/>
          <w:i/>
          <w:iCs/>
          <w:noProof/>
          <w:sz w:val="24"/>
          <w:szCs w:val="24"/>
        </w:rPr>
        <w:t>лице, което е компетентно да извършва икономическа дейност</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От информацията, получена от естонските органи, не става ясно дали някои елементи, включени в определението за пасивно подкупване, се прилагат и за активното подкупване.</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В Румъния, понятието „</w:t>
      </w:r>
      <w:r>
        <w:rPr>
          <w:rFonts w:ascii="Times New Roman" w:hAnsi="Times New Roman" w:cs="Times New Roman"/>
          <w:i/>
          <w:iCs/>
          <w:noProof/>
          <w:sz w:val="24"/>
          <w:szCs w:val="24"/>
        </w:rPr>
        <w:t>ръководи или работи</w:t>
      </w:r>
      <w:r>
        <w:rPr>
          <w:rFonts w:ascii="Times New Roman" w:hAnsi="Times New Roman" w:cs="Times New Roman"/>
          <w:noProof/>
          <w:sz w:val="24"/>
          <w:szCs w:val="24"/>
        </w:rPr>
        <w:t>“ не е изрично включено в определението за активна и пасивна корупция. Текстът съдържа формулировката „</w:t>
      </w:r>
      <w:r>
        <w:rPr>
          <w:rFonts w:ascii="Times New Roman" w:hAnsi="Times New Roman" w:cs="Times New Roman"/>
          <w:i/>
          <w:iCs/>
          <w:noProof/>
          <w:sz w:val="24"/>
          <w:szCs w:val="24"/>
        </w:rPr>
        <w:t>които изпълняват, на постоянна или временна основа, задължение или задача, доколкото те участват във вземането на решения или могат да му влияят</w:t>
      </w:r>
      <w:r>
        <w:rPr>
          <w:rFonts w:ascii="Times New Roman" w:hAnsi="Times New Roman" w:cs="Times New Roman"/>
          <w:noProof/>
          <w:sz w:val="24"/>
          <w:szCs w:val="24"/>
        </w:rPr>
        <w:t xml:space="preserve">“. Изглежда това обхваща управленски функции, но не непременно всички видове трудови правоотношения. </w:t>
      </w:r>
      <w:r>
        <w:rPr>
          <w:rFonts w:ascii="Times New Roman" w:hAnsi="Times New Roman" w:cs="Times New Roman"/>
          <w:noProof/>
          <w:color w:val="000000"/>
          <w:sz w:val="24"/>
          <w:szCs w:val="24"/>
        </w:rPr>
        <w:t>В Ирландия и Кипър актовете на активна и пасивна корупция са ограничени до поведението на лицето „</w:t>
      </w:r>
      <w:r>
        <w:rPr>
          <w:rFonts w:ascii="Times New Roman" w:hAnsi="Times New Roman" w:cs="Times New Roman"/>
          <w:i/>
          <w:iCs/>
          <w:noProof/>
          <w:color w:val="000000"/>
          <w:sz w:val="24"/>
          <w:szCs w:val="24"/>
        </w:rPr>
        <w:t>във връзка с дейността или бизнеса на неговия началник</w:t>
      </w:r>
      <w:r>
        <w:rPr>
          <w:rFonts w:ascii="Times New Roman" w:hAnsi="Times New Roman" w:cs="Times New Roman"/>
          <w:noProof/>
          <w:color w:val="000000"/>
          <w:sz w:val="24"/>
          <w:szCs w:val="24"/>
        </w:rPr>
        <w:t>“, което изглежда прави определението по-ограничено.</w:t>
      </w:r>
    </w:p>
    <w:p>
      <w:pPr>
        <w:spacing w:before="120" w:after="120" w:line="240" w:lineRule="auto"/>
        <w:ind w:right="1"/>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В Италия активната и пасивната корупция се позовават само на изпълнителните  функции, като например мениджъри, генерални директори, директори, отговарящи за изготвянето на баланса, кметове и ликвидатори или всички </w:t>
      </w:r>
      <w:r>
        <w:rPr>
          <w:rFonts w:ascii="Times New Roman" w:hAnsi="Times New Roman" w:cs="Times New Roman"/>
          <w:i/>
          <w:iCs/>
          <w:noProof/>
          <w:sz w:val="24"/>
          <w:szCs w:val="24"/>
        </w:rPr>
        <w:t>„лица, упражняващи различни управленски функции“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като не се включват лицата без изпълнителни функции, който действат в лично качество.</w:t>
      </w:r>
      <w:r>
        <w:rPr>
          <w:rFonts w:ascii="Times New Roman" w:hAnsi="Times New Roman" w:cs="Times New Roman"/>
          <w:noProof/>
          <w:color w:val="000000"/>
          <w:sz w:val="24"/>
          <w:szCs w:val="24"/>
        </w:rPr>
        <w:t xml:space="preserve"> </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 xml:space="preserve">„в юридическо лице от частния сектор“ </w:t>
      </w:r>
    </w:p>
    <w:p>
      <w:pPr>
        <w:spacing w:after="0" w:line="240" w:lineRule="auto"/>
        <w:ind w:hanging="11"/>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В 10 държави членки (BG, CZ, FR, EE, EL, IT, LV, HU, MT и PT) този елемент е изрично засегнат в националните мерки за транспониране. </w:t>
      </w:r>
      <w:r>
        <w:rPr>
          <w:rFonts w:ascii="Times New Roman" w:hAnsi="Times New Roman" w:cs="Times New Roman"/>
          <w:noProof/>
          <w:color w:val="000000"/>
          <w:sz w:val="24"/>
          <w:szCs w:val="24"/>
        </w:rPr>
        <w:t>Той обаче не е изрично включен в 14 държави членки (BE, DK, ES, HR, IE, CY, LT, LU, NL, PL, RO, SK, SI и SE), тъй като в тези държави престъплението засяга обикновено всяко лице (“което и да било“). Въпреки това, докато става въпрос за широко позоваване, то то в съответствие с Рамковото решение.</w:t>
      </w:r>
    </w:p>
    <w:p>
      <w:pPr>
        <w:spacing w:before="120" w:after="120" w:line="240" w:lineRule="auto"/>
        <w:ind w:right="1"/>
        <w:jc w:val="both"/>
        <w:rPr>
          <w:rFonts w:ascii="Times New Roman" w:hAnsi="Times New Roman" w:cs="Times New Roman"/>
          <w:noProof/>
          <w:color w:val="000000"/>
          <w:sz w:val="24"/>
          <w:szCs w:val="24"/>
        </w:rPr>
      </w:pPr>
      <w:r>
        <w:rPr>
          <w:rFonts w:ascii="Times New Roman" w:hAnsi="Times New Roman" w:cs="Times New Roman"/>
          <w:noProof/>
          <w:sz w:val="24"/>
          <w:szCs w:val="24"/>
        </w:rPr>
        <w:t>В Германия, Австрия и Финландия обхватът на разпоредбата е ограничен до предприятия/дружества</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които са по-тесни понятия отколкото понятието за юридическо лице от частния сектор.</w:t>
      </w:r>
      <w:r>
        <w:rPr>
          <w:rFonts w:ascii="Times New Roman" w:hAnsi="Times New Roman" w:cs="Times New Roman"/>
          <w:noProof/>
          <w:color w:val="000000"/>
          <w:sz w:val="24"/>
          <w:szCs w:val="24"/>
        </w:rPr>
        <w:t xml:space="preserve"> Испания е ограничила обхвата по подобен начин</w:t>
      </w:r>
      <w:r>
        <w:rPr>
          <w:rStyle w:val="FootnoteReference"/>
          <w:rFonts w:ascii="Times New Roman" w:hAnsi="Times New Roman" w:cs="Times New Roman"/>
          <w:noProof/>
          <w:color w:val="000000"/>
          <w:sz w:val="24"/>
          <w:szCs w:val="24"/>
        </w:rPr>
        <w:footnoteReference w:id="17"/>
      </w:r>
      <w:r>
        <w:rPr>
          <w:rFonts w:ascii="Times New Roman" w:hAnsi="Times New Roman" w:cs="Times New Roman"/>
          <w:noProof/>
          <w:color w:val="000000"/>
          <w:sz w:val="24"/>
          <w:szCs w:val="24"/>
        </w:rPr>
        <w:t>. По този въпрос вж. също член 2, параграф 2 по-долу.</w:t>
      </w:r>
    </w:p>
    <w:p>
      <w:pPr>
        <w:rPr>
          <w:rFonts w:ascii="Times New Roman" w:hAnsi="Times New Roman" w:cs="Times New Roman"/>
          <w:b/>
          <w:noProof/>
          <w:sz w:val="24"/>
          <w:szCs w:val="24"/>
        </w:rPr>
      </w:pPr>
      <w:r>
        <w:rPr>
          <w:rFonts w:ascii="Times New Roman" w:hAnsi="Times New Roman" w:cs="Times New Roman"/>
          <w:noProof/>
          <w:sz w:val="24"/>
          <w:szCs w:val="24"/>
        </w:rPr>
        <w:br w:type="page"/>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„каквато и да е недължима облага“</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Недължимата облага може да бъде икономическа, но и нематериална. Важното е, че извършителят или всяко друго лице, например роднина, са поставени в по-благоприятно положение отколкото преди престъплението, и че те нямат право на облагата. Това включва например пари, отпуски, заеми, храна и напитки, ускорено разглеждане на даден случай, по-добри възможности за развитие в кариерата и т.н. Понятието „недължимa“ следва да се тълкува като нещо, което получателят няма законово право да приеме или получи. Това тълкуване изключва облагите, позволени от закона или от административните правила, от обхвата на престъплението.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19 държави членки (BE, BG, DE, DK, ES, EL, CY, LT, LV, LU, HU, MT, AT, PL, PT, RO, FI, IT и SE) са транспонирали този елемент буквално.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Някои други държави членки са го транспонирали с малки промени.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Нидерландия разпоредбата за прилагане не се позовава на „недължима облага“, а по-скоро на „подарък“, „услуга“ или „обещание“. В Кипър понятието „</w:t>
      </w:r>
      <w:r>
        <w:rPr>
          <w:rFonts w:ascii="Times New Roman" w:hAnsi="Times New Roman" w:cs="Times New Roman"/>
          <w:i/>
          <w:iCs/>
          <w:noProof/>
          <w:sz w:val="24"/>
          <w:szCs w:val="24"/>
        </w:rPr>
        <w:t>недължима облага</w:t>
      </w:r>
      <w:r>
        <w:rPr>
          <w:rFonts w:ascii="Times New Roman" w:hAnsi="Times New Roman" w:cs="Times New Roman"/>
          <w:noProof/>
          <w:sz w:val="24"/>
          <w:szCs w:val="24"/>
        </w:rPr>
        <w:t>“ е транспонирано като „</w:t>
      </w:r>
      <w:r>
        <w:rPr>
          <w:rFonts w:ascii="Times New Roman" w:hAnsi="Times New Roman" w:cs="Times New Roman"/>
          <w:i/>
          <w:iCs/>
          <w:noProof/>
          <w:sz w:val="24"/>
          <w:szCs w:val="24"/>
        </w:rPr>
        <w:t>подарък или възнаграждение от всякакво естество с цел стимул или възнаграждение</w:t>
      </w:r>
      <w:r>
        <w:rPr>
          <w:rFonts w:ascii="Times New Roman" w:hAnsi="Times New Roman" w:cs="Times New Roman"/>
          <w:noProof/>
          <w:sz w:val="24"/>
          <w:szCs w:val="24"/>
        </w:rPr>
        <w:t>“. В законодателството на Франция се говори за „</w:t>
      </w:r>
      <w:r>
        <w:rPr>
          <w:rFonts w:ascii="Times New Roman" w:hAnsi="Times New Roman" w:cs="Times New Roman"/>
          <w:i/>
          <w:iCs/>
          <w:noProof/>
          <w:sz w:val="24"/>
          <w:szCs w:val="24"/>
        </w:rPr>
        <w:t>всякаква облага</w:t>
      </w:r>
      <w:r>
        <w:rPr>
          <w:rFonts w:ascii="Times New Roman" w:hAnsi="Times New Roman" w:cs="Times New Roman"/>
          <w:noProof/>
          <w:sz w:val="24"/>
          <w:szCs w:val="24"/>
        </w:rPr>
        <w:t>“, което има малко по-широко значение, а в Хърватия законът споменава „</w:t>
      </w:r>
      <w:r>
        <w:rPr>
          <w:rFonts w:ascii="Times New Roman" w:hAnsi="Times New Roman" w:cs="Times New Roman"/>
          <w:i/>
          <w:iCs/>
          <w:noProof/>
          <w:sz w:val="24"/>
          <w:szCs w:val="24"/>
        </w:rPr>
        <w:t>услуга</w:t>
      </w:r>
      <w:r>
        <w:rPr>
          <w:rFonts w:ascii="Times New Roman" w:hAnsi="Times New Roman" w:cs="Times New Roman"/>
          <w:noProof/>
          <w:sz w:val="24"/>
          <w:szCs w:val="24"/>
        </w:rPr>
        <w:t>“. В Словения законът споменава „</w:t>
      </w:r>
      <w:r>
        <w:rPr>
          <w:rFonts w:ascii="Times New Roman" w:hAnsi="Times New Roman" w:cs="Times New Roman"/>
          <w:i/>
          <w:iCs/>
          <w:noProof/>
          <w:sz w:val="24"/>
          <w:szCs w:val="24"/>
        </w:rPr>
        <w:t>неправомерно възнаграждение, подарък или друга материална полза</w:t>
      </w:r>
      <w:r>
        <w:rPr>
          <w:rFonts w:ascii="Times New Roman" w:hAnsi="Times New Roman" w:cs="Times New Roman"/>
          <w:noProof/>
          <w:sz w:val="24"/>
          <w:szCs w:val="24"/>
        </w:rPr>
        <w:t>“. В Ирландия престъплението, свързано с пасивното подкупване, се позовава на понятията „</w:t>
      </w:r>
      <w:r>
        <w:rPr>
          <w:rFonts w:ascii="Times New Roman" w:hAnsi="Times New Roman" w:cs="Times New Roman"/>
          <w:i/>
          <w:iCs/>
          <w:noProof/>
          <w:sz w:val="24"/>
          <w:szCs w:val="24"/>
        </w:rPr>
        <w:t>подарък, възнаграждение или облага</w:t>
      </w:r>
      <w:r>
        <w:rPr>
          <w:rFonts w:ascii="Times New Roman" w:hAnsi="Times New Roman" w:cs="Times New Roman"/>
          <w:noProof/>
          <w:sz w:val="24"/>
          <w:szCs w:val="24"/>
        </w:rPr>
        <w:t>“, а престъплението, свързано с активното подкупване, се позовава само на „</w:t>
      </w:r>
      <w:r>
        <w:rPr>
          <w:rFonts w:ascii="Times New Roman" w:hAnsi="Times New Roman" w:cs="Times New Roman"/>
          <w:i/>
          <w:iCs/>
          <w:noProof/>
          <w:sz w:val="24"/>
          <w:szCs w:val="24"/>
        </w:rPr>
        <w:t>подарък или възнаграждение</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разпоредбите на Словакия не се споменава предлагането на друга недължима облага, освен подкуп. Терминът „</w:t>
      </w:r>
      <w:r>
        <w:rPr>
          <w:rFonts w:ascii="Times New Roman" w:hAnsi="Times New Roman" w:cs="Times New Roman"/>
          <w:i/>
          <w:iCs/>
          <w:noProof/>
          <w:sz w:val="24"/>
          <w:szCs w:val="24"/>
        </w:rPr>
        <w:t>облага</w:t>
      </w:r>
      <w:r>
        <w:rPr>
          <w:rFonts w:ascii="Times New Roman" w:hAnsi="Times New Roman" w:cs="Times New Roman"/>
          <w:noProof/>
          <w:sz w:val="24"/>
          <w:szCs w:val="24"/>
        </w:rPr>
        <w:t>“</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не се използва в разпоредбите на словашкия наказателен кодекс относно подкупването, а се използва терминът „</w:t>
      </w:r>
      <w:r>
        <w:rPr>
          <w:rFonts w:ascii="Times New Roman" w:hAnsi="Times New Roman" w:cs="Times New Roman"/>
          <w:i/>
          <w:iCs/>
          <w:noProof/>
          <w:sz w:val="24"/>
          <w:szCs w:val="24"/>
        </w:rPr>
        <w:t>подкуп</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r>
        <w:rPr>
          <w:rFonts w:ascii="Times New Roman" w:hAnsi="Times New Roman" w:cs="Times New Roman"/>
          <w:i/>
          <w:iCs/>
          <w:noProof/>
          <w:sz w:val="24"/>
          <w:szCs w:val="24"/>
        </w:rPr>
        <w:t>„подкупът означава предмет или прехвърляне на имущество или на каквото и да било нематериално благо, за чието получаване не са налице законни права“</w:t>
      </w:r>
      <w:r>
        <w:rPr>
          <w:rFonts w:ascii="Times New Roman" w:hAnsi="Times New Roman" w:cs="Times New Roman"/>
          <w:noProof/>
          <w:sz w:val="24"/>
          <w:szCs w:val="24"/>
        </w:rPr>
        <w:t xml:space="preserve">. В Чешката република понятието </w:t>
      </w:r>
      <w:r>
        <w:rPr>
          <w:rFonts w:ascii="Times New Roman" w:hAnsi="Times New Roman" w:cs="Times New Roman"/>
          <w:i/>
          <w:iCs/>
          <w:noProof/>
          <w:sz w:val="24"/>
          <w:szCs w:val="24"/>
        </w:rPr>
        <w:t>„каквато и да е недължима облага“</w:t>
      </w:r>
      <w:r>
        <w:rPr>
          <w:rFonts w:ascii="Times New Roman" w:hAnsi="Times New Roman" w:cs="Times New Roman"/>
          <w:noProof/>
          <w:sz w:val="24"/>
          <w:szCs w:val="24"/>
        </w:rPr>
        <w:t xml:space="preserve"> е включено в определението на „подкуп“, който се дефинира като </w:t>
      </w:r>
      <w:r>
        <w:rPr>
          <w:rFonts w:ascii="Times New Roman" w:hAnsi="Times New Roman" w:cs="Times New Roman"/>
          <w:i/>
          <w:iCs/>
          <w:noProof/>
          <w:sz w:val="24"/>
          <w:szCs w:val="24"/>
        </w:rPr>
        <w:t>„недължима облага, която включва пряко материално обогатяване или друга облага ... , на която то няма право“</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Естония за пасивното подкупване недължимата облага е транспонирана като „</w:t>
      </w:r>
      <w:r>
        <w:rPr>
          <w:rFonts w:ascii="Times New Roman" w:hAnsi="Times New Roman" w:cs="Times New Roman"/>
          <w:i/>
          <w:iCs/>
          <w:noProof/>
          <w:sz w:val="24"/>
          <w:szCs w:val="24"/>
        </w:rPr>
        <w:t>имущество или други изгоди</w:t>
      </w:r>
      <w:r>
        <w:rPr>
          <w:rFonts w:ascii="Times New Roman" w:hAnsi="Times New Roman" w:cs="Times New Roman"/>
          <w:noProof/>
          <w:sz w:val="24"/>
          <w:szCs w:val="24"/>
        </w:rPr>
        <w:t>“, докато за активното подкупване законът се позовава на понятието „подкуп“, което е ограничено в сравнение с понятието „недължима облага“. Въз основа на наличната информация не е ясно дали някои елементи, включени в определението на пасивното подкупване, се прилагат и за активното подкупване.</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„за него или за трето лице“</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 22 държави членки този елемент е транспониран буквално (BE, BG, CZ, DE, DK ES, EL, FR, HU, HR, CY, LT, LV, LU, MT, AT, PT, SK, SI, FI, IE и SE).</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 xml:space="preserve">В Полша аспектът, свързан с трети лица, евентуално е обхванат само косвено, доколкото той е формулиран като </w:t>
      </w:r>
      <w:r>
        <w:rPr>
          <w:rFonts w:ascii="Times New Roman" w:hAnsi="Times New Roman" w:cs="Times New Roman"/>
          <w:i/>
          <w:iCs/>
          <w:noProof/>
          <w:sz w:val="24"/>
          <w:szCs w:val="24"/>
        </w:rPr>
        <w:t>„в полза на купувач или получател на стоки, услуги или друго изпълнение</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Този елемент не е изрично обхванат в две държави членки (Нидерландия и Румъния). В други две (Естония и Италия) той не е обхванат по отношение на определението за активно подкупване</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„да извърши или да се въздържи от дадено действие в нарушение на неговите задължения“</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 13 държави членки (BE, BG, DE, DK, FR, EL, IE, IT, CY, LV, LU, AT и SK) този елемент е транспониран буквално от националното законодателство.</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Седем държави членки (LT, LV, HU, MT, PT, RO и SE) са транспонирали този елемент с малки изменения. В Румъния този аспект е отразен само в определението за пасивно подкупване. В Литва то е транспонирано като „</w:t>
      </w:r>
      <w:r>
        <w:rPr>
          <w:rFonts w:ascii="Times New Roman" w:hAnsi="Times New Roman" w:cs="Times New Roman"/>
          <w:i/>
          <w:iCs/>
          <w:noProof/>
          <w:sz w:val="24"/>
          <w:szCs w:val="24"/>
        </w:rPr>
        <w:t>правомерно или неправомерно действие или бездействие (...) при упражняване на неговите правомощия</w:t>
      </w:r>
      <w:r>
        <w:rPr>
          <w:rFonts w:ascii="Times New Roman" w:hAnsi="Times New Roman" w:cs="Times New Roman"/>
          <w:noProof/>
          <w:sz w:val="24"/>
          <w:szCs w:val="24"/>
        </w:rPr>
        <w:t>“. В Португалия понятието „нарушение на задължения“ се съдържа само в определението за пасивно, но не и в определението за активно подкупване. В Латвия елементът „</w:t>
      </w:r>
      <w:r>
        <w:rPr>
          <w:rFonts w:ascii="Times New Roman" w:hAnsi="Times New Roman" w:cs="Times New Roman"/>
          <w:i/>
          <w:iCs/>
          <w:noProof/>
          <w:sz w:val="24"/>
          <w:szCs w:val="24"/>
        </w:rPr>
        <w:t>извърши или да се въздържи от дадено действие в нарушение на неговите задължения</w:t>
      </w:r>
      <w:r>
        <w:rPr>
          <w:rFonts w:ascii="Times New Roman" w:hAnsi="Times New Roman" w:cs="Times New Roman"/>
          <w:noProof/>
          <w:sz w:val="24"/>
          <w:szCs w:val="24"/>
        </w:rPr>
        <w:t>“ е транспониран в по-широк смисъл, като извършването или въздържането от извършването на дадено действие трябва да става „</w:t>
      </w:r>
      <w:r>
        <w:rPr>
          <w:rFonts w:ascii="Times New Roman" w:hAnsi="Times New Roman" w:cs="Times New Roman"/>
          <w:i/>
          <w:iCs/>
          <w:noProof/>
          <w:sz w:val="24"/>
          <w:szCs w:val="24"/>
        </w:rPr>
        <w:t>при упражняването на неговите правомощия</w:t>
      </w:r>
      <w:r>
        <w:rPr>
          <w:rFonts w:ascii="Times New Roman" w:hAnsi="Times New Roman" w:cs="Times New Roman"/>
          <w:noProof/>
          <w:sz w:val="24"/>
          <w:szCs w:val="24"/>
        </w:rPr>
        <w:t>“, без непременно да води до конкретно нарушение. В Унгария, Малта и Швеция законодателството не съдържа позоваване на „следва да извършва или да се въздържа от извършване“. Това означава, че пропускането на тези елементи не оказва въздействие върху понятието „в нарушение на задълженията на това лице“, което е предвидено в Наказателния кодекс; без значение е дали тези думи са имплицитни или посочени изрично.</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В Естония този аспект е транспониран като „</w:t>
      </w:r>
      <w:r>
        <w:rPr>
          <w:rFonts w:ascii="Times New Roman" w:hAnsi="Times New Roman" w:cs="Times New Roman"/>
          <w:i/>
          <w:iCs/>
          <w:noProof/>
          <w:sz w:val="24"/>
          <w:szCs w:val="24"/>
        </w:rPr>
        <w:t>злоупотреба с неговата компетентност</w:t>
      </w:r>
      <w:r>
        <w:rPr>
          <w:rFonts w:ascii="Times New Roman" w:hAnsi="Times New Roman" w:cs="Times New Roman"/>
          <w:noProof/>
          <w:sz w:val="24"/>
          <w:szCs w:val="24"/>
        </w:rPr>
        <w:t xml:space="preserve">“ в пасивната корупция, въпреки че изобщо не се споменава в определението за активна корупция. </w:t>
      </w:r>
      <w:r>
        <w:rPr>
          <w:rFonts w:ascii="Times New Roman" w:hAnsi="Times New Roman" w:cs="Times New Roman"/>
          <w:noProof/>
          <w:color w:val="000000"/>
          <w:sz w:val="24"/>
          <w:szCs w:val="24"/>
          <w:shd w:val="clear" w:color="auto" w:fill="FFFFFF"/>
        </w:rPr>
        <w:t>От получената от естонските органи информация не може да се заключи за това дали някои елементи, включени в определението на пасивното подкупване, се прилагат и по отношение на активното подкупване.</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 Чешката република Наказателният кодекс не ограничава приложимостта на разпоредбите относно подкупването в частния сектор до случаи на нарушение на задължение.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Испания изразът „</w:t>
      </w:r>
      <w:r>
        <w:rPr>
          <w:rFonts w:ascii="Times New Roman" w:hAnsi="Times New Roman" w:cs="Times New Roman"/>
          <w:i/>
          <w:iCs/>
          <w:noProof/>
          <w:sz w:val="24"/>
          <w:szCs w:val="24"/>
        </w:rPr>
        <w:t>в нарушение на неговите задължения</w:t>
      </w:r>
      <w:r>
        <w:rPr>
          <w:rFonts w:ascii="Times New Roman" w:hAnsi="Times New Roman" w:cs="Times New Roman"/>
          <w:noProof/>
          <w:sz w:val="24"/>
          <w:szCs w:val="24"/>
        </w:rPr>
        <w:t>“ беше заличен от закона.</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Освен това елементът „</w:t>
      </w:r>
      <w:r>
        <w:rPr>
          <w:rFonts w:ascii="Times New Roman" w:hAnsi="Times New Roman" w:cs="Times New Roman"/>
          <w:i/>
          <w:iCs/>
          <w:noProof/>
          <w:sz w:val="24"/>
          <w:szCs w:val="24"/>
        </w:rPr>
        <w:t>извърши или да се въздържи от дадено действие</w:t>
      </w:r>
      <w:r>
        <w:rPr>
          <w:rFonts w:ascii="Times New Roman" w:hAnsi="Times New Roman" w:cs="Times New Roman"/>
          <w:noProof/>
          <w:sz w:val="24"/>
          <w:szCs w:val="24"/>
        </w:rPr>
        <w:t>“ не е отразен в настоящата формулировка. Приложното поле на члена също е ограничено („при покупката или продажбата на стоки, или при договарянето на услуги или търговски отношения“).</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Във Финландия и Хърватия не е посочен аспектът за нарушение на задължения, а вместо това е посочено „извърши или се въздържи от извършване на действие“, като текстът се отнася до поставяне в по-благоприятно положение на лицето, предлагащо подкуп, или друго лице. В Словения в закона се споменава пренебрегването на интереса на организацията или на друго лице или причиняването на вреди при сключването или запазването на договор. В Нидерландия елементът за „</w:t>
      </w:r>
      <w:r>
        <w:rPr>
          <w:rFonts w:ascii="Times New Roman" w:hAnsi="Times New Roman" w:cs="Times New Roman"/>
          <w:i/>
          <w:iCs/>
          <w:noProof/>
          <w:sz w:val="24"/>
          <w:szCs w:val="24"/>
        </w:rPr>
        <w:t>нарушение на служебните задължения</w:t>
      </w:r>
      <w:r>
        <w:rPr>
          <w:rFonts w:ascii="Times New Roman" w:hAnsi="Times New Roman" w:cs="Times New Roman"/>
          <w:noProof/>
          <w:sz w:val="24"/>
          <w:szCs w:val="24"/>
        </w:rPr>
        <w:t>“ е транспониран като „</w:t>
      </w:r>
      <w:r>
        <w:rPr>
          <w:rFonts w:ascii="Times New Roman" w:hAnsi="Times New Roman" w:cs="Times New Roman"/>
          <w:i/>
          <w:iCs/>
          <w:noProof/>
          <w:sz w:val="24"/>
          <w:szCs w:val="24"/>
        </w:rPr>
        <w:t>в нарушение на добросъвестността</w:t>
      </w:r>
      <w:r>
        <w:rPr>
          <w:rFonts w:ascii="Times New Roman" w:hAnsi="Times New Roman" w:cs="Times New Roman"/>
          <w:noProof/>
          <w:sz w:val="24"/>
          <w:szCs w:val="24"/>
        </w:rPr>
        <w:t>“, което включва „</w:t>
      </w:r>
      <w:r>
        <w:rPr>
          <w:rFonts w:ascii="Times New Roman" w:hAnsi="Times New Roman" w:cs="Times New Roman"/>
          <w:i/>
          <w:iCs/>
          <w:noProof/>
          <w:sz w:val="24"/>
          <w:szCs w:val="24"/>
        </w:rPr>
        <w:t>скриване на приемането или искането за подарък или обещание или услуга от неговия работодател или началник</w:t>
      </w:r>
      <w:r>
        <w:rPr>
          <w:rFonts w:ascii="Times New Roman" w:hAnsi="Times New Roman" w:cs="Times New Roman"/>
          <w:noProof/>
          <w:sz w:val="24"/>
          <w:szCs w:val="24"/>
        </w:rPr>
        <w:t>“</w:t>
      </w:r>
      <w:r>
        <w:rPr>
          <w:rStyle w:val="FootnoteReference"/>
          <w:rFonts w:ascii="Times New Roman" w:eastAsia="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В Полша понятието „</w:t>
      </w:r>
      <w:r>
        <w:rPr>
          <w:rFonts w:ascii="Times New Roman" w:hAnsi="Times New Roman" w:cs="Times New Roman"/>
          <w:i/>
          <w:iCs/>
          <w:noProof/>
          <w:sz w:val="24"/>
          <w:szCs w:val="24"/>
        </w:rPr>
        <w:t>нарушение на [...] задължения</w:t>
      </w:r>
      <w:r>
        <w:rPr>
          <w:rFonts w:ascii="Times New Roman" w:hAnsi="Times New Roman" w:cs="Times New Roman"/>
          <w:noProof/>
          <w:sz w:val="24"/>
          <w:szCs w:val="24"/>
        </w:rPr>
        <w:t xml:space="preserve">“ е транспонирано като </w:t>
      </w:r>
      <w:r>
        <w:rPr>
          <w:rFonts w:ascii="Times New Roman" w:hAnsi="Times New Roman" w:cs="Times New Roman"/>
          <w:i/>
          <w:iCs/>
          <w:noProof/>
          <w:sz w:val="24"/>
          <w:szCs w:val="24"/>
        </w:rPr>
        <w:t>„неизпълнение на задължение, възложено на това лице, което може да нанесе материални щети на този субект или да представлява акт на нелоялна конкуренция или недопустимо действие, свързано с предпочитание в полза на купувач или получател на стоки, услуги или друго изпълнение</w:t>
      </w:r>
      <w:r>
        <w:rPr>
          <w:rFonts w:ascii="Times New Roman" w:hAnsi="Times New Roman" w:cs="Times New Roman"/>
          <w:noProof/>
          <w:sz w:val="24"/>
          <w:szCs w:val="24"/>
        </w:rPr>
        <w:t>“.</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b/>
          <w:noProof/>
          <w:sz w:val="24"/>
          <w:szCs w:val="24"/>
        </w:rPr>
      </w:pPr>
      <w:r>
        <w:rPr>
          <w:rFonts w:ascii="Times New Roman" w:hAnsi="Times New Roman" w:cs="Times New Roman"/>
          <w:b/>
          <w:noProof/>
          <w:sz w:val="24"/>
          <w:szCs w:val="24"/>
        </w:rPr>
        <w:t xml:space="preserve">Допълнителни ограничения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разлика от другите 25 държави — членки на ЕС, в Белгия и Люксембург приложното поле е ограничено до случаите, в които нарушението на служебните задължения не е било известно на началника — както при престъпленията, свързани с пасивно, така и при престъпленията, свързани с активно подкупване. </w:t>
      </w:r>
    </w:p>
    <w:p>
      <w:pPr>
        <w:keepNext/>
        <w:numPr>
          <w:ilvl w:val="3"/>
          <w:numId w:val="0"/>
        </w:numPr>
        <w:tabs>
          <w:tab w:val="num" w:pos="850"/>
        </w:tabs>
        <w:spacing w:before="120" w:after="120" w:line="240" w:lineRule="auto"/>
        <w:ind w:left="850" w:hanging="850"/>
        <w:jc w:val="both"/>
        <w:outlineLvl w:val="3"/>
        <w:rPr>
          <w:rFonts w:ascii="Times New Roman" w:eastAsia="Times New Roman" w:hAnsi="Times New Roman" w:cs="Times New Roman"/>
          <w:bCs/>
          <w:noProof/>
          <w:sz w:val="24"/>
          <w:szCs w:val="24"/>
        </w:rPr>
      </w:pPr>
      <w:r>
        <w:rPr>
          <w:rFonts w:ascii="Times New Roman" w:hAnsi="Times New Roman" w:cs="Times New Roman"/>
          <w:bCs/>
          <w:noProof/>
          <w:sz w:val="24"/>
          <w:szCs w:val="24"/>
        </w:rPr>
        <w:t>Член 2, параграф 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член 2, параграф 2 се постановява, че член 2, параграф 1 се прилага за осъществяване на стопанска дейност от субекти със стопанска или нестопанска цел.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Повечето държави членки изрично посочват в своето законодателство, че се включват субектите с нестопанска цел, а други са формулирали своето законодателство в толкова широк смисъл, че субектите с нестопанска цел не са изключени (BE, BG, CZ, DK, EE, FR, EL, HR, IE, IT, CY, LV, LT, LU, HU, NL, MT, PL, PT, RO, SK, SI и SE).</w:t>
      </w:r>
    </w:p>
    <w:p>
      <w:pPr>
        <w:spacing w:before="150" w:after="150" w:line="240" w:lineRule="auto"/>
        <w:ind w:left="34" w:right="101"/>
        <w:jc w:val="both"/>
        <w:rPr>
          <w:rFonts w:ascii="Times New Roman" w:hAnsi="Times New Roman" w:cs="Times New Roman"/>
          <w:noProof/>
          <w:sz w:val="24"/>
          <w:szCs w:val="24"/>
        </w:rPr>
      </w:pPr>
      <w:r>
        <w:rPr>
          <w:rFonts w:ascii="Times New Roman" w:hAnsi="Times New Roman" w:cs="Times New Roman"/>
          <w:noProof/>
          <w:sz w:val="24"/>
          <w:szCs w:val="24"/>
        </w:rPr>
        <w:t>В четири държави членки (Германия, Финландия, Австрия и Испания) обхватът на престъплението е различен. В Германия, Финландия и Австрия разпоредбата е ограничена до понятието „предприятия/дружества“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което е по-тясно отколкото „юридическо лице от частния сектор“.</w:t>
      </w:r>
      <w:r>
        <w:rPr>
          <w:rFonts w:ascii="Times New Roman" w:hAnsi="Times New Roman" w:cs="Times New Roman"/>
          <w:noProof/>
          <w:color w:val="000000"/>
          <w:sz w:val="24"/>
          <w:szCs w:val="24"/>
        </w:rPr>
        <w:t xml:space="preserve"> Испания също е ограничила обхвата по подобен начин.</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 xml:space="preserve">Ограничаването на обхвата на съответните престъпления до предприятията в някои случаи изключва наказателна отговорност за физическите лица, които предоставят подкуп от името на или в полза на организации с нестопанска цел. Организациите с нестопанска цел са част от частния сектор, такива са например фондациите, сдруженията, спортните клубове, църковните и благотворителните организации. Организациите с нестопанска цел често извършват стопанска дейност, но обикновено използват приходите с цел да подпомогнат постигането на своите крайни социални, образователни или благотворителни цели, а не ги изплащат на акционерите, ръководителите или членовете на организацията. </w:t>
      </w:r>
    </w:p>
    <w:p>
      <w:pPr>
        <w:spacing w:before="120" w:after="120" w:line="240" w:lineRule="auto"/>
        <w:jc w:val="both"/>
        <w:rPr>
          <w:rFonts w:ascii="Times New Roman" w:hAnsi="Times New Roman" w:cs="Times New Roman"/>
          <w:noProof/>
          <w:color w:val="000000"/>
          <w:spacing w:val="-1"/>
          <w:sz w:val="24"/>
          <w:szCs w:val="24"/>
        </w:rPr>
      </w:pPr>
      <w:r>
        <w:rPr>
          <w:rFonts w:ascii="Times New Roman" w:hAnsi="Times New Roman" w:cs="Times New Roman"/>
          <w:noProof/>
          <w:sz w:val="24"/>
          <w:szCs w:val="24"/>
        </w:rPr>
        <w:t>Освен това за дейностите в обхвата на Рамковото решение, в съответствие с член 2, параграф 3 държавите членки могат да декларират, че ще ограничат приложното поле до действия, които водят до нарушаване на конкуренцията във връзка със закупуването на стоки или търговски услуги. Такива декларации бяха направени от Германия, Италия, Австрия и Полша. Те бяха валидни до 22 юли 2010 г.</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(член 2, параграф 4). Тъй като Съветът не взе решение за удължаване на срока на тяхната валидност, Комисията счита, че те вече не са валидни.</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Германия настоящата формулировка на член 299 от Наказателния кодекс може да изключва някои ситуации, в които участват субекти от частния сектор или с които се сблъскват на практика и които не са тясно свързани със сделки по възлагане на обществени поръчки. За сравнение член 2 се отнася до подкупване „</w:t>
      </w:r>
      <w:r>
        <w:rPr>
          <w:rFonts w:ascii="Times New Roman" w:hAnsi="Times New Roman" w:cs="Times New Roman"/>
          <w:i/>
          <w:iCs/>
          <w:noProof/>
          <w:sz w:val="24"/>
          <w:szCs w:val="24"/>
        </w:rPr>
        <w:t>при осъществяване на стопанска дейност</w:t>
      </w:r>
      <w:r>
        <w:rPr>
          <w:rFonts w:ascii="Times New Roman" w:hAnsi="Times New Roman" w:cs="Times New Roman"/>
          <w:noProof/>
          <w:sz w:val="24"/>
          <w:szCs w:val="24"/>
        </w:rPr>
        <w:t>“, което обхваща възможно най-широк спектър от дейности.</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Испания, активната и пасивната корупция е ограничена до „</w:t>
      </w:r>
      <w:r>
        <w:rPr>
          <w:rFonts w:ascii="Times New Roman" w:hAnsi="Times New Roman" w:cs="Times New Roman"/>
          <w:i/>
          <w:iCs/>
          <w:noProof/>
          <w:sz w:val="24"/>
          <w:szCs w:val="24"/>
        </w:rPr>
        <w:t>покупката или продажбата на стоки или сключването на договори за услуги, или търговски отношения</w:t>
      </w:r>
      <w:r>
        <w:rPr>
          <w:rFonts w:ascii="Times New Roman" w:hAnsi="Times New Roman" w:cs="Times New Roman"/>
          <w:noProof/>
          <w:sz w:val="24"/>
          <w:szCs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Словения престъплението съдържа възможно ограничение: „</w:t>
      </w:r>
      <w:r>
        <w:rPr>
          <w:rFonts w:ascii="Times New Roman" w:hAnsi="Times New Roman" w:cs="Times New Roman"/>
          <w:i/>
          <w:iCs/>
          <w:noProof/>
          <w:sz w:val="24"/>
          <w:szCs w:val="24"/>
        </w:rPr>
        <w:t>при сключване или запазване на договор</w:t>
      </w:r>
      <w:r>
        <w:rPr>
          <w:rFonts w:ascii="Times New Roman" w:hAnsi="Times New Roman" w:cs="Times New Roman"/>
          <w:noProof/>
          <w:sz w:val="24"/>
          <w:szCs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color w:val="000000"/>
          <w:sz w:val="24"/>
          <w:szCs w:val="24"/>
        </w:rPr>
      </w:pP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bookmarkStart w:id="4" w:name="_Toc275870029"/>
      <w:r>
        <w:rPr>
          <w:rFonts w:ascii="Times New Roman" w:hAnsi="Times New Roman" w:cs="Times New Roman"/>
          <w:b/>
          <w:i/>
          <w:noProof/>
          <w:sz w:val="24"/>
          <w:szCs w:val="24"/>
        </w:rPr>
        <w:t>Член 3 — Подбудителство, помагачество</w:t>
      </w:r>
      <w:bookmarkEnd w:id="4"/>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Член 3 се съсредоточава върху участието в корупция чрез подбудителство и помагачество. В него обаче не се разглеждат опитите за извършване на престъпление</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25 държави членки (BE, BG, CZ, DE, DK, ES, EE, EL, FR, HR, CY, LT, LV, LU, HU, MT, NL, AT, PL, PT, RO, SK, SI, FI и SE) националните закони засягат аспектите подбудителство и помагачество. Ирландия обясни, че макар подбудителството да не е било изрично обхванато от националното ѝ право, то е засегнато в съдебната практика.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Италия счита, че тези понятия са обхванати от членовете от нейния наказателен кодекс в рамките на понятието „които облагодетелстват“</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Получената в това отношение информация обаче не позволява да се направи заключение за транспониране.</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Член   4 — Наказания и други санкции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Съгласно член 4, параграф 1 деянията, свързани с корупция в частния сектор, се наказват с наказания, които са „ефективни, съразмерни и възпиращи“. </w:t>
      </w:r>
      <w:r>
        <w:rPr>
          <w:rFonts w:ascii="Times New Roman" w:hAnsi="Times New Roman" w:cs="Times New Roman"/>
          <w:noProof/>
          <w:sz w:val="24"/>
          <w:szCs w:val="24"/>
        </w:rPr>
        <w:t>Член 4, параграф 1 е транспониран в националното законодателство на всички държави членки.</w:t>
      </w:r>
    </w:p>
    <w:p>
      <w:pPr>
        <w:shd w:val="clear" w:color="auto" w:fill="FFFFFF"/>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Член 4, параграф 2 изисква от всяка държава членка да гарантира, че за активна и пасивна корупция в частния сектор се налага наказание лишаване от свобода най-малко от една до три години.</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Комисията заключава, че прагът за санкции е транспониран в законодателството на всички държави членки.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Съгласно член 4, параграф 3 държавите членки, когато е подходящо, временно лишават физическите лица от правото да упражняват съответната стопанска дейност или подобна стопанска дейност на същия пост или в същото качество,</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Това изискване е транспонирано в националното законодателство на 24 държави членки (BE, BG, CZ, DE, DK, EE, EL, FR, HR, IE, IT, LV, LT, LU, HU, MT, NL, AT, PT, PL, RO, FI, SK и SI). Швеция обясни, че тези мерки могат да бъдат предприети въз основа на Закона за изключване от търговски дейности, но не предостави по-подробно обяснение.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Информацията, предоставена от Кипър и Испания, не беше достатъчна, за да се направи заключение дали член 4, параграф 3 е транспониран в националното им законодателство.</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Член 5 — Отговорност на юридически лица</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Член 5 предвижда, че юридическите лица носят отговорност за престъпленията, свързани с активна и пасивна корупция. Държавите членки могат да изберат между наказателна и административна отговорност.</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член 5, параграф 1 държавите членки гарантират, че юридическите лица носят отговорност, когато подкупването е извършено в тяхна полза от всяко физическо лице, което „</w:t>
      </w:r>
      <w:r>
        <w:rPr>
          <w:rFonts w:ascii="Times New Roman" w:hAnsi="Times New Roman" w:cs="Times New Roman"/>
          <w:i/>
          <w:iCs/>
          <w:noProof/>
          <w:sz w:val="24"/>
          <w:szCs w:val="24"/>
        </w:rPr>
        <w:t>действа самостоятелно или като член на орган на юридическото лице</w:t>
      </w:r>
      <w:r>
        <w:rPr>
          <w:rFonts w:ascii="Times New Roman" w:hAnsi="Times New Roman" w:cs="Times New Roman"/>
          <w:noProof/>
          <w:sz w:val="24"/>
          <w:szCs w:val="24"/>
        </w:rPr>
        <w:t>“ и което заема ръководна длъжност в това юридическо лице.</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член 5, параграф 2 държавите членки гарантират, че е възможно установяване на отговорност на юридическото лице, когато липсата на надзор или контрол е направила възможно извършването на престъплението.</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Отговорността на юридическите лица не изключва наказателно преследване срещу физически лица, които са извършители, подбудители или помагачи (член 5, параграф 3).</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Понастоящем 16 държави членки (BE, DK, DE, ES, EL, FR, CY, LV, LT, LU, HU, AT, PL, FI, SK и SI) имат действащо законодателство, което транспонира тази разпоредба. Някои държави членки използват наказателни мерки, докато други използват административни мерки срещу юридическите лица. И двата подхода са еднакво приемливи съгласно Рамковото решение. В Ирландия отговорността на юридическите лица се основава на съдебната практика. Ирландия не е предоставила достатъчно информация, за да може да се направи оценка на транспонирането на член 5, параграфи 2 и 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Португалия отговорността на юридическите лица и на еквивалентни субекти се изключва, ако извършителят е действал срещу конкретните заповеди или указания на лицата, които имат право да ги издават. В Хърватия отговорността на юридическите лица зависи от два алтернативни критерия, единият от които е „</w:t>
      </w:r>
      <w:r>
        <w:rPr>
          <w:rFonts w:ascii="Times New Roman" w:hAnsi="Times New Roman" w:cs="Times New Roman"/>
          <w:i/>
          <w:iCs/>
          <w:noProof/>
          <w:sz w:val="24"/>
          <w:szCs w:val="24"/>
        </w:rPr>
        <w:t>незаконна печалба</w:t>
      </w:r>
      <w:r>
        <w:rPr>
          <w:rFonts w:ascii="Times New Roman" w:hAnsi="Times New Roman" w:cs="Times New Roman"/>
          <w:noProof/>
          <w:sz w:val="24"/>
          <w:szCs w:val="24"/>
        </w:rPr>
        <w:t>“ за юридическото лице или за третото лице. В Естония юридическото лице е освободено от наказателна отговорност, ако престъпление, извършено от негов компетентен представител, е било „неизбежно“</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за юридическото лице. Естония се позовава на общото право и съответната съдебна практика, съгласно които юридическото лице носи отговорност за действията на своите „контролиращи лица“.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съответствие с член 5, параграф 2 държавите членки следва да гарантират, че е възможно установяване на отговорност на юридическо лице и когато липсата на надзор или контрол е направила възможно извършването на престъплението. За осем държави членки няма достатъчно информация, за да се оцени дали липсата на надзор или контрол е обхваната от националното право (България, Чешката република, Естония, Италия, Малта, Нидерландия и Португалия) или дали съдебната практика обхваща тези аспекти (Ирландия).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Член 5, параграф 3 съдържа отрицателно условие. Когато държавите членки не разполагат с действащо законодателство или практика, които са в разрез с това условие, се приема, че те изпълняват условието, а именно отговорността на юридическите лица да не изключва наказателно преследване срещу физически лица, замесени като извършители, подбудители или съучастници.</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Член 6 — Санкции за юридическите лица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Съгласно член 6 от държавите членки се изисква да установят ефективни, съразмерни и възпиращи санкции за юридически лица (наказателни или ненаказателни) за активна и пасивна корупция, подбудителство и помагачество и когато липсата на надзор или контрол е направила възможно извършването на престъпление. В допълнение, в член 6, параграф 1 се дават примери за санкциите, които могат да бъдат наложени, като изключване от получаване на обществени ползи и помощи, забрана за упражняване на търговска дейност, съдебен надзор или прекратяване по съдебен ред. Съгласно член 6, параграф 2 санкциите трябва да бъдат ефективни, съразмерни и възпиращи.</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18 държави членки (BE, BG, CZ, DE, DK, EL, FR, HR, LV, LU, HU, MT, AT, PL, SK, SI, FI и CY) предоставиха информация, потвърждаваща наличието на законодателство, транспониращо член 6, параграф 1. Информацията от другите държави членки не позволява да се направи заключение за транспониране.</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Член 6, параграф 2 е транспониран в националното законодателство на 26 държави членки. Ирландия потвърждава транспонирането на член 6 посредством законодателен акт, приет през </w:t>
      </w:r>
      <w:r>
        <w:rPr>
          <w:rFonts w:ascii="Times New Roman" w:hAnsi="Times New Roman" w:cs="Times New Roman"/>
          <w:noProof/>
          <w:sz w:val="24"/>
          <w:szCs w:val="24"/>
          <w:lang w:val="bg-BG"/>
        </w:rPr>
        <w:t>19</w:t>
      </w:r>
      <w:r>
        <w:rPr>
          <w:rFonts w:ascii="Times New Roman" w:hAnsi="Times New Roman" w:cs="Times New Roman"/>
          <w:noProof/>
          <w:sz w:val="24"/>
          <w:szCs w:val="24"/>
        </w:rPr>
        <w:t>06 г. Този акт обаче обхваща само санкции за физически, но не и за юридически лица. Следователно предоставената информация не е достатъчна, за да се направи оценка на транспонирането.</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Член 7 — Компетентност</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Съгласно  член 7 от държавите членки се изисква да предприемат необходимите мерки, за да установят своята компетентност за наказуемите деяния, които попадат в приложното поле на това рамково решение, когато престъплението е извършено изцяло или отчасти на тяхна територия, от техен гражданин или в полза на юридическо лице, чието седалище е на територията на тази държава членка. Държавите членки разполагат със свобода на преценка при прилагането на последните две правила за компетентност.</w:t>
      </w:r>
    </w:p>
    <w:p>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Всички държави членки са въвели национални мерки за транспонирането на тази разпоредба.</w:t>
      </w:r>
    </w:p>
    <w:p>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член 7, параграф 2, 16 държави членки (BG, DE, DK, FR, EL, IT, IE, LT, LU, HU, MT, NL, AT, PL, FI и SE) са решили да не прилагат някои правила за компетентност (когато престъплението е извършено от техен гражданин или е извършено в полза на юридическо лице, чието седалище е на територията на тази държава членка).</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В някои държави членки (като Финландия, Франция или Дания) в съответствие с член 7, параграф 2, буква б) се предвижда изискване за двойна наказуемост, което може да бъде предмет на допълнителни условия, като например доклад, представен от жертвата (Франция), или процедурата, започната от прокурора (Франция).</w:t>
      </w:r>
    </w:p>
    <w:p>
      <w:pPr>
        <w:shd w:val="clear" w:color="auto" w:fill="FFFFFF"/>
        <w:spacing w:before="120" w:after="120" w:line="240" w:lineRule="auto"/>
        <w:jc w:val="both"/>
        <w:rPr>
          <w:rFonts w:ascii="Times New Roman" w:hAnsi="Times New Roman" w:cs="Times New Roman"/>
          <w:noProof/>
          <w:sz w:val="24"/>
          <w:szCs w:val="24"/>
        </w:rPr>
      </w:pPr>
    </w:p>
    <w:p>
      <w:pPr>
        <w:keepNext/>
        <w:tabs>
          <w:tab w:val="num" w:pos="850"/>
        </w:tabs>
        <w:spacing w:before="12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cs="Times New Roman"/>
          <w:b/>
          <w:smallCaps/>
          <w:noProof/>
          <w:sz w:val="24"/>
          <w:szCs w:val="24"/>
        </w:rPr>
        <w:t>ЗАКЛЮЧЕНИЯ</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Получената от държавите членки информация показва, че </w:t>
      </w:r>
      <w:bookmarkStart w:id="5" w:name="_CopyToNewDocument_"/>
      <w:bookmarkEnd w:id="5"/>
      <w:r>
        <w:rPr>
          <w:rFonts w:ascii="Times New Roman" w:hAnsi="Times New Roman" w:cs="Times New Roman"/>
          <w:noProof/>
          <w:sz w:val="24"/>
          <w:szCs w:val="24"/>
        </w:rPr>
        <w:t>от 2011 г. насам в много от тях са осъществени мащабни реформи. Така например през 2014 г. Гърция измени своите наказателни разпоредби относно корупцията, а България, Германия, Естония и Испания направиха това през 2015 г. Белгия измени наказателния си кодекс през 2016 г. и 2018 г., а Италия — през 2017 г. През 2012 г. Унгария прие нов наказателен кодекс и преразгледа всички свързани правни инструменти. Словакия прие закон за отговорността на юридическите лица през 2016 г.</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цяло равнището на транспониране на Рамковото решение се е подобрило значително след доклада за изпълнението от 2011 г. Размерът на санкциите, въведени в националните наказателни кодекси, е в съответствие с минималните прагове в Рамковото решение във всички държави членки.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това за няколко държави членки някои от разпоредбите на Рамковото решение са били трудни за изпълнение. Например приемането на обещанието за подкуп не е включено в националното законодателство на всички държави членки, а в някои държави извършването на престъпление от страна на лице, което ръководи или работи в юридическо лице от частния сектор, е ограничено до конкретни длъжности или правомощия. Недължимата облага, която се предлага или дава на трети лица, не е отразена напълно в малък брой държави членки. Освен това понятието за недължима облага е дефинирано различно, като понякога покрива повече от строго необходимото, но в други случаи са пропуснати важни елементи. В допълнение, някои държави членки са включили ограничение в обхвата на понятието корупция в частния сектор като са посочили някои условия, при които може да бъде извършено престъплението, или като са ограничили обхвата на престъплението до дружества и други субекти със стопанска цел, като по този начин не са включили организациите с нестопанска цел. В някои държави членки съответните разпоредби на наказателния кодекс не обхващат юридическите лица с нестопанска цел.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няколко държави членки въпреки усилията за изменение на националното законодателство, са необходими по-нататъшни усилия за изпълнение на тези наказателни мерки. От 22 държави членки, предоставили статистически данни в рамките на актуализацията от 2018 г. за референтните години 2014—2016 г., само 13</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държави членки са предоставили регистрирани данни за случаи на подкупване в частния сектор. През годините, обхванати от доклада, броят на присъдите за корупция в частния сектор е много малък.</w:t>
      </w:r>
    </w:p>
    <w:p>
      <w:pPr>
        <w:jc w:val="both"/>
        <w:rPr>
          <w:rFonts w:ascii="Times New Roman" w:hAnsi="Times New Roman" w:cs="Times New Roman"/>
          <w:noProof/>
          <w:sz w:val="24"/>
          <w:szCs w:val="24"/>
        </w:rPr>
      </w:pPr>
      <w:r>
        <w:rPr>
          <w:rFonts w:ascii="Times New Roman" w:hAnsi="Times New Roman" w:cs="Times New Roman"/>
          <w:noProof/>
          <w:sz w:val="24"/>
          <w:szCs w:val="24"/>
        </w:rPr>
        <w:t>Комисията ще продължи да подкрепя държавите членки, за да осигури задоволително равнище на транспониране, изпълнение и прилагане на законодателството на ЕС. Това включва проверка дали националните мерки са в пълно съответствие със съответните разпоредби на Рамковото решение, организиране на срещи с националните органи на държавите членки и улесняване на разработването и обмена на най-добри практики в конкретни области. При необходимост Комисията ще упражнява правомощията си за принудително прилагане, които са ѝ дадени съгласно Договорите, посредством процедури за установяване на нарушение. Накрая, Комисията ще продължи да събира статистически данни за престъпността, включително за корупцията в частния сектор.</w:t>
      </w:r>
    </w:p>
    <w:p>
      <w:pPr>
        <w:keepNext/>
        <w:tabs>
          <w:tab w:val="num" w:pos="850"/>
        </w:tabs>
        <w:spacing w:before="360" w:after="120" w:line="240" w:lineRule="auto"/>
        <w:ind w:left="850" w:hanging="850"/>
        <w:jc w:val="both"/>
        <w:outlineLvl w:val="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b/>
        <w:sz w:val="48"/>
      </w:rPr>
    </w:pPr>
    <w:r>
      <w:rPr>
        <w:rFonts w:ascii="Arial" w:hAnsi="Arial"/>
        <w:b/>
        <w:sz w:val="48"/>
      </w:rP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rPr>
        <w:rFonts w:ascii="Times New Roman" w:hAnsi="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ab/>
        <w:t>ОВ L 192, 31.7.2003 г., стр. 54—56.</w:t>
      </w:r>
    </w:p>
  </w:footnote>
  <w:footnote w:id="3">
    <w:p>
      <w:pPr>
        <w:pStyle w:val="FootnoteText"/>
        <w:ind w:left="284" w:hanging="284"/>
      </w:pPr>
      <w:r>
        <w:rPr>
          <w:rStyle w:val="FootnoteReference"/>
        </w:rPr>
        <w:footnoteRef/>
      </w:r>
      <w:r>
        <w:tab/>
        <w:t>ОВ C 115, 9.5.2008 г., стр. 322—326.</w:t>
      </w:r>
    </w:p>
  </w:footnote>
  <w:footnote w:id="4">
    <w:p>
      <w:pPr>
        <w:pStyle w:val="FootnoteText"/>
        <w:ind w:left="284" w:hanging="284"/>
      </w:pPr>
      <w:r>
        <w:rPr>
          <w:rStyle w:val="FootnoteReference"/>
        </w:rPr>
        <w:footnoteRef/>
      </w:r>
      <w:r>
        <w:tab/>
        <w:t>СОМ(2007) 328 final. През 2007 г. Комисията констатира, че само две държави членки са транспонирали правилно нейните разпоредби в националното си законодателство.</w:t>
      </w:r>
    </w:p>
  </w:footnote>
  <w:footnote w:id="5">
    <w:p>
      <w:pPr>
        <w:pStyle w:val="FootnoteText"/>
        <w:ind w:left="284" w:hanging="284"/>
      </w:pPr>
      <w:r>
        <w:rPr>
          <w:rStyle w:val="FootnoteReference"/>
        </w:rPr>
        <w:footnoteRef/>
      </w:r>
      <w:r>
        <w:tab/>
        <w:t>СОМ(2011) 309 final. В доклада се заключава, че въпреки постигнатия известен частичен напредък транспонирането все още е незадоволително. Основният проблем се крие в недостатъчното транспониране на някои елементи на членове 2 и 5. В резултат на това Комисията призова държавите членки да предприемат незабавно всички необходими мерки за коригиране на ситуацията. Освен това Комисията прикани държавите членки да информират за мерки, приети след последното уведомление.</w:t>
      </w:r>
    </w:p>
  </w:footnote>
  <w:footnote w:id="6">
    <w:p>
      <w:pPr>
        <w:pStyle w:val="FootnoteText"/>
        <w:ind w:left="284" w:hanging="284"/>
        <w:jc w:val="left"/>
      </w:pPr>
      <w:r>
        <w:rPr>
          <w:rStyle w:val="FootnoteReference"/>
        </w:rPr>
        <w:footnoteRef/>
      </w:r>
      <w:r>
        <w:tab/>
        <w:t>European Treaty Series — № 173.</w:t>
      </w:r>
    </w:p>
    <w:p>
      <w:pPr>
        <w:pStyle w:val="FootnoteText"/>
        <w:ind w:left="284" w:hanging="295"/>
        <w:jc w:val="left"/>
      </w:pPr>
      <w:r>
        <w:tab/>
        <w:t>https://www.coe.int/en/web/conventions/full-list/-/conventions/rms/090000168007f3f5</w:t>
      </w:r>
    </w:p>
    <w:p>
      <w:pPr>
        <w:pStyle w:val="FootnoteText"/>
        <w:ind w:left="284" w:hanging="295"/>
        <w:jc w:val="left"/>
      </w:pPr>
      <w:r>
        <w:tab/>
        <w:t>https://www.unodc.org/documents/treaties/UNCAC/Publications/Convention/08-50026_E.pdf</w:t>
      </w:r>
    </w:p>
  </w:footnote>
  <w:footnote w:id="7">
    <w:p>
      <w:pPr>
        <w:pStyle w:val="FootnoteText"/>
        <w:ind w:left="284" w:hanging="295"/>
        <w:jc w:val="left"/>
      </w:pPr>
      <w:r>
        <w:rPr>
          <w:rStyle w:val="FootnoteReference"/>
        </w:rPr>
        <w:footnoteRef/>
      </w:r>
      <w:r>
        <w:t xml:space="preserve"> </w:t>
      </w:r>
      <w:r>
        <w:tab/>
      </w:r>
      <w:hyperlink r:id="rId1" w:history="1">
        <w:r>
          <w:rPr>
            <w:rStyle w:val="Hyperlink"/>
          </w:rPr>
          <w:t>http://ec.europa.eu/transparency/regexpert/index.cfm?do=groupDetail.groupDetailDoc&amp;id=21215&amp;no=2</w:t>
        </w:r>
      </w:hyperlink>
    </w:p>
  </w:footnote>
  <w:footnote w:id="8">
    <w:p>
      <w:pPr>
        <w:pStyle w:val="FootnoteText"/>
        <w:ind w:left="284" w:hanging="295"/>
        <w:jc w:val="left"/>
      </w:pPr>
      <w:r>
        <w:rPr>
          <w:rStyle w:val="FootnoteReference"/>
        </w:rPr>
        <w:footnoteRef/>
      </w:r>
      <w:r>
        <w:t xml:space="preserve"> </w:t>
      </w:r>
      <w:r>
        <w:tab/>
        <w:t>BE, BG, CZ, DE, ES, HR, IE, IT, CY, LV, LT, LU, HU, RO, AT, PL, PT, SK, SI, FI, SE, UK.</w:t>
      </w:r>
    </w:p>
  </w:footnote>
  <w:footnote w:id="9">
    <w:p>
      <w:pPr>
        <w:pStyle w:val="FootnoteText"/>
        <w:ind w:left="284" w:hanging="295"/>
        <w:jc w:val="left"/>
      </w:pPr>
      <w:r>
        <w:rPr>
          <w:rStyle w:val="FootnoteReference"/>
        </w:rPr>
        <w:footnoteRef/>
      </w:r>
      <w:r>
        <w:t xml:space="preserve"> </w:t>
      </w:r>
      <w:r>
        <w:tab/>
        <w:t>BE,</w:t>
      </w:r>
      <w:r>
        <w:rPr>
          <w:color w:val="1F497D"/>
        </w:rPr>
        <w:t xml:space="preserve"> </w:t>
      </w:r>
      <w:r>
        <w:t>HR</w:t>
      </w:r>
      <w:r>
        <w:rPr>
          <w:color w:val="1F497D"/>
        </w:rPr>
        <w:t>,</w:t>
      </w:r>
      <w:r>
        <w:t xml:space="preserve"> IT, LU, LV, PL и SI.</w:t>
      </w:r>
    </w:p>
  </w:footnote>
  <w:footnote w:id="10">
    <w:p>
      <w:pPr>
        <w:pStyle w:val="FootnoteText"/>
        <w:ind w:left="284" w:hanging="284"/>
      </w:pPr>
      <w:r>
        <w:rPr>
          <w:rStyle w:val="FootnoteReference"/>
        </w:rPr>
        <w:footnoteRef/>
      </w:r>
      <w:r>
        <w:tab/>
        <w:t>Препратки към правни разпоредби в националното законодателство и Конвенцията на ООН срещу корупцията, както са предоставени от държавите членки. Рамката на престъпленията се основава на членове 15—22 от UNCAC с цел да се спомогне за бъдещата съпоставимост и да се разберат по-добре различията между определенията и системите за отчитане. Включването на данни в рамките на една или друга категория не предполага оценка на Комисията за обхвата на националните разпоредби във връзка с категориите, за които тя е поискала данни. Подробна методическа дискусия е на разположение на адрес:</w:t>
      </w:r>
      <w:r>
        <w:tab/>
      </w:r>
      <w:r>
        <w:br/>
      </w:r>
      <w:hyperlink r:id="rId2" w:history="1">
        <w:r>
          <w:rPr>
            <w:rStyle w:val="Hyperlink"/>
          </w:rPr>
          <w:t>https://ec.europa.eu/home-affairs/sites/homeaffairs/files/what-we-do/policies/organized-crime-and-human-trafficking/corruption/docs/official_corruption_statistics_2011_2013_jan16_en.pdf</w:t>
        </w:r>
      </w:hyperlink>
      <w:r>
        <w:t>.</w:t>
      </w:r>
    </w:p>
    <w:p>
      <w:pPr>
        <w:pStyle w:val="FootnoteText"/>
        <w:ind w:left="284" w:hanging="284"/>
        <w:rPr>
          <w:lang w:val="fr-BE"/>
        </w:rPr>
      </w:pPr>
      <w:r>
        <w:rPr>
          <w:lang w:val="fr-BE"/>
        </w:rPr>
        <w:t>.</w:t>
      </w:r>
    </w:p>
  </w:footnote>
  <w:footnote w:id="11">
    <w:p>
      <w:pPr>
        <w:pStyle w:val="FootnoteText"/>
        <w:ind w:left="284" w:hanging="284"/>
        <w:rPr>
          <w:lang w:val="fr-BE"/>
        </w:rPr>
      </w:pPr>
      <w:r>
        <w:rPr>
          <w:rStyle w:val="FootnoteReference"/>
        </w:rPr>
        <w:footnoteRef/>
      </w:r>
      <w:r>
        <w:rPr>
          <w:lang w:val="fr-BE"/>
        </w:rPr>
        <w:tab/>
      </w:r>
      <w:r>
        <w:rPr>
          <w:i/>
          <w:lang w:val="fr-BE"/>
        </w:rPr>
        <w:t>„proposer une offre, une promesse ou un avantage de toute nature“</w:t>
      </w:r>
    </w:p>
  </w:footnote>
  <w:footnote w:id="12">
    <w:p>
      <w:pPr>
        <w:pStyle w:val="FootnoteText"/>
        <w:ind w:left="284" w:hanging="284"/>
        <w:rPr>
          <w:lang w:val="fr-BE"/>
        </w:rPr>
      </w:pPr>
      <w:r>
        <w:rPr>
          <w:rStyle w:val="FootnoteReference"/>
        </w:rPr>
        <w:footnoteRef/>
      </w:r>
      <w:r>
        <w:rPr>
          <w:lang w:val="fr-BE"/>
        </w:rPr>
        <w:tab/>
      </w:r>
      <w:r>
        <w:t>Членове</w:t>
      </w:r>
      <w:r>
        <w:rPr>
          <w:lang w:val="fr-BE"/>
        </w:rPr>
        <w:t xml:space="preserve"> 115, 120 </w:t>
      </w:r>
      <w:r>
        <w:t>и</w:t>
      </w:r>
      <w:r>
        <w:rPr>
          <w:lang w:val="fr-BE"/>
        </w:rPr>
        <w:t xml:space="preserve"> 121 </w:t>
      </w:r>
      <w:r>
        <w:t>от</w:t>
      </w:r>
      <w:r>
        <w:rPr>
          <w:lang w:val="fr-BE"/>
        </w:rPr>
        <w:t xml:space="preserve"> </w:t>
      </w:r>
      <w:r>
        <w:t>Наказателния</w:t>
      </w:r>
      <w:r>
        <w:rPr>
          <w:lang w:val="fr-BE"/>
        </w:rPr>
        <w:t xml:space="preserve"> </w:t>
      </w:r>
      <w:r>
        <w:t>кодекс</w:t>
      </w:r>
      <w:r>
        <w:rPr>
          <w:lang w:val="fr-BE"/>
        </w:rPr>
        <w:t>.</w:t>
      </w:r>
    </w:p>
  </w:footnote>
  <w:footnote w:id="13">
    <w:p>
      <w:pPr>
        <w:pStyle w:val="FootnoteText"/>
        <w:ind w:left="284" w:hanging="284"/>
        <w:rPr>
          <w:lang w:val="fr-BE"/>
        </w:rPr>
      </w:pPr>
      <w:r>
        <w:rPr>
          <w:rStyle w:val="FootnoteReference"/>
        </w:rPr>
        <w:footnoteRef/>
      </w:r>
      <w:r>
        <w:rPr>
          <w:lang w:val="fr-BE"/>
        </w:rPr>
        <w:tab/>
      </w:r>
      <w:r>
        <w:t>Съгласно</w:t>
      </w:r>
      <w:r>
        <w:rPr>
          <w:lang w:val="fr-BE"/>
        </w:rPr>
        <w:t xml:space="preserve"> </w:t>
      </w:r>
      <w:r>
        <w:t>точки</w:t>
      </w:r>
      <w:r>
        <w:rPr>
          <w:lang w:val="fr-BE"/>
        </w:rPr>
        <w:t xml:space="preserve"> 41—42 </w:t>
      </w:r>
      <w:r>
        <w:t>от</w:t>
      </w:r>
      <w:r>
        <w:rPr>
          <w:lang w:val="fr-BE"/>
        </w:rPr>
        <w:t xml:space="preserve"> </w:t>
      </w:r>
      <w:r>
        <w:t>Обяснителния</w:t>
      </w:r>
      <w:r>
        <w:rPr>
          <w:lang w:val="fr-BE"/>
        </w:rPr>
        <w:t xml:space="preserve"> </w:t>
      </w:r>
      <w:r>
        <w:t>доклад</w:t>
      </w:r>
      <w:r>
        <w:rPr>
          <w:lang w:val="fr-BE"/>
        </w:rPr>
        <w:t xml:space="preserve"> </w:t>
      </w:r>
      <w:r>
        <w:t>към</w:t>
      </w:r>
      <w:r>
        <w:rPr>
          <w:lang w:val="fr-BE"/>
        </w:rPr>
        <w:t xml:space="preserve"> </w:t>
      </w:r>
      <w:r>
        <w:t>Наказателната</w:t>
      </w:r>
      <w:r>
        <w:rPr>
          <w:lang w:val="fr-BE"/>
        </w:rPr>
        <w:t xml:space="preserve"> </w:t>
      </w:r>
      <w:r>
        <w:t>конвенция</w:t>
      </w:r>
      <w:r>
        <w:rPr>
          <w:lang w:val="fr-BE"/>
        </w:rPr>
        <w:t>.</w:t>
      </w:r>
    </w:p>
  </w:footnote>
  <w:footnote w:id="14">
    <w:p>
      <w:pPr>
        <w:pStyle w:val="FootnoteText"/>
        <w:ind w:left="284" w:hanging="284"/>
      </w:pPr>
      <w:r>
        <w:rPr>
          <w:rStyle w:val="FootnoteReference"/>
        </w:rPr>
        <w:footnoteRef/>
      </w:r>
      <w:r>
        <w:tab/>
        <w:t>„всяко“</w:t>
      </w:r>
    </w:p>
  </w:footnote>
  <w:footnote w:id="15">
    <w:p>
      <w:pPr>
        <w:pStyle w:val="FootnoteText"/>
        <w:ind w:left="284" w:hanging="284"/>
      </w:pPr>
      <w:r>
        <w:rPr>
          <w:rStyle w:val="FootnoteReference"/>
        </w:rPr>
        <w:footnoteRef/>
      </w:r>
      <w:r>
        <w:tab/>
      </w:r>
      <w:r>
        <w:rPr>
          <w:i/>
          <w:color w:val="000000"/>
        </w:rPr>
        <w:t>esercita funzioni direttivi diverse</w:t>
      </w:r>
    </w:p>
  </w:footnote>
  <w:footnote w:id="16">
    <w:p>
      <w:pPr>
        <w:pStyle w:val="FootnoteText"/>
        <w:ind w:left="284" w:hanging="284"/>
      </w:pPr>
      <w:r>
        <w:rPr>
          <w:rStyle w:val="FootnoteReference"/>
        </w:rPr>
        <w:footnoteRef/>
      </w:r>
      <w:r>
        <w:tab/>
      </w:r>
      <w:r>
        <w:rPr>
          <w:i/>
          <w:color w:val="000000"/>
        </w:rPr>
        <w:t>Unternehmen</w:t>
      </w:r>
      <w:r>
        <w:rPr>
          <w:color w:val="000000"/>
        </w:rPr>
        <w:t>/</w:t>
      </w:r>
      <w:r>
        <w:rPr>
          <w:rStyle w:val="tabbedrightnegativecell"/>
        </w:rPr>
        <w:t>elinkeino</w:t>
      </w:r>
    </w:p>
  </w:footnote>
  <w:footnote w:id="17">
    <w:p>
      <w:pPr>
        <w:pStyle w:val="FootnoteText"/>
      </w:pPr>
      <w:r>
        <w:rPr>
          <w:rStyle w:val="FootnoteReference"/>
        </w:rPr>
        <w:footnoteRef/>
      </w:r>
      <w:r>
        <w:t xml:space="preserve">   </w:t>
      </w:r>
      <w:r>
        <w:rPr>
          <w:i/>
          <w:color w:val="000000"/>
        </w:rPr>
        <w:t>empresa mercantile/sociedad</w:t>
      </w:r>
    </w:p>
  </w:footnote>
  <w:footnote w:id="18">
    <w:p>
      <w:pPr>
        <w:pStyle w:val="FootnoteText"/>
        <w:ind w:left="284" w:hanging="284"/>
      </w:pPr>
      <w:r>
        <w:rPr>
          <w:rStyle w:val="FootnoteReference"/>
        </w:rPr>
        <w:footnoteRef/>
      </w:r>
      <w:r>
        <w:tab/>
        <w:t>Раздел 131, параграф 3.</w:t>
      </w:r>
      <w:r>
        <w:rPr>
          <w:i/>
        </w:rPr>
        <w:t xml:space="preserve"> </w:t>
      </w:r>
      <w:r>
        <w:t>Понятието „предмет“ е дефинирано в раздел 130, параграфи 1 и 2.</w:t>
      </w:r>
    </w:p>
  </w:footnote>
  <w:footnote w:id="19">
    <w:p>
      <w:pPr>
        <w:pStyle w:val="FootnoteText"/>
        <w:ind w:left="284" w:hanging="284"/>
      </w:pPr>
      <w:r>
        <w:rPr>
          <w:rStyle w:val="FootnoteReference"/>
        </w:rPr>
        <w:footnoteRef/>
      </w:r>
      <w:r>
        <w:tab/>
        <w:t>Раздел 334, параграф 1 от Наказателния кодекс.</w:t>
      </w:r>
    </w:p>
  </w:footnote>
  <w:footnote w:id="20">
    <w:p>
      <w:pPr>
        <w:pStyle w:val="FootnoteText"/>
        <w:ind w:left="284" w:hanging="284"/>
      </w:pPr>
      <w:r>
        <w:rPr>
          <w:rStyle w:val="FootnoteReference"/>
        </w:rPr>
        <w:footnoteRef/>
      </w:r>
      <w:r>
        <w:tab/>
        <w:t>Раздел 328ter от Наказателния кодекс.</w:t>
      </w:r>
    </w:p>
  </w:footnote>
  <w:footnote w:id="21">
    <w:p>
      <w:pPr>
        <w:pStyle w:val="FootnoteText"/>
        <w:ind w:left="284" w:hanging="284"/>
      </w:pPr>
      <w:r>
        <w:rPr>
          <w:rStyle w:val="FootnoteReference"/>
        </w:rPr>
        <w:footnoteRef/>
      </w:r>
      <w:r>
        <w:rPr>
          <w:i/>
          <w:color w:val="000000"/>
        </w:rPr>
        <w:tab/>
        <w:t>Unternehmen/elinkeino</w:t>
      </w:r>
    </w:p>
  </w:footnote>
  <w:footnote w:id="22">
    <w:p>
      <w:pPr>
        <w:pStyle w:val="FootnoteText"/>
        <w:ind w:left="284" w:hanging="284"/>
      </w:pPr>
      <w:r>
        <w:rPr>
          <w:rStyle w:val="FootnoteReference"/>
        </w:rPr>
        <w:footnoteRef/>
      </w:r>
      <w:r>
        <w:tab/>
        <w:t>Това е така, защото определението за активно и пасивно подкупване обхваща също и „обещаването“, „предлагането“ и „поискването“ или „приемането на обещание за“, а не само „даването“ и „получаването“.</w:t>
      </w:r>
    </w:p>
  </w:footnote>
  <w:footnote w:id="23">
    <w:p>
      <w:pPr>
        <w:pStyle w:val="FootnoteText"/>
        <w:ind w:left="284" w:hanging="284"/>
      </w:pPr>
      <w:r>
        <w:rPr>
          <w:rStyle w:val="FootnoteReference"/>
        </w:rPr>
        <w:footnoteRef/>
      </w:r>
      <w:r>
        <w:rPr>
          <w:i/>
        </w:rPr>
        <w:tab/>
        <w:t>„Favoreggiamento“</w:t>
      </w:r>
    </w:p>
  </w:footnote>
  <w:footnote w:id="24">
    <w:p>
      <w:pPr>
        <w:pStyle w:val="FootnoteText"/>
      </w:pPr>
      <w:r>
        <w:rPr>
          <w:rStyle w:val="FootnoteReference"/>
        </w:rPr>
        <w:footnoteRef/>
      </w:r>
      <w:r>
        <w:t xml:space="preserve"> AT, BE, BG, DE, HR, HU, IT, LT, LU, PL, PT, SL и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8A3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49E4879"/>
    <w:multiLevelType w:val="hybridMultilevel"/>
    <w:tmpl w:val="366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4064D1D4"/>
    <w:name w:val="NumPar"/>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6F67EC"/>
    <w:multiLevelType w:val="hybridMultilevel"/>
    <w:tmpl w:val="3CD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8"/>
  </w:num>
  <w:num w:numId="3">
    <w:abstractNumId w:val="20"/>
  </w:num>
  <w:num w:numId="4">
    <w:abstractNumId w:val="10"/>
  </w:num>
  <w:num w:numId="5">
    <w:abstractNumId w:val="15"/>
  </w:num>
  <w:num w:numId="6">
    <w:abstractNumId w:val="25"/>
  </w:num>
  <w:num w:numId="7">
    <w:abstractNumId w:val="26"/>
  </w:num>
  <w:num w:numId="8">
    <w:abstractNumId w:val="29"/>
  </w:num>
  <w:num w:numId="9">
    <w:abstractNumId w:val="14"/>
  </w:num>
  <w:num w:numId="10">
    <w:abstractNumId w:val="6"/>
  </w:num>
  <w:num w:numId="11">
    <w:abstractNumId w:val="19"/>
  </w:num>
  <w:num w:numId="12">
    <w:abstractNumId w:val="17"/>
  </w:num>
  <w:num w:numId="13">
    <w:abstractNumId w:val="13"/>
  </w:num>
  <w:num w:numId="14">
    <w:abstractNumId w:val="22"/>
  </w:num>
  <w:num w:numId="15">
    <w:abstractNumId w:val="18"/>
  </w:num>
  <w:num w:numId="16">
    <w:abstractNumId w:val="28"/>
  </w:num>
  <w:num w:numId="17">
    <w:abstractNumId w:val="5"/>
  </w:num>
  <w:num w:numId="18">
    <w:abstractNumId w:val="3"/>
  </w:num>
  <w:num w:numId="19">
    <w:abstractNumId w:val="1"/>
  </w:num>
  <w:num w:numId="20">
    <w:abstractNumId w:val="24"/>
  </w:num>
  <w:num w:numId="21">
    <w:abstractNumId w:val="23"/>
  </w:num>
  <w:num w:numId="22">
    <w:abstractNumId w:val="4"/>
  </w:num>
  <w:num w:numId="23">
    <w:abstractNumId w:val="11"/>
  </w:num>
  <w:num w:numId="24">
    <w:abstractNumId w:val="32"/>
  </w:num>
  <w:num w:numId="25">
    <w:abstractNumId w:val="12"/>
  </w:num>
  <w:num w:numId="26">
    <w:abstractNumId w:val="21"/>
  </w:num>
  <w:num w:numId="27">
    <w:abstractNumId w:val="16"/>
  </w:num>
  <w:num w:numId="28">
    <w:abstractNumId w:val="27"/>
  </w:num>
  <w:num w:numId="29">
    <w:abstractNumId w:val="31"/>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7"/>
  </w:num>
  <w:num w:numId="37">
    <w:abstractNumId w:val="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46D010-7061-4048-89D3-AE0B1177662E"/>
    <w:docVar w:name="LW_COVERPAGE_TYPE" w:val="1"/>
    <w:docVar w:name="LW_CROSSREFERENCE" w:val="&lt;UNUSED&gt;"/>
    <w:docVar w:name="LW_DocType" w:val="NORMAL"/>
    <w:docVar w:name="LW_EMISSION" w:val="26.7.2019"/>
    <w:docVar w:name="LW_EMISSION_ISODATE" w:val="2019-07-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6?\u1094?\u1077?\u1085?\u1082?\u1072? \u1085?\u1072? \u1089?\u1090?\u1077?\u1087?\u1077?\u1085?\u1090?\u1072?, \u1074? \u1082?\u1086?\u1103?\u1090?\u1086? \u1076?\u1098?\u1088?\u1078?\u1072?\u1074?\u1080?\u1090?\u1077? \u1095?\u1083?\u1077?\u1085?\u1082?\u1080? \u1089?\u1072? \u1087?\u1088?\u1077?\u1076?\u1087?\u1088?\u1080?\u1077?\u1083?\u1080? \u1085?\u1077?\u1086?\u1073?\u1093?\u1086?\u1076?\u1080?\u1084?\u1080?\u1090?\u1077? \u1084?\u1077?\u1088?\u1082?\u1080? \u1079?\u1072? \u1080?\u1079?\u1087?\u1098?\u1083?\u1085?\u1077?\u1085?\u1080?\u1077? \u1085?\u1072? \u1056?\u1072?\u1084?\u1082?\u1086?\u1074?\u1086? \u1088?\u1077?\u1096?\u1077?\u1085?\u1080?\u1077? 2003/568/\u1055?\u1042?\u1056? \u1085?\u1072? \u1057?\u1098?\u1074?\u1077?\u1090?\u1072? \u1086?\u1090? 22 \u1102?\u1083?\u1080? 2003 \u1075?. \u1086?\u1090?\u1085?\u1086?\u1089?\u1085?\u1086? \u1073?\u1086?\u1088?\u1073?\u1072?\u1090?\u1072? \u1089? \u1082?\u1086?\u1088?\u1091?\u1087?\u1094?\u1080?\u1103?\u1090?\u1072? \u1074? \u1095?\u1072?\u1089?\u1090?\u1085?\u1080?\u1103? \u1089?\u1077?\u1082?\u1090?\u1086?\u1088?"/>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HOME\HOME-2019-01118\HOME-2019-01118-00-00-EN-EDT-00.201905161329530655768.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0"/>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0"/>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0"/>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0"/>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watermark">
    <w:name w:val="watermark"/>
    <w:basedOn w:val="Pagedecouverture"/>
    <w:pPr>
      <w:spacing w:before="120" w:after="120"/>
    </w:pPr>
    <w:rPr>
      <w:rFonts w:eastAsia="Times New Roman"/>
      <w:noProof/>
      <w:szCs w:val="24"/>
    </w:rPr>
  </w:style>
  <w:style w:type="character" w:customStyle="1" w:styleId="tabbedrightnegativecell">
    <w:name w:val="tabbedrightnegativecell"/>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0"/>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0"/>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0"/>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0"/>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watermark">
    <w:name w:val="watermark"/>
    <w:basedOn w:val="Pagedecouverture"/>
    <w:pPr>
      <w:spacing w:before="120" w:after="120"/>
    </w:pPr>
    <w:rPr>
      <w:rFonts w:eastAsia="Times New Roman"/>
      <w:noProof/>
      <w:szCs w:val="24"/>
    </w:rPr>
  </w:style>
  <w:style w:type="character" w:customStyle="1" w:styleId="tabbedrightnegativecell">
    <w:name w:val="tabbedrightnegativece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1" Type="http://schemas.openxmlformats.org/officeDocument/2006/relationships/hyperlink" Target="http://ec.europa.eu/transparency/regexpert/index.cfm?do=groupDetail.groupDetailDoc&amp;id=21215&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3245-9E3E-4290-8100-AA04FC63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5379</Words>
  <Characters>30499</Characters>
  <Application>Microsoft Office Word</Application>
  <DocSecurity>0</DocSecurity>
  <Lines>535</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2019-07-01T08:07:00Z</cp:lastPrinted>
  <dcterms:created xsi:type="dcterms:W3CDTF">2019-07-24T15:45:00Z</dcterms:created>
  <dcterms:modified xsi:type="dcterms:W3CDTF">2019-07-25T12:06:00Z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