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1D069D2-9B68-4BD1-A695-A883C97350F2"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Съдържание</w:t>
          </w:r>
        </w:p>
        <w:p>
          <w:pPr>
            <w:rPr>
              <w:noProof/>
            </w:rPr>
          </w:pP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14355746" w:history="1">
            <w:r>
              <w:rPr>
                <w:rStyle w:val="Hyperlink"/>
                <w:noProof/>
              </w:rPr>
              <w:t>1.</w:t>
            </w:r>
            <w:r>
              <w:rPr>
                <w:rFonts w:asciiTheme="minorHAnsi" w:eastAsiaTheme="minorEastAsia" w:hAnsiTheme="minorHAnsi" w:cstheme="minorBidi"/>
                <w:noProof/>
                <w:sz w:val="22"/>
                <w:szCs w:val="22"/>
                <w:lang w:val="en-US"/>
              </w:rPr>
              <w:tab/>
            </w:r>
            <w:r>
              <w:rPr>
                <w:rStyle w:val="Hyperlink"/>
                <w:noProof/>
              </w:rPr>
              <w:t>Бюджетната процедура за ЕФГЗ за 2019 г.</w:t>
            </w:r>
            <w:r>
              <w:rPr>
                <w:noProof/>
                <w:webHidden/>
              </w:rPr>
              <w:tab/>
            </w:r>
            <w:r>
              <w:rPr>
                <w:noProof/>
                <w:webHidden/>
              </w:rPr>
              <w:fldChar w:fldCharType="begin"/>
            </w:r>
            <w:r>
              <w:rPr>
                <w:noProof/>
                <w:webHidden/>
              </w:rPr>
              <w:instrText xml:space="preserve"> PAGEREF _Toc14355746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5747" w:history="1">
            <w:r>
              <w:rPr>
                <w:rStyle w:val="Hyperlink"/>
                <w:noProof/>
              </w:rPr>
              <w:t>2.</w:t>
            </w:r>
            <w:r>
              <w:rPr>
                <w:rFonts w:asciiTheme="minorHAnsi" w:eastAsiaTheme="minorEastAsia" w:hAnsiTheme="minorHAnsi" w:cstheme="minorBidi"/>
                <w:noProof/>
                <w:sz w:val="22"/>
                <w:szCs w:val="22"/>
                <w:lang w:val="en-US"/>
              </w:rPr>
              <w:tab/>
            </w:r>
            <w:r>
              <w:rPr>
                <w:rStyle w:val="Hyperlink"/>
                <w:noProof/>
              </w:rPr>
              <w:t>Целеви приходи за ЕФГЗ</w:t>
            </w:r>
            <w:r>
              <w:rPr>
                <w:noProof/>
                <w:webHidden/>
              </w:rPr>
              <w:tab/>
            </w:r>
            <w:r>
              <w:rPr>
                <w:noProof/>
                <w:webHidden/>
              </w:rPr>
              <w:fldChar w:fldCharType="begin"/>
            </w:r>
            <w:r>
              <w:rPr>
                <w:noProof/>
                <w:webHidden/>
              </w:rPr>
              <w:instrText xml:space="preserve"> PAGEREF _Toc14355747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5748" w:history="1">
            <w:r>
              <w:rPr>
                <w:rStyle w:val="Hyperlink"/>
                <w:noProof/>
              </w:rPr>
              <w:t>3.</w:t>
            </w:r>
            <w:r>
              <w:rPr>
                <w:rFonts w:asciiTheme="minorHAnsi" w:eastAsiaTheme="minorEastAsia" w:hAnsiTheme="minorHAnsi" w:cstheme="minorBidi"/>
                <w:noProof/>
                <w:sz w:val="22"/>
                <w:szCs w:val="22"/>
                <w:lang w:val="en-US"/>
              </w:rPr>
              <w:tab/>
            </w:r>
            <w:r>
              <w:rPr>
                <w:rStyle w:val="Hyperlink"/>
                <w:noProof/>
              </w:rPr>
              <w:t>Бележки относно предварителните данни за изпълнението на бюджета на ЕФГЗ за 2019 г.</w:t>
            </w:r>
            <w:r>
              <w:rPr>
                <w:noProof/>
                <w:webHidden/>
              </w:rPr>
              <w:tab/>
            </w:r>
            <w:r>
              <w:rPr>
                <w:noProof/>
                <w:webHidden/>
              </w:rPr>
              <w:fldChar w:fldCharType="begin"/>
            </w:r>
            <w:r>
              <w:rPr>
                <w:noProof/>
                <w:webHidden/>
              </w:rPr>
              <w:instrText xml:space="preserve"> PAGEREF _Toc14355748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14355749" w:history="1">
            <w:r>
              <w:rPr>
                <w:rStyle w:val="Hyperlink"/>
                <w:noProof/>
              </w:rPr>
              <w:t>3.1.</w:t>
            </w:r>
            <w:r>
              <w:rPr>
                <w:rFonts w:asciiTheme="minorHAnsi" w:eastAsiaTheme="minorEastAsia" w:hAnsiTheme="minorHAnsi" w:cstheme="minorBidi"/>
                <w:noProof/>
                <w:lang w:val="en-US"/>
              </w:rPr>
              <w:tab/>
            </w:r>
            <w:r>
              <w:rPr>
                <w:rStyle w:val="Hyperlink"/>
                <w:noProof/>
              </w:rPr>
              <w:t>Пазарни мерки</w:t>
            </w:r>
            <w:r>
              <w:rPr>
                <w:noProof/>
                <w:webHidden/>
              </w:rPr>
              <w:tab/>
            </w:r>
            <w:r>
              <w:rPr>
                <w:noProof/>
                <w:webHidden/>
              </w:rPr>
              <w:fldChar w:fldCharType="begin"/>
            </w:r>
            <w:r>
              <w:rPr>
                <w:noProof/>
                <w:webHidden/>
              </w:rPr>
              <w:instrText xml:space="preserve"> PAGEREF _Toc14355749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0" w:history="1">
            <w:r>
              <w:rPr>
                <w:rStyle w:val="Hyperlink"/>
                <w:noProof/>
              </w:rPr>
              <w:t>3.1.1.</w:t>
            </w:r>
            <w:r>
              <w:rPr>
                <w:rFonts w:asciiTheme="minorHAnsi" w:eastAsiaTheme="minorEastAsia" w:hAnsiTheme="minorHAnsi" w:cstheme="minorBidi"/>
                <w:noProof/>
                <w:lang w:val="en-US"/>
              </w:rPr>
              <w:tab/>
            </w:r>
            <w:r>
              <w:rPr>
                <w:rStyle w:val="Hyperlink"/>
                <w:noProof/>
              </w:rPr>
              <w:t>Маслиново масло</w:t>
            </w:r>
            <w:r>
              <w:rPr>
                <w:noProof/>
                <w:webHidden/>
              </w:rPr>
              <w:tab/>
            </w:r>
            <w:r>
              <w:rPr>
                <w:noProof/>
                <w:webHidden/>
              </w:rPr>
              <w:fldChar w:fldCharType="begin"/>
            </w:r>
            <w:r>
              <w:rPr>
                <w:noProof/>
                <w:webHidden/>
              </w:rPr>
              <w:instrText xml:space="preserve"> PAGEREF _Toc14355750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1" w:history="1">
            <w:r>
              <w:rPr>
                <w:rStyle w:val="Hyperlink"/>
                <w:noProof/>
              </w:rPr>
              <w:t>3.1.2.</w:t>
            </w:r>
            <w:r>
              <w:rPr>
                <w:rFonts w:asciiTheme="minorHAnsi" w:eastAsiaTheme="minorEastAsia" w:hAnsiTheme="minorHAnsi" w:cstheme="minorBidi"/>
                <w:noProof/>
                <w:lang w:val="en-US"/>
              </w:rPr>
              <w:tab/>
            </w:r>
            <w:r>
              <w:rPr>
                <w:rStyle w:val="Hyperlink"/>
                <w:noProof/>
              </w:rPr>
              <w:t>Плодове и зеленчуци</w:t>
            </w:r>
            <w:r>
              <w:rPr>
                <w:noProof/>
                <w:webHidden/>
              </w:rPr>
              <w:tab/>
            </w:r>
            <w:r>
              <w:rPr>
                <w:noProof/>
                <w:webHidden/>
              </w:rPr>
              <w:fldChar w:fldCharType="begin"/>
            </w:r>
            <w:r>
              <w:rPr>
                <w:noProof/>
                <w:webHidden/>
              </w:rPr>
              <w:instrText xml:space="preserve"> PAGEREF _Toc14355751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2" w:history="1">
            <w:r>
              <w:rPr>
                <w:rStyle w:val="Hyperlink"/>
                <w:noProof/>
              </w:rPr>
              <w:t>3.1.3.</w:t>
            </w:r>
            <w:r>
              <w:rPr>
                <w:rFonts w:asciiTheme="minorHAnsi" w:eastAsiaTheme="minorEastAsia" w:hAnsiTheme="minorHAnsi" w:cstheme="minorBidi"/>
                <w:noProof/>
                <w:lang w:val="en-US"/>
              </w:rPr>
              <w:tab/>
            </w:r>
            <w:r>
              <w:rPr>
                <w:rStyle w:val="Hyperlink"/>
                <w:noProof/>
              </w:rPr>
              <w:t>Продукти от лозаро-винарския сектор</w:t>
            </w:r>
            <w:r>
              <w:rPr>
                <w:noProof/>
                <w:webHidden/>
              </w:rPr>
              <w:tab/>
            </w:r>
            <w:r>
              <w:rPr>
                <w:noProof/>
                <w:webHidden/>
              </w:rPr>
              <w:fldChar w:fldCharType="begin"/>
            </w:r>
            <w:r>
              <w:rPr>
                <w:noProof/>
                <w:webHidden/>
              </w:rPr>
              <w:instrText xml:space="preserve"> PAGEREF _Toc14355752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3" w:history="1">
            <w:r>
              <w:rPr>
                <w:rStyle w:val="Hyperlink"/>
                <w:noProof/>
              </w:rPr>
              <w:t>3.1.4.</w:t>
            </w:r>
            <w:r>
              <w:rPr>
                <w:rFonts w:asciiTheme="minorHAnsi" w:eastAsiaTheme="minorEastAsia" w:hAnsiTheme="minorHAnsi" w:cstheme="minorBidi"/>
                <w:noProof/>
                <w:lang w:val="en-US"/>
              </w:rPr>
              <w:tab/>
            </w:r>
            <w:r>
              <w:rPr>
                <w:rStyle w:val="Hyperlink"/>
                <w:noProof/>
              </w:rPr>
              <w:t>Насърчаване</w:t>
            </w:r>
            <w:r>
              <w:rPr>
                <w:noProof/>
                <w:webHidden/>
              </w:rPr>
              <w:tab/>
            </w:r>
            <w:r>
              <w:rPr>
                <w:noProof/>
                <w:webHidden/>
              </w:rPr>
              <w:fldChar w:fldCharType="begin"/>
            </w:r>
            <w:r>
              <w:rPr>
                <w:noProof/>
                <w:webHidden/>
              </w:rPr>
              <w:instrText xml:space="preserve"> PAGEREF _Toc14355753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4" w:history="1">
            <w:r>
              <w:rPr>
                <w:rStyle w:val="Hyperlink"/>
                <w:noProof/>
              </w:rPr>
              <w:t>3.1.5.</w:t>
            </w:r>
            <w:r>
              <w:rPr>
                <w:rFonts w:asciiTheme="minorHAnsi" w:eastAsiaTheme="minorEastAsia" w:hAnsiTheme="minorHAnsi" w:cstheme="minorBidi"/>
                <w:noProof/>
                <w:lang w:val="en-US"/>
              </w:rPr>
              <w:tab/>
            </w:r>
            <w:r>
              <w:rPr>
                <w:rStyle w:val="Hyperlink"/>
                <w:noProof/>
              </w:rPr>
              <w:t>Мляко и млечни продукти</w:t>
            </w:r>
            <w:r>
              <w:rPr>
                <w:noProof/>
                <w:webHidden/>
              </w:rPr>
              <w:tab/>
            </w:r>
            <w:r>
              <w:rPr>
                <w:noProof/>
                <w:webHidden/>
              </w:rPr>
              <w:fldChar w:fldCharType="begin"/>
            </w:r>
            <w:r>
              <w:rPr>
                <w:noProof/>
                <w:webHidden/>
              </w:rPr>
              <w:instrText xml:space="preserve"> PAGEREF _Toc14355754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14355755" w:history="1">
            <w:r>
              <w:rPr>
                <w:rStyle w:val="Hyperlink"/>
                <w:noProof/>
              </w:rPr>
              <w:t>3.2.</w:t>
            </w:r>
            <w:r>
              <w:rPr>
                <w:rFonts w:asciiTheme="minorHAnsi" w:eastAsiaTheme="minorEastAsia" w:hAnsiTheme="minorHAnsi" w:cstheme="minorBidi"/>
                <w:noProof/>
                <w:lang w:val="en-US"/>
              </w:rPr>
              <w:tab/>
            </w:r>
            <w:r>
              <w:rPr>
                <w:rStyle w:val="Hyperlink"/>
                <w:noProof/>
              </w:rPr>
              <w:t>Директни плащания</w:t>
            </w:r>
            <w:r>
              <w:rPr>
                <w:noProof/>
                <w:webHidden/>
              </w:rPr>
              <w:tab/>
            </w:r>
            <w:r>
              <w:rPr>
                <w:noProof/>
                <w:webHidden/>
              </w:rPr>
              <w:fldChar w:fldCharType="begin"/>
            </w:r>
            <w:r>
              <w:rPr>
                <w:noProof/>
                <w:webHidden/>
              </w:rPr>
              <w:instrText xml:space="preserve"> PAGEREF _Toc14355755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6" w:history="1">
            <w:r>
              <w:rPr>
                <w:rStyle w:val="Hyperlink"/>
                <w:noProof/>
              </w:rPr>
              <w:t>3.2.1.</w:t>
            </w:r>
            <w:r>
              <w:rPr>
                <w:rFonts w:asciiTheme="minorHAnsi" w:eastAsiaTheme="minorEastAsia" w:hAnsiTheme="minorHAnsi" w:cstheme="minorBidi"/>
                <w:noProof/>
                <w:lang w:val="en-US"/>
              </w:rPr>
              <w:tab/>
            </w:r>
            <w:r>
              <w:rPr>
                <w:rStyle w:val="Hyperlink"/>
                <w:noProof/>
              </w:rPr>
              <w:t>Отделени от производството директни плащания</w:t>
            </w:r>
            <w:r>
              <w:rPr>
                <w:noProof/>
                <w:webHidden/>
              </w:rPr>
              <w:tab/>
            </w:r>
            <w:r>
              <w:rPr>
                <w:noProof/>
                <w:webHidden/>
              </w:rPr>
              <w:fldChar w:fldCharType="begin"/>
            </w:r>
            <w:r>
              <w:rPr>
                <w:noProof/>
                <w:webHidden/>
              </w:rPr>
              <w:instrText xml:space="preserve"> PAGEREF _Toc14355756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14355757" w:history="1">
            <w:r>
              <w:rPr>
                <w:rStyle w:val="Hyperlink"/>
                <w:noProof/>
              </w:rPr>
              <w:t>3.2.2.</w:t>
            </w:r>
            <w:r>
              <w:rPr>
                <w:rFonts w:asciiTheme="minorHAnsi" w:eastAsiaTheme="minorEastAsia" w:hAnsiTheme="minorHAnsi" w:cstheme="minorBidi"/>
                <w:noProof/>
                <w:lang w:val="en-US"/>
              </w:rPr>
              <w:tab/>
            </w:r>
            <w:r>
              <w:rPr>
                <w:rStyle w:val="Hyperlink"/>
                <w:noProof/>
              </w:rPr>
              <w:t>Други директни плащания</w:t>
            </w:r>
            <w:r>
              <w:rPr>
                <w:noProof/>
                <w:webHidden/>
              </w:rPr>
              <w:tab/>
            </w:r>
            <w:r>
              <w:rPr>
                <w:noProof/>
                <w:webHidden/>
              </w:rPr>
              <w:fldChar w:fldCharType="begin"/>
            </w:r>
            <w:r>
              <w:rPr>
                <w:noProof/>
                <w:webHidden/>
              </w:rPr>
              <w:instrText xml:space="preserve"> PAGEREF _Toc14355757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5758" w:history="1">
            <w:r>
              <w:rPr>
                <w:rStyle w:val="Hyperlink"/>
                <w:noProof/>
              </w:rPr>
              <w:t>4.</w:t>
            </w:r>
            <w:r>
              <w:rPr>
                <w:rFonts w:asciiTheme="minorHAnsi" w:eastAsiaTheme="minorEastAsia" w:hAnsiTheme="minorHAnsi" w:cstheme="minorBidi"/>
                <w:noProof/>
                <w:sz w:val="22"/>
                <w:szCs w:val="22"/>
                <w:lang w:val="en-US"/>
              </w:rPr>
              <w:tab/>
            </w:r>
            <w:r>
              <w:rPr>
                <w:rStyle w:val="Hyperlink"/>
                <w:noProof/>
              </w:rPr>
              <w:t>Изпълнение на целевите приходи по линия на ЕФГЗ</w:t>
            </w:r>
            <w:r>
              <w:rPr>
                <w:noProof/>
                <w:webHidden/>
              </w:rPr>
              <w:tab/>
            </w:r>
            <w:r>
              <w:rPr>
                <w:noProof/>
                <w:webHidden/>
              </w:rPr>
              <w:fldChar w:fldCharType="begin"/>
            </w:r>
            <w:r>
              <w:rPr>
                <w:noProof/>
                <w:webHidden/>
              </w:rPr>
              <w:instrText xml:space="preserve"> PAGEREF _Toc14355758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5759" w:history="1">
            <w:r>
              <w:rPr>
                <w:rStyle w:val="Hyperlink"/>
                <w:noProof/>
              </w:rPr>
              <w:t>5.</w:t>
            </w:r>
            <w:r>
              <w:rPr>
                <w:rFonts w:asciiTheme="minorHAnsi" w:eastAsiaTheme="minorEastAsia" w:hAnsiTheme="minorHAnsi" w:cstheme="minorBidi"/>
                <w:noProof/>
                <w:sz w:val="22"/>
                <w:szCs w:val="22"/>
                <w:lang w:val="en-US"/>
              </w:rPr>
              <w:tab/>
            </w:r>
            <w:r>
              <w:rPr>
                <w:rStyle w:val="Hyperlink"/>
                <w:noProof/>
              </w:rPr>
              <w:t>Заключения</w:t>
            </w:r>
            <w:r>
              <w:rPr>
                <w:noProof/>
                <w:webHidden/>
              </w:rPr>
              <w:tab/>
            </w:r>
            <w:r>
              <w:rPr>
                <w:noProof/>
                <w:webHidden/>
              </w:rPr>
              <w:fldChar w:fldCharType="begin"/>
            </w:r>
            <w:r>
              <w:rPr>
                <w:noProof/>
                <w:webHidden/>
              </w:rPr>
              <w:instrText xml:space="preserve"> PAGEREF _Toc14355759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2172"/>
        <w:gridCol w:w="7093"/>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бюджетните кредити по линия на ЕФГЗ към 30.4.2019 г.</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14355746"/>
      <w:r>
        <w:rPr>
          <w:noProof/>
        </w:rPr>
        <w:t>Бюджетната процедура за ЕФГЗ за 2019 г.</w:t>
      </w:r>
      <w:bookmarkEnd w:id="2"/>
    </w:p>
    <w:p>
      <w:pPr>
        <w:pStyle w:val="Text1"/>
        <w:rPr>
          <w:noProof/>
        </w:rPr>
      </w:pPr>
      <w:r>
        <w:rPr>
          <w:noProof/>
        </w:rPr>
        <w:t>На 12 декември 2018 г. Европейският парламент прие общия бюджет на Европейския съюз за 2019 г. По линия на Европейския фонд за гарантиране на земеделието (ЕФГЗ) той включва бюджетни кредити за поети задължения и бюджетни кредити за плащания съответно в размер на 43 192 млн. евро и 43 116 млн. евро, за директни плащания и за разходи, свързани с пазара.</w:t>
      </w:r>
    </w:p>
    <w:p>
      <w:pPr>
        <w:pStyle w:val="Text1"/>
        <w:rPr>
          <w:noProof/>
        </w:rPr>
      </w:pPr>
      <w:r>
        <w:rPr>
          <w:noProof/>
        </w:rPr>
        <w:t>Разликата между размера на бюджетните кредити за поети задължения и бюджетните кредити за плащания се дължи на факта, че за някои мерки, прилагани пряко от Комисията, се използват многогодишни бюджетни кредити. Те са свързани главно с мерките за насърчаване на селскостопански продукти и с мерките за стратегическо планиране и координиране на политиките.</w:t>
      </w:r>
    </w:p>
    <w:p>
      <w:pPr>
        <w:pStyle w:val="Heading1"/>
        <w:rPr>
          <w:noProof/>
        </w:rPr>
      </w:pPr>
      <w:bookmarkStart w:id="3" w:name="_Toc14355747"/>
      <w:r>
        <w:rPr>
          <w:noProof/>
        </w:rPr>
        <w:t>Целеви приходи за ЕФГЗ</w:t>
      </w:r>
      <w:bookmarkEnd w:id="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На основание на разпоредбите на член 43 от Регламент (ЕС) № 1306/2013 приходите от финансови корекции по силата на решения за счетоводно уравняване и уравняване по съответствие и вследствие на нередности представляват целеви приходи за финансирането на разходите по линия на ЕФГЗ.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В съответствие с посочените разпоредби целевите приходи могат да се използват за финансиране на всякакви разходи по линия на ЕФГЗ. Всяка част от тези приходи, която не е усвоена в рамките на бюджетната година, се пренася автоматично за следващата бюджетна година</w:t>
      </w:r>
      <w:r>
        <w:rPr>
          <w:rFonts w:ascii="Times New Roman" w:eastAsia="Times New Roman" w:hAnsi="Times New Roman"/>
          <w:noProof/>
          <w:vertAlign w:val="superscript"/>
        </w:rPr>
        <w:footnoteReference w:id="1"/>
      </w:r>
      <w:r>
        <w:rPr>
          <w:rFonts w:ascii="Times New Roman" w:hAnsi="Times New Roman"/>
          <w:noProof/>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rPr>
        <w:t>Бюджетът на ЕФГЗ за 2019 г. включва: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най-актуалните разчети на Комисията относно потребностите от финансиране за пазарни мерки и за директни плащания,</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разчетите относно целевите приходи, които се очаква да бъдат събрани през съответната бюджетна година,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пренесените неусвоени целеви приходи от предходната бюджетна година.</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rPr>
        <w:t xml:space="preserve">В предложението си относно бюджетните кредити за ЕФГЗ за 2019 г. Комисията взе предвид общия размер на очакваните целеви приходи и поиска в бюджета за 2019 г. кредити, чийто размер възлиза на разликата между прогнозните потребности и целевите приходи по разчет.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Според разчетите на Комисията наличните целеви приходи към момента на съставяне на бюджета за 2019 г. възлизаха на 1 078 млн. евро и включваха: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rPr>
        <w:t>целевите приходи, които се очаква да се генерират през бюджетната 2019 година и чийто разчетен размер е 634 млн. евро (499 млн. евро от корекции от уравняване по съответствие и 135 млн. евро вследствие на нередности);</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rPr>
        <w:t>целевите приходи за пренос от 2018 г., чийто размер по разчет е 444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Комисията разпредели тези приходи в размер на 1 078 млн. евро по разчет за следните схеми: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rPr>
        <w:t>140 млн. евро за оперативните фондове за организациите на производители на плодове и зеленчуци, и</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938 млн. евро за схемата за основно плащане.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Сборът на одобрените бюджетни кредити и целевите приходи за тези схеми съответства на:</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849 млн. евро за оперативните фондове за организациите на производители на плодове и зеленчуци, и</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17 149 млн. евро за схемата за основно плащане.</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В приложението, в което се представят предварителните данни за изпълнението на бюджета за 2019 г.,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715 млн. евро и 34 388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 включването на целевите приходи по тези статии общият размер на средствата, предвидени в бюджета за 2019 г., е 855 млн. евро за сектора на плодовете и зеленчуците и 35 326 млн. евро за отделените от производството директни плащания. </w:t>
      </w:r>
    </w:p>
    <w:p>
      <w:pPr>
        <w:pStyle w:val="Heading1"/>
        <w:rPr>
          <w:noProof/>
        </w:rPr>
      </w:pPr>
      <w:bookmarkStart w:id="4" w:name="_Toc14355748"/>
      <w:r>
        <w:rPr>
          <w:noProof/>
        </w:rPr>
        <w:t>Бележки относно предварителните данни за изпълнението на бюджета на ЕФГЗ за 2019 г.</w:t>
      </w:r>
      <w:bookmarkEnd w:id="4"/>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В приложението към настоящия доклад са представени предварителните данни за изпълнението на бюджета за периода от 16 октомври 2018 г. до 30 април 2019 г. Това изпълнение е съпоставено с профила на разходите на Системата за ранно предупреждение и мониторинг, въведена съгласно член 28 от Регламент (ЕС) №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5" w:name="_Toc14355749"/>
      <w:r>
        <w:rPr>
          <w:noProof/>
        </w:rPr>
        <w:t>Пазарни мерки</w:t>
      </w:r>
      <w:bookmarkEnd w:id="5"/>
    </w:p>
    <w:p>
      <w:pPr>
        <w:pStyle w:val="Text1"/>
        <w:rPr>
          <w:noProof/>
        </w:rPr>
      </w:pPr>
      <w:r>
        <w:rPr>
          <w:noProof/>
        </w:rPr>
        <w:t>Усвояването на бюджетни кредити беше по-ниско от очакваното в секторите на маслиновото масло, виното, насърчаването на селскостопански продукти и млякото. От друга страна, изпълнението на бюджета в сектора на плодовете и зеленчуците е по-добро от очакваното.</w:t>
      </w:r>
    </w:p>
    <w:p>
      <w:pPr>
        <w:pStyle w:val="Heading3"/>
        <w:rPr>
          <w:noProof/>
        </w:rPr>
      </w:pPr>
      <w:bookmarkStart w:id="6" w:name="_Toc14355750"/>
      <w:r>
        <w:rPr>
          <w:noProof/>
        </w:rPr>
        <w:t>Маслиново масло</w:t>
      </w:r>
      <w:bookmarkEnd w:id="6"/>
    </w:p>
    <w:p>
      <w:pPr>
        <w:pStyle w:val="Text1"/>
        <w:rPr>
          <w:noProof/>
        </w:rPr>
      </w:pPr>
      <w:r>
        <w:rPr>
          <w:noProof/>
        </w:rPr>
        <w:t>Разходите, направени за програми за подобряване на качеството, са с 9 млн. евро по-малко (или -20 процентни пункта) от очакваното към края на април съгласно профила на разходите. Очаква се заложената в бюджета сума да бъде изпълнена до края на годината.</w:t>
      </w:r>
    </w:p>
    <w:p>
      <w:pPr>
        <w:pStyle w:val="Heading3"/>
        <w:rPr>
          <w:noProof/>
        </w:rPr>
      </w:pPr>
      <w:bookmarkStart w:id="7" w:name="_Toc14355751"/>
      <w:r>
        <w:rPr>
          <w:noProof/>
        </w:rPr>
        <w:t>Плодове и зеленчуци</w:t>
      </w:r>
      <w:bookmarkEnd w:id="7"/>
    </w:p>
    <w:p>
      <w:pPr>
        <w:pStyle w:val="Text1"/>
        <w:rPr>
          <w:noProof/>
        </w:rPr>
      </w:pPr>
      <w:r>
        <w:rPr>
          <w:noProof/>
        </w:rPr>
        <w:t xml:space="preserve">Декларираните разходи възлизат на близо 53 млн. евро (или +7 процентни пункта) над заложеното в профила. Към настоящия момент обаче се очаква общата заложена в бюджета сума да бъде достатъчна за покриване на всички потребности. </w:t>
      </w:r>
    </w:p>
    <w:p>
      <w:pPr>
        <w:pStyle w:val="Heading3"/>
        <w:rPr>
          <w:noProof/>
        </w:rPr>
      </w:pPr>
      <w:bookmarkStart w:id="8" w:name="_Toc14355752"/>
      <w:r>
        <w:rPr>
          <w:noProof/>
        </w:rPr>
        <w:t>Продукти от лозаро-винарския сектор</w:t>
      </w:r>
      <w:bookmarkEnd w:id="8"/>
    </w:p>
    <w:p>
      <w:pPr>
        <w:pStyle w:val="Text1"/>
        <w:rPr>
          <w:noProof/>
        </w:rPr>
      </w:pPr>
      <w:r>
        <w:rPr>
          <w:noProof/>
        </w:rPr>
        <w:t>Разходите, декларирани до момента по тази бюджетна статия, са в размер на 44 млн. евро, или с 4 процентни пункта по-ниски от профила на разходите. Счита се, че това малко отклонение е временно, и се очаква, че заложената в бюджета сума ще бъде усвоена към края на годината.</w:t>
      </w:r>
    </w:p>
    <w:p>
      <w:pPr>
        <w:pStyle w:val="Heading3"/>
        <w:rPr>
          <w:noProof/>
        </w:rPr>
      </w:pPr>
      <w:bookmarkStart w:id="9" w:name="_Toc14355753"/>
      <w:r>
        <w:rPr>
          <w:noProof/>
        </w:rPr>
        <w:t>Насърчаване</w:t>
      </w:r>
      <w:bookmarkEnd w:id="9"/>
    </w:p>
    <w:p>
      <w:pPr>
        <w:pStyle w:val="Text1"/>
        <w:rPr>
          <w:noProof/>
        </w:rPr>
      </w:pPr>
      <w:r>
        <w:rPr>
          <w:noProof/>
        </w:rPr>
        <w:t>Счита се, че отклонението от профила с -15 процентни пункта (или -27 млн. евро) е временно, и се очаква, че заложената в бюджета сума ще бъде усвоена към края на годината.</w:t>
      </w:r>
    </w:p>
    <w:p>
      <w:pPr>
        <w:pStyle w:val="Heading3"/>
        <w:rPr>
          <w:noProof/>
        </w:rPr>
      </w:pPr>
      <w:bookmarkStart w:id="10" w:name="_Toc14355754"/>
      <w:r>
        <w:rPr>
          <w:noProof/>
        </w:rPr>
        <w:t>Мляко и млечни продукти</w:t>
      </w:r>
      <w:bookmarkEnd w:id="10"/>
      <w:r>
        <w:rPr>
          <w:noProof/>
        </w:rPr>
        <w:t xml:space="preserve"> </w:t>
      </w:r>
    </w:p>
    <w:p>
      <w:pPr>
        <w:pStyle w:val="Text1"/>
        <w:rPr>
          <w:noProof/>
        </w:rPr>
      </w:pPr>
      <w:r>
        <w:rPr>
          <w:noProof/>
        </w:rPr>
        <w:t>Отклонението от профила на разходите (минус 66 млн. евро) се обяснява с декларираните от държавите членки печалби (в сравнение със счетоводната стойност) върху продажбите на обезмаслено мляко на прах. В края на финансовата 2018 г. беше отразено обезценяване на публичните запаси от обезмаслено мляко на прах, за да се коригира стойността на запасите спрямо предвидената продажна цена към момента. Оттогава насам на пазара се наблюдава постоянна тенденция на увеличение на цените. Ето защо обезмасленото мляко на прах се продава на по-висока цена от счетоводната стойност, като по този начин се реализират печалби, декларирани от държавите членки.</w:t>
      </w:r>
    </w:p>
    <w:p>
      <w:pPr>
        <w:pStyle w:val="Text1"/>
        <w:rPr>
          <w:noProof/>
        </w:rPr>
      </w:pPr>
    </w:p>
    <w:p>
      <w:pPr>
        <w:pStyle w:val="Heading2"/>
        <w:rPr>
          <w:noProof/>
        </w:rPr>
      </w:pPr>
      <w:bookmarkStart w:id="11" w:name="_Toc14355755"/>
      <w:r>
        <w:rPr>
          <w:noProof/>
        </w:rPr>
        <w:t>Директни плащания</w:t>
      </w:r>
      <w:bookmarkEnd w:id="11"/>
      <w:r>
        <w:rPr>
          <w:noProof/>
        </w:rPr>
        <w:t xml:space="preserv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Усвоените бюджетни кредити за директни плащания бяха малко по-високи от предвиденото.</w:t>
      </w:r>
    </w:p>
    <w:p>
      <w:pPr>
        <w:pStyle w:val="Heading3"/>
        <w:rPr>
          <w:noProof/>
        </w:rPr>
      </w:pPr>
      <w:bookmarkStart w:id="12" w:name="_Toc14355756"/>
      <w:r>
        <w:rPr>
          <w:noProof/>
        </w:rPr>
        <w:t>Отделени от производството директни плащания</w:t>
      </w:r>
      <w:bookmarkEnd w:id="12"/>
    </w:p>
    <w:p>
      <w:pPr>
        <w:pStyle w:val="Text1"/>
        <w:rPr>
          <w:noProof/>
        </w:rPr>
      </w:pPr>
      <w:r>
        <w:rPr>
          <w:noProof/>
        </w:rPr>
        <w:t xml:space="preserve">Декларираните разходи са 624 млн. евро, т.е. превишават профила с 1,8 процентни пункта. </w:t>
      </w:r>
    </w:p>
    <w:p>
      <w:pPr>
        <w:pStyle w:val="Text1"/>
        <w:rPr>
          <w:noProof/>
          <w:highlight w:val="yellow"/>
        </w:rPr>
      </w:pPr>
      <w:r>
        <w:rPr>
          <w:noProof/>
        </w:rPr>
        <w:t>Преразпределените плащания и плащанията за селскостопански практики, благоприятни за климата и околната среда, са в съответствие с профила. Плащанията за земеделски стопани в райони с природни ограничения леко изостават спрямо профила на разходите (-4,5 процентни пункта), докато разходите за другите три схеми по тази бюджетна статия превишават профила на разходите, и по-специално що се отнася до схемата за основно плащане (+489 млн. евро).</w:t>
      </w:r>
    </w:p>
    <w:p>
      <w:pPr>
        <w:pStyle w:val="Heading3"/>
        <w:rPr>
          <w:noProof/>
        </w:rPr>
      </w:pPr>
      <w:bookmarkStart w:id="13" w:name="_Toc14355757"/>
      <w:r>
        <w:rPr>
          <w:noProof/>
        </w:rPr>
        <w:t>Други директни плащания</w:t>
      </w:r>
      <w:bookmarkEnd w:id="1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Разходите, декларирани по тази бюджетна статия, са в съответствие с профила.</w:t>
      </w:r>
    </w:p>
    <w:p>
      <w:pPr>
        <w:pStyle w:val="Heading1"/>
        <w:rPr>
          <w:noProof/>
        </w:rPr>
      </w:pPr>
      <w:bookmarkStart w:id="14" w:name="_Toc14355758"/>
      <w:r>
        <w:rPr>
          <w:noProof/>
        </w:rPr>
        <w:t>Изпълнение на целевите приходи по линия на ЕФГЗ</w:t>
      </w:r>
      <w:bookmarkEnd w:id="14"/>
    </w:p>
    <w:p>
      <w:pPr>
        <w:spacing w:before="90" w:after="120" w:line="240" w:lineRule="auto"/>
        <w:ind w:left="851"/>
        <w:jc w:val="both"/>
        <w:rPr>
          <w:rFonts w:ascii="Times New Roman" w:eastAsia="Times New Roman" w:hAnsi="Times New Roman"/>
          <w:noProof/>
          <w:sz w:val="24"/>
          <w:szCs w:val="24"/>
        </w:rPr>
      </w:pPr>
      <w:r>
        <w:rPr>
          <w:rFonts w:ascii="Times New Roman" w:hAnsi="Times New Roman"/>
          <w:noProof/>
        </w:rPr>
        <w:t>Таблицата в приложението показва, че към края на април 2019 г. са били събрани целеви приходи в размер на 283,2 млн. евро, което е с 4,8 млн. евро повече от очакваното при приемането на бюджета за 2019 г. Те включват по-специално: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приходи от финансови корекции въз основа на решения за счетоводно уравняване и за уравняване по съответствие, които възлизат на 200,2 млн. евро;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 xml:space="preserve">приходи във връзка с нередности в размер на 81,6 млн. евро и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остатъчни приходи от налога в сектора на млякото и млечните продукти в размер на 1,4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 </w:t>
      </w:r>
    </w:p>
    <w:p>
      <w:pPr>
        <w:pStyle w:val="Text1"/>
        <w:rPr>
          <w:noProof/>
        </w:rPr>
      </w:pPr>
      <w:r>
        <w:rPr>
          <w:noProof/>
        </w:rPr>
        <w:t>Като се вземат предвид приходите в размер на 448,8 млн. евро, пренесени от предходната година, общият размер на наличните целеви приходи към 30 април 2019 г. възлиза на 732,0 млн. евро. В течение на бюджетната година се очаква да бъдат събрани още суми.</w:t>
      </w:r>
    </w:p>
    <w:p>
      <w:pPr>
        <w:pStyle w:val="Heading1"/>
        <w:rPr>
          <w:noProof/>
        </w:rPr>
      </w:pPr>
      <w:bookmarkStart w:id="15" w:name="_Toc14355759"/>
      <w:r>
        <w:rPr>
          <w:noProof/>
        </w:rPr>
        <w:t>Заключения</w:t>
      </w:r>
      <w:bookmarkEnd w:id="15"/>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Съгласно предварителните данни за усвояването на бюджетните кредити по линия на ЕФГЗ за 2019 г. за периода до 30 април 2019 г. месечните възстановявания в полза на държавите членки превишават изчисления профил на усвояване с 533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Вече са налице целеви приходи в размер на 732 млн. евро, като в течение на бюджетната година се очаква да бъдат събрани още суми. </w:t>
      </w:r>
    </w:p>
    <w:p>
      <w:pPr>
        <w:spacing w:before="120" w:after="120" w:line="240" w:lineRule="auto"/>
        <w:ind w:left="850"/>
        <w:jc w:val="both"/>
        <w:rPr>
          <w:noProof/>
        </w:rPr>
      </w:pPr>
      <w:r>
        <w:rPr>
          <w:rFonts w:ascii="Times New Roman" w:hAnsi="Times New Roman"/>
          <w:noProof/>
        </w:rPr>
        <w:t>Към настоящия момент Комисията очаква, че одобрените бюджетни кредити и целевите приходи, които ще бъдат налични към края на бюджетната година, ще бъдат достатъчни за покриване на всички разходи.</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В член 12, параграф 4, буква б) от Регламент (ЕС, Евратом) 2018/1046 на Европейския парламент и на Съвета за финансовите правила, приложими за общия бюджет на Съюза, се определя, че бюджетните кредити, съответстващи на вътрешни целеви приходи, може да бъдат пренасяни само за следващата финансова година.</w:t>
      </w:r>
      <w:r>
        <w:t xml:space="preserve"> </w:t>
      </w:r>
      <w:r>
        <w:rPr>
          <w:rFonts w:ascii="Times New Roman" w:hAnsi="Times New Roman"/>
        </w:rPr>
        <w:t xml:space="preserve">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D069D2-9B68-4BD1-A695-A883C97350F2"/>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8?\u1072?\u1079?\u1093?\u1086?\u1076?\u1080?\u1090?\u1077? \u1087?\u1086? \u1083?\u1080?\u1085?\u1080?\u1103? \u1085?\u1072? \u1045?\u1074?\u1088?\u1086?\u1087?\u1077?\u1081?\u1089?\u1082?\u1080?\u1103? \u1092?\u1086?\u1085?\u1076? \u1079?\u1072? \u1075?\u1072?\u1088?\u1072?\u1085?\u1090?\u1080?\u1088?\u1072?\u1085?\u1077? \u1085?\u1072? \u1079?\u1077?\u1084?\u1077?\u1076?\u1077?\u1083?\u1080?\u1077?\u1090?\u1086? (\u1045?\u1060?\u1043?\u1047?) _x000d__x000d__x000b__x000d__x000d__x000b_\u1057?\u1080?\u1089?\u1090?\u1077?\u1084?\u1072? \u1079?\u1072? \u1088?\u1072?\u1085?\u1085?\u1086? \u1087?\u1088?\u1077?\u1076?\u1091?\u1087?\u1088?\u1077?\u1078?\u1076?\u1077?\u1085?\u1080?\u1077? \u8470? 4\u8212?6/2019"/>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AD05-1CD4-49AE-9D4F-F503F9B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1507</Words>
  <Characters>8110</Characters>
  <Application>Microsoft Office Word</Application>
  <DocSecurity>0</DocSecurity>
  <Lines>188</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23</cp:revision>
  <cp:lastPrinted>2019-06-13T10:56:00Z</cp:lastPrinted>
  <dcterms:created xsi:type="dcterms:W3CDTF">2019-07-02T09:55:00Z</dcterms:created>
  <dcterms:modified xsi:type="dcterms:W3CDTF">2019-07-30T06:03:00Z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