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DFFA54-3D52-4F86-9705-AFDAA72D86D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widowControl w:val="0"/>
        <w:spacing w:before="0" w:after="155"/>
        <w:rPr>
          <w:rFonts w:eastAsia="Times New Roman"/>
          <w:noProof/>
          <w:szCs w:val="24"/>
        </w:rPr>
      </w:pPr>
      <w:r>
        <w:rPr>
          <w:noProof/>
        </w:rPr>
        <w:t>Целта на предложението е да се измени приложение VI към Решение 2013/755/ЕС</w:t>
      </w:r>
      <w:r>
        <w:rPr>
          <w:rStyle w:val="FootnoteReference"/>
          <w:rFonts w:eastAsia="Times New Roman"/>
          <w:noProof/>
          <w:szCs w:val="24"/>
          <w:lang w:eastAsia="de-DE"/>
        </w:rPr>
        <w:footnoteReference w:id="1"/>
      </w:r>
      <w:r>
        <w:rPr>
          <w:noProof/>
        </w:rPr>
        <w:t xml:space="preserve"> на Съвета за асоцииране на отвъдморските страни и територии (ОСТ) към Европейския съюз. Изменението е необходимо за прилагането на системата за регистрирани износители (REX) за сертифициране на произхода.</w:t>
      </w:r>
    </w:p>
    <w:p>
      <w:pPr>
        <w:rPr>
          <w:rFonts w:eastAsia="Times New Roman"/>
          <w:noProof/>
          <w:szCs w:val="24"/>
        </w:rPr>
      </w:pPr>
      <w:r>
        <w:rPr>
          <w:noProof/>
        </w:rPr>
        <w:t>Отвъдморските страни и територии (ОСТ) са асоциирани към Европейския съюз (ЕС) от влизането в сила на Римския договор. Тези 25 острова, разположени в Атлантическия океан, Антарктика, Арктика, Карибско море, Индийския океан и Тихоокеанския регион</w:t>
      </w:r>
      <w:r>
        <w:rPr>
          <w:rStyle w:val="FootnoteReference"/>
          <w:noProof/>
        </w:rPr>
        <w:footnoteReference w:id="2"/>
      </w:r>
      <w:r>
        <w:rPr>
          <w:noProof/>
        </w:rPr>
        <w:t xml:space="preserve">, не са суверенни държави, а са зависими от четири държави — членки на Съюза, а именно Дания, Франция, Обединеното кралство и Нидерландия. </w:t>
      </w:r>
    </w:p>
    <w:p>
      <w:pPr>
        <w:pBdr>
          <w:top w:val="nil"/>
          <w:left w:val="nil"/>
          <w:bottom w:val="nil"/>
          <w:right w:val="nil"/>
          <w:between w:val="nil"/>
          <w:bar w:val="nil"/>
        </w:pBdr>
        <w:spacing w:before="0" w:after="240"/>
        <w:rPr>
          <w:rFonts w:eastAsia="Times New Roman"/>
          <w:noProof/>
          <w:szCs w:val="24"/>
        </w:rPr>
      </w:pPr>
      <w:r>
        <w:rPr>
          <w:noProof/>
        </w:rPr>
        <w:t>Като цяло ОСТ се ползват с голяма автономия, обхващаща области като икономиката, пазара на труда, общественото здравеопазване, вътрешните работи и митниците. Отбраната и външните работи основно остават в рамките на компетентността на държавите членки. ОСТ не са част от митническата територия на Съюза и са извън вътрешния пазар. Поради това законодателството на Съюза не се прилага спрямо тях. Като граждани на държавите — членки на ЕС, с които страните и териториите им са конституционно свързани, жителите на ОСТ имат гражданство на ЕС.</w:t>
      </w:r>
    </w:p>
    <w:p>
      <w:pPr>
        <w:widowControl w:val="0"/>
        <w:spacing w:before="0" w:after="155"/>
        <w:rPr>
          <w:rFonts w:eastAsia="Times New Roman"/>
          <w:noProof/>
          <w:szCs w:val="24"/>
        </w:rPr>
      </w:pPr>
      <w:r>
        <w:rPr>
          <w:noProof/>
        </w:rPr>
        <w:t>Въз основа на член 198 от Договора за функционирането на Европейския съюз (ДФЕС) общата цел на асоциирането е да съдейства за икономическото и социалното развитие на ОСТ и да се създадат тесни икономически връзки между тях и Съюза като цяло.</w:t>
      </w:r>
    </w:p>
    <w:p>
      <w:pPr>
        <w:widowControl w:val="0"/>
        <w:spacing w:before="0" w:after="155"/>
        <w:rPr>
          <w:rFonts w:eastAsia="Times New Roman"/>
          <w:noProof/>
          <w:szCs w:val="24"/>
        </w:rPr>
      </w:pPr>
      <w:r>
        <w:rPr>
          <w:noProof/>
        </w:rPr>
        <w:t xml:space="preserve">Решение 2013/755/ЕС на Съвета от 25 ноември 2013 г., което влезе в сила на 1 януари 2014 г. („Решение за отвъдморско асоцииране“), обхваща отношенията между ОСТ (включително Гренландия), държавите членки, с които те са свързани, и Европейския съюз. В него се представят специалните отношения на ОСТ със Съюза и специалната правна рамка, която се прилага спрямо тях и която се основава на три основни стълба, а именно политически стълб, търговски стълб и стълб, свързан със сътрудничеството. </w:t>
      </w:r>
    </w:p>
    <w:p>
      <w:pPr>
        <w:widowControl w:val="0"/>
        <w:spacing w:before="0" w:after="155"/>
        <w:rPr>
          <w:rFonts w:eastAsia="Times New Roman"/>
          <w:noProof/>
          <w:szCs w:val="24"/>
        </w:rPr>
      </w:pPr>
      <w:r>
        <w:rPr>
          <w:noProof/>
        </w:rPr>
        <w:t xml:space="preserve">При търговията със стоки продуктите с произход от ОСТ се ползват от безмитен и освободен от квоти внос в Съюза съгласно членове 43 и 44 от Решението за отвъдморско асоцииране. </w:t>
      </w:r>
    </w:p>
    <w:p>
      <w:pPr>
        <w:widowControl w:val="0"/>
        <w:spacing w:before="0" w:after="155"/>
        <w:rPr>
          <w:rFonts w:eastAsia="Times New Roman"/>
          <w:noProof/>
          <w:szCs w:val="24"/>
        </w:rPr>
      </w:pPr>
      <w:r>
        <w:rPr>
          <w:noProof/>
        </w:rPr>
        <w:t xml:space="preserve">Приложение VI от Решението за отвъдморско асоцииране определя понятието „продукти с произход“ и методите на административно сътрудничество между ЕС и ОСТ. В него се съдържат разпоредби, които имат за цел да прилагат системата REX за сертифициране на произхода, считано от 1 януари 2017 г. </w:t>
      </w:r>
    </w:p>
    <w:p>
      <w:pPr>
        <w:widowControl w:val="0"/>
        <w:spacing w:before="0" w:after="155"/>
        <w:rPr>
          <w:rFonts w:eastAsia="Times New Roman"/>
          <w:noProof/>
          <w:szCs w:val="24"/>
        </w:rPr>
      </w:pPr>
      <w:bookmarkStart w:id="1" w:name="_Toc319512655"/>
      <w:bookmarkStart w:id="2" w:name="_Toc319512656"/>
      <w:bookmarkStart w:id="3" w:name="_Toc319512657"/>
      <w:bookmarkStart w:id="4" w:name="_Toc319512658"/>
      <w:bookmarkStart w:id="5" w:name="_Toc319512659"/>
      <w:bookmarkStart w:id="6" w:name="_Toc319512661"/>
      <w:bookmarkStart w:id="7" w:name="_Toc319512662"/>
      <w:bookmarkStart w:id="8" w:name="_Toc319512665"/>
      <w:bookmarkStart w:id="9" w:name="_Toc319512666"/>
      <w:bookmarkStart w:id="10" w:name="_Toc319512667"/>
      <w:bookmarkStart w:id="11" w:name="_Toc319512668"/>
      <w:bookmarkStart w:id="12" w:name="_Toc319512669"/>
      <w:bookmarkStart w:id="13" w:name="_Toc319512671"/>
      <w:bookmarkEnd w:id="1"/>
      <w:bookmarkEnd w:id="2"/>
      <w:bookmarkEnd w:id="3"/>
      <w:bookmarkEnd w:id="4"/>
      <w:bookmarkEnd w:id="5"/>
      <w:bookmarkEnd w:id="6"/>
      <w:bookmarkEnd w:id="7"/>
      <w:bookmarkEnd w:id="8"/>
      <w:bookmarkEnd w:id="9"/>
      <w:bookmarkEnd w:id="10"/>
      <w:bookmarkEnd w:id="11"/>
      <w:bookmarkEnd w:id="12"/>
      <w:bookmarkEnd w:id="13"/>
      <w:r>
        <w:rPr>
          <w:noProof/>
        </w:rPr>
        <w:t xml:space="preserve">Член 58 от приложение VI предвижда Комисията да създаде база данни на регистрираните износители. Той гласи следното: </w:t>
      </w:r>
      <w:r>
        <w:rPr>
          <w:i/>
          <w:noProof/>
          <w:szCs w:val="24"/>
        </w:rPr>
        <w:t>„Комисията създава електронна база данни на регистрираните износители въз основа на информацията, предоставена от държавните органи на ОСТ и митническите органи на държавите членки.“</w:t>
      </w:r>
    </w:p>
    <w:p>
      <w:pPr>
        <w:rPr>
          <w:rFonts w:eastAsia="Times New Roman"/>
          <w:i/>
          <w:noProof/>
          <w:szCs w:val="24"/>
        </w:rPr>
      </w:pPr>
      <w:r>
        <w:rPr>
          <w:noProof/>
        </w:rPr>
        <w:t>Член 63, параграф 1 от приложение VI предвижда дерогация от прилагането на разпоредбите, отнасящи се до системата за регистрирани износители: „</w:t>
      </w:r>
      <w:r>
        <w:rPr>
          <w:i/>
          <w:noProof/>
          <w:szCs w:val="24"/>
        </w:rPr>
        <w:t>Комисията може да приеме решения, с които се разрешава прилагането на членове 21—35 и членове 54, 55 и 56 от настоящото приложение относно износа от една или няколко ОСТ след 1 януари 2017 г.“</w:t>
      </w:r>
    </w:p>
    <w:p>
      <w:pPr>
        <w:rPr>
          <w:noProof/>
          <w:spacing w:val="-4"/>
        </w:rPr>
      </w:pPr>
      <w:r>
        <w:rPr>
          <w:noProof/>
          <w:spacing w:val="-4"/>
        </w:rPr>
        <w:t>На 1 януари 2017 г. ОСТ не бяха готови да прилагат системата REX, както е предвидено в приложение VI от Решението за отвъдморско асоцииране. Поради това, в съответствие с член 63, параграф 2 от приложение VI към Решение 2013/755/ЕС, всички ОСТ отправиха към Комисията писмени искания за дерогация от три години. На 29 ноември 2016 г. Комисията прие Решение за изпълнение (ЕС) 2016/2093</w:t>
      </w:r>
      <w:r>
        <w:rPr>
          <w:rStyle w:val="FootnoteReference"/>
          <w:noProof/>
          <w:spacing w:val="-4"/>
        </w:rPr>
        <w:footnoteReference w:id="3"/>
      </w:r>
      <w:r>
        <w:rPr>
          <w:noProof/>
          <w:spacing w:val="-4"/>
        </w:rPr>
        <w:t xml:space="preserve"> за отлагане на датата за прилагане на системата за регистрирани износители за ОСТ до 1 януари 2020 г. </w:t>
      </w:r>
    </w:p>
    <w:p>
      <w:pPr>
        <w:rPr>
          <w:rFonts w:eastAsia="Times New Roman"/>
          <w:noProof/>
          <w:szCs w:val="24"/>
        </w:rPr>
      </w:pPr>
      <w:r>
        <w:rPr>
          <w:noProof/>
        </w:rPr>
        <w:t xml:space="preserve">Това означава, че считано от 1 януари 2020 г., ОСТ трябва да прилагат системата REX, както е предвидена в рамките на настоящото Решение за отвъдморско асоцииране. </w:t>
      </w:r>
    </w:p>
    <w:p>
      <w:pPr>
        <w:rPr>
          <w:rFonts w:eastAsia="Times New Roman"/>
          <w:noProof/>
          <w:szCs w:val="24"/>
        </w:rPr>
      </w:pPr>
      <w:r>
        <w:rPr>
          <w:noProof/>
        </w:rPr>
        <w:t>На 10 март 2015 г. с Регламент за изпълнение (ЕС) 2015/428</w:t>
      </w:r>
      <w:r>
        <w:rPr>
          <w:rStyle w:val="FootnoteReference"/>
          <w:rFonts w:eastAsia="Times New Roman"/>
          <w:noProof/>
          <w:szCs w:val="24"/>
          <w:lang w:eastAsia="en-GB"/>
        </w:rPr>
        <w:footnoteReference w:id="4"/>
      </w:r>
      <w:r>
        <w:rPr>
          <w:noProof/>
        </w:rPr>
        <w:t xml:space="preserve"> Комисията измени правилата за произход, отнасящи се до системата REX на Общата система за преференции (ОСП), установена с Регламент (ЕИО) № 2454/93.</w:t>
      </w:r>
    </w:p>
    <w:p>
      <w:pPr>
        <w:rPr>
          <w:noProof/>
        </w:rPr>
      </w:pPr>
      <w:r>
        <w:rPr>
          <w:noProof/>
        </w:rPr>
        <w:t>На 24 ноември 2015 г. Комисията прие Регламент за изпълнение (ЕС) 2015/2447</w:t>
      </w:r>
      <w:r>
        <w:rPr>
          <w:rStyle w:val="FootnoteReference"/>
          <w:noProof/>
        </w:rPr>
        <w:footnoteReference w:id="5"/>
      </w:r>
      <w:r>
        <w:rPr>
          <w:noProof/>
        </w:rPr>
        <w:t>, в който са прехвърлени всички общи правила за прилагането на Митническия кодекс на Съюза, сред които и разпоредбите, отнасящи се до системата REX на ОСП.</w:t>
      </w:r>
    </w:p>
    <w:p>
      <w:pPr>
        <w:rPr>
          <w:rFonts w:eastAsia="Times New Roman"/>
          <w:noProof/>
          <w:szCs w:val="24"/>
        </w:rPr>
      </w:pPr>
      <w:r>
        <w:rPr>
          <w:noProof/>
        </w:rPr>
        <w:t xml:space="preserve">В резултат на това разпоредбите на приложение VI към Решението за отвъдморско асоцииране относно „процедурите за системата за регистрирани износители“ се различават от тези в правилата за произход по ОСП. </w:t>
      </w:r>
    </w:p>
    <w:p>
      <w:pPr>
        <w:rPr>
          <w:rFonts w:eastAsia="Times New Roman"/>
          <w:noProof/>
          <w:szCs w:val="24"/>
        </w:rPr>
      </w:pPr>
      <w:r>
        <w:rPr>
          <w:noProof/>
        </w:rPr>
        <w:t>Приложение VI от Решението за отвъдморско асоцииране следва да бъде изменено с цел да се осигури съвместимост с разпоредбите относно системата за регистрирани износители, установени в Регламент (ЕС) 2015/2447.</w:t>
      </w:r>
    </w:p>
    <w:p>
      <w:pPr>
        <w:rPr>
          <w:rFonts w:eastAsia="Times New Roman"/>
          <w:noProof/>
          <w:spacing w:val="-4"/>
          <w:szCs w:val="24"/>
        </w:rPr>
      </w:pPr>
      <w:r>
        <w:rPr>
          <w:noProof/>
          <w:spacing w:val="-4"/>
        </w:rPr>
        <w:t>В контекста на преговорите за следващата многогодишна финансова рамка, на 14 юни 2018 г. Комисията внесе предложение за ново решение за отвъдморско асоцииране. Това предложение включва актуализирани разпоредби относно системата за регистрирани износители, които са съвместими с новото законодателство. То обаче следва да влезе в сила едва от януари 2021 г. след приключване на специалната законодателна процедура в съответствие с член 203 ДФЕС. Така новото решение за отвъдморско асоцииране ще обхване въпроса за съвместимостта със системата REX едва от тази дата.</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color w:val="000000"/>
          <w:u w:color="000000"/>
          <w:bdr w:val="nil"/>
        </w:rPr>
      </w:pPr>
      <w:r>
        <w:rPr>
          <w:noProof/>
        </w:rPr>
        <w:t>Настоящите правила и процедури за асоцииране между ЕС и ОСТ са установени с Решение 2013/755/ЕС от 25 ноември 2013 г.</w:t>
      </w:r>
      <w:r>
        <w:rPr>
          <w:rStyle w:val="FootnoteReference"/>
          <w:noProof/>
        </w:rPr>
        <w:footnoteReference w:id="6"/>
      </w:r>
      <w:r>
        <w:rPr>
          <w:noProof/>
        </w:rPr>
        <w:t xml:space="preserve"> за асоциирането на ОСТ към Европейския съюз, което също обхваща и Гренландия.</w:t>
      </w:r>
      <w:r>
        <w:rPr>
          <w:noProof/>
          <w:color w:val="000000"/>
          <w:u w:color="000000"/>
          <w:bdr w:val="nil"/>
        </w:rPr>
        <w:t xml:space="preserve"> </w:t>
      </w:r>
      <w:r>
        <w:rPr>
          <w:noProof/>
        </w:rPr>
        <w:t>Допълнителни разпоредби относно отношенията с Гренландия са установени с Решение 2014/137/EC от 14 март 2014 г.</w:t>
      </w:r>
      <w:r>
        <w:rPr>
          <w:rStyle w:val="FootnoteReference"/>
          <w:noProof/>
        </w:rPr>
        <w:footnoteReference w:id="7"/>
      </w:r>
      <w:r>
        <w:rPr>
          <w:noProof/>
        </w:rPr>
        <w:t xml:space="preserve"> за отношенията между Европейския съюз, от една страна, и Гренландия и Кралство Дания, от друга страна.</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color w:val="000000"/>
          <w:szCs w:val="24"/>
        </w:rPr>
        <w:t>Настоящото изменение изменя техническите разпоредби, които вземат предвид развитието на законодателството в тази област.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rFonts w:eastAsia="Times New Roman"/>
          <w:noProof/>
          <w:szCs w:val="24"/>
        </w:rPr>
      </w:pPr>
      <w:r>
        <w:rPr>
          <w:noProof/>
        </w:rPr>
        <w:t>Решението за отвъдморско асоцииране се основава на част четвърта от ДФЕС. Подробните правила и процедури за асоциирането са определени в решенията на Съвета, основани на член 203 от ДФЕС, съгласно които такива актове се приемат по реда на специална законодателна процедура.</w:t>
      </w:r>
    </w:p>
    <w:p>
      <w:pPr>
        <w:rPr>
          <w:rFonts w:eastAsia="Times New Roman"/>
          <w:noProof/>
          <w:szCs w:val="24"/>
        </w:rPr>
      </w:pPr>
      <w:r>
        <w:rPr>
          <w:noProof/>
        </w:rPr>
        <w:t>Членове 198—204 от ДФЕС се прилагат за Гренландия, при условие че са спазени специфичните разпоредби, предвидени в Протокол № 34 за специалния режим, приложим за Гренландия, приложен към ДФЕС.</w:t>
      </w:r>
    </w:p>
    <w:p>
      <w:pPr>
        <w:rPr>
          <w:rFonts w:eastAsia="Times New Roman"/>
          <w:noProof/>
          <w:szCs w:val="24"/>
        </w:rPr>
      </w:pPr>
      <w:r>
        <w:rPr>
          <w:noProof/>
        </w:rPr>
        <w:t>Тъй като приложенията са неразделна част от Решението за отвъдморско асоцииране, всяко изменение на приложенията се базира на същото правно основание и приложима процедура.</w:t>
      </w:r>
    </w:p>
    <w:p>
      <w:pPr>
        <w:rPr>
          <w:rFonts w:eastAsia="Times New Roman"/>
          <w:noProof/>
          <w:sz w:val="6"/>
          <w:szCs w:val="6"/>
        </w:rPr>
      </w:pP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rFonts w:eastAsia="Times New Roman"/>
          <w:noProof/>
          <w:szCs w:val="24"/>
        </w:rPr>
      </w:pPr>
      <w:r>
        <w:rPr>
          <w:noProof/>
        </w:rPr>
        <w:t xml:space="preserve">Подробната правна уредба във връзка с разпоредбите в част четвърта от ДФЕС трябва да се изготвя на равнището на Съюза, тъй като целта на асоциирането — социалното и икономическото развитие и тесните икономически връзки между ОСТ и Съюза като цяло — не може да бъде постигната чрез действия на равнището на държавите членки. </w:t>
      </w:r>
    </w:p>
    <w:p>
      <w:pPr>
        <w:rPr>
          <w:rFonts w:eastAsia="Times New Roman"/>
          <w:noProof/>
          <w:color w:val="000000"/>
          <w:szCs w:val="24"/>
        </w:rPr>
      </w:pPr>
      <w:r>
        <w:rPr>
          <w:noProof/>
        </w:rPr>
        <w:t xml:space="preserve">Освен това държавите членки не са в състояние да предприемат действия по отношение на търговския режим на ОСТ, тъй като само ЕС е отговорен за общата търговска политика (част пета, дял II от ДФЕС). </w:t>
      </w:r>
      <w:r>
        <w:rPr>
          <w:noProof/>
          <w:color w:val="000000"/>
          <w:szCs w:val="24"/>
        </w:rPr>
        <w:t>Настоящото изменение осигурява еднаквото прилагане на системата REX.</w:t>
      </w:r>
    </w:p>
    <w:p>
      <w:pPr>
        <w:rPr>
          <w:rFonts w:eastAsia="Arial Unicode MS"/>
          <w:noProof/>
          <w:sz w:val="6"/>
          <w:szCs w:val="6"/>
        </w:rPr>
      </w:pP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rPr>
          <w:rFonts w:eastAsia="Times New Roman"/>
          <w:noProof/>
          <w:szCs w:val="24"/>
        </w:rPr>
      </w:pPr>
      <w:r>
        <w:rPr>
          <w:noProof/>
        </w:rPr>
        <w:t>Предложението се ограничава до актуализиране на условията, необходими, за да се даде определение на понятието „продукти с произход“, и на методите за административно сътрудничество между ОСТ и Съюза. Поради това в него се предвижда актуализиране на разпоредбите относно системата REX.</w:t>
      </w:r>
    </w:p>
    <w:p>
      <w:pPr>
        <w:pBdr>
          <w:top w:val="nil"/>
          <w:left w:val="nil"/>
          <w:bottom w:val="nil"/>
          <w:right w:val="nil"/>
          <w:between w:val="nil"/>
          <w:bar w:val="nil"/>
        </w:pBdr>
        <w:spacing w:before="0" w:after="240"/>
        <w:rPr>
          <w:rFonts w:eastAsia="Arial Unicode MS"/>
          <w:noProof/>
        </w:rPr>
      </w:pPr>
      <w:r>
        <w:rPr>
          <w:noProof/>
        </w:rPr>
        <w:t>Обработването на лични данни е в пълно съответствие с европейските и националните правила за защита на данните.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u w:color="000000"/>
          <w:bdr w:val="nil"/>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u w:color="000000"/>
          <w:bdr w:val="nil"/>
        </w:rPr>
        <w:t xml:space="preserve">Предложението няма отражение върху бюджета. </w:t>
      </w:r>
      <w:r>
        <w:rPr>
          <w:noProof/>
        </w:rPr>
        <w:t>То е строго свързано с одобрените средства за изпълнение на действащото Решение за отвъдморско асоцииране.</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rPr>
          <w:rFonts w:eastAsia="Arial Unicode MS"/>
          <w:noProof/>
          <w:u w:color="000000"/>
          <w:bdr w:val="nil"/>
        </w:rPr>
      </w:pPr>
      <w:r>
        <w:rPr>
          <w:noProof/>
          <w:u w:color="000000"/>
          <w:bdr w:val="nil"/>
        </w:rPr>
        <w:t>Не се прилага.</w:t>
      </w:r>
    </w:p>
    <w:p>
      <w:pPr>
        <w:rPr>
          <w:rFonts w:eastAsia="Arial Unicode MS"/>
          <w:noProof/>
          <w:sz w:val="12"/>
          <w:szCs w:val="12"/>
          <w:u w:color="000000"/>
          <w:bdr w:val="nil"/>
          <w:lang w:eastAsia="en-GB"/>
        </w:rPr>
      </w:pP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keepNext/>
        <w:tabs>
          <w:tab w:val="left" w:pos="0"/>
        </w:tabs>
        <w:outlineLvl w:val="1"/>
        <w:rPr>
          <w:rFonts w:eastAsia="Times New Roman"/>
          <w:noProof/>
          <w:color w:val="000000"/>
          <w:szCs w:val="24"/>
        </w:rPr>
      </w:pPr>
      <w:r>
        <w:rPr>
          <w:noProof/>
        </w:rPr>
        <w:t>Настоящото предложение включва в приложение VI от Решението за отвъдморско асоцииране разпоредбите за прилагане на системата REX, установена с Регламент (ЕС) 2015/2447.</w:t>
      </w:r>
      <w:r>
        <w:rPr>
          <w:noProof/>
          <w:color w:val="000000"/>
          <w:szCs w:val="24"/>
        </w:rPr>
        <w:t xml:space="preserve"> То заменя приложение VI в неговата цялост.</w:t>
      </w:r>
    </w:p>
    <w:p>
      <w:pPr>
        <w:pBdr>
          <w:top w:val="nil"/>
          <w:left w:val="nil"/>
          <w:bottom w:val="nil"/>
          <w:right w:val="nil"/>
          <w:between w:val="nil"/>
          <w:bar w:val="nil"/>
        </w:pBdr>
        <w:spacing w:before="0" w:after="240"/>
        <w:rPr>
          <w:rFonts w:eastAsia="Times New Roman"/>
          <w:noProof/>
          <w:color w:val="000000"/>
          <w:szCs w:val="24"/>
        </w:rPr>
      </w:pPr>
      <w:r>
        <w:rPr>
          <w:noProof/>
          <w:color w:val="000000"/>
          <w:szCs w:val="24"/>
        </w:rPr>
        <w:t>Основните промени са:</w:t>
      </w:r>
    </w:p>
    <w:p>
      <w:pPr>
        <w:pStyle w:val="ManualNumPar1"/>
        <w:rPr>
          <w:noProof/>
        </w:rPr>
      </w:pPr>
      <w:r>
        <w:t>1.</w:t>
      </w:r>
      <w:r>
        <w:tab/>
      </w:r>
      <w:r>
        <w:rPr>
          <w:noProof/>
        </w:rPr>
        <w:t>В член 1 се добавя като нова буква (т) определението на „системата REX“. То се позовава на член 80, параграф 1 от Акта за изпълнение към Митническия кодекс на Съюза (АИМКС). Препратките към АИМКС се съдържат в съответната бележка под линия;</w:t>
      </w:r>
    </w:p>
    <w:p>
      <w:pPr>
        <w:pStyle w:val="ManualNumPar1"/>
        <w:rPr>
          <w:noProof/>
        </w:rPr>
      </w:pPr>
      <w:r>
        <w:t>2.</w:t>
      </w:r>
      <w:r>
        <w:tab/>
      </w:r>
      <w:r>
        <w:rPr>
          <w:noProof/>
        </w:rPr>
        <w:t xml:space="preserve">В член 8, параграф 3 се заличава изключването на продукти от допълнение XIII, както и самото допълнение XIII, тъй като изключването престана да се прилага на 1 октомври 2015 г.; </w:t>
      </w:r>
    </w:p>
    <w:p>
      <w:pPr>
        <w:pStyle w:val="ManualNumPar1"/>
        <w:rPr>
          <w:noProof/>
        </w:rPr>
      </w:pPr>
      <w:r>
        <w:t>3.</w:t>
      </w:r>
      <w:r>
        <w:tab/>
      </w:r>
      <w:r>
        <w:rPr>
          <w:noProof/>
        </w:rPr>
        <w:t>В член 9 се заменят минали позовавания на Регламент № 732/2008 с позовавания на Регламент 978/2012. Член 9, параграф 3 съдържа в бележка под линия препратките към Делегирания акт към Митническия кодекс на Съюза (ДАМКС);</w:t>
      </w:r>
    </w:p>
    <w:p>
      <w:pPr>
        <w:pStyle w:val="ManualNumPar1"/>
        <w:rPr>
          <w:noProof/>
        </w:rPr>
      </w:pPr>
      <w:r>
        <w:t>4.</w:t>
      </w:r>
      <w:r>
        <w:tab/>
      </w:r>
      <w:r>
        <w:rPr>
          <w:noProof/>
        </w:rPr>
        <w:t>В член 10, параграф 1, буква а) е включен предишният параграф на член 59 относно контрола на произхода, съдържащ изискването за административно сътрудничество в рамките на разширената кумулация. Този параграф нямаше съществено значение в член 59;</w:t>
      </w:r>
    </w:p>
    <w:p>
      <w:pPr>
        <w:pStyle w:val="ManualNumPar1"/>
        <w:rPr>
          <w:noProof/>
        </w:rPr>
      </w:pPr>
      <w:r>
        <w:t>5.</w:t>
      </w:r>
      <w:r>
        <w:tab/>
      </w:r>
      <w:r>
        <w:rPr>
          <w:noProof/>
        </w:rPr>
        <w:t xml:space="preserve">Раздел 2 от дял IV и раздел 2 от дял V, които се отнасяха до ситуация преди влизането в сила на системата REX, са заличени, като и в двата дяла предишният „раздел 3“ е преномериран на „раздел 2“; </w:t>
      </w:r>
    </w:p>
    <w:p>
      <w:pPr>
        <w:pStyle w:val="ManualNumPar1"/>
        <w:rPr>
          <w:noProof/>
        </w:rPr>
      </w:pPr>
      <w:r>
        <w:t>6.</w:t>
      </w:r>
      <w:r>
        <w:tab/>
      </w:r>
      <w:r>
        <w:rPr>
          <w:noProof/>
        </w:rPr>
        <w:t>Редът на предходните членове 37 и 38 е обърнат (понастоящем номерирани съответно членове 23 и 22), а предишният член 37 относно „Архив на регистрираните износители“ се преименува на „Регистрация“;</w:t>
      </w:r>
    </w:p>
    <w:p>
      <w:pPr>
        <w:pStyle w:val="ManualNumPar1"/>
        <w:rPr>
          <w:noProof/>
        </w:rPr>
      </w:pPr>
      <w:r>
        <w:t>7.</w:t>
      </w:r>
      <w:r>
        <w:tab/>
      </w:r>
      <w:r>
        <w:rPr>
          <w:noProof/>
        </w:rPr>
        <w:t>В член 23, параграф 2 (по новата номерация) списъкът с информацията, която трябва да бъде регистрирана, е приведен в съответствие със списъка в член 40, отнасящ се до „правата на достъп“, който беше актуализиран с последните промени в член 82 от АИМКС;</w:t>
      </w:r>
    </w:p>
    <w:p>
      <w:pPr>
        <w:pStyle w:val="ManualNumPar1"/>
        <w:rPr>
          <w:noProof/>
        </w:rPr>
      </w:pPr>
      <w:r>
        <w:t>8.</w:t>
      </w:r>
      <w:r>
        <w:tab/>
      </w:r>
      <w:r>
        <w:rPr>
          <w:noProof/>
        </w:rPr>
        <w:t>В член 25, параграф 3 се прави позоваване на новия член 27 относно „декларация на доставчика“;</w:t>
      </w:r>
    </w:p>
    <w:p>
      <w:pPr>
        <w:pStyle w:val="ManualNumPar1"/>
        <w:rPr>
          <w:noProof/>
        </w:rPr>
      </w:pPr>
      <w:r>
        <w:t>9.</w:t>
      </w:r>
      <w:r>
        <w:tab/>
      </w:r>
      <w:r>
        <w:rPr>
          <w:noProof/>
        </w:rPr>
        <w:t>Член 26 сега обхваща както декларацията за произход, така и информацията за целите на (пълната) кумулация, съдържащи се в предишния член 32;</w:t>
      </w:r>
    </w:p>
    <w:p>
      <w:pPr>
        <w:pStyle w:val="ManualNumPar1"/>
        <w:rPr>
          <w:noProof/>
        </w:rPr>
      </w:pPr>
      <w:r>
        <w:t>10.</w:t>
      </w:r>
      <w:r>
        <w:tab/>
      </w:r>
      <w:r>
        <w:rPr>
          <w:noProof/>
        </w:rPr>
        <w:t>В новия член 27 са отразени разпоредбите относно декларацията на доставчика на предишния член 32, но само по отношение на декларацията на доставчика за продуктите без произход с оглед на прилагането на пълната кумулация, предвидена в член 2, параграф 2, член 7, параграф 2 и член 8, параграф 2. Предишното допълнение VII относно декларацията на доставчика за продукти с произход се заличава;</w:t>
      </w:r>
    </w:p>
    <w:p>
      <w:pPr>
        <w:pStyle w:val="ManualNumPar1"/>
        <w:rPr>
          <w:noProof/>
        </w:rPr>
      </w:pPr>
      <w:r>
        <w:t>11.</w:t>
      </w:r>
      <w:r>
        <w:tab/>
      </w:r>
      <w:r>
        <w:rPr>
          <w:noProof/>
        </w:rPr>
        <w:t>В член 27, параграф 2 е добавена възможността за дългосрочна декларация на доставчика, с препратка към посочения срок на валидност в бележка под линия 7 в приложение V;</w:t>
      </w:r>
    </w:p>
    <w:p>
      <w:pPr>
        <w:pStyle w:val="ManualNumPar1"/>
        <w:rPr>
          <w:noProof/>
        </w:rPr>
      </w:pPr>
      <w:r>
        <w:t>12.</w:t>
      </w:r>
      <w:r>
        <w:tab/>
      </w:r>
      <w:r>
        <w:rPr>
          <w:noProof/>
        </w:rPr>
        <w:t>В член 40 списъкът на информацията, която трябва да бъде публикувана, е актуализиран с последните промени в член 82 от АИМКС.</w:t>
      </w:r>
    </w:p>
    <w:p>
      <w:pPr>
        <w:pStyle w:val="ManualNumPar1"/>
        <w:rPr>
          <w:noProof/>
        </w:rPr>
      </w:pPr>
      <w:r>
        <w:t>13.</w:t>
      </w:r>
      <w:r>
        <w:tab/>
      </w:r>
      <w:r>
        <w:rPr>
          <w:noProof/>
        </w:rPr>
        <w:t>В член 41 и в бележките към допълнение VI позоваванията на Директива 95/46/ЕО са заменени с позовавания на новия Регламент (ЕС) 2016/679 (ОРЗД);</w:t>
      </w:r>
    </w:p>
    <w:p>
      <w:pPr>
        <w:pStyle w:val="ManualNumPar1"/>
        <w:rPr>
          <w:noProof/>
        </w:rPr>
      </w:pPr>
      <w:r>
        <w:t>14.</w:t>
      </w:r>
      <w:r>
        <w:tab/>
      </w:r>
      <w:r>
        <w:rPr>
          <w:noProof/>
        </w:rPr>
        <w:t>Нов член 44 се отнася до проверката на декларациите на доставчиците и включва елементи на предишния член 55;</w:t>
      </w:r>
    </w:p>
    <w:p>
      <w:pPr>
        <w:pStyle w:val="ManualNumPar1"/>
        <w:rPr>
          <w:noProof/>
        </w:rPr>
      </w:pPr>
      <w:r>
        <w:t>15.</w:t>
      </w:r>
      <w:r>
        <w:tab/>
      </w:r>
      <w:r>
        <w:rPr>
          <w:noProof/>
        </w:rPr>
        <w:t>В член 45, параграф 2 се прави позоваване на член 68 от АИМКС, който включва формуляра за регистрация на износителите в Съюза, а предишното допълнение XI А се заличава.</w:t>
      </w:r>
    </w:p>
    <w:p>
      <w:pPr>
        <w:pStyle w:val="ManualNumPar1"/>
        <w:rPr>
          <w:noProof/>
        </w:rPr>
      </w:pPr>
      <w:r>
        <w:t>16.</w:t>
      </w:r>
      <w:r>
        <w:tab/>
      </w:r>
      <w:r>
        <w:rPr>
          <w:noProof/>
        </w:rPr>
        <w:t>Допълнения III до VII, XI А и XIII се заличават. Допълнения VIII до XI и XII са пренаредени и преномерирани според споменаването им в текста и са приведени в съответствие с промените в текста, където е необходимо.</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2019/0162 (CNS)</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на Съвета 2013/755/ЕС от 25 ноември 2013 година за асоцииране на отвъдморските страни и територии към Европейския съюз („Решение за отвъдморско асоцииране“)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203 от него,</w:t>
      </w:r>
    </w:p>
    <w:p>
      <w:pPr>
        <w:rPr>
          <w:noProof/>
        </w:rPr>
      </w:pPr>
      <w:r>
        <w:rPr>
          <w:noProof/>
        </w:rPr>
        <w:t>като взе предвид предложението на Европейската комисия,</w:t>
      </w:r>
    </w:p>
    <w:p>
      <w:pPr>
        <w:rPr>
          <w:noProof/>
        </w:rPr>
      </w:pPr>
      <w:r>
        <w:rPr>
          <w:noProof/>
        </w:rPr>
        <w:t xml:space="preserve">след предаване на проекта на законодателния акт на националните парламенти, </w:t>
      </w:r>
    </w:p>
    <w:p>
      <w:pPr>
        <w:rPr>
          <w:noProof/>
        </w:rPr>
      </w:pPr>
      <w:r>
        <w:rPr>
          <w:noProof/>
        </w:rPr>
        <w:t>като взе предвид становището на Европейския парламент,</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В приложение VI към Решение 2013/755/ЕС на Съвета</w:t>
      </w:r>
      <w:r>
        <w:rPr>
          <w:rStyle w:val="FootnoteReference"/>
          <w:rFonts w:eastAsia="Times New Roman"/>
          <w:noProof/>
          <w:color w:val="000000"/>
          <w:szCs w:val="24"/>
          <w:lang w:eastAsia="en-GB"/>
        </w:rPr>
        <w:footnoteReference w:id="8"/>
      </w:r>
      <w:r>
        <w:rPr>
          <w:noProof/>
        </w:rPr>
        <w:t xml:space="preserve"> („Решение за отвъдморско асоцииране“) се дава определение на понятието „продукти с произход“ и методите на административно сътрудничество между Съюза и отвъдморските страни и територии (наричани по-нататък „ОСТ“). В него са включени разпоредби за внедряване на системата за регистрирани износители (REX) в ОСТ за целите на удостоверяване на произхода.</w:t>
      </w:r>
    </w:p>
    <w:p>
      <w:pPr>
        <w:pStyle w:val="ManualConsidrant"/>
        <w:rPr>
          <w:noProof/>
        </w:rPr>
      </w:pPr>
      <w:r>
        <w:t>(2)</w:t>
      </w:r>
      <w:r>
        <w:tab/>
      </w:r>
      <w:r>
        <w:rPr>
          <w:noProof/>
        </w:rPr>
        <w:t>В член 58 от приложение VI към Решение 2013/755/ЕС се предвижда създаване на база данни на регистрираните износители, а член 63 от същото приложение дава възможност за дерогация от системата REX.</w:t>
      </w:r>
      <w:r>
        <w:rPr>
          <w:i/>
          <w:noProof/>
        </w:rPr>
        <w:t xml:space="preserve"> </w:t>
      </w:r>
    </w:p>
    <w:p>
      <w:pPr>
        <w:pStyle w:val="ManualConsidrant"/>
        <w:rPr>
          <w:noProof/>
        </w:rPr>
      </w:pPr>
      <w:r>
        <w:t>(3)</w:t>
      </w:r>
      <w:r>
        <w:tab/>
      </w:r>
      <w:r>
        <w:rPr>
          <w:noProof/>
        </w:rPr>
        <w:t>В съответствие с член 63, параграф 2 от приложение VI към Решение 2013/755/ЕС всички ОСТ отправиха искане за тригодишна дерогация от прилагането на системата REX.</w:t>
      </w:r>
      <w:r>
        <w:rPr>
          <w:noProof/>
          <w:color w:val="000000"/>
          <w:szCs w:val="24"/>
        </w:rPr>
        <w:t xml:space="preserve"> Поради това със свое Решение за изпълнение (ЕС)</w:t>
      </w:r>
      <w:r>
        <w:rPr>
          <w:noProof/>
        </w:rPr>
        <w:t xml:space="preserve"> 2016/2093</w:t>
      </w:r>
      <w:r>
        <w:rPr>
          <w:rStyle w:val="FootnoteReference"/>
          <w:noProof/>
        </w:rPr>
        <w:footnoteReference w:id="9"/>
      </w:r>
      <w:r>
        <w:rPr>
          <w:noProof/>
        </w:rPr>
        <w:t xml:space="preserve"> Комисията отложи датата на прилагане на системата REX от ОСТ до 1 януари 2020 г.</w:t>
      </w:r>
    </w:p>
    <w:p>
      <w:pPr>
        <w:pStyle w:val="ManualConsidrant"/>
        <w:rPr>
          <w:noProof/>
        </w:rPr>
      </w:pPr>
      <w:r>
        <w:t>(4)</w:t>
      </w:r>
      <w:r>
        <w:tab/>
      </w:r>
      <w:r>
        <w:rPr>
          <w:noProof/>
        </w:rPr>
        <w:t>Регламент (ЕС) № 952/2013 на Европейския парламент и на Съвета</w:t>
      </w:r>
      <w:r>
        <w:rPr>
          <w:rStyle w:val="FootnoteReference"/>
          <w:noProof/>
        </w:rPr>
        <w:footnoteReference w:id="10"/>
      </w:r>
      <w:r>
        <w:rPr>
          <w:noProof/>
        </w:rPr>
        <w:t>, който създаде Митнически кодекс на Съюза, отмени Регламент (ЕИО) № 2913/92</w:t>
      </w:r>
      <w:r>
        <w:rPr>
          <w:rStyle w:val="FootnoteReference"/>
          <w:noProof/>
        </w:rPr>
        <w:footnoteReference w:id="11"/>
      </w:r>
      <w:r>
        <w:rPr>
          <w:noProof/>
        </w:rPr>
        <w:t>.</w:t>
      </w:r>
    </w:p>
    <w:p>
      <w:pPr>
        <w:pStyle w:val="ManualConsidrant"/>
        <w:rPr>
          <w:noProof/>
        </w:rPr>
      </w:pPr>
      <w:r>
        <w:t>(5)</w:t>
      </w:r>
      <w:r>
        <w:tab/>
      </w:r>
      <w:r>
        <w:rPr>
          <w:noProof/>
        </w:rPr>
        <w:t>Свързаните със системата за регистрирани износители (REX) разпоредби в правилата за произход на Общата система за преференции („ОСП“), , създадена с Регламент (ЕИО) № 2454/93</w:t>
      </w:r>
      <w:r>
        <w:rPr>
          <w:rStyle w:val="FootnoteReference"/>
          <w:noProof/>
        </w:rPr>
        <w:footnoteReference w:id="12"/>
      </w:r>
      <w:r>
        <w:rPr>
          <w:noProof/>
        </w:rPr>
        <w:t>, който съдържа разпоредби за прилагането на Регламент (ЕИО) № 2913/92 на Съвета, бяха изменени с Регламент за изпълнение (ЕС) 2015/428 на Комисията</w:t>
      </w:r>
      <w:r>
        <w:rPr>
          <w:rStyle w:val="FootnoteReference"/>
          <w:noProof/>
        </w:rPr>
        <w:footnoteReference w:id="13"/>
      </w:r>
      <w:r>
        <w:rPr>
          <w:noProof/>
        </w:rPr>
        <w:t>.</w:t>
      </w:r>
    </w:p>
    <w:p>
      <w:pPr>
        <w:pStyle w:val="ManualConsidrant"/>
        <w:rPr>
          <w:noProof/>
        </w:rPr>
      </w:pPr>
      <w:r>
        <w:t>(6)</w:t>
      </w:r>
      <w:r>
        <w:tab/>
      </w:r>
      <w:r>
        <w:rPr>
          <w:noProof/>
        </w:rPr>
        <w:t>Регламент (ЕС) 2016/481</w:t>
      </w:r>
      <w:r>
        <w:rPr>
          <w:rStyle w:val="FootnoteReference"/>
          <w:noProof/>
        </w:rPr>
        <w:footnoteReference w:id="14"/>
      </w:r>
      <w:r>
        <w:rPr>
          <w:noProof/>
        </w:rPr>
        <w:t xml:space="preserve"> впоследствие отменени Регламент (ЕИО) № 2454/93. </w:t>
      </w:r>
    </w:p>
    <w:p>
      <w:pPr>
        <w:pStyle w:val="ManualConsidrant"/>
        <w:rPr>
          <w:noProof/>
          <w:szCs w:val="24"/>
        </w:rPr>
      </w:pPr>
      <w:r>
        <w:t>(7)</w:t>
      </w:r>
      <w:r>
        <w:tab/>
      </w:r>
      <w:r>
        <w:rPr>
          <w:noProof/>
        </w:rPr>
        <w:t>Поради това Регламент за изпълнение (ЕС) 2015/2447 на Комисията</w:t>
      </w:r>
      <w:r>
        <w:rPr>
          <w:rStyle w:val="FootnoteReference"/>
          <w:noProof/>
        </w:rPr>
        <w:footnoteReference w:id="15"/>
      </w:r>
      <w:r>
        <w:rPr>
          <w:noProof/>
        </w:rPr>
        <w:t xml:space="preserve">, с който се определят всички общи правила за прилагането на Регламент (ЕС) № 952/2013, включи в Общата система за преференции („ОСП“).изменените разпоредби на системата REX, определени с Регламент (ЕС) 2015/428, </w:t>
      </w:r>
    </w:p>
    <w:p>
      <w:pPr>
        <w:pStyle w:val="ManualConsidrant"/>
        <w:rPr>
          <w:noProof/>
        </w:rPr>
      </w:pPr>
      <w:r>
        <w:t>(8)</w:t>
      </w:r>
      <w:r>
        <w:tab/>
      </w:r>
      <w:r>
        <w:rPr>
          <w:noProof/>
        </w:rPr>
        <w:t>Тъй като повечето от общите правила за прилагането на Митническия кодекс на Съюза се отнасят до системата REX, е необходимо да се направят съответните изменения в приложение VI към Решение 2013/755/ЕС.</w:t>
      </w:r>
      <w:r>
        <w:rPr>
          <w:noProof/>
          <w:color w:val="000000"/>
          <w:szCs w:val="24"/>
        </w:rPr>
        <w:t xml:space="preserve"> Посоченото приложение следва да бъде изменено, за да могат неговите разпоредби относно системата REX да се приведат в съответствие с разпоредбите относно системата REX, установени в Регламент (ЕС) 2015/2447, </w:t>
      </w:r>
    </w:p>
    <w:p>
      <w:pPr>
        <w:pStyle w:val="Formuledadoption"/>
        <w:rPr>
          <w:noProof/>
        </w:rPr>
      </w:pPr>
      <w:r>
        <w:rPr>
          <w:noProof/>
        </w:rPr>
        <w:t xml:space="preserve">ПРИЕ НАСТОЯЩОТО РЕШЕНИЕ: </w:t>
      </w:r>
    </w:p>
    <w:p>
      <w:pPr>
        <w:pStyle w:val="Titrearticle"/>
        <w:rPr>
          <w:b/>
          <w:i w:val="0"/>
          <w:noProof/>
        </w:rPr>
      </w:pPr>
      <w:r>
        <w:rPr>
          <w:noProof/>
        </w:rPr>
        <w:t>Член 1</w:t>
      </w:r>
      <w:r>
        <w:rPr>
          <w:noProof/>
        </w:rPr>
        <w:br/>
      </w:r>
      <w:r>
        <w:rPr>
          <w:b/>
          <w:i w:val="0"/>
          <w:noProof/>
        </w:rPr>
        <w:t>Изменение на Решение на Съвета 2013/755/ЕС</w:t>
      </w:r>
    </w:p>
    <w:p>
      <w:pPr>
        <w:rPr>
          <w:noProof/>
        </w:rPr>
      </w:pPr>
      <w:r>
        <w:rPr>
          <w:noProof/>
        </w:rPr>
        <w:t>Приложение VI към Решение 2013/755/ЕС се заменя с текста на приложението към настоящото решение.</w:t>
      </w:r>
    </w:p>
    <w:p>
      <w:pPr>
        <w:pStyle w:val="Titrearticle"/>
        <w:keepNext w:val="0"/>
        <w:rPr>
          <w:b/>
          <w:i w:val="0"/>
          <w:noProof/>
        </w:rPr>
      </w:pPr>
      <w:r>
        <w:rPr>
          <w:noProof/>
        </w:rPr>
        <w:t>Член 2</w:t>
      </w:r>
      <w:r>
        <w:rPr>
          <w:noProof/>
        </w:rPr>
        <w:br/>
      </w:r>
      <w:r>
        <w:rPr>
          <w:b/>
          <w:i w:val="0"/>
          <w:noProof/>
        </w:rPr>
        <w:t>Влизане в сила</w:t>
      </w:r>
    </w:p>
    <w:p>
      <w:pPr>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keepNext/>
        <w:keepLines/>
        <w:rPr>
          <w:noProof/>
        </w:rPr>
      </w:pPr>
      <w:r>
        <w:rPr>
          <w:noProof/>
        </w:rPr>
        <w:t>То се прилага от 1 януари 2020 г.</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2">
    <w:p>
      <w:pPr>
        <w:pStyle w:val="FootnoteText"/>
      </w:pPr>
      <w:r>
        <w:rPr>
          <w:rStyle w:val="FootnoteReference"/>
        </w:rPr>
        <w:footnoteRef/>
      </w:r>
      <w:r>
        <w:tab/>
        <w:t xml:space="preserve">Вж. приложение II към ДФЕС. </w:t>
      </w:r>
    </w:p>
  </w:footnote>
  <w:footnote w:id="3">
    <w:p>
      <w:pPr>
        <w:pStyle w:val="FootnoteText"/>
      </w:pPr>
      <w:r>
        <w:rPr>
          <w:rStyle w:val="FootnoteReference"/>
        </w:rPr>
        <w:footnoteRef/>
      </w:r>
      <w:r>
        <w:tab/>
        <w:t>Решение за изпълнение (ЕС) 2016/2093 на Комисията от 29 ноември 2016 година за дерогация по отношение на датата на прилагане на системата за регистрирани износители за износа от отвъдморските страни и територии, C/2016/7606, OВ L 324, 30.11.2016, стр. 18.</w:t>
      </w:r>
    </w:p>
  </w:footnote>
  <w:footnote w:id="4">
    <w:p>
      <w:pPr>
        <w:pStyle w:val="FootnoteText"/>
      </w:pPr>
      <w:r>
        <w:rPr>
          <w:rStyle w:val="FootnoteReference"/>
        </w:rPr>
        <w:footnoteRef/>
      </w:r>
      <w:r>
        <w:tab/>
        <w:t>Регламент за изпълнение (ЕС) 2015/428 на Комисията от 10 март 2015 г. за изменение на Регламент (ЕИО) № 2454/93 и Регламент (ЕС) № 1063/2010 по отношение на правилата за произход, отнасящи се до схемата от общи тарифни преференции и преференциални тарифни мерки за определени държави или територии (ОВ L 70, 14.3.2015 г., стр. 12).</w:t>
      </w:r>
    </w:p>
  </w:footnote>
  <w:footnote w:id="5">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6">
    <w:p>
      <w:pPr>
        <w:pStyle w:val="FootnoteText"/>
      </w:pPr>
      <w:r>
        <w:rPr>
          <w:rStyle w:val="FootnoteReference"/>
        </w:rPr>
        <w:footnoteRef/>
      </w:r>
      <w:r>
        <w:tab/>
      </w:r>
      <w:r>
        <w:rPr>
          <w:color w:val="000000"/>
          <w:u w:color="000000"/>
          <w:bdr w:val="nil"/>
        </w:rPr>
        <w:t>ОВ L 344, 19.12.2013 г., стр. 1.</w:t>
      </w:r>
    </w:p>
  </w:footnote>
  <w:footnote w:id="7">
    <w:p>
      <w:pPr>
        <w:pStyle w:val="FootnoteText"/>
      </w:pPr>
      <w:r>
        <w:rPr>
          <w:rStyle w:val="FootnoteReference"/>
        </w:rPr>
        <w:footnoteRef/>
      </w:r>
      <w:r>
        <w:tab/>
      </w:r>
      <w:r>
        <w:rPr>
          <w:color w:val="000000"/>
          <w:u w:color="000000"/>
          <w:bdr w:val="nil"/>
        </w:rPr>
        <w:t>ОВ L 76, 15.3.2014 г., стр. 1.</w:t>
      </w:r>
    </w:p>
  </w:footnote>
  <w:footnote w:id="8">
    <w:p>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(ОВ L 344, 19.12.2013 г., стр. 1).</w:t>
      </w:r>
    </w:p>
  </w:footnote>
  <w:footnote w:id="9">
    <w:p>
      <w:pPr>
        <w:pStyle w:val="FootnoteText"/>
      </w:pPr>
      <w:r>
        <w:rPr>
          <w:rStyle w:val="FootnoteReference"/>
        </w:rPr>
        <w:footnoteRef/>
      </w:r>
      <w:r>
        <w:tab/>
        <w:t>Решение за изпълнение (ЕС) 2016/2093 на Комисията от 29 ноември 2016 г. за дерогация по отношение на датата на прилагане на системата за регистрирани износители за износа от отвъдморските страни и територии (OВ L 324, 30.11.2016, стр. 18).</w:t>
      </w:r>
    </w:p>
  </w:footnote>
  <w:footnote w:id="10">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11">
    <w:p>
      <w:pPr>
        <w:pStyle w:val="FootnoteText"/>
      </w:pPr>
      <w:r>
        <w:rPr>
          <w:rStyle w:val="FootnoteReference"/>
        </w:rPr>
        <w:footnoteRef/>
      </w:r>
      <w:r>
        <w:tab/>
        <w:t>Регламент (ЕИО) № 2913/92 на Съвета от 12 октомври 1992 г. относно създаване на Митнически кодекс на Общността (ОВ L 302, 19.10.1992 г., стр. 1).</w:t>
      </w:r>
    </w:p>
  </w:footnote>
  <w:footnote w:id="12">
    <w:p>
      <w:pPr>
        <w:pStyle w:val="FootnoteText"/>
      </w:pPr>
      <w:r>
        <w:rPr>
          <w:rStyle w:val="FootnoteReference"/>
        </w:rPr>
        <w:footnoteRef/>
      </w:r>
      <w:r>
        <w:tab/>
        <w:t>Регламент (ЕИО) № 2454/93 на Комисията от 2 юли 1993 г. за определяне на разпоредби за прилагане на Регламент (ЕИО) № 2913/92 на Съвета за създаване на Митнически кодекс на Общността (ОВ L 253, 11.10.1993 г., стр. 1).</w:t>
      </w:r>
    </w:p>
  </w:footnote>
  <w:footnote w:id="13">
    <w:p>
      <w:pPr>
        <w:pStyle w:val="FootnoteText"/>
      </w:pPr>
      <w:r>
        <w:rPr>
          <w:rStyle w:val="FootnoteReference"/>
        </w:rPr>
        <w:footnoteRef/>
      </w:r>
      <w:r>
        <w:tab/>
        <w:t>Регламент за изпълнение (ЕС) 2015/428 на Комисията от 10 март 2015 г. за изменение на Регламент (ЕИО) № 2454/93 и Регламент (ЕС) № 1063/2010 по отношение на правилата за произход, отнасящи се до схемата от общи тарифни преференции и преференциални тарифни мерки за определени държави или територии (ОВ L 70, 14.3.2015 г., стр. 12).</w:t>
      </w:r>
    </w:p>
  </w:footnote>
  <w:footnote w:id="14">
    <w:p>
      <w:pPr>
        <w:pStyle w:val="FootnoteText"/>
      </w:pPr>
      <w:r>
        <w:rPr>
          <w:rStyle w:val="FootnoteReference"/>
        </w:rPr>
        <w:footnoteRef/>
      </w:r>
      <w:r>
        <w:tab/>
      </w:r>
      <w:r>
        <w:rPr>
          <w:spacing w:val="-4"/>
        </w:rPr>
        <w:t>Регламент за изпълнение (ЕС) 2016/481 на Комисията от 1 април 2016 г. за отмяна на Регламент (ЕИО) № 2454/93 на Комисията за определяне на разпоредби за прилагане на Регламент (ЕИО) № 2913/92 на Съвета за създаване на Митнически кодекс на Общността (ОВ L 87, 2.4.2016 г., стр. 24).</w:t>
      </w:r>
    </w:p>
  </w:footnote>
  <w:footnote w:id="15">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0A2D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C6DC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9202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C83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2F1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E6CE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E2296C"/>
    <w:lvl w:ilvl="0">
      <w:start w:val="1"/>
      <w:numFmt w:val="decimal"/>
      <w:pStyle w:val="ListNumber"/>
      <w:lvlText w:val="%1."/>
      <w:lvlJc w:val="left"/>
      <w:pPr>
        <w:tabs>
          <w:tab w:val="num" w:pos="360"/>
        </w:tabs>
        <w:ind w:left="360" w:hanging="360"/>
      </w:pPr>
    </w:lvl>
  </w:abstractNum>
  <w:abstractNum w:abstractNumId="7">
    <w:nsid w:val="FFFFFF89"/>
    <w:multiLevelType w:val="singleLevel"/>
    <w:tmpl w:val="BC0208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6 08:54: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DFFA54-3D52-4F86-9705-AFDAA72D86D2"/>
    <w:docVar w:name="LW_COVERPAGE_TYPE" w:val="1"/>
    <w:docVar w:name="LW_CROSSREFERENCE" w:val="&lt;UNUSED&gt;"/>
    <w:docVar w:name="LW_DocType" w:val="COM"/>
    <w:docVar w:name="LW_EMISSION" w:val="2.8.2019"/>
    <w:docVar w:name="LW_EMISSION_ISODATE" w:val="2019-08-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62"/>
    <w:docVar w:name="LW_REF.II.NEW.CP_YEAR" w:val="2019"/>
    <w:docVar w:name="LW_REF.INST.NEW" w:val="COM"/>
    <w:docVar w:name="LW_REF.INST.NEW_ADOPTED" w:val="final"/>
    <w:docVar w:name="LW_REF.INST.NEW_TEXT" w:val="(2019)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85?\u1072? \u1057?\u1098?\u1074?\u1077?\u1090?\u1072? 2013/755/\u1045?\u1057? \u1086?\u1090? 25 \u1085?\u1086?\u1077?\u1084?\u1074?\u1088?\u1080? 2013 \u1075?\u1086?\u1076?\u1080?\u1085?\u1072? \u1079?\u1072? \u1072?\u1089?\u1086?\u1094?\u1080?\u1080?\u1088?\u1072?\u1085?\u1077? \u1085?\u1072? \u1086?\u1090?\u1074?\u1098?\u1076?\u1084?\u1086?\u1088?\u1089?\u1082?\u1080?\u1090?\u1077? \u1089?\u1090?\u1088?\u1072?\u1085?\u1080? \u1080? \u1090?\u1077?\u1088?\u1080?\u1090?\u1086?\u1088?\u1080?\u1080? \u1082?\u1098?\u1084? \u1045?\u1074?\u1088?\u1086?\u1087?\u1077?\u1081?\u1089?\u1082?\u1080?\u1103? \u1089?\u1098?\u1102?\u1079? (\u8222?\u1056?\u1077?\u1096?\u1077?\u1085?\u1080?\u1077? \u1079?\u1072? \u1086?\u1090?\u1074?\u1098?\u1076?\u1084?\u1086?\u1088?\u1089?\u1082?\u1086? \u1072?\u1089?\u1086?\u1094?\u1080?\u1080?\u1088?\u1072?\u1085?\u1077?\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CM1">
    <w:name w:val="CM1"/>
    <w:basedOn w:val="Normal"/>
    <w:uiPriority w:val="99"/>
    <w:pPr>
      <w:autoSpaceDE w:val="0"/>
      <w:autoSpaceDN w:val="0"/>
      <w:spacing w:before="0" w:after="0"/>
      <w:jc w:val="left"/>
    </w:pPr>
    <w:rPr>
      <w:rFonts w:ascii="EUAlbertina" w:hAnsi="EUAlbertina"/>
      <w:szCs w:val="24"/>
      <w:lang w:eastAsia="en-GB"/>
    </w:rPr>
  </w:style>
  <w:style w:type="paragraph" w:customStyle="1" w:styleId="Footnote">
    <w:name w:val="Footnote"/>
    <w:basedOn w:val="Normal"/>
    <w:rPr>
      <w:rFonts w:eastAsia="Times New Roman"/>
      <w:noProof/>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CM1">
    <w:name w:val="CM1"/>
    <w:basedOn w:val="Normal"/>
    <w:uiPriority w:val="99"/>
    <w:pPr>
      <w:autoSpaceDE w:val="0"/>
      <w:autoSpaceDN w:val="0"/>
      <w:spacing w:before="0" w:after="0"/>
      <w:jc w:val="left"/>
    </w:pPr>
    <w:rPr>
      <w:rFonts w:ascii="EUAlbertina" w:hAnsi="EUAlbertina"/>
      <w:szCs w:val="24"/>
      <w:lang w:eastAsia="en-GB"/>
    </w:rPr>
  </w:style>
  <w:style w:type="paragraph" w:customStyle="1" w:styleId="Footnote">
    <w:name w:val="Footnote"/>
    <w:basedOn w:val="Normal"/>
    <w:rPr>
      <w:rFonts w:eastAsia="Times New Roman"/>
      <w:noProof/>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7757">
      <w:bodyDiv w:val="1"/>
      <w:marLeft w:val="0"/>
      <w:marRight w:val="0"/>
      <w:marTop w:val="0"/>
      <w:marBottom w:val="0"/>
      <w:divBdr>
        <w:top w:val="none" w:sz="0" w:space="0" w:color="auto"/>
        <w:left w:val="none" w:sz="0" w:space="0" w:color="auto"/>
        <w:bottom w:val="none" w:sz="0" w:space="0" w:color="auto"/>
        <w:right w:val="none" w:sz="0" w:space="0" w:color="auto"/>
      </w:divBdr>
    </w:div>
    <w:div w:id="9207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571439-F5CB-472B-B2FE-21E78974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2245</Words>
  <Characters>12440</Characters>
  <Application>Microsoft Office Word</Application>
  <DocSecurity>0</DocSecurity>
  <Lines>243</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2019-05-16T12:10:00Z</cp:lastPrinted>
  <dcterms:created xsi:type="dcterms:W3CDTF">2019-06-25T07:10:00Z</dcterms:created>
  <dcterms:modified xsi:type="dcterms:W3CDTF">2019-07-26T06:54:00Z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