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579" w:rsidRDefault="000B1D15" w:rsidP="000B1D15">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518A6A97-EACE-48C7-9FFF-9B891A8BEFA5" style="width:451pt;height:365.55pt">
            <v:imagedata r:id="rId8" o:title=""/>
          </v:shape>
        </w:pict>
      </w:r>
    </w:p>
    <w:p w:rsidR="00653579" w:rsidRDefault="00653579">
      <w:pPr>
        <w:rPr>
          <w:noProof/>
        </w:rPr>
        <w:sectPr w:rsidR="00653579" w:rsidSect="000B1D15">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653579" w:rsidRDefault="000B1D15">
      <w:pPr>
        <w:pStyle w:val="Typedudocument"/>
        <w:rPr>
          <w:noProof/>
        </w:rPr>
      </w:pPr>
      <w:r>
        <w:rPr>
          <w:noProof/>
        </w:rPr>
        <w:lastRenderedPageBreak/>
        <w:t>ПРЕПОРЪКА НА КОМИСИЯТА</w:t>
      </w:r>
    </w:p>
    <w:p w:rsidR="00653579" w:rsidRDefault="000B1D15" w:rsidP="000B1D15">
      <w:pPr>
        <w:pStyle w:val="Datedadoption"/>
        <w:rPr>
          <w:noProof/>
        </w:rPr>
      </w:pPr>
      <w:r w:rsidRPr="000B1D15">
        <w:t>от 18.6.2019 година</w:t>
      </w:r>
    </w:p>
    <w:p w:rsidR="00653579" w:rsidRDefault="000B1D15">
      <w:pPr>
        <w:pStyle w:val="Titreobjet"/>
        <w:rPr>
          <w:noProof/>
        </w:rPr>
      </w:pPr>
      <w:r>
        <w:rPr>
          <w:noProof/>
        </w:rPr>
        <w:t>п</w:t>
      </w:r>
      <w:r>
        <w:rPr>
          <w:noProof/>
        </w:rPr>
        <w:t xml:space="preserve">о проекта на интегриран национален план в областта на енергетиката и климата на Испания за периода </w:t>
      </w:r>
      <w:r>
        <w:rPr>
          <w:noProof/>
        </w:rPr>
        <w:t>2021—2030 година</w:t>
      </w:r>
      <w:r>
        <w:rPr>
          <w:noProof/>
        </w:rPr>
        <w:br/>
      </w:r>
    </w:p>
    <w:p w:rsidR="00653579" w:rsidRDefault="000B1D15">
      <w:pPr>
        <w:pStyle w:val="Institutionquiagit"/>
        <w:rPr>
          <w:noProof/>
        </w:rPr>
      </w:pPr>
      <w:r>
        <w:rPr>
          <w:noProof/>
        </w:rPr>
        <w:t>ЕВРОПЕЙСКАТА КОМИСИЯ,</w:t>
      </w:r>
    </w:p>
    <w:p w:rsidR="00653579" w:rsidRDefault="000B1D15">
      <w:pPr>
        <w:rPr>
          <w:noProof/>
        </w:rPr>
      </w:pPr>
      <w:r>
        <w:rPr>
          <w:noProof/>
        </w:rPr>
        <w:t>като взе предвид Регламент (ЕС) 2018/1999 на Европейския парламент и на Съвета от 11 декември 2018 г. относно управлението на Енергийния съюз и на действията в областта на климата, за изменение на регламенти (ЕО) № 6</w:t>
      </w:r>
      <w:r>
        <w:rPr>
          <w:noProof/>
        </w:rPr>
        <w:t>63/2009 и (ЕО) № 715/2009 на Европейския парламент и на Съвета, директиви 94/22/ЕО, 98/70/ЕО, 2009/31/ЕО, 2009/73/ЕО, 2010/31/ЕС, 2012/27/ЕС и 2013/30/ЕС на Европейския парламент и на Съвета, директиви 2009/119/ЕО и (ЕС) 2015/652 на Съвета и за отмяна на Р</w:t>
      </w:r>
      <w:r>
        <w:rPr>
          <w:noProof/>
        </w:rPr>
        <w:t>егламент (ЕС) № 525/2013 на Европейския парламент и на Съвета</w:t>
      </w:r>
      <w:r>
        <w:rPr>
          <w:rStyle w:val="FootnoteReference"/>
          <w:noProof/>
        </w:rPr>
        <w:footnoteReference w:id="2"/>
      </w:r>
      <w:r>
        <w:rPr>
          <w:noProof/>
        </w:rPr>
        <w:t>, и по-специално член 9, параграф 2 от него,</w:t>
      </w:r>
    </w:p>
    <w:p w:rsidR="00653579" w:rsidRDefault="000B1D15">
      <w:pPr>
        <w:rPr>
          <w:noProof/>
        </w:rPr>
      </w:pPr>
      <w:r>
        <w:rPr>
          <w:noProof/>
        </w:rPr>
        <w:t>като има предвид, че:</w:t>
      </w:r>
    </w:p>
    <w:p w:rsidR="00653579" w:rsidRDefault="000B1D15">
      <w:pPr>
        <w:pStyle w:val="ManualConsidrant"/>
        <w:rPr>
          <w:noProof/>
        </w:rPr>
      </w:pPr>
      <w:r>
        <w:rPr>
          <w:noProof/>
        </w:rPr>
        <w:t>(1)</w:t>
      </w:r>
      <w:r>
        <w:rPr>
          <w:noProof/>
        </w:rPr>
        <w:tab/>
        <w:t>По силата на Регламент (ЕС) 2018/1999 всяка държава членка трябва да представи на Комисията проект на интегриран национален</w:t>
      </w:r>
      <w:r>
        <w:rPr>
          <w:noProof/>
        </w:rPr>
        <w:t xml:space="preserve"> план в областта на енергетиката и климата, обхващащ периода от 2021 г. до 2030 г., съгласно член 3, параграф 1 и приложение І към посочения регламент. Първите проекти на интегрирани национални планове в областта на енергетиката и климата трябваше да бъдат</w:t>
      </w:r>
      <w:r>
        <w:rPr>
          <w:noProof/>
        </w:rPr>
        <w:t xml:space="preserve"> представени до 31 декември 2018 г.</w:t>
      </w:r>
    </w:p>
    <w:p w:rsidR="00653579" w:rsidRDefault="000B1D15">
      <w:pPr>
        <w:pStyle w:val="ManualConsidrant"/>
        <w:rPr>
          <w:noProof/>
        </w:rPr>
      </w:pPr>
      <w:r>
        <w:rPr>
          <w:noProof/>
        </w:rPr>
        <w:t>(2)</w:t>
      </w:r>
      <w:r>
        <w:rPr>
          <w:noProof/>
        </w:rPr>
        <w:tab/>
        <w:t>Испания представи своя проект на интегриран национален план в областта на енергетиката и климата на 22 февруари 2019 г. Представянето на този проектоплан представлява основата и първа стъпка от постепенния процес меж</w:t>
      </w:r>
      <w:r>
        <w:rPr>
          <w:noProof/>
        </w:rPr>
        <w:t>ду Комисията и държавите членки с цел приключване на интегрираните национални планове в областта на енергетиката и климата и тяхното последващо изпълнение.</w:t>
      </w:r>
    </w:p>
    <w:p w:rsidR="00653579" w:rsidRDefault="000B1D15">
      <w:pPr>
        <w:pStyle w:val="ManualConsidrant"/>
        <w:rPr>
          <w:noProof/>
        </w:rPr>
      </w:pPr>
      <w:r>
        <w:rPr>
          <w:noProof/>
        </w:rPr>
        <w:t>(3)</w:t>
      </w:r>
      <w:r>
        <w:rPr>
          <w:noProof/>
        </w:rPr>
        <w:tab/>
        <w:t xml:space="preserve">По силата на Регламент (ЕС) 2018/1999 от Комисията се изисква да оцени проектите на интегрирани </w:t>
      </w:r>
      <w:r>
        <w:rPr>
          <w:noProof/>
        </w:rPr>
        <w:t>национални планове в областта на енергетиката и климата. Комисията извърши цялостна оценка на проекта на интегриран национален план в областта на енергетиката и климата на Испания, като взе предвид относимите елементи от Регламент (ЕС) 2018/1999. Тази оцен</w:t>
      </w:r>
      <w:r>
        <w:rPr>
          <w:noProof/>
        </w:rPr>
        <w:t>ка</w:t>
      </w:r>
      <w:r>
        <w:rPr>
          <w:rStyle w:val="FootnoteReference"/>
          <w:noProof/>
        </w:rPr>
        <w:footnoteReference w:id="3"/>
      </w:r>
      <w:r>
        <w:rPr>
          <w:noProof/>
        </w:rPr>
        <w:t xml:space="preserve"> се публикува заедно с настоящата препоръка. Представените по-долу препоръки са съставени въз основа на споменатата оценка.</w:t>
      </w:r>
    </w:p>
    <w:p w:rsidR="00653579" w:rsidRDefault="000B1D15">
      <w:pPr>
        <w:pStyle w:val="ManualConsidrant"/>
        <w:rPr>
          <w:noProof/>
        </w:rPr>
      </w:pPr>
      <w:r>
        <w:rPr>
          <w:noProof/>
        </w:rPr>
        <w:t>(4)</w:t>
      </w:r>
      <w:r>
        <w:rPr>
          <w:noProof/>
        </w:rPr>
        <w:tab/>
        <w:t xml:space="preserve">В частност, препоръките на Комисията могат да се отнасят до: i) равнището на амбициозност на общите цели, конкретните цели и </w:t>
      </w:r>
      <w:r>
        <w:rPr>
          <w:noProof/>
        </w:rPr>
        <w:t xml:space="preserve">приноса с оглед на колективното постигане на общите цели на Енергийния съюз, и по-специално на конкретните цели на Съюза за 2030 г. относно енергията от възобновяеми източници и енергийната ефективност, както и степента на електрическа </w:t>
      </w:r>
      <w:r>
        <w:rPr>
          <w:noProof/>
        </w:rPr>
        <w:lastRenderedPageBreak/>
        <w:t>взаимосвързаност, ко</w:t>
      </w:r>
      <w:r>
        <w:rPr>
          <w:noProof/>
        </w:rPr>
        <w:t>ето държавата членка си е поставила като цел за 2030 г.; ii) политиките и мерките, отнасящи се до общите цели на равнището на Съюза и на държавите членки, и други политики и мерки с възможно презгранично значение; iii) всякакви допълнителни политики и мерк</w:t>
      </w:r>
      <w:r>
        <w:rPr>
          <w:noProof/>
        </w:rPr>
        <w:t>и, които могат да са необходими в интегрираните национални планове в областта на енергетиката и климата; iv) взаимодействията между и последователността на съществуващите и планираните политики и мерки, включени в интегрираните национални планове в областт</w:t>
      </w:r>
      <w:r>
        <w:rPr>
          <w:noProof/>
        </w:rPr>
        <w:t>а на енергетиката и климата в рамките на едно измерение, както и между различните измерения на Енергийния съюз.</w:t>
      </w:r>
    </w:p>
    <w:p w:rsidR="00653579" w:rsidRDefault="000B1D15">
      <w:pPr>
        <w:pStyle w:val="ManualConsidrant"/>
        <w:rPr>
          <w:noProof/>
        </w:rPr>
      </w:pPr>
      <w:r>
        <w:rPr>
          <w:noProof/>
        </w:rPr>
        <w:t>(5)</w:t>
      </w:r>
      <w:r>
        <w:rPr>
          <w:noProof/>
        </w:rPr>
        <w:tab/>
      </w:r>
      <w:r>
        <w:rPr>
          <w:noProof/>
        </w:rPr>
        <w:t xml:space="preserve">При съставянето на препоръките Комисията взе предвид, от една страна, необходимостта да събере определен количествен планиран принос от всички държави членки, за да прецени равнището на амбициозност на равнище Съюз, и от друга страна, необходимостта да се </w:t>
      </w:r>
      <w:r>
        <w:rPr>
          <w:noProof/>
        </w:rPr>
        <w:t xml:space="preserve">даде достатъчно време на съответната държава членка да отдели нужното внимание на препоръките на Комисията преди окончателното оформяне на националния план. </w:t>
      </w:r>
    </w:p>
    <w:p w:rsidR="00653579" w:rsidRDefault="000B1D15">
      <w:pPr>
        <w:pStyle w:val="ManualConsidrant"/>
        <w:rPr>
          <w:noProof/>
        </w:rPr>
      </w:pPr>
      <w:r>
        <w:rPr>
          <w:noProof/>
        </w:rPr>
        <w:t>(6)</w:t>
      </w:r>
      <w:r>
        <w:rPr>
          <w:noProof/>
        </w:rPr>
        <w:tab/>
        <w:t>Препоръките на Комисията по отношение на амбициите на държавите членки в областта на възобновя</w:t>
      </w:r>
      <w:r>
        <w:rPr>
          <w:noProof/>
        </w:rPr>
        <w:t xml:space="preserve">емата енергия следва да се основават на формула, определена в приложение ІІ към Регламент (ЕС) 2018/1999, която се основава на обективни критерии. </w:t>
      </w:r>
    </w:p>
    <w:p w:rsidR="00653579" w:rsidRDefault="000B1D15">
      <w:pPr>
        <w:pStyle w:val="ManualConsidrant"/>
        <w:rPr>
          <w:noProof/>
        </w:rPr>
      </w:pPr>
      <w:r>
        <w:rPr>
          <w:noProof/>
        </w:rPr>
        <w:t>(7)</w:t>
      </w:r>
      <w:r>
        <w:rPr>
          <w:noProof/>
        </w:rPr>
        <w:tab/>
        <w:t>По отношение на енергийната ефективност препоръките на Комисията се основават на оценката на националнот</w:t>
      </w:r>
      <w:r>
        <w:rPr>
          <w:noProof/>
        </w:rPr>
        <w:t>о равнище на амбициозност, предвидено в проекта на интегриран национален план в областта на енергетиката и климата, в сравнение с колективното равнище на усилията, което е необходимо за постигане на конкретните цели на Съюза, като в съответните случаи се в</w:t>
      </w:r>
      <w:r>
        <w:rPr>
          <w:noProof/>
        </w:rPr>
        <w:t>зема предвид представената информация за особените национални обстоятелства. Крайният национален принос в областта на енергийната ефективност следва да отразява потенциала за ефективни спрямо разходите икономии на енергия и да бъде подкрепен от надеждна дъ</w:t>
      </w:r>
      <w:r>
        <w:rPr>
          <w:noProof/>
        </w:rPr>
        <w:t>лгосрочна стратегия за саниране на сградите и от мерки за изпълнение на задължението за икономия на енергия, произтичащо от член 7 от Директива 2012/27/ЕС на Европейския парламент и на Съвета</w:t>
      </w:r>
      <w:r>
        <w:rPr>
          <w:rStyle w:val="FootnoteReference"/>
          <w:noProof/>
        </w:rPr>
        <w:footnoteReference w:id="4"/>
      </w:r>
      <w:r>
        <w:rPr>
          <w:noProof/>
        </w:rPr>
        <w:t>. Държавите членки следва също така да покажат, че правилно са о</w:t>
      </w:r>
      <w:r>
        <w:rPr>
          <w:noProof/>
        </w:rPr>
        <w:t>тчели принципа за поставяне на енергийната ефективност на първо място, а именно като обяснят по какъв начин енергийната ефективност допринася за ефективното спрямо разходите постигане на националните цели за конкурентоспособна нисковъглеродна икономика, си</w:t>
      </w:r>
      <w:r>
        <w:rPr>
          <w:noProof/>
        </w:rPr>
        <w:t xml:space="preserve">гурност на енергийните доставки и реагиране на енергийната бедност. </w:t>
      </w:r>
    </w:p>
    <w:p w:rsidR="00653579" w:rsidRDefault="000B1D15">
      <w:pPr>
        <w:pStyle w:val="ManualConsidrant"/>
        <w:rPr>
          <w:noProof/>
        </w:rPr>
      </w:pPr>
      <w:r>
        <w:rPr>
          <w:noProof/>
        </w:rPr>
        <w:t>(8)</w:t>
      </w:r>
      <w:r>
        <w:rPr>
          <w:noProof/>
        </w:rPr>
        <w:tab/>
        <w:t>Съгласно Регламента за управлението държавите членки трябва да представят общ преглед на инвестициите, необходими за постигане на общите цели, конкретните цели и приноса, определени в</w:t>
      </w:r>
      <w:r>
        <w:rPr>
          <w:noProof/>
        </w:rPr>
        <w:t xml:space="preserve"> интегрирания национален план в областта на енергетиката и климата, както и обща оценка на източниците на тези инвестиции. Националните планове в областта на енергетиката и климата следва да осигуряват прозрачност и предсказуемост на националните политики </w:t>
      </w:r>
      <w:r>
        <w:rPr>
          <w:noProof/>
        </w:rPr>
        <w:t xml:space="preserve">и мерки, за да бъде обезпечена сигурността на инвестициите. </w:t>
      </w:r>
    </w:p>
    <w:p w:rsidR="00653579" w:rsidRDefault="000B1D15">
      <w:pPr>
        <w:pStyle w:val="ManualConsidrant"/>
        <w:rPr>
          <w:rFonts w:eastAsia="Times New Roman"/>
          <w:noProof/>
          <w:szCs w:val="24"/>
        </w:rPr>
      </w:pPr>
      <w:r>
        <w:rPr>
          <w:noProof/>
        </w:rPr>
        <w:lastRenderedPageBreak/>
        <w:t>(9)</w:t>
      </w:r>
      <w:r>
        <w:rPr>
          <w:noProof/>
        </w:rPr>
        <w:tab/>
        <w:t>Същевременно, като част от цикъла на европейския семестър за 2018 — 2019 г., Комисията отдели голямо внимание на инвестиционните потребности на държавите членки във връзка с енергетиката и кл</w:t>
      </w:r>
      <w:r>
        <w:rPr>
          <w:noProof/>
        </w:rPr>
        <w:t>имата. Това е отразено в Доклада за Испания за 2019 г.</w:t>
      </w:r>
      <w:r>
        <w:rPr>
          <w:rStyle w:val="FootnoteReference"/>
          <w:noProof/>
        </w:rPr>
        <w:footnoteReference w:id="5"/>
      </w:r>
      <w:r>
        <w:rPr>
          <w:noProof/>
        </w:rPr>
        <w:t xml:space="preserve"> и в Препоръката на Комисията за препоръка на Съвета към Испания</w:t>
      </w:r>
      <w:r>
        <w:rPr>
          <w:rStyle w:val="FootnoteReference"/>
          <w:noProof/>
        </w:rPr>
        <w:footnoteReference w:id="6"/>
      </w:r>
      <w:r>
        <w:rPr>
          <w:noProof/>
        </w:rPr>
        <w:t>, съставени в рамките на процеса на европейския семестър. Комисията взе предвид констатациите и препоръките от последния европейски семе</w:t>
      </w:r>
      <w:r>
        <w:rPr>
          <w:noProof/>
        </w:rPr>
        <w:t>стър в своята оценка на проектите на интегрирани национални планове в областта на енергетиката и климата. Препоръките на Комисията допълват най-актуалните специфични за всяка държава препоръки, издадени в контекста на европейския семестър.</w:t>
      </w:r>
      <w:r>
        <w:rPr>
          <w:noProof/>
          <w:color w:val="444444"/>
        </w:rPr>
        <w:t xml:space="preserve"> </w:t>
      </w:r>
      <w:r>
        <w:rPr>
          <w:noProof/>
        </w:rPr>
        <w:t>Държавите членки</w:t>
      </w:r>
      <w:r>
        <w:rPr>
          <w:noProof/>
        </w:rPr>
        <w:t xml:space="preserve"> следва също така да гарантират, че в техните интегрирани национални планове в областта на енергетиката и климата се вземат предвид най-актуалните специфични за всяка държава препоръки, издадени в контекста на европейския семестър. </w:t>
      </w:r>
    </w:p>
    <w:p w:rsidR="00653579" w:rsidRDefault="000B1D15">
      <w:pPr>
        <w:pStyle w:val="ManualConsidrant"/>
        <w:rPr>
          <w:noProof/>
        </w:rPr>
      </w:pPr>
      <w:r>
        <w:rPr>
          <w:noProof/>
        </w:rPr>
        <w:t>(10)</w:t>
      </w:r>
      <w:r>
        <w:rPr>
          <w:noProof/>
        </w:rPr>
        <w:tab/>
        <w:t>Освен това по сила</w:t>
      </w:r>
      <w:r>
        <w:rPr>
          <w:noProof/>
        </w:rPr>
        <w:t>та на Регламента за управлението всяка държава членка е длъжна надлежно да отчита всякакви препоръки от Комисията в своя проект на интегриран национален план в областта на енергетиката и климата, който трябва да бъде представен до 31 декември 2019 г., а ак</w:t>
      </w:r>
      <w:r>
        <w:rPr>
          <w:noProof/>
        </w:rPr>
        <w:t>о съответната държава членка не се съобрази с дадена препоръка или съществена част от нея, тя следва да представи и оповести основанията си.</w:t>
      </w:r>
    </w:p>
    <w:p w:rsidR="00653579" w:rsidRDefault="000B1D15">
      <w:pPr>
        <w:pStyle w:val="ManualConsidrant"/>
        <w:rPr>
          <w:noProof/>
        </w:rPr>
      </w:pPr>
      <w:r>
        <w:rPr>
          <w:noProof/>
        </w:rPr>
        <w:t>(11)</w:t>
      </w:r>
      <w:r>
        <w:rPr>
          <w:noProof/>
        </w:rPr>
        <w:tab/>
        <w:t>Когато е приложимо, държавите членки следва да докладват в своите интегрирани национални планове в областта на</w:t>
      </w:r>
      <w:r>
        <w:rPr>
          <w:noProof/>
        </w:rPr>
        <w:t xml:space="preserve"> енергетиката и климата и актуализациите им през следващите години същите данни, които докладват на Евростат или Европейската агенция за околната среда. Използването на един и същ източник и — когато са налични — на европейски статистически данни също е от</w:t>
      </w:r>
      <w:r>
        <w:rPr>
          <w:noProof/>
        </w:rPr>
        <w:t xml:space="preserve"> основно значение за изчисляване на базовата линия за моделирането и прогнозирането. Използването на европейски статистически данни ще позволи по-добра съпоставимост на данните и прогнозите, използвани в интегрираните национални планове в областта на енерг</w:t>
      </w:r>
      <w:r>
        <w:rPr>
          <w:noProof/>
        </w:rPr>
        <w:t>етиката и климата.</w:t>
      </w:r>
    </w:p>
    <w:p w:rsidR="00653579" w:rsidRDefault="000B1D15">
      <w:pPr>
        <w:pStyle w:val="ManualConsidrant"/>
        <w:rPr>
          <w:noProof/>
        </w:rPr>
      </w:pPr>
      <w:r>
        <w:rPr>
          <w:noProof/>
        </w:rPr>
        <w:t>(12)</w:t>
      </w:r>
      <w:r>
        <w:rPr>
          <w:noProof/>
        </w:rPr>
        <w:tab/>
        <w:t>В окончателния интегриран национален план в областта на енергетиката и климата трябва да бъдат включени всички елементи от приложение І към Регламент (ЕС) 2018/1999. В този контекст следва да бъдат оценени макроикономическите въздей</w:t>
      </w:r>
      <w:r>
        <w:rPr>
          <w:noProof/>
        </w:rPr>
        <w:t>ствия на планираните политики и мерки и — доколкото е възможно — въздействията им върху здравето, околната среда, заетостта, образованието, уменията и социалната сфера. Заинтересованите лица от публичния и другите сектори трябва да бъдат включени в изготвя</w:t>
      </w:r>
      <w:r>
        <w:rPr>
          <w:noProof/>
        </w:rPr>
        <w:t>нето на окончателния интегриран национален план в областта на енергетиката и климата. Тези и други елементи са описани подробно в работния документ на службите, който се публикува заедно с настоящата препоръка</w:t>
      </w:r>
      <w:r>
        <w:rPr>
          <w:rStyle w:val="FootnoteReference"/>
          <w:noProof/>
        </w:rPr>
        <w:footnoteReference w:id="7"/>
      </w:r>
      <w:r>
        <w:rPr>
          <w:noProof/>
        </w:rPr>
        <w:t xml:space="preserve">. </w:t>
      </w:r>
    </w:p>
    <w:p w:rsidR="00653579" w:rsidRDefault="000B1D15">
      <w:pPr>
        <w:pStyle w:val="ManualConsidrant"/>
        <w:rPr>
          <w:noProof/>
        </w:rPr>
      </w:pPr>
      <w:r>
        <w:rPr>
          <w:noProof/>
        </w:rPr>
        <w:t>(13)</w:t>
      </w:r>
      <w:r>
        <w:rPr>
          <w:noProof/>
        </w:rPr>
        <w:tab/>
        <w:t>Налице е широка съгласуваност на целит</w:t>
      </w:r>
      <w:r>
        <w:rPr>
          <w:noProof/>
        </w:rPr>
        <w:t>е във и между отделните измерения, по-специално при декарбонизацията и енергийната ефективност. В окончателния план Испания следва също така да опише взаимовръзките между планираните политики и мерки и да ги опише също количествено, когато това е възможно.</w:t>
      </w:r>
      <w:r>
        <w:rPr>
          <w:noProof/>
        </w:rPr>
        <w:t xml:space="preserve"> Може да се постави ударение върху полезните взаимодействия между измеренията на декарбонизацията, енергийната сигурност и вътрешния пазар и първостепенния принцип на енергийната ефективност, като се обясни по какъв начин тя допринася за разходоефективно п</w:t>
      </w:r>
      <w:r>
        <w:rPr>
          <w:noProof/>
        </w:rPr>
        <w:t>остигане на националните цели за конкурентоспособна нисковъглеродна икономика, сигурност на енергийните доставки и как това спомага за решаването на енергийната бедност. Взаимодействията между планираните политики, свързани с постепенното извеждане от експ</w:t>
      </w:r>
      <w:r>
        <w:rPr>
          <w:noProof/>
        </w:rPr>
        <w:t>лоатация на електроцентрали на въглища и атомни електроцентрали, включително стратегията за използване на съществуващите в страната съоръжения от ядрения горивен цикъл, въздействието на рисковете от изменението на климата върху енергийните доставки и възде</w:t>
      </w:r>
      <w:r>
        <w:rPr>
          <w:noProof/>
        </w:rPr>
        <w:t>йствието на засиленото проникване на енергия от възобновяеми източници върху вътрешния пазар също представляват важни елементи, които трябва да бъдат разгледани в окончателния план. Целите в измерението на научните изследвания, иновациите и конкурентоспосо</w:t>
      </w:r>
      <w:r>
        <w:rPr>
          <w:noProof/>
        </w:rPr>
        <w:t>бността трябва да подкрепят усилията, планирани в другите измерения на Енергийния съюз.</w:t>
      </w:r>
    </w:p>
    <w:p w:rsidR="00653579" w:rsidRDefault="000B1D15">
      <w:pPr>
        <w:pStyle w:val="ManualConsidrant"/>
        <w:rPr>
          <w:noProof/>
        </w:rPr>
      </w:pPr>
      <w:r>
        <w:rPr>
          <w:noProof/>
        </w:rPr>
        <w:t>(14)</w:t>
      </w:r>
      <w:r>
        <w:rPr>
          <w:noProof/>
        </w:rPr>
        <w:tab/>
        <w:t>От полза за окончателния интегриран национален план в областта на енергетиката и климата би било в него да се представи цялостен анализ на сегашното положение на с</w:t>
      </w:r>
      <w:r>
        <w:rPr>
          <w:noProof/>
        </w:rPr>
        <w:t>ектора на нисковъглеродните технологии на световния пазар, в който се изтъкват областите на конкурентни предимства и потенциални предизвикателства и се посочват измерими цели за бъдещето развитие и политики и мерки за тяхното постигане, като се правят съот</w:t>
      </w:r>
      <w:r>
        <w:rPr>
          <w:noProof/>
        </w:rPr>
        <w:t>ветните препратки към политиката за предприятията и промишлеността. Добре би било също така да се доразвие взаимодействието с кръговата икономика с ударение върху нейния потенциал за намаляване на емисиите на парникови газове.</w:t>
      </w:r>
    </w:p>
    <w:p w:rsidR="00653579" w:rsidRDefault="000B1D15">
      <w:pPr>
        <w:pStyle w:val="ManualConsidrant"/>
        <w:rPr>
          <w:noProof/>
        </w:rPr>
      </w:pPr>
      <w:r>
        <w:rPr>
          <w:noProof/>
        </w:rPr>
        <w:t>(15)</w:t>
      </w:r>
      <w:r>
        <w:rPr>
          <w:noProof/>
        </w:rPr>
        <w:tab/>
        <w:t>Препоръките на Комисията</w:t>
      </w:r>
      <w:r>
        <w:rPr>
          <w:noProof/>
        </w:rPr>
        <w:t xml:space="preserve"> към Испания са подкрепени с оценката на нейния проект на интегриран национален план в областта на енергетиката и климата, публикувана заедно с настоящата препоръка</w:t>
      </w:r>
      <w:r>
        <w:rPr>
          <w:rStyle w:val="FootnoteReference"/>
          <w:noProof/>
        </w:rPr>
        <w:footnoteReference w:id="8"/>
      </w:r>
      <w:r>
        <w:rPr>
          <w:noProof/>
        </w:rPr>
        <w:t>.</w:t>
      </w:r>
    </w:p>
    <w:p w:rsidR="00653579" w:rsidRDefault="00653579">
      <w:pPr>
        <w:rPr>
          <w:noProof/>
        </w:rPr>
      </w:pPr>
    </w:p>
    <w:p w:rsidR="00653579" w:rsidRDefault="000B1D15">
      <w:pPr>
        <w:pStyle w:val="Formuledadoption"/>
        <w:rPr>
          <w:noProof/>
        </w:rPr>
      </w:pPr>
      <w:r>
        <w:rPr>
          <w:noProof/>
        </w:rPr>
        <w:t xml:space="preserve">ПРЕПОРЪЧВА НА ИСПАНИЯ ДА ПРЕДПРИЕМЕ ДЕЙСТВИЯ СЪС СЛЕДНИТЕ ЦЕЛИ:  </w:t>
      </w:r>
    </w:p>
    <w:p w:rsidR="00653579" w:rsidRDefault="00653579">
      <w:pPr>
        <w:rPr>
          <w:noProof/>
        </w:rPr>
      </w:pPr>
    </w:p>
    <w:p w:rsidR="00653579" w:rsidRDefault="000B1D15">
      <w:pPr>
        <w:pStyle w:val="ManualNumPar1"/>
        <w:rPr>
          <w:noProof/>
        </w:rPr>
      </w:pPr>
      <w:r>
        <w:rPr>
          <w:noProof/>
        </w:rPr>
        <w:t>1.</w:t>
      </w:r>
      <w:r>
        <w:rPr>
          <w:noProof/>
        </w:rPr>
        <w:tab/>
        <w:t>Да подкрепи одобре</w:t>
      </w:r>
      <w:r>
        <w:rPr>
          <w:noProof/>
        </w:rPr>
        <w:t>ната амбициозна цел от 42-процентен дял на енергията от възобновяеми източници за 2030 г., като принос на Испания за постигане на целта на Съюза за 2030 г. за дела на енергията от възобновяеми източници, чрез подробни и количествено определени политики и м</w:t>
      </w:r>
      <w:r>
        <w:rPr>
          <w:noProof/>
        </w:rPr>
        <w:t>ерки, съобразени със задълженията по Директива (ЕС) 2018/2001 на Европейския парламент и на Съвета</w:t>
      </w:r>
      <w:r>
        <w:rPr>
          <w:rStyle w:val="FootnoteReference"/>
          <w:noProof/>
        </w:rPr>
        <w:footnoteReference w:id="9"/>
      </w:r>
      <w:r>
        <w:rPr>
          <w:noProof/>
        </w:rPr>
        <w:t>, които позволяват своевременното и ефективно спрямо разходите постигане на заявената от Испания цел. Да включи индикативна крива, която да достига до всички</w:t>
      </w:r>
      <w:r>
        <w:rPr>
          <w:noProof/>
        </w:rPr>
        <w:t xml:space="preserve"> референтни стойности съгласно член 4, буква а), подточка 2) от Регламент (ЕС) 2018/1999. Да представи допълнителни подробности относно мерките за намаляване на административната процедури тежест и относно благоприятстващите рамки за потреблението на собст</w:t>
      </w:r>
      <w:r>
        <w:rPr>
          <w:noProof/>
        </w:rPr>
        <w:t>вена електрическа енергия от възобновяеми източници и общностите за възобновяема енергия съгласно членове 21 и 22 от Директива (ЕС) 2018/2001.</w:t>
      </w:r>
    </w:p>
    <w:p w:rsidR="00653579" w:rsidRDefault="00653579">
      <w:pPr>
        <w:rPr>
          <w:noProof/>
        </w:rPr>
      </w:pPr>
    </w:p>
    <w:p w:rsidR="00653579" w:rsidRDefault="000B1D15">
      <w:pPr>
        <w:pStyle w:val="ManualNumPar1"/>
        <w:rPr>
          <w:noProof/>
        </w:rPr>
      </w:pPr>
      <w:r>
        <w:rPr>
          <w:noProof/>
        </w:rPr>
        <w:t>2.</w:t>
      </w:r>
      <w:r>
        <w:rPr>
          <w:noProof/>
        </w:rPr>
        <w:tab/>
        <w:t>Да проучи допълнително начините, по които настоящите мерки ще трябва да бъдат доразвити, за да може Испания д</w:t>
      </w:r>
      <w:r>
        <w:rPr>
          <w:noProof/>
        </w:rPr>
        <w:t>а реализира очакваните икономии на енергия. Тези мерки ще трябва да доведат до увеличаване на икономиите на енергия в сравнение с настоящите нива и предизвикателствата, свързани с едно толкова значително увеличаване, трябва да бъдат надлежно взети под вним</w:t>
      </w:r>
      <w:r>
        <w:rPr>
          <w:noProof/>
        </w:rPr>
        <w:t>ание.</w:t>
      </w:r>
      <w:r>
        <w:rPr>
          <w:noProof/>
        </w:rPr>
        <w:tab/>
      </w:r>
    </w:p>
    <w:p w:rsidR="00653579" w:rsidRDefault="00653579">
      <w:pPr>
        <w:pStyle w:val="Text1"/>
        <w:rPr>
          <w:noProof/>
        </w:rPr>
      </w:pPr>
    </w:p>
    <w:p w:rsidR="00653579" w:rsidRDefault="000B1D15">
      <w:pPr>
        <w:pStyle w:val="ManualNumPar1"/>
        <w:rPr>
          <w:noProof/>
        </w:rPr>
      </w:pPr>
      <w:r>
        <w:rPr>
          <w:noProof/>
        </w:rPr>
        <w:t>3.</w:t>
      </w:r>
      <w:r>
        <w:rPr>
          <w:noProof/>
        </w:rPr>
        <w:tab/>
        <w:t>Да доразработи мерките в подкрепа на целите за енергийна сигурност относно диверсификацията и намаляването на енергийната зависимост, включително мерки за осигуряване на гъвкавост, и да осигури информация за постепенното извеждане от експлоатаци</w:t>
      </w:r>
      <w:r>
        <w:rPr>
          <w:noProof/>
        </w:rPr>
        <w:t>я на ядрени електроенергийни мощности.</w:t>
      </w:r>
    </w:p>
    <w:p w:rsidR="00653579" w:rsidRDefault="00653579">
      <w:pPr>
        <w:rPr>
          <w:noProof/>
        </w:rPr>
      </w:pPr>
    </w:p>
    <w:p w:rsidR="00653579" w:rsidRDefault="000B1D15">
      <w:pPr>
        <w:pStyle w:val="ManualNumPar1"/>
        <w:rPr>
          <w:noProof/>
        </w:rPr>
      </w:pPr>
      <w:r>
        <w:rPr>
          <w:noProof/>
        </w:rPr>
        <w:t>4.</w:t>
      </w:r>
      <w:r>
        <w:rPr>
          <w:noProof/>
        </w:rPr>
        <w:tab/>
        <w:t xml:space="preserve">Да определи ориентирани към бъдещето цели и задачи, свързани с пазарната интеграция, по-специално мерки за посрещане на предвидимото развитие на тарифните дефицити в секторите на електроенергията и природния газ, </w:t>
      </w:r>
      <w:r>
        <w:rPr>
          <w:noProof/>
        </w:rPr>
        <w:t>както и потенциалното въздействие на предвижданите мерки.  Да изготви стратегия и график за постигането на напълно пазарни цени.</w:t>
      </w:r>
    </w:p>
    <w:p w:rsidR="00653579" w:rsidRDefault="00653579">
      <w:pPr>
        <w:pStyle w:val="Text1"/>
        <w:ind w:left="0"/>
        <w:rPr>
          <w:noProof/>
        </w:rPr>
      </w:pPr>
    </w:p>
    <w:p w:rsidR="00653579" w:rsidRDefault="000B1D15">
      <w:pPr>
        <w:pStyle w:val="ManualNumPar1"/>
        <w:rPr>
          <w:noProof/>
        </w:rPr>
      </w:pPr>
      <w:r>
        <w:rPr>
          <w:noProof/>
        </w:rPr>
        <w:t>5.</w:t>
      </w:r>
      <w:r>
        <w:rPr>
          <w:noProof/>
        </w:rPr>
        <w:tab/>
        <w:t>Да доизясни количествено националните общи и конкретни цели за финансиране в измерението на научните изследвания, иновациит</w:t>
      </w:r>
      <w:r>
        <w:rPr>
          <w:noProof/>
        </w:rPr>
        <w:t xml:space="preserve">е и конкурентоспособността, свързани специално с Енергийния съюз, които трябва да бъдат постигнати до 2030 г., така че да бъдат лесно измерими и пригодни да подпомагат постигането на целите в другите измерения на интегрирания национален план в областта на </w:t>
      </w:r>
      <w:r>
        <w:rPr>
          <w:noProof/>
        </w:rPr>
        <w:t>енергетиката и климата. Да предвиди за постигането на тези общи цели конкретни и подходящи политики и мерки, включително тези, които трябва да бъдат разработени в сътрудничество с други държави членки, например Стратегическия план за енергийните технологии</w:t>
      </w:r>
      <w:r>
        <w:rPr>
          <w:noProof/>
        </w:rPr>
        <w:t xml:space="preserve">.         </w:t>
      </w:r>
    </w:p>
    <w:p w:rsidR="00653579" w:rsidRDefault="00653579">
      <w:pPr>
        <w:pStyle w:val="Text1"/>
        <w:rPr>
          <w:noProof/>
        </w:rPr>
      </w:pPr>
    </w:p>
    <w:p w:rsidR="00653579" w:rsidRDefault="000B1D15">
      <w:pPr>
        <w:pStyle w:val="ManualNumPar1"/>
        <w:rPr>
          <w:noProof/>
        </w:rPr>
      </w:pPr>
      <w:r>
        <w:rPr>
          <w:noProof/>
        </w:rPr>
        <w:t>6.</w:t>
      </w:r>
      <w:r>
        <w:rPr>
          <w:noProof/>
        </w:rPr>
        <w:tab/>
        <w:t>Да засили съществуващото добро регионално сътрудничество с Франция и Португалия, за да се обърне специално внимание на измеренията на вътрешния енергиен пазар и на енергийната сигурност, по-специално на трансграничните и трансрегионалните ме</w:t>
      </w:r>
      <w:r>
        <w:rPr>
          <w:noProof/>
        </w:rPr>
        <w:t xml:space="preserve">ждусистемни връзки. Да обмисли засилването на мерките, свързани с регионалното сътрудничество в областите на енергията от възобновяеми източници и на енергийната ефективност.  </w:t>
      </w:r>
    </w:p>
    <w:p w:rsidR="00653579" w:rsidRDefault="00653579">
      <w:pPr>
        <w:pStyle w:val="Text1"/>
        <w:ind w:left="0"/>
        <w:rPr>
          <w:noProof/>
        </w:rPr>
      </w:pPr>
    </w:p>
    <w:p w:rsidR="00653579" w:rsidRDefault="000B1D15">
      <w:pPr>
        <w:pStyle w:val="ManualNumPar1"/>
        <w:rPr>
          <w:noProof/>
        </w:rPr>
      </w:pPr>
      <w:r>
        <w:rPr>
          <w:noProof/>
        </w:rPr>
        <w:t>7.</w:t>
      </w:r>
      <w:r>
        <w:rPr>
          <w:noProof/>
        </w:rPr>
        <w:tab/>
        <w:t>Да изброи всички енергийни субсидии, особено тези за изкопаеми горива, какт</w:t>
      </w:r>
      <w:r>
        <w:rPr>
          <w:noProof/>
        </w:rPr>
        <w:t xml:space="preserve">о и предприетите действия и планове за прекратяването им. </w:t>
      </w:r>
    </w:p>
    <w:p w:rsidR="00653579" w:rsidRDefault="00653579">
      <w:pPr>
        <w:rPr>
          <w:noProof/>
        </w:rPr>
      </w:pPr>
    </w:p>
    <w:p w:rsidR="00653579" w:rsidRDefault="000B1D15">
      <w:pPr>
        <w:pStyle w:val="ManualNumPar1"/>
        <w:rPr>
          <w:noProof/>
        </w:rPr>
      </w:pPr>
      <w:r>
        <w:rPr>
          <w:noProof/>
        </w:rPr>
        <w:t>8.</w:t>
      </w:r>
      <w:r>
        <w:rPr>
          <w:noProof/>
        </w:rPr>
        <w:tab/>
      </w:r>
      <w:r>
        <w:rPr>
          <w:noProof/>
        </w:rPr>
        <w:t xml:space="preserve">Да съвмести по-добре социално отговорното измерение на прехода, по-специално като предостави повече информация за въздействието на планираните цели, политики и мерки върху социалния живот, заетостта и придобиването на умения.  По-конкретно, в плана следва </w:t>
      </w:r>
      <w:r>
        <w:rPr>
          <w:noProof/>
        </w:rPr>
        <w:t xml:space="preserve">да се обърне внимание на въздействието върху въглеродно интензивните региони с високо потребление на въглища и да бъде интегрирана националната стратегия за енергийния преход.  Да включи специална оценка на проблема с енергийната бедност и на свързаните с </w:t>
      </w:r>
      <w:r>
        <w:rPr>
          <w:noProof/>
        </w:rPr>
        <w:t>него цели или конкретни политики или мерки, както се изисква в Регламент (ЕС) 2018/1999.</w:t>
      </w:r>
    </w:p>
    <w:p w:rsidR="00653579" w:rsidRDefault="00653579">
      <w:pPr>
        <w:rPr>
          <w:noProof/>
        </w:rPr>
      </w:pPr>
    </w:p>
    <w:p w:rsidR="00653579" w:rsidRDefault="000B1D15" w:rsidP="000B1D15">
      <w:pPr>
        <w:pStyle w:val="Fait"/>
        <w:rPr>
          <w:noProof/>
        </w:rPr>
      </w:pPr>
      <w:r w:rsidRPr="000B1D15">
        <w:t>Съставено в Брюксел на 18.6.2019 година.</w:t>
      </w:r>
    </w:p>
    <w:p w:rsidR="00653579" w:rsidRDefault="000B1D15">
      <w:pPr>
        <w:pStyle w:val="Institutionquisigne"/>
        <w:rPr>
          <w:noProof/>
        </w:rPr>
      </w:pPr>
      <w:r>
        <w:rPr>
          <w:noProof/>
        </w:rPr>
        <w:tab/>
      </w:r>
      <w:r>
        <w:rPr>
          <w:noProof/>
        </w:rPr>
        <w:t>За Комисията</w:t>
      </w:r>
    </w:p>
    <w:p w:rsidR="00653579" w:rsidRPr="000B1D15" w:rsidRDefault="000B1D15">
      <w:pPr>
        <w:pStyle w:val="Personnequisigne"/>
        <w:rPr>
          <w:noProof/>
        </w:rPr>
      </w:pPr>
      <w:r>
        <w:rPr>
          <w:noProof/>
        </w:rPr>
        <w:tab/>
        <w:t>Miguel Arias Cañete</w:t>
      </w:r>
      <w:r>
        <w:rPr>
          <w:noProof/>
        </w:rPr>
        <w:br/>
      </w:r>
      <w:r>
        <w:rPr>
          <w:noProof/>
        </w:rPr>
        <w:tab/>
        <w:t>Член на Комисията</w:t>
      </w:r>
    </w:p>
    <w:sectPr w:rsidR="00653579" w:rsidRPr="000B1D15" w:rsidSect="000B1D15">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579" w:rsidRDefault="000B1D15">
      <w:pPr>
        <w:spacing w:before="0" w:after="0"/>
      </w:pPr>
      <w:r>
        <w:separator/>
      </w:r>
    </w:p>
  </w:endnote>
  <w:endnote w:type="continuationSeparator" w:id="0">
    <w:p w:rsidR="00653579" w:rsidRDefault="000B1D15">
      <w:pPr>
        <w:spacing w:before="0" w:after="0"/>
      </w:pPr>
      <w:r>
        <w:continuationSeparator/>
      </w:r>
    </w:p>
  </w:endnote>
  <w:endnote w:type="continuationNotice" w:id="1">
    <w:p w:rsidR="00653579" w:rsidRDefault="0065357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D15" w:rsidRPr="000B1D15" w:rsidRDefault="000B1D15" w:rsidP="000B1D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579" w:rsidRPr="000B1D15" w:rsidRDefault="000B1D15" w:rsidP="000B1D15">
    <w:pPr>
      <w:pStyle w:val="Footer"/>
      <w:rPr>
        <w:rFonts w:ascii="Arial" w:hAnsi="Arial" w:cs="Arial"/>
        <w:b/>
        <w:sz w:val="48"/>
      </w:rPr>
    </w:pPr>
    <w:r w:rsidRPr="000B1D15">
      <w:rPr>
        <w:rFonts w:ascii="Arial" w:hAnsi="Arial" w:cs="Arial"/>
        <w:b/>
        <w:sz w:val="48"/>
      </w:rPr>
      <w:t>BG</w:t>
    </w:r>
    <w:r w:rsidRPr="000B1D15">
      <w:rPr>
        <w:rFonts w:ascii="Arial" w:hAnsi="Arial" w:cs="Arial"/>
        <w:b/>
        <w:sz w:val="48"/>
      </w:rPr>
      <w:tab/>
    </w:r>
    <w:r w:rsidRPr="000B1D15">
      <w:rPr>
        <w:rFonts w:ascii="Arial" w:hAnsi="Arial" w:cs="Arial"/>
        <w:b/>
        <w:sz w:val="48"/>
      </w:rPr>
      <w:tab/>
    </w:r>
    <w:r w:rsidRPr="000B1D15">
      <w:tab/>
    </w:r>
    <w:r w:rsidRPr="000B1D15">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D15" w:rsidRPr="000B1D15" w:rsidRDefault="000B1D15" w:rsidP="000B1D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D15" w:rsidRPr="000B1D15" w:rsidRDefault="000B1D15" w:rsidP="000B1D15">
    <w:pPr>
      <w:pStyle w:val="Footer"/>
      <w:rPr>
        <w:rFonts w:ascii="Arial" w:hAnsi="Arial" w:cs="Arial"/>
        <w:b/>
        <w:sz w:val="48"/>
      </w:rPr>
    </w:pPr>
    <w:r w:rsidRPr="000B1D15">
      <w:rPr>
        <w:rFonts w:ascii="Arial" w:hAnsi="Arial" w:cs="Arial"/>
        <w:b/>
        <w:sz w:val="48"/>
      </w:rPr>
      <w:t>BG</w:t>
    </w:r>
    <w:r w:rsidRPr="000B1D15">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rsidRPr="000B1D15">
      <w:tab/>
    </w:r>
    <w:r w:rsidRPr="000B1D15">
      <w:rPr>
        <w:rFonts w:ascii="Arial" w:hAnsi="Arial" w:cs="Arial"/>
        <w:b/>
        <w:sz w:val="48"/>
      </w:rPr>
      <w:t>BG</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D15" w:rsidRPr="000B1D15" w:rsidRDefault="000B1D15" w:rsidP="000B1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579" w:rsidRDefault="000B1D15">
      <w:pPr>
        <w:spacing w:before="0" w:after="0"/>
      </w:pPr>
      <w:r>
        <w:separator/>
      </w:r>
    </w:p>
  </w:footnote>
  <w:footnote w:type="continuationSeparator" w:id="0">
    <w:p w:rsidR="00653579" w:rsidRDefault="000B1D15">
      <w:pPr>
        <w:spacing w:before="0" w:after="0"/>
      </w:pPr>
      <w:r>
        <w:continuationSeparator/>
      </w:r>
    </w:p>
  </w:footnote>
  <w:footnote w:type="continuationNotice" w:id="1">
    <w:p w:rsidR="00653579" w:rsidRDefault="00653579">
      <w:pPr>
        <w:spacing w:before="0" w:after="0"/>
      </w:pPr>
    </w:p>
  </w:footnote>
  <w:footnote w:id="2">
    <w:p w:rsidR="00653579" w:rsidRDefault="000B1D15">
      <w:pPr>
        <w:pStyle w:val="FootnoteText"/>
      </w:pPr>
      <w:r>
        <w:rPr>
          <w:rStyle w:val="FootnoteReference"/>
        </w:rPr>
        <w:footnoteRef/>
      </w:r>
      <w:r>
        <w:tab/>
      </w:r>
      <w:r>
        <w:rPr>
          <w:rStyle w:val="Emphasis"/>
          <w:i w:val="0"/>
          <w:color w:val="444444"/>
        </w:rPr>
        <w:t>ОВ L 328, 21.12.2018 г., стр. 1</w:t>
      </w:r>
    </w:p>
  </w:footnote>
  <w:footnote w:id="3">
    <w:p w:rsidR="00653579" w:rsidRDefault="000B1D15">
      <w:pPr>
        <w:pStyle w:val="FootnoteText"/>
      </w:pPr>
      <w:r>
        <w:rPr>
          <w:rStyle w:val="FootnoteReference"/>
        </w:rPr>
        <w:footnoteRef/>
      </w:r>
      <w:r>
        <w:tab/>
        <w:t>SWD</w:t>
      </w:r>
      <w:r>
        <w:t>(2019) 262.</w:t>
      </w:r>
    </w:p>
  </w:footnote>
  <w:footnote w:id="4">
    <w:p w:rsidR="00653579" w:rsidRDefault="000B1D15">
      <w:pPr>
        <w:pStyle w:val="FootnoteText"/>
      </w:pPr>
      <w:r>
        <w:rPr>
          <w:rStyle w:val="FootnoteReference"/>
        </w:rPr>
        <w:footnoteRef/>
      </w:r>
      <w:r>
        <w:tab/>
        <w:t>Директива 2012/27/ЕС на Европейския парламент и на Съвета от 25 октомври 2012 г. относно енергийната ефективност, за изменение на директиви 2009/125/ЕО и 2010/30/ЕС и за отмяна на директиви 2004/8/ЕО и 2006/32/ЕО (ОВ L 315, 14.11.2012 г., стр</w:t>
      </w:r>
      <w:r>
        <w:t>. 1).</w:t>
      </w:r>
    </w:p>
  </w:footnote>
  <w:footnote w:id="5">
    <w:p w:rsidR="00653579" w:rsidRDefault="000B1D15">
      <w:pPr>
        <w:pStyle w:val="FootnoteText"/>
      </w:pPr>
      <w:r>
        <w:rPr>
          <w:rStyle w:val="FootnoteReference"/>
        </w:rPr>
        <w:footnoteRef/>
      </w:r>
      <w:r>
        <w:tab/>
        <w:t>SWD (2019) 1008 final.</w:t>
      </w:r>
    </w:p>
  </w:footnote>
  <w:footnote w:id="6">
    <w:p w:rsidR="00653579" w:rsidRDefault="000B1D15">
      <w:pPr>
        <w:pStyle w:val="FootnoteText"/>
      </w:pPr>
      <w:r>
        <w:rPr>
          <w:rStyle w:val="FootnoteReference"/>
        </w:rPr>
        <w:footnoteRef/>
      </w:r>
      <w:r>
        <w:tab/>
        <w:t>COM (2019) 509 final от 5.6.2019 г.</w:t>
      </w:r>
    </w:p>
  </w:footnote>
  <w:footnote w:id="7">
    <w:p w:rsidR="00653579" w:rsidRDefault="000B1D15">
      <w:pPr>
        <w:pStyle w:val="FootnoteText"/>
      </w:pPr>
      <w:r>
        <w:rPr>
          <w:rStyle w:val="FootnoteReference"/>
        </w:rPr>
        <w:footnoteRef/>
      </w:r>
      <w:r>
        <w:tab/>
        <w:t>SWD(2019) 262.</w:t>
      </w:r>
    </w:p>
  </w:footnote>
  <w:footnote w:id="8">
    <w:p w:rsidR="00653579" w:rsidRDefault="000B1D15">
      <w:pPr>
        <w:pStyle w:val="FootnoteText"/>
      </w:pPr>
      <w:r>
        <w:rPr>
          <w:rStyle w:val="FootnoteReference"/>
        </w:rPr>
        <w:footnoteRef/>
      </w:r>
      <w:r>
        <w:tab/>
        <w:t>SWD(2019) 262.</w:t>
      </w:r>
    </w:p>
  </w:footnote>
  <w:footnote w:id="9">
    <w:p w:rsidR="00653579" w:rsidRDefault="000B1D15">
      <w:pPr>
        <w:pStyle w:val="FootnoteText"/>
      </w:pPr>
      <w:r>
        <w:rPr>
          <w:rStyle w:val="FootnoteReference"/>
        </w:rPr>
        <w:footnoteRef/>
      </w:r>
      <w:r>
        <w:tab/>
        <w:t>Директива (ЕС) 2018/2001 на Европейския парламент и на Съвета от 11 декември 2018 г. за насърчаване използването на енергия от възобновяеми източници (</w:t>
      </w:r>
      <w:r>
        <w:t>OВ L 328, 21.12.2018 г., стр. 82—209).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D15" w:rsidRPr="000B1D15" w:rsidRDefault="000B1D15" w:rsidP="000B1D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D15" w:rsidRPr="000B1D15" w:rsidRDefault="000B1D15" w:rsidP="000B1D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D15" w:rsidRPr="000B1D15" w:rsidRDefault="000B1D15" w:rsidP="000B1D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88E8ACF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6DF8262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1209C6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5A2DA6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31824A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35A6A1C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0D40BFF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51080AC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95"/>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ttachedTemplate r:id="rId1"/>
  <w:defaultTabStop w:val="720"/>
  <w:hyphenationZone w:val="425"/>
  <w:characterSpacingControl w:val="doNotCompress"/>
  <w:hdrShapeDefaults>
    <o:shapedefaults v:ext="edit" spidmax="1372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8-05 12:01:08"/>
    <w:docVar w:name="DQCNUMB_2" w:val="27"/>
    <w:docVar w:name="DQCNUMB_3" w:val="29"/>
    <w:docVar w:name="DQCNUMB_4" w:val="31"/>
    <w:docVar w:name="DQCNUMB_5" w:val="3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6"/>
    <w:docVar w:name="DQCResult_UnknownFonts" w:val="0;0"/>
    <w:docVar w:name="DQCResult_UnknownStyles" w:val="0;0"/>
    <w:docVar w:name="DQCStatus" w:val="Yellow"/>
    <w:docVar w:name="DQCVersion" w:val="3"/>
    <w:docVar w:name="DQCWithWarnings" w:val="0"/>
    <w:docVar w:name="LW_COVERPAGE_EXISTS" w:val="True"/>
    <w:docVar w:name="LW_COVERPAGE_GUID" w:val="518A6A97-EACE-48C7-9FFF-9B891A8BEFA5"/>
    <w:docVar w:name="LW_COVERPAGE_TYPE" w:val="1"/>
    <w:docVar w:name="LW_CROSSREFERENCE" w:val="{SWD(2019) 262 final}"/>
    <w:docVar w:name="LW_DATE.ADOPT.CP" w:val="\u1086?\u1090? 18.6.2019 \u1075?\u1086?\u1076?\u1080?\u1085?\u1072?"/>
    <w:docVar w:name="LW_DATE.ADOPT.CP_DATEFORMAT" w:val="\u1086?\u1090? %DATE% \u1075?\u1086?\u1076?\u1080?\u1085?\u1072?"/>
    <w:docVar w:name="LW_DATE.ADOPT.CP_ISODATE" w:val="2019-06-18"/>
    <w:docVar w:name="LW_DocType" w:val="COM"/>
    <w:docVar w:name="LW_EMISSION" w:val="18.6.2019"/>
    <w:docVar w:name="LW_EMISSION_ISODATE" w:val="2019-06-18"/>
    <w:docVar w:name="LW_EMISSION_LOCATION" w:val="BRX"/>
    <w:docVar w:name="LW_EMISSION_PREFIX" w:val="\u1041?\u1088?\u1102?\u1082?\u1089?\u1077?\u1083?, "/>
    <w:docVar w:name="LW_EMISSION_SUFFIX" w:val=" \u1075?."/>
    <w:docVar w:name="LW_ID_DOCMODEL" w:val="SJ-014"/>
    <w:docVar w:name="LW_ID_DOCSIGNATURE" w:val="SJ-014"/>
    <w:docVar w:name="LW_ID_DOCSTRUCTURE" w:val="COM/AA/NOEEA"/>
    <w:docVar w:name="LW_ID_DOCTYPE" w:val="SJ-014"/>
    <w:docVar w:name="LW_INTERETEEE.CP" w:val="&lt;UNUSED&gt;"/>
    <w:docVar w:name="LW_LANGUE" w:val="BG"/>
    <w:docVar w:name="LW_LANGUESFAISANTFOI.CP" w:val="&lt;UNUSED&gt;"/>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
    <w:docVar w:name="LW_REF.INST.NEW_ADOPTED" w:val="final"/>
    <w:docVar w:name="LW_REF.INST.NEW_TEXT" w:val="(2019) 44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7?\u1086? \u1087?\u1088?\u1086?\u1077?\u1082?\u1090?\u1072? \u1085?\u1072? \u1080?\u1085?\u1090?\u1077?\u1075?\u1088?\u1080?\u1088?\u1072?\u1085? \u1085?\u1072?\u1094?\u1080?\u1086?\u1085?\u1072?\u1083?\u1077?\u1085? \u1087?\u1083?\u1072?\u1085? \u1074? \u1086?\u1073?\u1083?\u1072?\u1089?\u1090?\u1090?\u1072? \u1085?\u1072? \u1077?\u1085?\u1077?\u1088?\u1075?\u1077?\u1090?\u1080?\u1082?\u1072?\u1090?\u1072? \u1080? \u1082?\u1083?\u1080?\u1084?\u1072?\u1090?\u1072? \u1085?\u1072? \u1048?\u1089?\u1087?\u1072?\u1085?\u1080?\u1103? \u1079?\u1072? \u1087?\u1077?\u1088?\u1080?\u1086?\u1076?\u1072? 2021\u8212?2030 \u1075?\u1086?\u1076?\u1080?\u1085?\u1072?_x000b_"/>
    <w:docVar w:name="LW_TYPE.DOC.CP" w:val="\u1055?\u1056?\u1045?\u1055?\u1054?\u1056?\u1066?\u1050?\u1040? \u1053?\u1040? \u1050?\u1054?\u1052?\u1048?\u1057?\u1048?\u1071?\u1058?\u1040?"/>
  </w:docVars>
  <w:rsids>
    <w:rsidRoot w:val="00653579"/>
    <w:rsid w:val="000B1D15"/>
    <w:rsid w:val="006535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character" w:styleId="Emphasis">
    <w:name w:val="Emphasis"/>
    <w:basedOn w:val="DefaultParagraphFont"/>
    <w:uiPriority w:val="20"/>
    <w:qFormat/>
    <w:rPr>
      <w:i/>
      <w:iCs/>
    </w:rPr>
  </w:style>
  <w:style w:type="paragraph" w:customStyle="1" w:styleId="normal1">
    <w:name w:val="normal1"/>
    <w:basedOn w:val="Normal"/>
    <w:pPr>
      <w:spacing w:after="0" w:line="312" w:lineRule="atLeast"/>
    </w:pPr>
    <w:rPr>
      <w:rFonts w:eastAsia="Times New Roman"/>
      <w:szCs w:val="24"/>
      <w:lang w:eastAsia="fr-BE"/>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0B1D15"/>
    <w:pPr>
      <w:tabs>
        <w:tab w:val="center" w:pos="4535"/>
        <w:tab w:val="right" w:pos="9071"/>
      </w:tabs>
      <w:spacing w:before="0"/>
    </w:pPr>
  </w:style>
  <w:style w:type="character" w:customStyle="1" w:styleId="HeaderChar">
    <w:name w:val="Header Char"/>
    <w:basedOn w:val="DefaultParagraphFont"/>
    <w:link w:val="Header"/>
    <w:uiPriority w:val="99"/>
    <w:rsid w:val="000B1D15"/>
    <w:rPr>
      <w:rFonts w:ascii="Times New Roman" w:hAnsi="Times New Roman" w:cs="Times New Roman"/>
      <w:sz w:val="24"/>
      <w:lang w:val="bg-BG"/>
    </w:rPr>
  </w:style>
  <w:style w:type="paragraph" w:styleId="Footer">
    <w:name w:val="footer"/>
    <w:basedOn w:val="Normal"/>
    <w:link w:val="FooterChar"/>
    <w:uiPriority w:val="99"/>
    <w:unhideWhenUsed/>
    <w:rsid w:val="000B1D15"/>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0B1D15"/>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0B1D15"/>
    <w:pPr>
      <w:tabs>
        <w:tab w:val="center" w:pos="7285"/>
        <w:tab w:val="right" w:pos="14003"/>
      </w:tabs>
      <w:spacing w:before="0"/>
    </w:pPr>
  </w:style>
  <w:style w:type="paragraph" w:customStyle="1" w:styleId="FooterLandscape">
    <w:name w:val="FooterLandscape"/>
    <w:basedOn w:val="Normal"/>
    <w:rsid w:val="000B1D15"/>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0B1D15"/>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0B1D1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SecurityMarking">
    <w:name w:val="SecurityMarking"/>
    <w:basedOn w:val="Normal"/>
    <w:rsid w:val="000B1D15"/>
    <w:pPr>
      <w:spacing w:before="0" w:after="0" w:line="276" w:lineRule="auto"/>
      <w:ind w:left="5103"/>
      <w:jc w:val="left"/>
    </w:pPr>
    <w:rPr>
      <w:sz w:val="28"/>
    </w:rPr>
  </w:style>
  <w:style w:type="paragraph" w:customStyle="1" w:styleId="DateMarking">
    <w:name w:val="DateMarking"/>
    <w:basedOn w:val="Normal"/>
    <w:rsid w:val="000B1D15"/>
    <w:pPr>
      <w:spacing w:before="0" w:after="0" w:line="276" w:lineRule="auto"/>
      <w:ind w:left="5103"/>
      <w:jc w:val="left"/>
    </w:pPr>
    <w:rPr>
      <w:i/>
      <w:sz w:val="28"/>
    </w:rPr>
  </w:style>
  <w:style w:type="paragraph" w:customStyle="1" w:styleId="ReleasableTo">
    <w:name w:val="ReleasableTo"/>
    <w:basedOn w:val="Normal"/>
    <w:rsid w:val="000B1D15"/>
    <w:pPr>
      <w:spacing w:before="0" w:after="0" w:line="276" w:lineRule="auto"/>
      <w:ind w:left="5103"/>
      <w:jc w:val="left"/>
    </w:pPr>
    <w:rPr>
      <w:i/>
      <w:sz w:val="28"/>
    </w:rPr>
  </w:style>
  <w:style w:type="paragraph" w:customStyle="1" w:styleId="HeaderSensitivityRight">
    <w:name w:val="Header Sensitivity Right"/>
    <w:basedOn w:val="Normal"/>
    <w:rsid w:val="000B1D15"/>
    <w:pPr>
      <w:spacing w:before="0"/>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84540">
      <w:bodyDiv w:val="1"/>
      <w:marLeft w:val="0"/>
      <w:marRight w:val="0"/>
      <w:marTop w:val="0"/>
      <w:marBottom w:val="0"/>
      <w:divBdr>
        <w:top w:val="none" w:sz="0" w:space="0" w:color="auto"/>
        <w:left w:val="none" w:sz="0" w:space="0" w:color="auto"/>
        <w:bottom w:val="none" w:sz="0" w:space="0" w:color="auto"/>
        <w:right w:val="none" w:sz="0" w:space="0" w:color="auto"/>
      </w:divBdr>
    </w:div>
    <w:div w:id="540216278">
      <w:bodyDiv w:val="1"/>
      <w:marLeft w:val="0"/>
      <w:marRight w:val="0"/>
      <w:marTop w:val="0"/>
      <w:marBottom w:val="0"/>
      <w:divBdr>
        <w:top w:val="none" w:sz="0" w:space="0" w:color="auto"/>
        <w:left w:val="none" w:sz="0" w:space="0" w:color="auto"/>
        <w:bottom w:val="none" w:sz="0" w:space="0" w:color="auto"/>
        <w:right w:val="none" w:sz="0" w:space="0" w:color="auto"/>
      </w:divBdr>
      <w:divsChild>
        <w:div w:id="50620681">
          <w:marLeft w:val="0"/>
          <w:marRight w:val="0"/>
          <w:marTop w:val="0"/>
          <w:marBottom w:val="0"/>
          <w:divBdr>
            <w:top w:val="none" w:sz="0" w:space="0" w:color="auto"/>
            <w:left w:val="none" w:sz="0" w:space="0" w:color="auto"/>
            <w:bottom w:val="none" w:sz="0" w:space="0" w:color="auto"/>
            <w:right w:val="none" w:sz="0" w:space="0" w:color="auto"/>
          </w:divBdr>
          <w:divsChild>
            <w:div w:id="887372354">
              <w:marLeft w:val="0"/>
              <w:marRight w:val="0"/>
              <w:marTop w:val="0"/>
              <w:marBottom w:val="0"/>
              <w:divBdr>
                <w:top w:val="none" w:sz="0" w:space="0" w:color="auto"/>
                <w:left w:val="none" w:sz="0" w:space="0" w:color="auto"/>
                <w:bottom w:val="none" w:sz="0" w:space="0" w:color="auto"/>
                <w:right w:val="none" w:sz="0" w:space="0" w:color="auto"/>
              </w:divBdr>
              <w:divsChild>
                <w:div w:id="1811556036">
                  <w:marLeft w:val="0"/>
                  <w:marRight w:val="0"/>
                  <w:marTop w:val="0"/>
                  <w:marBottom w:val="0"/>
                  <w:divBdr>
                    <w:top w:val="none" w:sz="0" w:space="0" w:color="auto"/>
                    <w:left w:val="none" w:sz="0" w:space="0" w:color="auto"/>
                    <w:bottom w:val="none" w:sz="0" w:space="0" w:color="auto"/>
                    <w:right w:val="none" w:sz="0" w:space="0" w:color="auto"/>
                  </w:divBdr>
                  <w:divsChild>
                    <w:div w:id="824126927">
                      <w:marLeft w:val="-150"/>
                      <w:marRight w:val="-150"/>
                      <w:marTop w:val="0"/>
                      <w:marBottom w:val="0"/>
                      <w:divBdr>
                        <w:top w:val="none" w:sz="0" w:space="0" w:color="auto"/>
                        <w:left w:val="none" w:sz="0" w:space="0" w:color="auto"/>
                        <w:bottom w:val="none" w:sz="0" w:space="0" w:color="auto"/>
                        <w:right w:val="none" w:sz="0" w:space="0" w:color="auto"/>
                      </w:divBdr>
                      <w:divsChild>
                        <w:div w:id="372391097">
                          <w:marLeft w:val="0"/>
                          <w:marRight w:val="0"/>
                          <w:marTop w:val="0"/>
                          <w:marBottom w:val="0"/>
                          <w:divBdr>
                            <w:top w:val="none" w:sz="0" w:space="0" w:color="auto"/>
                            <w:left w:val="none" w:sz="0" w:space="0" w:color="auto"/>
                            <w:bottom w:val="none" w:sz="0" w:space="0" w:color="auto"/>
                            <w:right w:val="none" w:sz="0" w:space="0" w:color="auto"/>
                          </w:divBdr>
                          <w:divsChild>
                            <w:div w:id="1186674822">
                              <w:marLeft w:val="0"/>
                              <w:marRight w:val="0"/>
                              <w:marTop w:val="0"/>
                              <w:marBottom w:val="0"/>
                              <w:divBdr>
                                <w:top w:val="none" w:sz="0" w:space="0" w:color="auto"/>
                                <w:left w:val="none" w:sz="0" w:space="0" w:color="auto"/>
                                <w:bottom w:val="none" w:sz="0" w:space="0" w:color="auto"/>
                                <w:right w:val="none" w:sz="0" w:space="0" w:color="auto"/>
                              </w:divBdr>
                              <w:divsChild>
                                <w:div w:id="1394740787">
                                  <w:marLeft w:val="0"/>
                                  <w:marRight w:val="0"/>
                                  <w:marTop w:val="0"/>
                                  <w:marBottom w:val="300"/>
                                  <w:divBdr>
                                    <w:top w:val="none" w:sz="0" w:space="0" w:color="auto"/>
                                    <w:left w:val="none" w:sz="0" w:space="0" w:color="auto"/>
                                    <w:bottom w:val="none" w:sz="0" w:space="0" w:color="auto"/>
                                    <w:right w:val="none" w:sz="0" w:space="0" w:color="auto"/>
                                  </w:divBdr>
                                  <w:divsChild>
                                    <w:div w:id="683749114">
                                      <w:marLeft w:val="0"/>
                                      <w:marRight w:val="0"/>
                                      <w:marTop w:val="0"/>
                                      <w:marBottom w:val="0"/>
                                      <w:divBdr>
                                        <w:top w:val="none" w:sz="0" w:space="0" w:color="auto"/>
                                        <w:left w:val="none" w:sz="0" w:space="0" w:color="auto"/>
                                        <w:bottom w:val="none" w:sz="0" w:space="0" w:color="auto"/>
                                        <w:right w:val="none" w:sz="0" w:space="0" w:color="auto"/>
                                      </w:divBdr>
                                      <w:divsChild>
                                        <w:div w:id="1271545448">
                                          <w:marLeft w:val="0"/>
                                          <w:marRight w:val="0"/>
                                          <w:marTop w:val="0"/>
                                          <w:marBottom w:val="0"/>
                                          <w:divBdr>
                                            <w:top w:val="none" w:sz="0" w:space="0" w:color="auto"/>
                                            <w:left w:val="none" w:sz="0" w:space="0" w:color="auto"/>
                                            <w:bottom w:val="none" w:sz="0" w:space="0" w:color="auto"/>
                                            <w:right w:val="none" w:sz="0" w:space="0" w:color="auto"/>
                                          </w:divBdr>
                                          <w:divsChild>
                                            <w:div w:id="1472359867">
                                              <w:marLeft w:val="0"/>
                                              <w:marRight w:val="0"/>
                                              <w:marTop w:val="0"/>
                                              <w:marBottom w:val="0"/>
                                              <w:divBdr>
                                                <w:top w:val="none" w:sz="0" w:space="0" w:color="auto"/>
                                                <w:left w:val="none" w:sz="0" w:space="0" w:color="auto"/>
                                                <w:bottom w:val="none" w:sz="0" w:space="0" w:color="auto"/>
                                                <w:right w:val="none" w:sz="0" w:space="0" w:color="auto"/>
                                              </w:divBdr>
                                              <w:divsChild>
                                                <w:div w:id="1797678983">
                                                  <w:marLeft w:val="0"/>
                                                  <w:marRight w:val="0"/>
                                                  <w:marTop w:val="0"/>
                                                  <w:marBottom w:val="0"/>
                                                  <w:divBdr>
                                                    <w:top w:val="none" w:sz="0" w:space="0" w:color="auto"/>
                                                    <w:left w:val="none" w:sz="0" w:space="0" w:color="auto"/>
                                                    <w:bottom w:val="none" w:sz="0" w:space="0" w:color="auto"/>
                                                    <w:right w:val="none" w:sz="0" w:space="0" w:color="auto"/>
                                                  </w:divBdr>
                                                  <w:divsChild>
                                                    <w:div w:id="1954938929">
                                                      <w:marLeft w:val="0"/>
                                                      <w:marRight w:val="0"/>
                                                      <w:marTop w:val="0"/>
                                                      <w:marBottom w:val="0"/>
                                                      <w:divBdr>
                                                        <w:top w:val="none" w:sz="0" w:space="0" w:color="auto"/>
                                                        <w:left w:val="none" w:sz="0" w:space="0" w:color="auto"/>
                                                        <w:bottom w:val="none" w:sz="0" w:space="0" w:color="auto"/>
                                                        <w:right w:val="none" w:sz="0" w:space="0" w:color="auto"/>
                                                      </w:divBdr>
                                                      <w:divsChild>
                                                        <w:div w:id="1104692085">
                                                          <w:marLeft w:val="0"/>
                                                          <w:marRight w:val="0"/>
                                                          <w:marTop w:val="0"/>
                                                          <w:marBottom w:val="0"/>
                                                          <w:divBdr>
                                                            <w:top w:val="none" w:sz="0" w:space="0" w:color="auto"/>
                                                            <w:left w:val="none" w:sz="0" w:space="0" w:color="auto"/>
                                                            <w:bottom w:val="none" w:sz="0" w:space="0" w:color="auto"/>
                                                            <w:right w:val="none" w:sz="0" w:space="0" w:color="auto"/>
                                                          </w:divBdr>
                                                          <w:divsChild>
                                                            <w:div w:id="2049446111">
                                                              <w:marLeft w:val="0"/>
                                                              <w:marRight w:val="0"/>
                                                              <w:marTop w:val="0"/>
                                                              <w:marBottom w:val="0"/>
                                                              <w:divBdr>
                                                                <w:top w:val="none" w:sz="0" w:space="0" w:color="auto"/>
                                                                <w:left w:val="none" w:sz="0" w:space="0" w:color="auto"/>
                                                                <w:bottom w:val="none" w:sz="0" w:space="0" w:color="auto"/>
                                                                <w:right w:val="none" w:sz="0" w:space="0" w:color="auto"/>
                                                              </w:divBdr>
                                                              <w:divsChild>
                                                                <w:div w:id="1711954403">
                                                                  <w:marLeft w:val="0"/>
                                                                  <w:marRight w:val="0"/>
                                                                  <w:marTop w:val="0"/>
                                                                  <w:marBottom w:val="0"/>
                                                                  <w:divBdr>
                                                                    <w:top w:val="none" w:sz="0" w:space="0" w:color="auto"/>
                                                                    <w:left w:val="none" w:sz="0" w:space="0" w:color="auto"/>
                                                                    <w:bottom w:val="none" w:sz="0" w:space="0" w:color="auto"/>
                                                                    <w:right w:val="none" w:sz="0" w:space="0" w:color="auto"/>
                                                                  </w:divBdr>
                                                                  <w:divsChild>
                                                                    <w:div w:id="767849069">
                                                                      <w:marLeft w:val="0"/>
                                                                      <w:marRight w:val="0"/>
                                                                      <w:marTop w:val="0"/>
                                                                      <w:marBottom w:val="0"/>
                                                                      <w:divBdr>
                                                                        <w:top w:val="none" w:sz="0" w:space="0" w:color="auto"/>
                                                                        <w:left w:val="none" w:sz="0" w:space="0" w:color="auto"/>
                                                                        <w:bottom w:val="none" w:sz="0" w:space="0" w:color="auto"/>
                                                                        <w:right w:val="none" w:sz="0" w:space="0" w:color="auto"/>
                                                                      </w:divBdr>
                                                                      <w:divsChild>
                                                                        <w:div w:id="209119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581873">
      <w:bodyDiv w:val="1"/>
      <w:marLeft w:val="0"/>
      <w:marRight w:val="0"/>
      <w:marTop w:val="0"/>
      <w:marBottom w:val="0"/>
      <w:divBdr>
        <w:top w:val="none" w:sz="0" w:space="0" w:color="auto"/>
        <w:left w:val="none" w:sz="0" w:space="0" w:color="auto"/>
        <w:bottom w:val="none" w:sz="0" w:space="0" w:color="auto"/>
        <w:right w:val="none" w:sz="0" w:space="0" w:color="auto"/>
      </w:divBdr>
    </w:div>
    <w:div w:id="562102441">
      <w:bodyDiv w:val="1"/>
      <w:marLeft w:val="0"/>
      <w:marRight w:val="0"/>
      <w:marTop w:val="0"/>
      <w:marBottom w:val="0"/>
      <w:divBdr>
        <w:top w:val="none" w:sz="0" w:space="0" w:color="auto"/>
        <w:left w:val="none" w:sz="0" w:space="0" w:color="auto"/>
        <w:bottom w:val="none" w:sz="0" w:space="0" w:color="auto"/>
        <w:right w:val="none" w:sz="0" w:space="0" w:color="auto"/>
      </w:divBdr>
      <w:divsChild>
        <w:div w:id="441924970">
          <w:marLeft w:val="0"/>
          <w:marRight w:val="0"/>
          <w:marTop w:val="0"/>
          <w:marBottom w:val="0"/>
          <w:divBdr>
            <w:top w:val="none" w:sz="0" w:space="0" w:color="auto"/>
            <w:left w:val="none" w:sz="0" w:space="0" w:color="auto"/>
            <w:bottom w:val="none" w:sz="0" w:space="0" w:color="auto"/>
            <w:right w:val="none" w:sz="0" w:space="0" w:color="auto"/>
          </w:divBdr>
          <w:divsChild>
            <w:div w:id="760639817">
              <w:marLeft w:val="0"/>
              <w:marRight w:val="0"/>
              <w:marTop w:val="0"/>
              <w:marBottom w:val="0"/>
              <w:divBdr>
                <w:top w:val="none" w:sz="0" w:space="0" w:color="auto"/>
                <w:left w:val="none" w:sz="0" w:space="0" w:color="auto"/>
                <w:bottom w:val="none" w:sz="0" w:space="0" w:color="auto"/>
                <w:right w:val="none" w:sz="0" w:space="0" w:color="auto"/>
              </w:divBdr>
              <w:divsChild>
                <w:div w:id="1382438706">
                  <w:marLeft w:val="0"/>
                  <w:marRight w:val="0"/>
                  <w:marTop w:val="0"/>
                  <w:marBottom w:val="0"/>
                  <w:divBdr>
                    <w:top w:val="none" w:sz="0" w:space="0" w:color="auto"/>
                    <w:left w:val="none" w:sz="0" w:space="0" w:color="auto"/>
                    <w:bottom w:val="none" w:sz="0" w:space="0" w:color="auto"/>
                    <w:right w:val="none" w:sz="0" w:space="0" w:color="auto"/>
                  </w:divBdr>
                  <w:divsChild>
                    <w:div w:id="1313947418">
                      <w:marLeft w:val="-150"/>
                      <w:marRight w:val="-150"/>
                      <w:marTop w:val="0"/>
                      <w:marBottom w:val="0"/>
                      <w:divBdr>
                        <w:top w:val="none" w:sz="0" w:space="0" w:color="auto"/>
                        <w:left w:val="none" w:sz="0" w:space="0" w:color="auto"/>
                        <w:bottom w:val="none" w:sz="0" w:space="0" w:color="auto"/>
                        <w:right w:val="none" w:sz="0" w:space="0" w:color="auto"/>
                      </w:divBdr>
                      <w:divsChild>
                        <w:div w:id="1566642403">
                          <w:marLeft w:val="0"/>
                          <w:marRight w:val="0"/>
                          <w:marTop w:val="0"/>
                          <w:marBottom w:val="0"/>
                          <w:divBdr>
                            <w:top w:val="none" w:sz="0" w:space="0" w:color="auto"/>
                            <w:left w:val="none" w:sz="0" w:space="0" w:color="auto"/>
                            <w:bottom w:val="none" w:sz="0" w:space="0" w:color="auto"/>
                            <w:right w:val="none" w:sz="0" w:space="0" w:color="auto"/>
                          </w:divBdr>
                          <w:divsChild>
                            <w:div w:id="1376543503">
                              <w:marLeft w:val="0"/>
                              <w:marRight w:val="0"/>
                              <w:marTop w:val="0"/>
                              <w:marBottom w:val="0"/>
                              <w:divBdr>
                                <w:top w:val="none" w:sz="0" w:space="0" w:color="auto"/>
                                <w:left w:val="none" w:sz="0" w:space="0" w:color="auto"/>
                                <w:bottom w:val="none" w:sz="0" w:space="0" w:color="auto"/>
                                <w:right w:val="none" w:sz="0" w:space="0" w:color="auto"/>
                              </w:divBdr>
                              <w:divsChild>
                                <w:div w:id="736635926">
                                  <w:marLeft w:val="0"/>
                                  <w:marRight w:val="0"/>
                                  <w:marTop w:val="0"/>
                                  <w:marBottom w:val="300"/>
                                  <w:divBdr>
                                    <w:top w:val="none" w:sz="0" w:space="0" w:color="auto"/>
                                    <w:left w:val="none" w:sz="0" w:space="0" w:color="auto"/>
                                    <w:bottom w:val="none" w:sz="0" w:space="0" w:color="auto"/>
                                    <w:right w:val="none" w:sz="0" w:space="0" w:color="auto"/>
                                  </w:divBdr>
                                  <w:divsChild>
                                    <w:div w:id="814640400">
                                      <w:marLeft w:val="0"/>
                                      <w:marRight w:val="0"/>
                                      <w:marTop w:val="0"/>
                                      <w:marBottom w:val="0"/>
                                      <w:divBdr>
                                        <w:top w:val="none" w:sz="0" w:space="0" w:color="auto"/>
                                        <w:left w:val="none" w:sz="0" w:space="0" w:color="auto"/>
                                        <w:bottom w:val="none" w:sz="0" w:space="0" w:color="auto"/>
                                        <w:right w:val="none" w:sz="0" w:space="0" w:color="auto"/>
                                      </w:divBdr>
                                      <w:divsChild>
                                        <w:div w:id="167018082">
                                          <w:marLeft w:val="0"/>
                                          <w:marRight w:val="0"/>
                                          <w:marTop w:val="0"/>
                                          <w:marBottom w:val="0"/>
                                          <w:divBdr>
                                            <w:top w:val="none" w:sz="0" w:space="0" w:color="auto"/>
                                            <w:left w:val="none" w:sz="0" w:space="0" w:color="auto"/>
                                            <w:bottom w:val="none" w:sz="0" w:space="0" w:color="auto"/>
                                            <w:right w:val="none" w:sz="0" w:space="0" w:color="auto"/>
                                          </w:divBdr>
                                          <w:divsChild>
                                            <w:div w:id="582302881">
                                              <w:marLeft w:val="0"/>
                                              <w:marRight w:val="0"/>
                                              <w:marTop w:val="0"/>
                                              <w:marBottom w:val="0"/>
                                              <w:divBdr>
                                                <w:top w:val="none" w:sz="0" w:space="0" w:color="auto"/>
                                                <w:left w:val="none" w:sz="0" w:space="0" w:color="auto"/>
                                                <w:bottom w:val="none" w:sz="0" w:space="0" w:color="auto"/>
                                                <w:right w:val="none" w:sz="0" w:space="0" w:color="auto"/>
                                              </w:divBdr>
                                              <w:divsChild>
                                                <w:div w:id="2138984731">
                                                  <w:marLeft w:val="0"/>
                                                  <w:marRight w:val="0"/>
                                                  <w:marTop w:val="0"/>
                                                  <w:marBottom w:val="0"/>
                                                  <w:divBdr>
                                                    <w:top w:val="none" w:sz="0" w:space="0" w:color="auto"/>
                                                    <w:left w:val="none" w:sz="0" w:space="0" w:color="auto"/>
                                                    <w:bottom w:val="none" w:sz="0" w:space="0" w:color="auto"/>
                                                    <w:right w:val="none" w:sz="0" w:space="0" w:color="auto"/>
                                                  </w:divBdr>
                                                  <w:divsChild>
                                                    <w:div w:id="1235236597">
                                                      <w:marLeft w:val="0"/>
                                                      <w:marRight w:val="0"/>
                                                      <w:marTop w:val="0"/>
                                                      <w:marBottom w:val="0"/>
                                                      <w:divBdr>
                                                        <w:top w:val="none" w:sz="0" w:space="0" w:color="auto"/>
                                                        <w:left w:val="none" w:sz="0" w:space="0" w:color="auto"/>
                                                        <w:bottom w:val="none" w:sz="0" w:space="0" w:color="auto"/>
                                                        <w:right w:val="none" w:sz="0" w:space="0" w:color="auto"/>
                                                      </w:divBdr>
                                                      <w:divsChild>
                                                        <w:div w:id="981539670">
                                                          <w:marLeft w:val="0"/>
                                                          <w:marRight w:val="0"/>
                                                          <w:marTop w:val="0"/>
                                                          <w:marBottom w:val="0"/>
                                                          <w:divBdr>
                                                            <w:top w:val="none" w:sz="0" w:space="0" w:color="auto"/>
                                                            <w:left w:val="none" w:sz="0" w:space="0" w:color="auto"/>
                                                            <w:bottom w:val="none" w:sz="0" w:space="0" w:color="auto"/>
                                                            <w:right w:val="none" w:sz="0" w:space="0" w:color="auto"/>
                                                          </w:divBdr>
                                                          <w:divsChild>
                                                            <w:div w:id="372195691">
                                                              <w:marLeft w:val="0"/>
                                                              <w:marRight w:val="0"/>
                                                              <w:marTop w:val="0"/>
                                                              <w:marBottom w:val="0"/>
                                                              <w:divBdr>
                                                                <w:top w:val="none" w:sz="0" w:space="0" w:color="auto"/>
                                                                <w:left w:val="none" w:sz="0" w:space="0" w:color="auto"/>
                                                                <w:bottom w:val="none" w:sz="0" w:space="0" w:color="auto"/>
                                                                <w:right w:val="none" w:sz="0" w:space="0" w:color="auto"/>
                                                              </w:divBdr>
                                                              <w:divsChild>
                                                                <w:div w:id="1286813590">
                                                                  <w:marLeft w:val="0"/>
                                                                  <w:marRight w:val="0"/>
                                                                  <w:marTop w:val="0"/>
                                                                  <w:marBottom w:val="0"/>
                                                                  <w:divBdr>
                                                                    <w:top w:val="none" w:sz="0" w:space="0" w:color="auto"/>
                                                                    <w:left w:val="none" w:sz="0" w:space="0" w:color="auto"/>
                                                                    <w:bottom w:val="none" w:sz="0" w:space="0" w:color="auto"/>
                                                                    <w:right w:val="none" w:sz="0" w:space="0" w:color="auto"/>
                                                                  </w:divBdr>
                                                                  <w:divsChild>
                                                                    <w:div w:id="473108049">
                                                                      <w:marLeft w:val="0"/>
                                                                      <w:marRight w:val="0"/>
                                                                      <w:marTop w:val="0"/>
                                                                      <w:marBottom w:val="0"/>
                                                                      <w:divBdr>
                                                                        <w:top w:val="none" w:sz="0" w:space="0" w:color="auto"/>
                                                                        <w:left w:val="none" w:sz="0" w:space="0" w:color="auto"/>
                                                                        <w:bottom w:val="none" w:sz="0" w:space="0" w:color="auto"/>
                                                                        <w:right w:val="none" w:sz="0" w:space="0" w:color="auto"/>
                                                                      </w:divBdr>
                                                                      <w:divsChild>
                                                                        <w:div w:id="5257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5263241">
      <w:bodyDiv w:val="1"/>
      <w:marLeft w:val="0"/>
      <w:marRight w:val="0"/>
      <w:marTop w:val="0"/>
      <w:marBottom w:val="0"/>
      <w:divBdr>
        <w:top w:val="none" w:sz="0" w:space="0" w:color="auto"/>
        <w:left w:val="none" w:sz="0" w:space="0" w:color="auto"/>
        <w:bottom w:val="none" w:sz="0" w:space="0" w:color="auto"/>
        <w:right w:val="none" w:sz="0" w:space="0" w:color="auto"/>
      </w:divBdr>
    </w:div>
    <w:div w:id="965624453">
      <w:bodyDiv w:val="1"/>
      <w:marLeft w:val="0"/>
      <w:marRight w:val="0"/>
      <w:marTop w:val="0"/>
      <w:marBottom w:val="0"/>
      <w:divBdr>
        <w:top w:val="none" w:sz="0" w:space="0" w:color="auto"/>
        <w:left w:val="none" w:sz="0" w:space="0" w:color="auto"/>
        <w:bottom w:val="none" w:sz="0" w:space="0" w:color="auto"/>
        <w:right w:val="none" w:sz="0" w:space="0" w:color="auto"/>
      </w:divBdr>
    </w:div>
    <w:div w:id="1662076462">
      <w:bodyDiv w:val="1"/>
      <w:marLeft w:val="0"/>
      <w:marRight w:val="0"/>
      <w:marTop w:val="0"/>
      <w:marBottom w:val="0"/>
      <w:divBdr>
        <w:top w:val="none" w:sz="0" w:space="0" w:color="auto"/>
        <w:left w:val="none" w:sz="0" w:space="0" w:color="auto"/>
        <w:bottom w:val="none" w:sz="0" w:space="0" w:color="auto"/>
        <w:right w:val="none" w:sz="0" w:space="0" w:color="auto"/>
      </w:divBdr>
    </w:div>
    <w:div w:id="208241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EF029FF-46B4-46D9-9DE6-F7DA0AABC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7</Pages>
  <Words>2044</Words>
  <Characters>12290</Characters>
  <Application>Microsoft Office Word</Application>
  <DocSecurity>0</DocSecurity>
  <Lines>227</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2019-07-29T14:51:00Z</dcterms:created>
  <dcterms:modified xsi:type="dcterms:W3CDTF">2019-08-05T12:46:00Z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7.0, Build 20190717</vt:lpwstr>
  </property>
  <property fmtid="{D5CDD505-2E9C-101B-9397-08002B2CF9AE}" pid="3" name="Category">
    <vt:lpwstr>COM/AA/NOEEA</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SJ-014</vt:lpwstr>
  </property>
  <property fmtid="{D5CDD505-2E9C-101B-9397-08002B2CF9AE}" pid="8" name="DQCStatus">
    <vt:lpwstr>Yellow (DQC version 03)</vt:lpwstr>
  </property>
</Properties>
</file>