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B71DD07-A031-4209-A145-DBA7AB04B776" style="width:451.1pt;height:415.8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299"/>
        </w:sectPr>
      </w:pPr>
    </w:p>
    <w:p>
      <w:pPr>
        <w:rPr>
          <w:rFonts w:ascii="Times New Roman" w:hAnsi="Times New Roman" w:cs="Times New Roman"/>
          <w:noProof/>
        </w:rPr>
      </w:pPr>
      <w:bookmarkStart w:id="1" w:name="_GoBack"/>
      <w:bookmarkEnd w:id="1"/>
    </w:p>
    <w:p>
      <w:pPr>
        <w:rPr>
          <w:rFonts w:ascii="Times New Roman" w:hAnsi="Times New Roman" w:cs="Times New Roman"/>
          <w:noProof/>
        </w:rPr>
      </w:pPr>
    </w:p>
    <w:p>
      <w:pPr>
        <w:pStyle w:val="TOCHeading"/>
        <w:rPr>
          <w:noProof/>
          <w:sz w:val="28"/>
          <w:szCs w:val="28"/>
        </w:rPr>
      </w:pPr>
      <w:r>
        <w:rPr>
          <w:noProof/>
          <w:sz w:val="28"/>
          <w:szCs w:val="28"/>
        </w:rPr>
        <w:t>Table of contents</w:t>
      </w:r>
    </w:p>
    <w:p>
      <w:pPr>
        <w:pStyle w:val="TOC1"/>
        <w:rPr>
          <w:rFonts w:eastAsiaTheme="minorEastAsia"/>
          <w:caps w:val="0"/>
          <w:noProof/>
          <w:sz w:val="22"/>
          <w:szCs w:val="22"/>
          <w:lang w:eastAsia="en-GB"/>
        </w:rPr>
      </w:pPr>
      <w:r>
        <w:rPr>
          <w:caps w:val="0"/>
          <w:noProof/>
        </w:rPr>
        <w:fldChar w:fldCharType="begin"/>
      </w:r>
      <w:r>
        <w:rPr>
          <w:caps w:val="0"/>
          <w:noProof/>
        </w:rPr>
        <w:instrText xml:space="preserve"> TOC \o "1-3" \h \z \u </w:instrText>
      </w:r>
      <w:r>
        <w:rPr>
          <w:caps w:val="0"/>
          <w:noProof/>
        </w:rPr>
        <w:fldChar w:fldCharType="separate"/>
      </w:r>
      <w:hyperlink w:anchor="_Toc11150790"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_Toc11150790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791"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792"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793"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50794"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_Toc11150794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795" w:history="1">
        <w:r>
          <w:rPr>
            <w:rStyle w:val="Hyperlink"/>
            <w:rFonts w:ascii="Times New Roman" w:hAnsi="Times New Roman" w:cs="Times New Roman"/>
            <w:noProof/>
            <w:lang w:val="en-IE"/>
          </w:rPr>
          <w:t>Dimension decarbonisation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rPr>
      </w:pPr>
      <w:hyperlink w:anchor="_Toc11150796" w:history="1">
        <w:r>
          <w:rPr>
            <w:rStyle w:val="Hyperlink"/>
            <w:rFonts w:ascii="Times New Roman" w:hAnsi="Times New Roman" w:cs="Times New Roman"/>
            <w:noProof/>
            <w:lang w:val="en-GB"/>
          </w:rPr>
          <w:t>Greenhouse gas emissions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rPr>
      </w:pPr>
      <w:hyperlink w:anchor="_Toc11150797" w:history="1">
        <w:r>
          <w:rPr>
            <w:rStyle w:val="Hyperlink"/>
            <w:rFonts w:ascii="Times New Roman" w:hAnsi="Times New Roman" w:cs="Times New Roman"/>
            <w:noProof/>
            <w:lang w:val="en-GB"/>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798"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799"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_Toc11150799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800" w:history="1">
        <w:r>
          <w:rPr>
            <w:rStyle w:val="Hyperlink"/>
            <w:rFonts w:ascii="Times New Roman" w:hAnsi="Times New Roman" w:cs="Times New Roman"/>
            <w:noProof/>
            <w:lang w:val="en-IE"/>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_Toc11150800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801"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_Toc11150801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50802"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_Toc11150802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caps w:val="0"/>
          <w:noProof/>
          <w:sz w:val="22"/>
          <w:szCs w:val="22"/>
          <w:lang w:eastAsia="en-GB"/>
        </w:rPr>
      </w:pPr>
      <w:hyperlink w:anchor="_Toc11150804"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_Toc11150804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caps w:val="0"/>
          <w:noProof/>
          <w:sz w:val="22"/>
          <w:szCs w:val="22"/>
          <w:lang w:eastAsia="en-GB"/>
        </w:rPr>
      </w:pPr>
      <w:hyperlink w:anchor="_Toc11150805"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_Toc11150805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806"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_Toc11150806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rPr>
      </w:pPr>
      <w:hyperlink w:anchor="_Toc11150807" w:history="1">
        <w:r>
          <w:rPr>
            <w:rStyle w:val="Hyperlink"/>
            <w:rFonts w:ascii="Times New Roman" w:hAnsi="Times New Roman" w:cs="Times New Roman"/>
            <w:noProof/>
          </w:rPr>
          <w:t>Robustness of the Estonian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_Toc11150807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1"/>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1"/>
          <w:cols w:space="720"/>
          <w:docGrid w:linePitch="299"/>
        </w:sectPr>
      </w:pPr>
      <w:r>
        <w:rPr>
          <w:caps w:val="0"/>
          <w:noProof/>
        </w:rPr>
        <w:fldChar w:fldCharType="end"/>
      </w:r>
    </w:p>
    <w:p>
      <w:pPr>
        <w:pStyle w:val="Heading1"/>
        <w:numPr>
          <w:ilvl w:val="0"/>
          <w:numId w:val="3"/>
        </w:numPr>
        <w:rPr>
          <w:noProof/>
        </w:rPr>
      </w:pPr>
      <w:bookmarkStart w:id="2" w:name="_Toc8828616"/>
      <w:bookmarkStart w:id="3" w:name="_Toc8829530"/>
      <w:bookmarkStart w:id="4" w:name="_Toc11150790"/>
      <w:r>
        <w:rPr>
          <w:noProof/>
        </w:rPr>
        <w:lastRenderedPageBreak/>
        <w:t>Summary</w:t>
      </w:r>
      <w:bookmarkEnd w:id="2"/>
      <w:bookmarkEnd w:id="3"/>
      <w:bookmarkEnd w:id="4"/>
      <w:r>
        <w:rPr>
          <w:noProof/>
        </w:rPr>
        <w:t xml:space="preserve"> </w:t>
      </w:r>
    </w:p>
    <w:p>
      <w:pPr>
        <w:pStyle w:val="Heading2"/>
        <w:rPr>
          <w:noProof/>
        </w:rPr>
      </w:pPr>
      <w:bookmarkStart w:id="5" w:name="_Toc8828617"/>
      <w:bookmarkStart w:id="6" w:name="_Toc8829531"/>
      <w:bookmarkStart w:id="7" w:name="_Toc11150791"/>
      <w:r>
        <w:rPr>
          <w:noProof/>
        </w:rPr>
        <w:t>Main observations</w:t>
      </w:r>
      <w:r>
        <w:rPr>
          <w:noProof/>
          <w:vertAlign w:val="superscript"/>
        </w:rPr>
        <w:footnoteReference w:id="2"/>
      </w:r>
      <w:bookmarkEnd w:id="5"/>
      <w:bookmarkEnd w:id="6"/>
      <w:bookmarkEnd w:id="7"/>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Estonia’s draft National Energy and Climate Plan (NECP) builds on existing energy and climate (including adaption) policy framework. The key objectives  relate to the decarbonisation and energy efficiency dimensions. Significant work is ongoing on completing elements of the analytical basis for the final plan, including the impact assessment.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Estonia’s 2030 target for </w:t>
      </w:r>
      <w:r>
        <w:rPr>
          <w:b/>
          <w:noProof/>
          <w:sz w:val="22"/>
          <w:szCs w:val="22"/>
        </w:rPr>
        <w:t>greenhouse gas emissions</w:t>
      </w:r>
      <w:r>
        <w:rPr>
          <w:noProof/>
          <w:sz w:val="22"/>
          <w:szCs w:val="22"/>
        </w:rPr>
        <w:t xml:space="preserve"> in sectors not covered by the EU Emissions Trading System (non-ETS) is -13 % compared to 2005 as set in the Effort Sharing Regulation (ESR)</w:t>
      </w:r>
      <w:r>
        <w:rPr>
          <w:rStyle w:val="FootnoteReference"/>
          <w:noProof/>
          <w:sz w:val="22"/>
          <w:szCs w:val="22"/>
        </w:rPr>
        <w:footnoteReference w:id="3"/>
      </w:r>
      <w:r>
        <w:rPr>
          <w:noProof/>
          <w:sz w:val="22"/>
          <w:szCs w:val="22"/>
        </w:rPr>
        <w:t xml:space="preserve">. The European Commission estimates that with existing measures Estonia may miss this target by 21 percentage points, but the draft NECP seems to indicate that planned additional measures may close this gap. More detail is needed on policies in the building sector and on the expected impact of planned policies, in particular on the combined impact of different transport policies. The final plan would also benefit from information on whether any use of flexibilities between the effort sharing and land use sectors is planned.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lang w:val="en-IE"/>
        </w:rPr>
        <w:t xml:space="preserve">Estonia mentions that it intends to comply with the </w:t>
      </w:r>
      <w:r>
        <w:rPr>
          <w:b/>
          <w:noProof/>
          <w:sz w:val="22"/>
          <w:szCs w:val="22"/>
          <w:lang w:val="en-IE"/>
        </w:rPr>
        <w:t>Land Use, Land Use Change and Forestry (LULUCF)</w:t>
      </w:r>
      <w:r>
        <w:rPr>
          <w:rStyle w:val="FootnoteReference"/>
          <w:b/>
          <w:noProof/>
          <w:sz w:val="22"/>
          <w:szCs w:val="22"/>
          <w:lang w:val="en-IE"/>
        </w:rPr>
        <w:footnoteReference w:id="4"/>
      </w:r>
      <w:r>
        <w:rPr>
          <w:noProof/>
          <w:sz w:val="22"/>
          <w:szCs w:val="22"/>
          <w:lang w:val="en-IE"/>
        </w:rPr>
        <w:t xml:space="preserve"> no-debit commitment (i.e. emissions do not exceed removals). However, the draft plan provides no information as to how accounted greenhouse gas emissions or removals in the sectors will evolve.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Estonia estimates a share </w:t>
      </w:r>
      <w:r>
        <w:rPr>
          <w:noProof/>
          <w:sz w:val="22"/>
        </w:rPr>
        <w:t>of 42 %</w:t>
      </w:r>
      <w:r>
        <w:rPr>
          <w:b/>
          <w:noProof/>
          <w:sz w:val="22"/>
        </w:rPr>
        <w:t xml:space="preserve"> </w:t>
      </w:r>
      <w:r>
        <w:rPr>
          <w:noProof/>
          <w:sz w:val="22"/>
        </w:rPr>
        <w:t xml:space="preserve">of </w:t>
      </w:r>
      <w:r>
        <w:rPr>
          <w:b/>
          <w:noProof/>
          <w:sz w:val="22"/>
        </w:rPr>
        <w:t>energy from renewable sources</w:t>
      </w:r>
      <w:r>
        <w:rPr>
          <w:noProof/>
          <w:sz w:val="22"/>
        </w:rPr>
        <w:t xml:space="preserve"> in gross final consumption of energy for 2030. This level of ambition, not clearly set out as a contribution to the EU renewable energy target for 2030</w:t>
      </w:r>
      <w:r>
        <w:rPr>
          <w:noProof/>
          <w:sz w:val="22"/>
          <w:szCs w:val="22"/>
        </w:rPr>
        <w:t>, is significantly above the share of 37 % in 2030 that results from the formula in Annex II of the Governance Regulation</w:t>
      </w:r>
      <w:r>
        <w:rPr>
          <w:rStyle w:val="FootnoteReference"/>
          <w:noProof/>
          <w:sz w:val="22"/>
          <w:szCs w:val="22"/>
        </w:rPr>
        <w:footnoteReference w:id="5"/>
      </w:r>
      <w:r>
        <w:rPr>
          <w:noProof/>
          <w:sz w:val="22"/>
          <w:szCs w:val="22"/>
        </w:rPr>
        <w:t xml:space="preserve">. The lack of scenarios with existing or additional measures and limited information on policies and measures makes it difficult to assess whether or not this share will be reached. </w:t>
      </w:r>
      <w:r>
        <w:rPr>
          <w:noProof/>
          <w:sz w:val="22"/>
        </w:rPr>
        <w:t>In the transport sector, there is limited progress towards the 2020 target, and concrete measures to meet the 14 % target for 2030 have not yet been provided.</w:t>
      </w:r>
      <w:r>
        <w:rPr>
          <w:noProof/>
        </w:rPr>
        <w:t xml:space="preserve"> </w:t>
      </w:r>
      <w:r>
        <w:rPr>
          <w:noProof/>
          <w:sz w:val="22"/>
          <w:szCs w:val="22"/>
        </w:rPr>
        <w:t>The final plan would thus benefit from elaborating further on the policies and measures allowing the achievement of the foreseen contributions and on other relevant sectorial measures.</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Estonia sets a contribution to the EU </w:t>
      </w:r>
      <w:r>
        <w:rPr>
          <w:b/>
          <w:noProof/>
          <w:sz w:val="22"/>
          <w:szCs w:val="22"/>
        </w:rPr>
        <w:t>energy efficiency</w:t>
      </w:r>
      <w:r>
        <w:rPr>
          <w:noProof/>
          <w:sz w:val="22"/>
          <w:szCs w:val="22"/>
        </w:rPr>
        <w:t xml:space="preserve"> target in terms of primary energy consumption of maximum 5.49 Mtoe. An official corresponding figure for final energy consumption is not yet provided. The draft contribution represents low ambition, and more details on policies and measures would be necessary to assess their sufficiency. Opportunities for growth and job creation are not yet fully exploited</w:t>
      </w:r>
      <w:r>
        <w:rPr>
          <w:noProof/>
          <w:sz w:val="22"/>
          <w:szCs w:val="22"/>
          <w:lang w:val="en-IE"/>
        </w:rPr>
        <w:t>.</w:t>
      </w:r>
      <w:r>
        <w:rPr>
          <w:noProof/>
          <w:sz w:val="22"/>
          <w:szCs w:val="22"/>
        </w:rPr>
        <w:t xml:space="preserve">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NECP mentions the Baltic synchronisation project and the </w:t>
      </w:r>
      <w:r>
        <w:rPr>
          <w:noProof/>
          <w:sz w:val="22"/>
          <w:szCs w:val="22"/>
          <w:lang w:val="en-IE"/>
        </w:rPr>
        <w:t>Balticconnector pipeline</w:t>
      </w:r>
      <w:r>
        <w:rPr>
          <w:noProof/>
          <w:sz w:val="22"/>
          <w:szCs w:val="22"/>
        </w:rPr>
        <w:t xml:space="preserve"> as key </w:t>
      </w:r>
      <w:r>
        <w:rPr>
          <w:b/>
          <w:noProof/>
          <w:sz w:val="22"/>
          <w:szCs w:val="22"/>
        </w:rPr>
        <w:t>energy security</w:t>
      </w:r>
      <w:r>
        <w:rPr>
          <w:noProof/>
          <w:sz w:val="22"/>
          <w:szCs w:val="22"/>
        </w:rPr>
        <w:t xml:space="preserve"> measures. The final plan would benefit from detailing Estonia’s strategy for ensuring electricity generation adequacy and gas supply diversification and decreasing gas import dependency, as well as addressing the remaining challenges related to the completion of the Baltic synchronisation project.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Estonia already has an electricity interconnectivity level of 63 %, and the draft NECP  does not specify the </w:t>
      </w:r>
      <w:r>
        <w:rPr>
          <w:b/>
          <w:noProof/>
          <w:sz w:val="22"/>
          <w:szCs w:val="22"/>
        </w:rPr>
        <w:t xml:space="preserve">interconnection level </w:t>
      </w:r>
      <w:r>
        <w:rPr>
          <w:noProof/>
          <w:sz w:val="22"/>
          <w:szCs w:val="22"/>
        </w:rPr>
        <w:t>aimed for in 2030</w:t>
      </w:r>
      <w:r>
        <w:rPr>
          <w:b/>
          <w:noProof/>
          <w:sz w:val="22"/>
          <w:szCs w:val="22"/>
        </w:rPr>
        <w:t xml:space="preserve">. </w:t>
      </w:r>
      <w:r>
        <w:rPr>
          <w:noProof/>
          <w:sz w:val="22"/>
          <w:szCs w:val="22"/>
        </w:rPr>
        <w:t xml:space="preserve">The quantitative </w:t>
      </w:r>
      <w:r>
        <w:rPr>
          <w:b/>
          <w:noProof/>
          <w:sz w:val="22"/>
          <w:szCs w:val="22"/>
        </w:rPr>
        <w:t>internal energy market</w:t>
      </w:r>
      <w:r>
        <w:rPr>
          <w:noProof/>
          <w:sz w:val="22"/>
          <w:szCs w:val="22"/>
        </w:rPr>
        <w:t xml:space="preserve"> indicators included represent a good start, which the final plan could build on by providing additional core parameters on market functioning, corresponding future objectives and quantifiable supporting policies and measures. While the draft plan sets out detailed specific policies and measures to define and address </w:t>
      </w:r>
      <w:r>
        <w:rPr>
          <w:b/>
          <w:noProof/>
          <w:sz w:val="22"/>
          <w:szCs w:val="22"/>
        </w:rPr>
        <w:t>energy poverty</w:t>
      </w:r>
      <w:r>
        <w:rPr>
          <w:noProof/>
          <w:sz w:val="22"/>
          <w:szCs w:val="22"/>
        </w:rPr>
        <w:t>, there would be benefit in further assessing and highlighting in the final plan objectives and policies for reducing energy poverty, as well as their intended impacts.</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NECP identifies a number of research domains which will receive attention. However, identifying clear </w:t>
      </w:r>
      <w:r>
        <w:rPr>
          <w:b/>
          <w:noProof/>
          <w:sz w:val="22"/>
          <w:szCs w:val="22"/>
        </w:rPr>
        <w:t>research and innovation</w:t>
      </w:r>
      <w:r>
        <w:rPr>
          <w:noProof/>
          <w:sz w:val="22"/>
          <w:szCs w:val="22"/>
        </w:rPr>
        <w:t xml:space="preserve"> objectives and funding targets, as well as corresponding policies and measures for 2030 would make the final NECP even more comprehensive.</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8"/>
        </w:rPr>
      </w:pPr>
      <w:r>
        <w:rPr>
          <w:noProof/>
          <w:sz w:val="22"/>
          <w:szCs w:val="22"/>
          <w:lang w:val="en-IE"/>
        </w:rPr>
        <w:t xml:space="preserve">The draft plan includes references to financing sources for some policies and measures, notably EU funding programmes and the national budget. </w:t>
      </w:r>
      <w:r>
        <w:rPr>
          <w:noProof/>
          <w:sz w:val="22"/>
          <w:szCs w:val="22"/>
        </w:rPr>
        <w:t xml:space="preserve">Information on </w:t>
      </w:r>
      <w:r>
        <w:rPr>
          <w:b/>
          <w:noProof/>
          <w:sz w:val="22"/>
          <w:szCs w:val="22"/>
        </w:rPr>
        <w:t>investment needs</w:t>
      </w:r>
      <w:r>
        <w:rPr>
          <w:noProof/>
          <w:sz w:val="22"/>
          <w:szCs w:val="22"/>
        </w:rPr>
        <w:t xml:space="preserve"> needs to be included in the final NECP, thus fully taking advantage of the role NECPs can play in providing clarity to investors and attracting additional investments in the clean energy transition. The final plan would also benefit from an analysis of how the Modernisation Fund can be used to foster transformation of the economy.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There is potential for intensifying already existing </w:t>
      </w:r>
      <w:r>
        <w:rPr>
          <w:b/>
          <w:noProof/>
          <w:sz w:val="22"/>
          <w:szCs w:val="22"/>
        </w:rPr>
        <w:t>regional cooperation</w:t>
      </w:r>
      <w:r>
        <w:rPr>
          <w:noProof/>
          <w:sz w:val="22"/>
          <w:szCs w:val="22"/>
        </w:rPr>
        <w:t xml:space="preserve"> between Estonia and the other Baltic countries, extending them to new areas and broadening the geographic reach to include the Nordic countries.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NECP mentions the importance of the link with </w:t>
      </w:r>
      <w:r>
        <w:rPr>
          <w:b/>
          <w:noProof/>
          <w:sz w:val="22"/>
          <w:szCs w:val="22"/>
        </w:rPr>
        <w:t>air quality and air emissions policy</w:t>
      </w:r>
      <w:r>
        <w:rPr>
          <w:noProof/>
          <w:sz w:val="22"/>
          <w:szCs w:val="22"/>
        </w:rPr>
        <w:t xml:space="preserve"> and states that these interactions will be quantitatively assessed in its final version.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issue of a </w:t>
      </w:r>
      <w:r>
        <w:rPr>
          <w:b/>
          <w:noProof/>
          <w:sz w:val="22"/>
          <w:szCs w:val="22"/>
        </w:rPr>
        <w:t>just transition</w:t>
      </w:r>
      <w:r>
        <w:rPr>
          <w:noProof/>
          <w:sz w:val="22"/>
          <w:szCs w:val="22"/>
        </w:rPr>
        <w:t xml:space="preserve"> to a climate neutral economy could be better integrated throughout the plan, by considering social and employment impacts, for example shifts in sectors/industries, distributional effects  and revenue recycling.  The plan would benefit from providing more details on the question of skills and training.</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lang w:val="en-IE"/>
        </w:rPr>
        <w:t xml:space="preserve">A </w:t>
      </w:r>
      <w:r>
        <w:rPr>
          <w:noProof/>
          <w:sz w:val="22"/>
          <w:szCs w:val="22"/>
        </w:rPr>
        <w:t xml:space="preserve">list of actions undertaken and planned to phase-out </w:t>
      </w:r>
      <w:r>
        <w:rPr>
          <w:b/>
          <w:noProof/>
          <w:sz w:val="22"/>
          <w:szCs w:val="22"/>
        </w:rPr>
        <w:t>energy subsidies</w:t>
      </w:r>
      <w:r>
        <w:rPr>
          <w:noProof/>
          <w:sz w:val="22"/>
          <w:szCs w:val="22"/>
        </w:rPr>
        <w:t>, in particular for fossil fuels, needs to be included in the final plan.</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An element of </w:t>
      </w:r>
      <w:r>
        <w:rPr>
          <w:b/>
          <w:noProof/>
          <w:sz w:val="22"/>
          <w:szCs w:val="22"/>
        </w:rPr>
        <w:t>good practice</w:t>
      </w:r>
      <w:r>
        <w:rPr>
          <w:noProof/>
          <w:sz w:val="22"/>
          <w:szCs w:val="22"/>
        </w:rPr>
        <w:t xml:space="preserve"> is the translation of the objective of uninterrupted supply in the energy security dimension into a series of detailed indicators and sub-targets.</w:t>
      </w:r>
    </w:p>
    <w:p>
      <w:pPr>
        <w:rPr>
          <w:rFonts w:ascii="Times New Roman" w:hAnsi="Times New Roman" w:cs="Times New Roman"/>
          <w:noProof/>
          <w:lang w:val="en-GB"/>
        </w:rPr>
      </w:pPr>
    </w:p>
    <w:p>
      <w:pPr>
        <w:pStyle w:val="Heading2"/>
        <w:rPr>
          <w:noProof/>
        </w:rPr>
      </w:pPr>
      <w:bookmarkStart w:id="8" w:name="_Toc8828618"/>
      <w:bookmarkStart w:id="9" w:name="_Toc8829532"/>
      <w:bookmarkStart w:id="10" w:name="_Toc11150792"/>
      <w:r>
        <w:rPr>
          <w:noProof/>
        </w:rPr>
        <w:t>Preparation and submission of the draft plan</w:t>
      </w:r>
      <w:bookmarkEnd w:id="8"/>
      <w:bookmarkEnd w:id="9"/>
      <w:bookmarkEnd w:id="10"/>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Estonia notified its draft National Energy and Climate Plan (NECP) to the European Commission on 28 December 2018. The draft NECP is based on three climate and energy policy documents, approved in 2017: the Climate Change Adaptation Plan until 2030 (CCAP 2030), the General Principles of Climate Policy until 2050 (</w:t>
      </w:r>
      <w:r>
        <w:rPr>
          <w:rFonts w:ascii="Times New Roman" w:hAnsi="Times New Roman" w:cs="Times New Roman"/>
          <w:noProof/>
          <w:lang w:val="en-IE"/>
        </w:rPr>
        <w:t>GPCP 2050</w:t>
      </w:r>
      <w:r>
        <w:rPr>
          <w:rFonts w:ascii="Times New Roman" w:hAnsi="Times New Roman" w:cs="Times New Roman"/>
          <w:noProof/>
          <w:lang w:val="en-GB"/>
        </w:rPr>
        <w:t>), and the National Energy Development Plan 2030 (NEDP 2030+). The Ministry of Economic Affairs and Communications and the Ministry of the Environment were in charge of preparing the draft NECP. Relevant stakeholders were involved in the development of the policy documents and were also given the opportunity to participate in the development of the draft NECP.</w:t>
      </w:r>
    </w:p>
    <w:p>
      <w:pPr>
        <w:jc w:val="both"/>
        <w:rPr>
          <w:rFonts w:ascii="Times New Roman" w:hAnsi="Times New Roman" w:cs="Times New Roman"/>
          <w:noProof/>
          <w:lang w:val="en-GB"/>
        </w:rPr>
      </w:pPr>
      <w:r>
        <w:rPr>
          <w:rFonts w:ascii="Times New Roman" w:hAnsi="Times New Roman" w:cs="Times New Roman"/>
          <w:noProof/>
          <w:lang w:val="en-GB"/>
        </w:rPr>
        <w:t xml:space="preserve">The Estonian government presented the draft NECP to the national parliament and local governments, and an initial stakeholder consultation has taken place. Further inter-ministerial and stakeholder </w:t>
      </w:r>
      <w:r>
        <w:rPr>
          <w:rFonts w:ascii="Times New Roman" w:hAnsi="Times New Roman" w:cs="Times New Roman"/>
          <w:b/>
          <w:noProof/>
          <w:lang w:val="en-GB"/>
        </w:rPr>
        <w:t>consultations</w:t>
      </w:r>
      <w:r>
        <w:rPr>
          <w:rFonts w:ascii="Times New Roman" w:hAnsi="Times New Roman" w:cs="Times New Roman"/>
          <w:noProof/>
          <w:lang w:val="en-GB"/>
        </w:rPr>
        <w:t xml:space="preserve"> are foreseen in connection with the finalisation of the plan.</w:t>
      </w:r>
    </w:p>
    <w:p>
      <w:pPr>
        <w:jc w:val="both"/>
        <w:rPr>
          <w:rFonts w:ascii="Times New Roman" w:hAnsi="Times New Roman" w:cs="Times New Roman"/>
          <w:noProof/>
          <w:lang w:val="en-GB"/>
        </w:rPr>
      </w:pPr>
      <w:r>
        <w:rPr>
          <w:rFonts w:ascii="Times New Roman" w:hAnsi="Times New Roman" w:cs="Times New Roman"/>
          <w:noProof/>
          <w:lang w:val="en-GB"/>
        </w:rPr>
        <w:t xml:space="preserve">Estonia has presented the draft NECP to other Baltic and Nordic Member States. The draft plan mentions Estonia’s active involvement in the Baltic Council of Ministers and the Baltic Energy Market Interconnection (BEMIP) work and lists the key discussion topics (such as electricity, gas, renewable energy and energy efficiency), without referring specifically to the role of </w:t>
      </w:r>
      <w:r>
        <w:rPr>
          <w:rFonts w:ascii="Times New Roman" w:hAnsi="Times New Roman" w:cs="Times New Roman"/>
          <w:b/>
          <w:noProof/>
          <w:lang w:val="en-GB"/>
        </w:rPr>
        <w:t>regional cooperation</w:t>
      </w:r>
      <w:r>
        <w:rPr>
          <w:rFonts w:ascii="Times New Roman" w:hAnsi="Times New Roman" w:cs="Times New Roman"/>
          <w:noProof/>
          <w:lang w:val="en-GB"/>
        </w:rPr>
        <w:t xml:space="preserve"> in the preparation of the draft plan.</w:t>
      </w:r>
    </w:p>
    <w:p>
      <w:pPr>
        <w:pStyle w:val="Heading2"/>
        <w:rPr>
          <w:noProof/>
        </w:rPr>
      </w:pPr>
      <w:bookmarkStart w:id="11" w:name="_Toc8828619"/>
      <w:bookmarkStart w:id="12" w:name="_Toc8829533"/>
      <w:bookmarkStart w:id="13" w:name="_Toc11150793"/>
      <w:r>
        <w:rPr>
          <w:noProof/>
        </w:rPr>
        <w:t>Overview of the key objectives, targets and contributions</w:t>
      </w:r>
      <w:bookmarkEnd w:id="11"/>
      <w:bookmarkEnd w:id="12"/>
      <w:bookmarkEnd w:id="13"/>
    </w:p>
    <w:p>
      <w:pPr>
        <w:jc w:val="both"/>
        <w:rPr>
          <w:rFonts w:ascii="Times New Roman" w:hAnsi="Times New Roman" w:cs="Times New Roman"/>
          <w:noProof/>
          <w:lang w:val="en-GB"/>
        </w:rPr>
      </w:pPr>
      <w:r>
        <w:rPr>
          <w:rFonts w:ascii="Times New Roman" w:hAnsi="Times New Roman" w:cs="Times New Roman"/>
          <w:noProof/>
          <w:lang w:val="en-GB"/>
        </w:rPr>
        <w:t>The following table presents an overview of Estonia’s objectives, targets and contributions under the Governance Regulation:</w:t>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+10</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+11</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-13</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As in ESR</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29.2</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25</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42</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Above 37 % (result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5.6</w:t>
            </w:r>
          </w:p>
        </w:tc>
        <w:tc>
          <w:tcPr>
            <w:tcW w:w="867"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6.5</w:t>
            </w:r>
          </w:p>
        </w:tc>
        <w:tc>
          <w:tcPr>
            <w:tcW w:w="1177"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5.5</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Low</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2.9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2.8</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eastAsia="fr-BE"/>
              </w:rPr>
            </w:pPr>
            <w:r>
              <w:rPr>
                <w:rFonts w:ascii="Times New Roman" w:hAnsi="Times New Roman" w:cs="Times New Roman"/>
                <w:noProof/>
                <w:sz w:val="20"/>
                <w:szCs w:val="20"/>
              </w:rPr>
              <w:t>(2.75)</w:t>
            </w:r>
            <w:r>
              <w:rPr>
                <w:rStyle w:val="FootnoteReference"/>
                <w:noProof/>
                <w:sz w:val="20"/>
                <w:szCs w:val="20"/>
              </w:rPr>
              <w:footnoteReference w:id="6"/>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Low</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63</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76</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eastAsia="fr-BE"/>
              </w:rPr>
            </w:pPr>
            <w:r>
              <w:rPr>
                <w:rFonts w:ascii="Times New Roman" w:hAnsi="Times New Roman" w:cs="Times New Roman"/>
                <w:noProof/>
                <w:sz w:val="20"/>
                <w:szCs w:val="20"/>
              </w:rPr>
              <w:t>Not provided</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jc w:val="center"/>
        <w:rPr>
          <w:rFonts w:ascii="Times New Roman" w:hAnsi="Times New Roman" w:cs="Times New Roman"/>
          <w:i/>
          <w:noProof/>
          <w:sz w:val="20"/>
          <w:szCs w:val="20"/>
          <w:lang w:val="en-IE"/>
        </w:rPr>
      </w:pPr>
      <w:r>
        <w:rPr>
          <w:rFonts w:ascii="Times New Roman" w:hAnsi="Times New Roman" w:cs="Times New Roman"/>
          <w:i/>
          <w:noProof/>
          <w:sz w:val="20"/>
          <w:szCs w:val="20"/>
          <w:lang w:val="en-IE"/>
        </w:rPr>
        <w:t>Sources: EU Commission, ENERGY STATISTICS, Energy datasheets: EU28 countries; SWD(2018)453; European Semester by country</w:t>
      </w:r>
      <w:r>
        <w:rPr>
          <w:rStyle w:val="FootnoteReference"/>
          <w:rFonts w:ascii="Times New Roman" w:hAnsi="Times New Roman" w:cs="Times New Roman"/>
          <w:i/>
          <w:noProof/>
          <w:sz w:val="20"/>
          <w:szCs w:val="20"/>
          <w:lang w:val="en-IE"/>
        </w:rPr>
        <w:footnoteReference w:id="7"/>
      </w:r>
      <w:r>
        <w:rPr>
          <w:rFonts w:ascii="Times New Roman" w:hAnsi="Times New Roman" w:cs="Times New Roman"/>
          <w:i/>
          <w:noProof/>
          <w:sz w:val="20"/>
          <w:szCs w:val="20"/>
          <w:lang w:val="en-IE"/>
        </w:rPr>
        <w:t xml:space="preserve">; </w:t>
      </w:r>
      <w:r>
        <w:rPr>
          <w:rFonts w:ascii="Times New Roman" w:hAnsi="Times New Roman" w:cs="Times New Roman"/>
          <w:i/>
          <w:iCs/>
          <w:noProof/>
          <w:sz w:val="20"/>
          <w:szCs w:val="20"/>
          <w:lang w:val="en-GB"/>
        </w:rPr>
        <w:t xml:space="preserve">COM/2017/718; </w:t>
      </w:r>
      <w:r>
        <w:rPr>
          <w:rFonts w:ascii="Times New Roman" w:hAnsi="Times New Roman" w:cs="Times New Roman"/>
          <w:i/>
          <w:noProof/>
          <w:sz w:val="20"/>
          <w:szCs w:val="20"/>
          <w:lang w:val="en-IE"/>
        </w:rPr>
        <w:t>Estonian draft NECP.</w:t>
      </w:r>
    </w:p>
    <w:p>
      <w:pPr>
        <w:pStyle w:val="Heading1"/>
        <w:numPr>
          <w:ilvl w:val="0"/>
          <w:numId w:val="3"/>
        </w:numPr>
        <w:rPr>
          <w:noProof/>
        </w:rPr>
      </w:pPr>
      <w:bookmarkStart w:id="14" w:name="_Toc8828620"/>
      <w:bookmarkStart w:id="15" w:name="_Toc8829534"/>
      <w:bookmarkStart w:id="16" w:name="_Toc8828621"/>
      <w:bookmarkStart w:id="17" w:name="_Toc8829535"/>
      <w:bookmarkStart w:id="18" w:name="_Toc11150794"/>
      <w:bookmarkEnd w:id="14"/>
      <w:bookmarkEnd w:id="15"/>
      <w:r>
        <w:rPr>
          <w:noProof/>
        </w:rPr>
        <w:t>Assessment of the ambition of objectives, targets and contributions and Adequacy of supporting policies and measures</w:t>
      </w:r>
      <w:bookmarkEnd w:id="16"/>
      <w:bookmarkEnd w:id="17"/>
      <w:bookmarkEnd w:id="18"/>
      <w:r>
        <w:rPr>
          <w:noProof/>
        </w:rPr>
        <w:t xml:space="preserve">  </w:t>
      </w:r>
    </w:p>
    <w:p>
      <w:pPr>
        <w:pStyle w:val="Heading2"/>
        <w:rPr>
          <w:noProof/>
          <w:lang w:val="en-IE"/>
        </w:rPr>
      </w:pPr>
      <w:bookmarkStart w:id="19" w:name="_Toc8828622"/>
      <w:bookmarkStart w:id="20" w:name="_Toc8829536"/>
      <w:bookmarkStart w:id="21" w:name="_Toc11150795"/>
      <w:r>
        <w:rPr>
          <w:noProof/>
          <w:lang w:val="en-IE"/>
        </w:rPr>
        <w:t>Dimension decarbonisation</w:t>
      </w:r>
      <w:bookmarkEnd w:id="19"/>
      <w:bookmarkEnd w:id="20"/>
      <w:bookmarkEnd w:id="21"/>
      <w:r>
        <w:rPr>
          <w:noProof/>
          <w:lang w:val="en-IE"/>
        </w:rPr>
        <w:t xml:space="preserve"> </w:t>
      </w:r>
    </w:p>
    <w:p>
      <w:pPr>
        <w:pStyle w:val="Heading3"/>
        <w:spacing w:after="240"/>
        <w:rPr>
          <w:rFonts w:ascii="Times New Roman" w:hAnsi="Times New Roman" w:cs="Times New Roman"/>
          <w:noProof/>
          <w:color w:val="auto"/>
          <w:lang w:val="en-GB"/>
        </w:rPr>
      </w:pPr>
      <w:bookmarkStart w:id="22" w:name="_Toc8828623"/>
      <w:bookmarkStart w:id="23" w:name="_Toc8829537"/>
      <w:bookmarkStart w:id="24" w:name="_Toc11150796"/>
      <w:r>
        <w:rPr>
          <w:rFonts w:ascii="Times New Roman" w:hAnsi="Times New Roman" w:cs="Times New Roman"/>
          <w:noProof/>
          <w:color w:val="auto"/>
          <w:lang w:val="en-GB"/>
        </w:rPr>
        <w:t>Greenhouse gas emissions and removals</w:t>
      </w:r>
      <w:bookmarkEnd w:id="22"/>
      <w:bookmarkEnd w:id="23"/>
      <w:bookmarkEnd w:id="24"/>
    </w:p>
    <w:p>
      <w:pPr>
        <w:jc w:val="both"/>
        <w:rPr>
          <w:rFonts w:ascii="Times New Roman" w:hAnsi="Times New Roman" w:cs="Times New Roman"/>
          <w:noProof/>
          <w:lang w:val="en-GB"/>
        </w:rPr>
      </w:pPr>
      <w:r>
        <w:rPr>
          <w:rFonts w:ascii="Times New Roman" w:hAnsi="Times New Roman" w:cs="Times New Roman"/>
          <w:noProof/>
          <w:lang w:val="en-GB"/>
        </w:rPr>
        <w:t xml:space="preserve">In addition to the </w:t>
      </w:r>
      <w:r>
        <w:rPr>
          <w:rFonts w:ascii="Times New Roman" w:hAnsi="Times New Roman" w:cs="Times New Roman"/>
          <w:b/>
          <w:noProof/>
          <w:lang w:val="en-GB"/>
        </w:rPr>
        <w:t>ESR target</w:t>
      </w:r>
      <w:r>
        <w:rPr>
          <w:rFonts w:ascii="Times New Roman" w:hAnsi="Times New Roman" w:cs="Times New Roman"/>
          <w:noProof/>
          <w:lang w:val="en-GB"/>
        </w:rPr>
        <w:t xml:space="preserve"> of -13 % by 2030 and the obligation to comply with the LULUCF no-debit commitment, Estonia has a national target for total greenhouse gas emissions of  -80 % by 2050, compared to 1990 levels. </w:t>
      </w:r>
    </w:p>
    <w:p>
      <w:pPr>
        <w:jc w:val="both"/>
        <w:rPr>
          <w:rFonts w:ascii="Times New Roman" w:hAnsi="Times New Roman" w:cs="Times New Roman"/>
          <w:noProof/>
          <w:lang w:val="en-GB"/>
        </w:rPr>
      </w:pPr>
      <w:r>
        <w:rPr>
          <w:rFonts w:ascii="Times New Roman" w:hAnsi="Times New Roman" w:cs="Times New Roman"/>
          <w:noProof/>
          <w:lang w:val="en-GB"/>
        </w:rPr>
        <w:t>The draft plan presents the projections submitted under the Monitoring Mechanism Regulation in 2017. Based on these projections, the European Commission estimates that Estonia may with existing measures miss its 2030 target by 21 percentage points (1.4 Mt. CO</w:t>
      </w:r>
      <w:r>
        <w:rPr>
          <w:rFonts w:ascii="Times New Roman" w:hAnsi="Times New Roman" w:cs="Times New Roman"/>
          <w:noProof/>
          <w:vertAlign w:val="subscript"/>
          <w:lang w:val="en-GB"/>
        </w:rPr>
        <w:t>2</w:t>
      </w:r>
      <w:r>
        <w:rPr>
          <w:rFonts w:ascii="Times New Roman" w:hAnsi="Times New Roman" w:cs="Times New Roman"/>
          <w:noProof/>
          <w:lang w:val="en-GB"/>
        </w:rPr>
        <w:t>eq) and have a deficit of 7.6 Mt CO</w:t>
      </w:r>
      <w:r>
        <w:rPr>
          <w:rFonts w:ascii="Times New Roman" w:hAnsi="Times New Roman" w:cs="Times New Roman"/>
          <w:noProof/>
          <w:vertAlign w:val="subscript"/>
          <w:lang w:val="en-GB"/>
        </w:rPr>
        <w:t>2</w:t>
      </w:r>
      <w:r>
        <w:rPr>
          <w:rFonts w:ascii="Times New Roman" w:hAnsi="Times New Roman" w:cs="Times New Roman"/>
          <w:noProof/>
          <w:lang w:val="en-GB"/>
        </w:rPr>
        <w:t xml:space="preserve">eq over the period 2021-2030. This assessment does not take into account possible credits or debits in the LULUCF sector as no information is provided in the draft plan on whether Estonia plans to use flexibilities. </w:t>
      </w:r>
    </w:p>
    <w:p>
      <w:pPr>
        <w:jc w:val="both"/>
        <w:rPr>
          <w:rFonts w:ascii="Times New Roman" w:hAnsi="Times New Roman" w:cs="Times New Roman"/>
          <w:noProof/>
          <w:lang w:val="en-GB"/>
        </w:rPr>
      </w:pPr>
      <w:r>
        <w:rPr>
          <w:rFonts w:ascii="Times New Roman" w:hAnsi="Times New Roman" w:cs="Times New Roman"/>
          <w:noProof/>
          <w:lang w:val="en-GB"/>
        </w:rPr>
        <w:t xml:space="preserve">The draft plan provides projected emissions and removals in the </w:t>
      </w:r>
      <w:r>
        <w:rPr>
          <w:rFonts w:ascii="Times New Roman" w:hAnsi="Times New Roman" w:cs="Times New Roman"/>
          <w:b/>
          <w:noProof/>
          <w:lang w:val="en-GB"/>
        </w:rPr>
        <w:t>LULUCF sector</w:t>
      </w:r>
      <w:r>
        <w:rPr>
          <w:rFonts w:ascii="Times New Roman" w:hAnsi="Times New Roman" w:cs="Times New Roman"/>
          <w:noProof/>
          <w:lang w:val="en-GB"/>
        </w:rPr>
        <w:t xml:space="preserve"> in reported terms. The final NECP would benefit from clarifying the impact of renewable energy/bioenergy policy on the LULUCF sector and any potential sink, as well as explaining how the LULUCF sector will evolve (forest sink, agricultural land) under different scenarios of land use development. With respect to the National Forestry Accounting Plan including the national Forest Reference Level, submitted by Estonia as required by Article 8(3) of the LULUCF Regulation</w:t>
      </w:r>
      <w:r>
        <w:rPr>
          <w:rStyle w:val="FootnoteReference"/>
          <w:rFonts w:ascii="Times New Roman" w:hAnsi="Times New Roman" w:cs="Times New Roman"/>
          <w:noProof/>
          <w:lang w:val="en-GB"/>
        </w:rPr>
        <w:footnoteReference w:id="8"/>
      </w:r>
      <w:r>
        <w:rPr>
          <w:rFonts w:ascii="Times New Roman" w:hAnsi="Times New Roman" w:cs="Times New Roman"/>
          <w:noProof/>
          <w:lang w:val="en-GB"/>
        </w:rPr>
        <w:t>, the Commission has put forward technical recommendations requesting action on a number of issues, detailed in SWD (2019)213.</w:t>
      </w:r>
    </w:p>
    <w:p>
      <w:pPr>
        <w:rPr>
          <w:rFonts w:ascii="Times New Roman" w:hAnsi="Times New Roman" w:cs="Times New Roman"/>
          <w:noProof/>
          <w:lang w:val="en-IE"/>
        </w:rPr>
      </w:pPr>
      <w:r>
        <w:rPr>
          <w:rFonts w:ascii="Times New Roman" w:hAnsi="Times New Roman" w:cs="Times New Roman"/>
          <w:noProof/>
          <w:lang w:val="en-GB"/>
        </w:rPr>
        <w:t xml:space="preserve">The draft plan includes an overview of planned </w:t>
      </w:r>
      <w:r>
        <w:rPr>
          <w:rFonts w:ascii="Times New Roman" w:hAnsi="Times New Roman" w:cs="Times New Roman"/>
          <w:b/>
          <w:noProof/>
          <w:lang w:val="en-GB"/>
        </w:rPr>
        <w:t>measures</w:t>
      </w:r>
      <w:r>
        <w:rPr>
          <w:rFonts w:ascii="Times New Roman" w:hAnsi="Times New Roman" w:cs="Times New Roman"/>
          <w:noProof/>
          <w:lang w:val="en-GB"/>
        </w:rPr>
        <w:t xml:space="preserve"> within agriculture (only until 2020) and transport. The estimated effect of these measures in 2030 is 1.8 Mt CO</w:t>
      </w:r>
      <w:r>
        <w:rPr>
          <w:rFonts w:ascii="Times New Roman" w:hAnsi="Times New Roman" w:cs="Times New Roman"/>
          <w:noProof/>
          <w:vertAlign w:val="subscript"/>
          <w:lang w:val="en-GB"/>
        </w:rPr>
        <w:t>2</w:t>
      </w:r>
      <w:r>
        <w:rPr>
          <w:rFonts w:ascii="Times New Roman" w:hAnsi="Times New Roman" w:cs="Times New Roman"/>
          <w:noProof/>
          <w:lang w:val="en-GB"/>
        </w:rPr>
        <w:t xml:space="preserve">eq of which 1.5 Mt is in the transport sector. If fully implemented, these measures could be sufficient to meet Estonia’s ESR target. However, it is unclear whether overlaps between measures in the transport sector have been taken into account in these estimates. </w:t>
      </w:r>
      <w:r>
        <w:rPr>
          <w:rFonts w:ascii="Times New Roman" w:hAnsi="Times New Roman" w:cs="Times New Roman"/>
          <w:noProof/>
          <w:lang w:val="en-IE"/>
        </w:rPr>
        <w:t xml:space="preserve">The description of the main concrete mitigation actions considered for the decarbonisation of the agriculture sector could be detailed further in the final plan. </w:t>
      </w:r>
      <w:r>
        <w:rPr>
          <w:rFonts w:ascii="Times New Roman" w:hAnsi="Times New Roman" w:cs="Times New Roman"/>
          <w:noProof/>
          <w:lang w:val="en-GB"/>
        </w:rPr>
        <w:t xml:space="preserve">The final plan would benefit from also presenting the impact of policies in other sectors, notably the building sector.  </w:t>
      </w:r>
    </w:p>
    <w:p>
      <w:pPr>
        <w:jc w:val="both"/>
        <w:rPr>
          <w:rFonts w:ascii="Times New Roman" w:hAnsi="Times New Roman" w:cs="Times New Roman"/>
          <w:noProof/>
          <w:lang w:val="en-GB"/>
        </w:rPr>
      </w:pPr>
      <w:r>
        <w:rPr>
          <w:rFonts w:ascii="Times New Roman" w:hAnsi="Times New Roman" w:cs="Times New Roman"/>
          <w:noProof/>
          <w:lang w:val="en-GB"/>
        </w:rPr>
        <w:t xml:space="preserve">It is projected that emissions from the </w:t>
      </w:r>
      <w:r>
        <w:rPr>
          <w:rFonts w:ascii="Times New Roman" w:hAnsi="Times New Roman" w:cs="Times New Roman"/>
          <w:b/>
          <w:noProof/>
          <w:lang w:val="en-GB"/>
        </w:rPr>
        <w:t>transport</w:t>
      </w:r>
      <w:r>
        <w:rPr>
          <w:rFonts w:ascii="Times New Roman" w:hAnsi="Times New Roman" w:cs="Times New Roman"/>
          <w:noProof/>
          <w:lang w:val="en-GB"/>
        </w:rPr>
        <w:t xml:space="preserve"> sector will increase by 2030. Besides renewable energy and energy efficiency measures, </w:t>
      </w:r>
      <w:r>
        <w:rPr>
          <w:rFonts w:ascii="Times New Roman" w:hAnsi="Times New Roman" w:cs="Times New Roman"/>
          <w:b/>
          <w:noProof/>
          <w:lang w:val="en-GB"/>
        </w:rPr>
        <w:t>electromobility</w:t>
      </w:r>
      <w:r>
        <w:rPr>
          <w:rFonts w:ascii="Times New Roman" w:hAnsi="Times New Roman" w:cs="Times New Roman"/>
          <w:noProof/>
          <w:lang w:val="en-GB"/>
        </w:rPr>
        <w:t xml:space="preserve"> is supported through different measures including fiscal incentives and support for charging in order to reduce emissions. No long-term plan is yet provided on mapping out charging and refuelling infrastructure. Incentives are also available for biofuels. More details on how related policies will be developed, including for other alternative fuels, would be welcome.</w:t>
      </w:r>
    </w:p>
    <w:p>
      <w:pPr>
        <w:jc w:val="both"/>
        <w:rPr>
          <w:rFonts w:ascii="Times New Roman" w:hAnsi="Times New Roman" w:cs="Times New Roman"/>
          <w:noProof/>
          <w:lang w:val="en-GB"/>
        </w:rPr>
      </w:pPr>
      <w:r>
        <w:rPr>
          <w:rFonts w:ascii="Times New Roman" w:hAnsi="Times New Roman" w:cs="Times New Roman"/>
          <w:noProof/>
          <w:lang w:val="en-GB"/>
        </w:rPr>
        <w:t xml:space="preserve">For implementing the national adaptation goals, the draft NECP refers to national adaptation planning and describes eight sectors in which sub-objectives have been set, but detailed measures are not set out yet. The draft plan also includes the objective to increase the preparedness and capacity to adapt to the impacts of climate change at regional and local level. </w:t>
      </w:r>
    </w:p>
    <w:p>
      <w:pPr>
        <w:pStyle w:val="Heading3"/>
        <w:spacing w:after="240"/>
        <w:rPr>
          <w:rFonts w:ascii="Times New Roman" w:hAnsi="Times New Roman" w:cs="Times New Roman"/>
          <w:noProof/>
          <w:color w:val="auto"/>
          <w:lang w:val="en-GB"/>
        </w:rPr>
      </w:pPr>
      <w:bookmarkStart w:id="25" w:name="_Toc8828624"/>
      <w:bookmarkStart w:id="26" w:name="_Toc8829538"/>
      <w:bookmarkStart w:id="27" w:name="_Toc11150797"/>
      <w:r>
        <w:rPr>
          <w:rFonts w:ascii="Times New Roman" w:hAnsi="Times New Roman" w:cs="Times New Roman"/>
          <w:noProof/>
          <w:color w:val="auto"/>
          <w:lang w:val="en-GB"/>
        </w:rPr>
        <w:t>Renewable energy</w:t>
      </w:r>
      <w:bookmarkEnd w:id="25"/>
      <w:bookmarkEnd w:id="26"/>
      <w:bookmarkEnd w:id="27"/>
    </w:p>
    <w:p>
      <w:pPr>
        <w:spacing w:after="120"/>
        <w:jc w:val="both"/>
        <w:rPr>
          <w:rFonts w:ascii="Times New Roman" w:hAnsi="Times New Roman" w:cs="Times New Roman"/>
          <w:noProof/>
          <w:lang w:val="en-GB"/>
        </w:rPr>
      </w:pPr>
      <w:r>
        <w:rPr>
          <w:rFonts w:ascii="Times New Roman" w:hAnsi="Times New Roman" w:cs="Times New Roman"/>
          <w:noProof/>
          <w:lang w:val="en-GB"/>
        </w:rPr>
        <w:t>Estonia estimates an ambitious</w:t>
      </w:r>
      <w:r>
        <w:rPr>
          <w:rFonts w:ascii="Times New Roman" w:hAnsi="Times New Roman" w:cs="Times New Roman"/>
          <w:b/>
          <w:noProof/>
          <w:lang w:val="en-GB"/>
        </w:rPr>
        <w:t xml:space="preserve"> </w:t>
      </w:r>
      <w:r>
        <w:rPr>
          <w:rFonts w:ascii="Times New Roman" w:hAnsi="Times New Roman" w:cs="Times New Roman"/>
          <w:noProof/>
          <w:lang w:val="en-GB"/>
        </w:rPr>
        <w:t>share of 42 %</w:t>
      </w:r>
      <w:r>
        <w:rPr>
          <w:rFonts w:ascii="Times New Roman" w:hAnsi="Times New Roman" w:cs="Times New Roman"/>
          <w:b/>
          <w:noProof/>
          <w:lang w:val="en-GB"/>
        </w:rPr>
        <w:t xml:space="preserve"> renewable energy</w:t>
      </w:r>
      <w:r>
        <w:rPr>
          <w:rFonts w:ascii="Times New Roman" w:hAnsi="Times New Roman" w:cs="Times New Roman"/>
          <w:noProof/>
          <w:lang w:val="en-GB"/>
        </w:rPr>
        <w:t xml:space="preserve"> in gross final consumption of energy for 2030, not clearly set out as contribution to the EU renewable energy target for 2030. This is </w:t>
      </w:r>
      <w:r>
        <w:rPr>
          <w:rFonts w:ascii="Times New Roman" w:hAnsi="Times New Roman" w:cs="Times New Roman"/>
          <w:noProof/>
          <w:lang w:val="en-IE"/>
        </w:rPr>
        <w:t xml:space="preserve">significantly </w:t>
      </w:r>
      <w:r>
        <w:rPr>
          <w:rFonts w:ascii="Times New Roman" w:hAnsi="Times New Roman" w:cs="Times New Roman"/>
          <w:noProof/>
          <w:lang w:val="en-GB"/>
        </w:rPr>
        <w:t>above the share of 37 % in 2030 that results from the formula in Annex II of the Governance Regulation</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The draft NECP includes an indicative trajectory for the overall target and demonstrates that between 2021-2030 it reaches the reference points of 18 % by 2022, 43 % by 2025 and 65 % by 2027, as required by the Governance Regulation</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overall share  has not been expressed in terms of absolute values (ktoes), and the same holds true for the various renewable energy sectors. The draft plan does not yet include information how the share has been calculated, or the underlying assumptions. Information on scenarios with existing or additional measures for renewable energy pending submission, it is not yet possible to assess whether the proposed share will be met.  </w:t>
      </w:r>
    </w:p>
    <w:p>
      <w:pPr>
        <w:jc w:val="both"/>
        <w:rPr>
          <w:rFonts w:ascii="Times New Roman" w:hAnsi="Times New Roman" w:cs="Times New Roman"/>
          <w:noProof/>
          <w:lang w:val="en-GB"/>
        </w:rPr>
      </w:pPr>
      <w:r>
        <w:rPr>
          <w:rFonts w:ascii="Times New Roman" w:hAnsi="Times New Roman" w:cs="Times New Roman"/>
          <w:noProof/>
          <w:lang w:val="en-GB"/>
        </w:rPr>
        <w:t xml:space="preserve">The sectoral shares are 30 % for </w:t>
      </w:r>
      <w:r>
        <w:rPr>
          <w:rFonts w:ascii="Times New Roman" w:hAnsi="Times New Roman" w:cs="Times New Roman"/>
          <w:b/>
          <w:noProof/>
          <w:lang w:val="en-GB"/>
        </w:rPr>
        <w:t>electricity</w:t>
      </w:r>
      <w:r>
        <w:rPr>
          <w:rStyle w:val="FootnoteReference"/>
          <w:rFonts w:ascii="Times New Roman" w:hAnsi="Times New Roman" w:cs="Times New Roman"/>
          <w:b/>
          <w:noProof/>
          <w:lang w:val="en-GB"/>
        </w:rPr>
        <w:footnoteReference w:id="11"/>
      </w:r>
      <w:r>
        <w:rPr>
          <w:rFonts w:ascii="Times New Roman" w:hAnsi="Times New Roman" w:cs="Times New Roman"/>
          <w:b/>
          <w:noProof/>
          <w:lang w:val="en-GB"/>
        </w:rPr>
        <w:t xml:space="preserve"> </w:t>
      </w:r>
      <w:r>
        <w:rPr>
          <w:rFonts w:ascii="Times New Roman" w:hAnsi="Times New Roman" w:cs="Times New Roman"/>
          <w:noProof/>
          <w:lang w:val="en-GB"/>
        </w:rPr>
        <w:t xml:space="preserve">(compared to a 17.6 % target for 2020), 14 % for </w:t>
      </w:r>
      <w:r>
        <w:rPr>
          <w:rFonts w:ascii="Times New Roman" w:hAnsi="Times New Roman" w:cs="Times New Roman"/>
          <w:b/>
          <w:noProof/>
          <w:lang w:val="en-GB"/>
        </w:rPr>
        <w:t>transport</w:t>
      </w:r>
      <w:r>
        <w:rPr>
          <w:rFonts w:ascii="Times New Roman" w:hAnsi="Times New Roman" w:cs="Times New Roman"/>
          <w:noProof/>
          <w:lang w:val="en-GB"/>
        </w:rPr>
        <w:t xml:space="preserve"> (10 % for 2020) and an ambitious share of 80 % for </w:t>
      </w:r>
      <w:r>
        <w:rPr>
          <w:rFonts w:ascii="Times New Roman" w:hAnsi="Times New Roman" w:cs="Times New Roman"/>
          <w:b/>
          <w:noProof/>
          <w:lang w:val="en-GB"/>
        </w:rPr>
        <w:t xml:space="preserve">heating and cooling </w:t>
      </w:r>
      <w:r>
        <w:rPr>
          <w:rFonts w:ascii="Times New Roman" w:hAnsi="Times New Roman" w:cs="Times New Roman"/>
          <w:noProof/>
          <w:lang w:val="en-GB"/>
        </w:rPr>
        <w:t>(38.4 % for  2020</w:t>
      </w:r>
      <w:r>
        <w:rPr>
          <w:rStyle w:val="FootnoteReference"/>
          <w:rFonts w:ascii="Times New Roman" w:hAnsi="Times New Roman" w:cs="Times New Roman"/>
          <w:noProof/>
          <w:lang w:val="en-GB"/>
        </w:rPr>
        <w:footnoteReference w:id="12"/>
      </w:r>
      <w:r>
        <w:rPr>
          <w:rFonts w:ascii="Times New Roman" w:hAnsi="Times New Roman" w:cs="Times New Roman"/>
          <w:noProof/>
          <w:lang w:val="en-GB"/>
        </w:rPr>
        <w:t xml:space="preserve">).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With regards to </w:t>
      </w:r>
      <w:r>
        <w:rPr>
          <w:rFonts w:ascii="Times New Roman" w:hAnsi="Times New Roman" w:cs="Times New Roman"/>
          <w:b/>
          <w:noProof/>
          <w:lang w:val="en-GB"/>
        </w:rPr>
        <w:t>district heating and cooling</w:t>
      </w:r>
      <w:r>
        <w:rPr>
          <w:rFonts w:ascii="Times New Roman" w:hAnsi="Times New Roman" w:cs="Times New Roman"/>
          <w:noProof/>
          <w:lang w:val="en-GB"/>
        </w:rPr>
        <w:t xml:space="preserve">, the draft plan does not yet provide sufficient information on the choice taken between implementing third party access for suppliers of renewable energy and waste heat and cold or endeavouring to achieve at least 1 percentage point of annual average increase in renewable energy and waste heat and cold. </w:t>
      </w:r>
      <w:r>
        <w:rPr>
          <w:rFonts w:ascii="Times New Roman" w:hAnsi="Times New Roman" w:cs="Times New Roman"/>
          <w:noProof/>
          <w:lang w:val="en-IE"/>
        </w:rPr>
        <w:t>If the latter is chosen, more details on the planned measures for district heating and cooling and how they contribute to achieving the at least 1 percentage point annual average increase in the periods of 2021-2025 and 2026-2030 would benefit the final plan.</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Regarding </w:t>
      </w:r>
      <w:r>
        <w:rPr>
          <w:rFonts w:ascii="Times New Roman" w:hAnsi="Times New Roman" w:cs="Times New Roman"/>
          <w:b/>
          <w:noProof/>
          <w:lang w:val="en-GB"/>
        </w:rPr>
        <w:t>transport</w:t>
      </w:r>
      <w:r>
        <w:rPr>
          <w:rFonts w:ascii="Times New Roman" w:hAnsi="Times New Roman" w:cs="Times New Roman"/>
          <w:noProof/>
          <w:lang w:val="en-GB"/>
        </w:rPr>
        <w:t>, Estonia provides the contributions of energy carriers and biofuels, but the calculation of the target as requested in Articles 25-27 of the recast of the Renewable Energy Directive</w:t>
      </w:r>
      <w:r>
        <w:rPr>
          <w:rStyle w:val="FootnoteReference"/>
          <w:rFonts w:ascii="Times New Roman" w:hAnsi="Times New Roman" w:cs="Times New Roman"/>
          <w:noProof/>
          <w:lang w:val="en-GB"/>
        </w:rPr>
        <w:footnoteReference w:id="13"/>
      </w:r>
      <w:r>
        <w:rPr>
          <w:rFonts w:ascii="Times New Roman" w:hAnsi="Times New Roman" w:cs="Times New Roman"/>
          <w:noProof/>
          <w:lang w:val="en-GB"/>
        </w:rPr>
        <w:t xml:space="preserve"> in absolute values (ktoes) is not included. The final plan could better clarify what is understood by first and second generation biofuels, as these terms are not defined in the recast of the Renewable Energy Directive</w:t>
      </w:r>
      <w:r>
        <w:rPr>
          <w:rStyle w:val="FootnoteReference"/>
          <w:rFonts w:ascii="Times New Roman" w:hAnsi="Times New Roman" w:cs="Times New Roman"/>
          <w:noProof/>
          <w:lang w:val="en-GB"/>
        </w:rPr>
        <w:footnoteReference w:id="14"/>
      </w:r>
      <w:r>
        <w:rPr>
          <w:rFonts w:ascii="Times New Roman" w:hAnsi="Times New Roman" w:cs="Times New Roman"/>
          <w:noProof/>
          <w:lang w:val="en-GB"/>
        </w:rPr>
        <w:t>. In this regard it is difficult to assess whether or not the advanced biofuel sub-target will be fulfilled. In addition, the final plan needs to provide comparable numbers for all the years between 2020 and 2030 in terms of applicable multipliers.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Estonian NECP contains a list of </w:t>
      </w:r>
      <w:r>
        <w:rPr>
          <w:rFonts w:ascii="Times New Roman" w:hAnsi="Times New Roman" w:cs="Times New Roman"/>
          <w:b/>
          <w:noProof/>
          <w:lang w:val="en-GB"/>
        </w:rPr>
        <w:t>policies and measures</w:t>
      </w:r>
      <w:r>
        <w:rPr>
          <w:rFonts w:ascii="Times New Roman" w:hAnsi="Times New Roman" w:cs="Times New Roman"/>
          <w:noProof/>
          <w:lang w:val="en-GB"/>
        </w:rPr>
        <w:t xml:space="preserve">; their level of detail could be further developed in the final plan. The measures provided for </w:t>
      </w:r>
      <w:r>
        <w:rPr>
          <w:rFonts w:ascii="Times New Roman" w:hAnsi="Times New Roman" w:cs="Times New Roman"/>
          <w:b/>
          <w:noProof/>
          <w:lang w:val="en-GB"/>
        </w:rPr>
        <w:t>electricity</w:t>
      </w:r>
      <w:r>
        <w:rPr>
          <w:rFonts w:ascii="Times New Roman" w:hAnsi="Times New Roman" w:cs="Times New Roman"/>
          <w:noProof/>
          <w:lang w:val="en-GB"/>
        </w:rPr>
        <w:t xml:space="preserve"> would benefit from including information such as eligibility for subsidies. More clarity could be provided on the measures foreseen for promoting renewable energy </w:t>
      </w:r>
      <w:r>
        <w:rPr>
          <w:rFonts w:ascii="Times New Roman" w:hAnsi="Times New Roman" w:cs="Times New Roman"/>
          <w:b/>
          <w:noProof/>
          <w:lang w:val="en-GB"/>
        </w:rPr>
        <w:t>in heating and cooling</w:t>
      </w:r>
      <w:r>
        <w:rPr>
          <w:rFonts w:ascii="Times New Roman" w:hAnsi="Times New Roman" w:cs="Times New Roman"/>
          <w:noProof/>
          <w:lang w:val="en-GB"/>
        </w:rPr>
        <w:t xml:space="preserve">, including in district heating and cooling. When it comes to renewable energy in </w:t>
      </w:r>
      <w:r>
        <w:rPr>
          <w:rFonts w:ascii="Times New Roman" w:hAnsi="Times New Roman" w:cs="Times New Roman"/>
          <w:b/>
          <w:noProof/>
          <w:lang w:val="en-GB"/>
        </w:rPr>
        <w:t>transport</w:t>
      </w:r>
      <w:r>
        <w:rPr>
          <w:rFonts w:ascii="Times New Roman" w:hAnsi="Times New Roman" w:cs="Times New Roman"/>
          <w:noProof/>
          <w:lang w:val="en-GB"/>
        </w:rPr>
        <w:t xml:space="preserve">, the draft NECP includes a measure related to increasing the share of biofuels in transport. The explanation in Annex IV of the draft plan indicates that the main objective of the measure is to meet the 2020 renewable transport target of 10 %, on which little progress has been made in the last years. Since no additional measures are included to support meeting the 14 % renewable transport target by 2030, it is not clear if the target will be met. </w:t>
      </w:r>
    </w:p>
    <w:p>
      <w:pPr>
        <w:pStyle w:val="Heading2"/>
        <w:rPr>
          <w:noProof/>
        </w:rPr>
      </w:pPr>
      <w:bookmarkStart w:id="28" w:name="_Toc8828625"/>
      <w:bookmarkStart w:id="29" w:name="_Toc8829539"/>
      <w:bookmarkStart w:id="30" w:name="_Toc11150798"/>
      <w:r>
        <w:rPr>
          <w:noProof/>
        </w:rPr>
        <w:t>Dimension energy efficiency</w:t>
      </w:r>
      <w:bookmarkEnd w:id="28"/>
      <w:bookmarkEnd w:id="29"/>
      <w:bookmarkEnd w:id="30"/>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The draft Estonian NECP expresses the national energy efficiency contribution for 2030 only in </w:t>
      </w:r>
      <w:r>
        <w:rPr>
          <w:rFonts w:ascii="Times New Roman" w:hAnsi="Times New Roman" w:cs="Times New Roman"/>
          <w:b/>
          <w:noProof/>
          <w:lang w:val="en-GB"/>
        </w:rPr>
        <w:t>primary energy consumption</w:t>
      </w:r>
      <w:r>
        <w:rPr>
          <w:rFonts w:ascii="Times New Roman" w:hAnsi="Times New Roman" w:cs="Times New Roman"/>
          <w:noProof/>
          <w:lang w:val="en-GB"/>
        </w:rPr>
        <w:t>, at a level of 5.49 Mtoe. The draft plan refers to a projected value for final energy consumption in 2030, without justifying its level or stating that it is part of Estonia’s energy efficiency contribution. The final energy consumption value originates from a scenario established in the context of the Estonian National Energy Development Plan 2030</w:t>
      </w:r>
      <w:r>
        <w:rPr>
          <w:rStyle w:val="FootnoteReference"/>
          <w:rFonts w:ascii="Times New Roman" w:hAnsi="Times New Roman" w:cs="Times New Roman"/>
          <w:noProof/>
          <w:lang w:val="en-GB"/>
        </w:rPr>
        <w:footnoteReference w:id="15"/>
      </w:r>
      <w:r>
        <w:rPr>
          <w:rFonts w:ascii="Times New Roman" w:hAnsi="Times New Roman" w:cs="Times New Roman"/>
          <w:noProof/>
          <w:lang w:val="en-GB"/>
        </w:rPr>
        <w:t xml:space="preserve"> (NEDP 2030+). The NEDP 2030+ projections are the main references used for the setting of Estonia’s contributions, and no specific scenarios with existing measures (WEM) or with additional measures (WAM) have been set up for the purpose of the preparation of the draft NECP. The Commission’s assessment takes the projected final energy consumption value into consideration, along with the primary energy consumption value.</w:t>
      </w:r>
    </w:p>
    <w:p>
      <w:pPr>
        <w:jc w:val="both"/>
        <w:rPr>
          <w:rFonts w:ascii="Times New Roman" w:hAnsi="Times New Roman" w:cs="Times New Roman"/>
          <w:noProof/>
          <w:lang w:val="en-GB"/>
        </w:rPr>
      </w:pPr>
      <w:r>
        <w:rPr>
          <w:rFonts w:ascii="Times New Roman" w:hAnsi="Times New Roman" w:cs="Times New Roman"/>
          <w:noProof/>
          <w:lang w:val="en-GB"/>
        </w:rPr>
        <w:t>Estonia’s contribution is set at a level which would require the country to decrease its consumption by 2.7 % from its primary energy consumption in 2017 and by 4.2 % for final energy consumption. The contribution for 2030 is also set at a lower level as compared to Estonia’s 2020 energy efficiency target (-15,4 % and -1,9 % for primary and final energy consumption, respectively). Overall, Estonia’s contributions seem to be of low ambition, considering the need to increase efforts at the EU level to collectively reach the Union’s 2030 energy efficiency targets.</w:t>
      </w:r>
    </w:p>
    <w:p>
      <w:pPr>
        <w:jc w:val="both"/>
        <w:rPr>
          <w:rFonts w:ascii="Times New Roman" w:hAnsi="Times New Roman" w:cs="Times New Roman"/>
          <w:noProof/>
          <w:lang w:val="en-GB"/>
        </w:rPr>
      </w:pPr>
      <w:r>
        <w:rPr>
          <w:rFonts w:ascii="Times New Roman" w:hAnsi="Times New Roman" w:cs="Times New Roman"/>
          <w:noProof/>
          <w:lang w:val="en-GB"/>
        </w:rPr>
        <w:t xml:space="preserve">Almost all sectors have a role to play in achieving the 2030 objective for energy efficiency, as the </w:t>
      </w:r>
      <w:r>
        <w:rPr>
          <w:rFonts w:ascii="Times New Roman" w:hAnsi="Times New Roman" w:cs="Times New Roman"/>
          <w:b/>
          <w:noProof/>
          <w:lang w:val="en-GB"/>
        </w:rPr>
        <w:t>measures</w:t>
      </w:r>
      <w:r>
        <w:rPr>
          <w:rFonts w:ascii="Times New Roman" w:hAnsi="Times New Roman" w:cs="Times New Roman"/>
          <w:noProof/>
          <w:lang w:val="en-GB"/>
        </w:rPr>
        <w:t xml:space="preserve"> included in the draft NECP (more than 20 are included in the voluntary template including already existing and new ones) cover buildings, the public sector, transport and energy supply. Amongst the new measures listed, most address the transport sector and building renovation, while less focus is put on industry. The potential of heating and cooling has been taken into account to some extent as specific goals are set and measures planned to promote the diffusion of CHP and to reduce system losses in the existing district heating network. </w:t>
      </w:r>
    </w:p>
    <w:p>
      <w:pPr>
        <w:jc w:val="both"/>
        <w:rPr>
          <w:rFonts w:ascii="Times New Roman" w:hAnsi="Times New Roman" w:cs="Times New Roman"/>
          <w:noProof/>
          <w:lang w:val="en-GB"/>
        </w:rPr>
      </w:pPr>
      <w:r>
        <w:rPr>
          <w:rFonts w:ascii="Times New Roman" w:hAnsi="Times New Roman" w:cs="Times New Roman"/>
          <w:noProof/>
          <w:lang w:val="en-GB"/>
        </w:rPr>
        <w:t>The draft plan mentions measures that would contribute towards more efficient organisation of the mobility system and thus towards improved energy efficiency and emissions reductions (e.g. spatial planning, measures to reduce transport demand, support for public transport and active modes, investments in infrastructure, behavioural change). Measures in progress are also mentioned (e.g. establishment of road charges for heavy duty vehicles, congestion charging in Tallinn, development of railway infrastructure including the construction of Rail Baltica). The plan could benefit from more explicit reference and detail with respect to multimodality and modal shift (e.g. enabled by the completion of the Rail Baltica project), digitalisation and automation in the different transport modes.</w:t>
      </w:r>
    </w:p>
    <w:p>
      <w:pPr>
        <w:jc w:val="both"/>
        <w:rPr>
          <w:rFonts w:ascii="Times New Roman" w:hAnsi="Times New Roman" w:cs="Times New Roman"/>
          <w:noProof/>
          <w:lang w:val="en-GB"/>
        </w:rPr>
      </w:pPr>
      <w:r>
        <w:rPr>
          <w:rFonts w:ascii="Times New Roman" w:hAnsi="Times New Roman" w:cs="Times New Roman"/>
          <w:noProof/>
          <w:lang w:val="en-GB"/>
        </w:rPr>
        <w:t>However, the policies and measures are not described in detail, the timeline of implementation is unclear and the expected impact of the measures is missing in the draft plan. Therefore it is not possible to assess whether they would be sufficient to achieve the goals set.</w:t>
      </w:r>
    </w:p>
    <w:p>
      <w:pPr>
        <w:jc w:val="both"/>
        <w:rPr>
          <w:rFonts w:ascii="Times New Roman" w:hAnsi="Times New Roman" w:cs="Times New Roman"/>
          <w:noProof/>
          <w:lang w:val="en-GB"/>
        </w:rPr>
      </w:pPr>
      <w:r>
        <w:rPr>
          <w:rFonts w:ascii="Times New Roman" w:hAnsi="Times New Roman" w:cs="Times New Roman"/>
          <w:noProof/>
          <w:lang w:val="en-GB"/>
        </w:rPr>
        <w:t>As for the energy savings obligations under Article 7 of the Energy Efficiency Directive</w:t>
      </w:r>
      <w:r>
        <w:rPr>
          <w:rStyle w:val="FootnoteReference"/>
          <w:rFonts w:ascii="Times New Roman" w:hAnsi="Times New Roman" w:cs="Times New Roman"/>
          <w:noProof/>
          <w:lang w:val="en-GB"/>
        </w:rPr>
        <w:footnoteReference w:id="16"/>
      </w:r>
      <w:r>
        <w:rPr>
          <w:rFonts w:ascii="Times New Roman" w:hAnsi="Times New Roman" w:cs="Times New Roman"/>
          <w:noProof/>
          <w:lang w:val="en-GB"/>
        </w:rPr>
        <w:t>, a provisional target has been correctly set.</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also includes some general information related to policies and measures for </w:t>
      </w:r>
      <w:r>
        <w:rPr>
          <w:rFonts w:ascii="Times New Roman" w:hAnsi="Times New Roman" w:cs="Times New Roman"/>
          <w:b/>
          <w:noProof/>
          <w:lang w:val="en-GB"/>
        </w:rPr>
        <w:t>buildings</w:t>
      </w:r>
      <w:r>
        <w:rPr>
          <w:rFonts w:ascii="Times New Roman" w:hAnsi="Times New Roman" w:cs="Times New Roman"/>
          <w:noProof/>
          <w:lang w:val="en-GB"/>
        </w:rPr>
        <w:t xml:space="preserve"> that could be implemented as part of Estonia’s long-term renovation strategy</w:t>
      </w:r>
      <w:r>
        <w:rPr>
          <w:rStyle w:val="FootnoteReference"/>
          <w:rFonts w:ascii="Times New Roman" w:hAnsi="Times New Roman" w:cs="Times New Roman"/>
          <w:noProof/>
          <w:lang w:val="en-GB"/>
        </w:rPr>
        <w:footnoteReference w:id="17"/>
      </w:r>
      <w:r>
        <w:rPr>
          <w:rFonts w:ascii="Times New Roman" w:hAnsi="Times New Roman" w:cs="Times New Roman"/>
          <w:noProof/>
          <w:lang w:val="en-GB"/>
        </w:rPr>
        <w:t>.</w:t>
      </w:r>
    </w:p>
    <w:p>
      <w:pPr>
        <w:pStyle w:val="Heading2"/>
        <w:rPr>
          <w:noProof/>
        </w:rPr>
      </w:pPr>
      <w:bookmarkStart w:id="31" w:name="_Toc8828626"/>
      <w:bookmarkStart w:id="32" w:name="_Toc8829540"/>
      <w:bookmarkStart w:id="33" w:name="_Toc11150799"/>
      <w:r>
        <w:rPr>
          <w:noProof/>
        </w:rPr>
        <w:t>Dimension energy security</w:t>
      </w:r>
      <w:bookmarkEnd w:id="31"/>
      <w:bookmarkEnd w:id="32"/>
      <w:bookmarkEnd w:id="33"/>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Estonia’s main objective in the energy security dimension appears under the headline of ensuring continuous energy supply. The draft NECP states that this can be ensured by more extensive use of domestic energy resources – oil shale and renewable energy, while at the same time ensuring that the share of any one energy source does not exceed 30 % by 2020. </w:t>
      </w:r>
    </w:p>
    <w:p>
      <w:pPr>
        <w:jc w:val="both"/>
        <w:rPr>
          <w:rFonts w:ascii="Times New Roman" w:hAnsi="Times New Roman" w:cs="Times New Roman"/>
          <w:noProof/>
          <w:lang w:val="en-GB"/>
        </w:rPr>
      </w:pPr>
      <w:r>
        <w:rPr>
          <w:rFonts w:ascii="Times New Roman" w:hAnsi="Times New Roman" w:cs="Times New Roman"/>
          <w:noProof/>
          <w:lang w:val="en-GB"/>
        </w:rPr>
        <w:t>The Baltic synchronisation project is mentioned as a key measure for improving the flexibility and resilience of the electric system. When it comes to other policies and measures, the draft plan mentions support for renewable energy and efficient cogeneration, as well as obligations that the regulator may impose on the system operator. The final plan could benefit from clarifying the timeframes for the policies and measures included in Annex IV of the draft NECP and specifying how they will contribute to meeting the set objectives.</w:t>
      </w:r>
    </w:p>
    <w:p>
      <w:pPr>
        <w:jc w:val="both"/>
        <w:rPr>
          <w:rFonts w:ascii="Times New Roman" w:hAnsi="Times New Roman" w:cs="Times New Roman"/>
          <w:noProof/>
          <w:lang w:val="en-GB"/>
        </w:rPr>
      </w:pPr>
      <w:r>
        <w:rPr>
          <w:rFonts w:ascii="Times New Roman" w:hAnsi="Times New Roman" w:cs="Times New Roman"/>
          <w:noProof/>
          <w:lang w:val="en-GB"/>
        </w:rPr>
        <w:t xml:space="preserve">Likewise, the description of the current situation and projections could be more detailed. For example, the draft NECP does not mention the emergency reserve power plant or specify its future role, especially after synchronisation with Continental Europe. In this context, the issue of ensuring generation adequacy in particular could be addressed further, also given the withdrawal of some of the oil-shale generation capacity already in 2019. </w:t>
      </w:r>
    </w:p>
    <w:p>
      <w:pPr>
        <w:jc w:val="both"/>
        <w:rPr>
          <w:rFonts w:ascii="Times New Roman" w:hAnsi="Times New Roman" w:cs="Times New Roman"/>
          <w:noProof/>
          <w:lang w:val="en-GB"/>
        </w:rPr>
      </w:pPr>
      <w:r>
        <w:rPr>
          <w:rFonts w:ascii="Times New Roman" w:hAnsi="Times New Roman" w:cs="Times New Roman"/>
          <w:noProof/>
          <w:lang w:val="en-GB"/>
        </w:rPr>
        <w:t>The draft plan could also benefit from describing risks linked to the current integration of the Estonian electricity system into the Belarus-Russia-Estonia-Latvia-Lithuania (BRELL) system and the mitigation measures foreseen until full synchronisation with Continental Europe is in place.</w:t>
      </w:r>
    </w:p>
    <w:p>
      <w:pPr>
        <w:jc w:val="both"/>
        <w:rPr>
          <w:rFonts w:ascii="Times New Roman" w:hAnsi="Times New Roman" w:cs="Times New Roman"/>
          <w:noProof/>
          <w:lang w:val="en-GB"/>
        </w:rPr>
      </w:pPr>
      <w:r>
        <w:rPr>
          <w:rFonts w:ascii="Times New Roman" w:hAnsi="Times New Roman" w:cs="Times New Roman"/>
          <w:noProof/>
          <w:lang w:val="en-GB"/>
        </w:rPr>
        <w:t xml:space="preserve">Regarding gas, the draft NECP includes objectives related to the development of the gas system and market and diversification of gas supply. A number of quantitative indicators have been included, but it would be beneficial to include additional details in the final NECP, given that currently the section includes mostly references to the National Energy Development Plan 2030. </w:t>
      </w:r>
    </w:p>
    <w:p>
      <w:pPr>
        <w:jc w:val="both"/>
        <w:rPr>
          <w:rFonts w:ascii="Times New Roman" w:hAnsi="Times New Roman" w:cs="Times New Roman"/>
          <w:noProof/>
          <w:lang w:val="en-GB"/>
        </w:rPr>
      </w:pPr>
      <w:r>
        <w:rPr>
          <w:rFonts w:ascii="Times New Roman" w:hAnsi="Times New Roman" w:cs="Times New Roman"/>
          <w:noProof/>
          <w:lang w:val="en-IE"/>
        </w:rPr>
        <w:t>The draft NECP refers to the construction of the Balticconnector pipeline between Estonia and Finland as the main measure for meeting the objectives. Even though additional national measures are not planned for the period 2021-2030, t</w:t>
      </w:r>
      <w:r>
        <w:rPr>
          <w:rFonts w:ascii="Times New Roman" w:hAnsi="Times New Roman" w:cs="Times New Roman"/>
          <w:noProof/>
          <w:lang w:val="en-GB"/>
        </w:rPr>
        <w:t>he strategy regarding diversifying gas supply and decreasing gas import dependency could be detailed further in the final NECP to match the defined objectives.</w:t>
      </w:r>
    </w:p>
    <w:p>
      <w:pPr>
        <w:pStyle w:val="Heading2"/>
        <w:rPr>
          <w:noProof/>
          <w:sz w:val="22"/>
          <w:szCs w:val="22"/>
          <w:lang w:val="en-IE"/>
        </w:rPr>
      </w:pPr>
      <w:bookmarkStart w:id="34" w:name="_Toc8828627"/>
      <w:bookmarkStart w:id="35" w:name="_Toc8829541"/>
      <w:bookmarkStart w:id="36" w:name="_Toc11150800"/>
      <w:r>
        <w:rPr>
          <w:noProof/>
          <w:sz w:val="22"/>
          <w:szCs w:val="22"/>
          <w:lang w:val="en-IE"/>
        </w:rPr>
        <w:t>Dimension internal energy market</w:t>
      </w:r>
      <w:bookmarkEnd w:id="34"/>
      <w:bookmarkEnd w:id="35"/>
      <w:bookmarkEnd w:id="36"/>
      <w:r>
        <w:rPr>
          <w:noProof/>
          <w:sz w:val="22"/>
          <w:szCs w:val="22"/>
          <w:lang w:val="en-IE"/>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Estonia’s level of </w:t>
      </w:r>
      <w:r>
        <w:rPr>
          <w:rFonts w:ascii="Times New Roman" w:hAnsi="Times New Roman" w:cs="Times New Roman"/>
          <w:b/>
          <w:noProof/>
          <w:lang w:val="en-GB"/>
        </w:rPr>
        <w:t>interconnectivity</w:t>
      </w:r>
      <w:r>
        <w:rPr>
          <w:rFonts w:ascii="Times New Roman" w:hAnsi="Times New Roman" w:cs="Times New Roman"/>
          <w:noProof/>
          <w:lang w:val="en-GB"/>
        </w:rPr>
        <w:t xml:space="preserve"> in 2017 was 63 %, already exceeding the required 15 % level, and no further interconnection level aimed for in 2030 is put forward. The draft NECP refers to ENTSO-E’s analysis assessesing Estonia’s performance against the three thresholds which serve as urgency indicators</w:t>
      </w:r>
      <w:r>
        <w:rPr>
          <w:rStyle w:val="FootnoteReference"/>
          <w:rFonts w:ascii="Times New Roman" w:hAnsi="Times New Roman" w:cs="Times New Roman"/>
          <w:noProof/>
          <w:lang w:val="en-GB"/>
        </w:rPr>
        <w:footnoteReference w:id="18"/>
      </w:r>
      <w:r>
        <w:rPr>
          <w:rFonts w:ascii="Times New Roman" w:hAnsi="Times New Roman" w:cs="Times New Roman"/>
          <w:noProof/>
          <w:lang w:val="en-GB"/>
        </w:rPr>
        <w:t xml:space="preserve"> of the need to develop further interconnection capacity and concludes that by 2030 Estonia will be compliant and no further investment in interconnectors will be necessary. </w:t>
      </w:r>
    </w:p>
    <w:p>
      <w:pPr>
        <w:jc w:val="both"/>
        <w:rPr>
          <w:rFonts w:ascii="Times New Roman" w:hAnsi="Times New Roman" w:cs="Times New Roman"/>
          <w:noProof/>
          <w:lang w:val="en-GB"/>
        </w:rPr>
      </w:pPr>
      <w:r>
        <w:rPr>
          <w:rFonts w:ascii="Times New Roman" w:hAnsi="Times New Roman" w:cs="Times New Roman"/>
          <w:noProof/>
          <w:lang w:val="en-GB"/>
        </w:rPr>
        <w:t xml:space="preserve">The information included in the draft NECP on the necessary quantitative core parameters for </w:t>
      </w:r>
      <w:r>
        <w:rPr>
          <w:rFonts w:ascii="Times New Roman" w:hAnsi="Times New Roman" w:cs="Times New Roman"/>
          <w:b/>
          <w:noProof/>
          <w:lang w:val="en-GB"/>
        </w:rPr>
        <w:t>wholesale market</w:t>
      </w:r>
      <w:r>
        <w:rPr>
          <w:rFonts w:ascii="Times New Roman" w:hAnsi="Times New Roman" w:cs="Times New Roman"/>
          <w:noProof/>
          <w:lang w:val="en-GB"/>
        </w:rPr>
        <w:t xml:space="preserve"> functioning represents a good start that the final NECP could build upon. Apart from providing information on such missing elements as peak load and installed generation mix, the final plan would benefit from clarification regarding the specific policies and measures, which at times have not been distinguished from the objectives and targets. The impact of the key measure mentioned, namely, the synchronisation with the Continental Europe system, on market functioning could be further detailed. The final plan could also explain the link between the targets and measures for security of supply, flexibility and market integration, especially given that there is considerable overlap. </w:t>
      </w:r>
    </w:p>
    <w:p>
      <w:pPr>
        <w:jc w:val="both"/>
        <w:rPr>
          <w:rFonts w:ascii="Times New Roman" w:hAnsi="Times New Roman" w:cs="Times New Roman"/>
          <w:noProof/>
          <w:lang w:val="en-GB"/>
        </w:rPr>
      </w:pPr>
      <w:r>
        <w:rPr>
          <w:rFonts w:ascii="Times New Roman" w:hAnsi="Times New Roman" w:cs="Times New Roman"/>
          <w:noProof/>
          <w:lang w:val="en-IE"/>
        </w:rPr>
        <w:t xml:space="preserve">As competitive markets are a key enabler for other dimensions of the Energy Union, objectives related to the further development of wholesale and retail market competition and corresponding measures and timelines merit being included in the final plan. </w:t>
      </w:r>
      <w:r>
        <w:rPr>
          <w:rFonts w:ascii="Times New Roman" w:hAnsi="Times New Roman" w:cs="Times New Roman"/>
          <w:noProof/>
          <w:lang w:val="en-GB"/>
        </w:rPr>
        <w:t xml:space="preserve">When it comes to ensuring </w:t>
      </w:r>
      <w:r>
        <w:rPr>
          <w:rFonts w:ascii="Times New Roman" w:hAnsi="Times New Roman" w:cs="Times New Roman"/>
          <w:b/>
          <w:noProof/>
          <w:lang w:val="en-GB"/>
        </w:rPr>
        <w:t>flexibility</w:t>
      </w:r>
      <w:r>
        <w:rPr>
          <w:rFonts w:ascii="Times New Roman" w:hAnsi="Times New Roman" w:cs="Times New Roman"/>
          <w:noProof/>
          <w:lang w:val="en-GB"/>
        </w:rPr>
        <w:t xml:space="preserve"> of the energy system with regard to renewable energy production the draft NECP mentions the synchronisation project which will remove electricity system bottlenecks across the Baltic States. Other than that the </w:t>
      </w:r>
      <w:r>
        <w:rPr>
          <w:rFonts w:ascii="Times New Roman" w:hAnsi="Times New Roman" w:cs="Times New Roman"/>
          <w:b/>
          <w:noProof/>
          <w:lang w:val="en-GB"/>
        </w:rPr>
        <w:t>measures</w:t>
      </w:r>
      <w:r>
        <w:rPr>
          <w:rFonts w:ascii="Times New Roman" w:hAnsi="Times New Roman" w:cs="Times New Roman"/>
          <w:noProof/>
          <w:lang w:val="en-GB"/>
        </w:rPr>
        <w:t xml:space="preserve"> provided are mostly limited to a description of noteworthy ongoing projects but without clear </w:t>
      </w:r>
      <w:r>
        <w:rPr>
          <w:rFonts w:ascii="Times New Roman" w:hAnsi="Times New Roman" w:cs="Times New Roman"/>
          <w:b/>
          <w:noProof/>
          <w:lang w:val="en-GB"/>
        </w:rPr>
        <w:t>objectives</w:t>
      </w:r>
      <w:r>
        <w:rPr>
          <w:rFonts w:ascii="Times New Roman" w:hAnsi="Times New Roman" w:cs="Times New Roman"/>
          <w:noProof/>
          <w:lang w:val="en-GB"/>
        </w:rPr>
        <w:t xml:space="preserve">, including a time frame for when they are to be met, the information provided at times lacks context. Clearly identifying Estonia’s objectives for system flexibility, smart grids, demand response and aggregation, storage, and distributed generation and clarifying how the measures listed contribute to meeting the objectives would also lend further credibility to Estonia’s 2030 ambition level for renewable energy. </w:t>
      </w:r>
    </w:p>
    <w:p>
      <w:pPr>
        <w:jc w:val="both"/>
        <w:rPr>
          <w:rFonts w:ascii="Times New Roman" w:hAnsi="Times New Roman" w:cs="Times New Roman"/>
          <w:noProof/>
          <w:lang w:val="en-GB"/>
        </w:rPr>
      </w:pPr>
      <w:r>
        <w:rPr>
          <w:rFonts w:ascii="Times New Roman" w:hAnsi="Times New Roman" w:cs="Times New Roman"/>
          <w:noProof/>
          <w:lang w:val="en-GB"/>
        </w:rPr>
        <w:t xml:space="preserve">The draft plan includes measures for consumer protection and competitiveness but does not set concrete objectives, deeming them not applicable. However based on current retail market functioning, objectives in these areas would be important for meeting the broader Energy Union objectives. Additional information on </w:t>
      </w:r>
      <w:r>
        <w:rPr>
          <w:rFonts w:ascii="Times New Roman" w:hAnsi="Times New Roman" w:cs="Times New Roman"/>
          <w:b/>
          <w:noProof/>
          <w:lang w:val="en-GB"/>
        </w:rPr>
        <w:t>policies and measures</w:t>
      </w:r>
      <w:r>
        <w:rPr>
          <w:rFonts w:ascii="Times New Roman" w:hAnsi="Times New Roman" w:cs="Times New Roman"/>
          <w:noProof/>
          <w:lang w:val="en-GB"/>
        </w:rPr>
        <w:t xml:space="preserve"> concerning market integration would be necessary to understand how Estonia intends to implement recent market design legislation, in particular regarding consumer participation in the energy system, demand response and storage, including via aggregation, retail market competition and dynamic pricing. </w:t>
      </w:r>
    </w:p>
    <w:p>
      <w:pPr>
        <w:jc w:val="both"/>
        <w:rPr>
          <w:rFonts w:ascii="Times New Roman" w:eastAsia="Times New Roman" w:hAnsi="Times New Roman" w:cs="Times New Roman"/>
          <w:noProof/>
          <w:sz w:val="24"/>
          <w:szCs w:val="24"/>
          <w:lang w:val="en-IE" w:eastAsia="en-IE"/>
        </w:rPr>
      </w:pPr>
      <w:r>
        <w:rPr>
          <w:rFonts w:ascii="Times New Roman" w:hAnsi="Times New Roman" w:cs="Times New Roman"/>
          <w:noProof/>
          <w:lang w:val="en-IE"/>
        </w:rPr>
        <w:t xml:space="preserve">The draft plan provides information on objectives for general poverty and mentions the number of households receiving the subsistence benefit. It is not clear if a dedicated assessment of the number of households in </w:t>
      </w:r>
      <w:r>
        <w:rPr>
          <w:rFonts w:ascii="Times New Roman" w:hAnsi="Times New Roman" w:cs="Times New Roman"/>
          <w:b/>
          <w:noProof/>
          <w:lang w:val="en-IE"/>
        </w:rPr>
        <w:t>energy poverty</w:t>
      </w:r>
      <w:r>
        <w:rPr>
          <w:rFonts w:ascii="Times New Roman" w:hAnsi="Times New Roman" w:cs="Times New Roman"/>
          <w:noProof/>
          <w:lang w:val="en-IE"/>
        </w:rPr>
        <w:t xml:space="preserve"> as required by the Governance Regulation</w:t>
      </w:r>
      <w:r>
        <w:rPr>
          <w:rStyle w:val="FootnoteReference"/>
          <w:rFonts w:ascii="Times New Roman" w:hAnsi="Times New Roman" w:cs="Times New Roman"/>
          <w:noProof/>
          <w:lang w:val="en-IE"/>
        </w:rPr>
        <w:footnoteReference w:id="19"/>
      </w:r>
      <w:r>
        <w:rPr>
          <w:rFonts w:ascii="Times New Roman" w:hAnsi="Times New Roman" w:cs="Times New Roman"/>
          <w:noProof/>
          <w:lang w:val="en-IE"/>
        </w:rPr>
        <w:t xml:space="preserve"> has been carried out. This assessment, which is expected to build on existing social policy and other relevant policies, could serve as an indication of what objectives specific to energy poverty would be warranted in the final plan. The presentation of policies and measures addressing energy poverty is detailed. Further highlighting the use of energy efficiency measures to alleviate energy poverty, could evidence a stronger, multi-dimensional approach to tackling this issue.</w:t>
      </w:r>
      <w:r>
        <w:rPr>
          <w:rFonts w:ascii="Times New Roman" w:eastAsia="Times New Roman" w:hAnsi="Times New Roman" w:cs="Times New Roman"/>
          <w:noProof/>
          <w:sz w:val="24"/>
          <w:szCs w:val="24"/>
          <w:lang w:val="en-IE" w:eastAsia="en-IE"/>
        </w:rPr>
        <w:t xml:space="preserve"> </w:t>
      </w:r>
    </w:p>
    <w:p>
      <w:pPr>
        <w:pStyle w:val="Heading2"/>
        <w:rPr>
          <w:noProof/>
        </w:rPr>
      </w:pPr>
      <w:bookmarkStart w:id="37" w:name="_Toc8828628"/>
      <w:bookmarkStart w:id="38" w:name="_Toc8829542"/>
      <w:bookmarkStart w:id="39" w:name="_Toc11150801"/>
      <w:r>
        <w:rPr>
          <w:noProof/>
        </w:rPr>
        <w:t>Dimension research, innovation and competitiveness</w:t>
      </w:r>
      <w:bookmarkEnd w:id="37"/>
      <w:bookmarkEnd w:id="38"/>
      <w:bookmarkEnd w:id="39"/>
      <w:r>
        <w:rPr>
          <w:noProof/>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identifies a number of research domains which will receive attention, but does not set clear research and innovation </w:t>
      </w:r>
      <w:r>
        <w:rPr>
          <w:rFonts w:ascii="Times New Roman" w:hAnsi="Times New Roman" w:cs="Times New Roman"/>
          <w:b/>
          <w:noProof/>
          <w:lang w:val="en-GB"/>
        </w:rPr>
        <w:t>objectives</w:t>
      </w:r>
      <w:r>
        <w:rPr>
          <w:rFonts w:ascii="Times New Roman" w:hAnsi="Times New Roman" w:cs="Times New Roman"/>
          <w:noProof/>
          <w:lang w:val="en-GB"/>
        </w:rPr>
        <w:t xml:space="preserve"> to be achieved by 2030. Similarly, funding targets and financing measures have been provided only up to 2020. </w:t>
      </w:r>
    </w:p>
    <w:p>
      <w:pPr>
        <w:jc w:val="both"/>
        <w:rPr>
          <w:rFonts w:ascii="Times New Roman" w:hAnsi="Times New Roman" w:cs="Times New Roman"/>
          <w:noProof/>
          <w:lang w:val="en-GB"/>
        </w:rPr>
      </w:pPr>
      <w:r>
        <w:rPr>
          <w:rFonts w:ascii="Times New Roman" w:hAnsi="Times New Roman" w:cs="Times New Roman"/>
          <w:noProof/>
          <w:lang w:val="en-GB"/>
        </w:rPr>
        <w:t>In line with the binding template, the final plan needs to include specific research and innovation objectives and a description of policies and measures until 2030, to give a clear indication of how they will contribute to the collective achievement of Energy Union objectives under this dimension.</w:t>
      </w:r>
    </w:p>
    <w:p>
      <w:pPr>
        <w:jc w:val="both"/>
        <w:rPr>
          <w:rFonts w:ascii="Times New Roman" w:hAnsi="Times New Roman" w:cs="Times New Roman"/>
          <w:noProof/>
          <w:lang w:val="en-GB"/>
        </w:rPr>
      </w:pPr>
      <w:r>
        <w:rPr>
          <w:rFonts w:ascii="Times New Roman" w:hAnsi="Times New Roman" w:cs="Times New Roman"/>
          <w:noProof/>
          <w:lang w:val="en-IE"/>
        </w:rPr>
        <w:t xml:space="preserve">In terms of </w:t>
      </w:r>
      <w:r>
        <w:rPr>
          <w:rFonts w:ascii="Times New Roman" w:hAnsi="Times New Roman" w:cs="Times New Roman"/>
          <w:b/>
          <w:noProof/>
          <w:lang w:val="en-IE"/>
        </w:rPr>
        <w:t>competitiveness</w:t>
      </w:r>
      <w:r>
        <w:rPr>
          <w:rFonts w:ascii="Times New Roman" w:hAnsi="Times New Roman" w:cs="Times New Roman"/>
          <w:noProof/>
          <w:lang w:val="en-IE"/>
        </w:rPr>
        <w:t>, the draft plan presents a set of quantified objectives by 2030, aimed at ensuring affordable energy supply and contributing to improving Estonia's overall macroeconomic competitiveness. The NECP would be rendered more comprehensive if this was expanded to cover specifically the low-carbon technologies sector, including for decarbonising energy and carbon-intensive industrial sectors, accompanied with an analysis on where said sector is currently positioned in the global market, highlighting areas of competitive strengths and potential challenges. Measurable objectives for the future should be defined on that basis, together with policies and measures to achieve them, making appropriate links to enterprise and industrial policy.</w:t>
      </w:r>
    </w:p>
    <w:p>
      <w:pPr>
        <w:jc w:val="both"/>
        <w:rPr>
          <w:rFonts w:ascii="Times New Roman" w:hAnsi="Times New Roman" w:cs="Times New Roman"/>
          <w:noProof/>
          <w:lang w:val="en-GB"/>
        </w:rPr>
      </w:pPr>
      <w:r>
        <w:rPr>
          <w:rFonts w:ascii="Times New Roman" w:hAnsi="Times New Roman" w:cs="Times New Roman"/>
          <w:noProof/>
          <w:lang w:val="en-GB"/>
        </w:rPr>
        <w:t xml:space="preserve">When it comes to </w:t>
      </w:r>
      <w:r>
        <w:rPr>
          <w:rFonts w:ascii="Times New Roman" w:hAnsi="Times New Roman" w:cs="Times New Roman"/>
          <w:b/>
          <w:noProof/>
          <w:lang w:val="en-GB"/>
        </w:rPr>
        <w:t>cooperation</w:t>
      </w:r>
      <w:r>
        <w:rPr>
          <w:rFonts w:ascii="Times New Roman" w:hAnsi="Times New Roman" w:cs="Times New Roman"/>
          <w:noProof/>
          <w:lang w:val="en-GB"/>
        </w:rPr>
        <w:t xml:space="preserve"> with other Member States, a description is provided of the cooperation programme between the Baltic States and Nordic Energy Research, which in the 2021 framework focusses on the transport sector, buildings and industry, energy system analysis, and challenges and opportunities in regional energy networks. The final NECP would benefit from considering the areas in which regional cooperation can add value in the 2030 perspective, as well as clarifying how the </w:t>
      </w:r>
      <w:r>
        <w:rPr>
          <w:rFonts w:ascii="Times New Roman" w:hAnsi="Times New Roman" w:cs="Times New Roman"/>
          <w:b/>
          <w:noProof/>
          <w:lang w:val="en-GB"/>
        </w:rPr>
        <w:t>Strategic Energy Technology (SET) Plan</w:t>
      </w:r>
      <w:r>
        <w:rPr>
          <w:rFonts w:ascii="Times New Roman" w:hAnsi="Times New Roman" w:cs="Times New Roman"/>
          <w:noProof/>
          <w:lang w:val="en-GB"/>
        </w:rPr>
        <w:t xml:space="preserve"> priorities and implementing plans are being translated to the national context.</w:t>
      </w:r>
    </w:p>
    <w:p>
      <w:pPr>
        <w:pStyle w:val="Heading1"/>
        <w:numPr>
          <w:ilvl w:val="0"/>
          <w:numId w:val="3"/>
        </w:numPr>
        <w:rPr>
          <w:noProof/>
        </w:rPr>
      </w:pPr>
      <w:bookmarkStart w:id="40" w:name="_Toc8828629"/>
      <w:bookmarkStart w:id="41" w:name="_Toc8829543"/>
      <w:bookmarkStart w:id="42" w:name="_Toc11150802"/>
      <w:r>
        <w:rPr>
          <w:noProof/>
        </w:rPr>
        <w:t>Coherence, policy interactions and investments</w:t>
      </w:r>
      <w:bookmarkEnd w:id="40"/>
      <w:bookmarkEnd w:id="41"/>
      <w:bookmarkEnd w:id="42"/>
    </w:p>
    <w:p>
      <w:pPr>
        <w:jc w:val="both"/>
        <w:rPr>
          <w:rFonts w:ascii="Times New Roman" w:hAnsi="Times New Roman" w:cs="Times New Roman"/>
          <w:noProof/>
          <w:lang w:val="en-GB"/>
        </w:rPr>
      </w:pPr>
      <w:r>
        <w:rPr>
          <w:rFonts w:ascii="Times New Roman" w:hAnsi="Times New Roman" w:cs="Times New Roman"/>
          <w:noProof/>
          <w:lang w:val="en-GB"/>
        </w:rPr>
        <w:t xml:space="preserve">The draft NECP identifies several policy interactions from some of the proposed policies and measures. Completed scenarios with existing and additional measures would be necessary to perform a full assessment of coherence and policy interactions. The final plan would benefit from considering the coherence of adaptation to climate change with the relevant dimensions of the Energy Union. This could include such aspects as the potential impact of climate change risks on energy supply (e.g., wildfires and storms destroying biomass resources and power networks, availability of hydro power) and the co-benefits of adaptation for energy efficiency, such as in the thermal management of buildings. The draft plan also does not quantify the supply of biomass for energy purposes in Estonia, and its sustainability and impact on the LULUCF sector and biodiversity has not been explained. The potential supply of sustainable biomass, including supply of biofuels feedstocks (first generation or advanced) could be further specified. The final plan could also elaborate on synergies and trade-offs with </w:t>
      </w:r>
      <w:r>
        <w:rPr>
          <w:rFonts w:ascii="Times New Roman" w:hAnsi="Times New Roman" w:cs="Times New Roman"/>
          <w:b/>
          <w:noProof/>
          <w:lang w:val="en-GB"/>
        </w:rPr>
        <w:t>biodiversity</w:t>
      </w:r>
      <w:r>
        <w:rPr>
          <w:rFonts w:ascii="Times New Roman" w:hAnsi="Times New Roman" w:cs="Times New Roman"/>
          <w:noProof/>
          <w:lang w:val="en-GB"/>
        </w:rPr>
        <w:t xml:space="preserve"> policies.</w:t>
      </w:r>
    </w:p>
    <w:p>
      <w:pPr>
        <w:jc w:val="both"/>
        <w:rPr>
          <w:rFonts w:ascii="Times New Roman" w:hAnsi="Times New Roman" w:cs="Times New Roman"/>
          <w:noProof/>
          <w:lang w:val="en-GB"/>
        </w:rPr>
      </w:pPr>
      <w:r>
        <w:rPr>
          <w:rFonts w:ascii="Times New Roman" w:hAnsi="Times New Roman" w:cs="Times New Roman"/>
          <w:noProof/>
          <w:lang w:val="en-GB"/>
        </w:rPr>
        <w:t xml:space="preserve">Considering the relevance for greenhouse gas emission reductions, the final plan could reflect interactions with </w:t>
      </w:r>
      <w:r>
        <w:rPr>
          <w:rFonts w:ascii="Times New Roman" w:hAnsi="Times New Roman" w:cs="Times New Roman"/>
          <w:b/>
          <w:noProof/>
          <w:lang w:val="en-GB"/>
        </w:rPr>
        <w:t>circular economy</w:t>
      </w:r>
      <w:r>
        <w:rPr>
          <w:rFonts w:ascii="Times New Roman" w:hAnsi="Times New Roman" w:cs="Times New Roman"/>
          <w:noProof/>
          <w:lang w:val="en-GB"/>
        </w:rPr>
        <w:t xml:space="preserve">. It could also mention the forthcoming national action plan for circular economy (planned to be adopted in 2020) and its possible actions and targets (e.g. regarding re-use, repair and recycling, including plastics reduction and recycling). </w:t>
      </w:r>
    </w:p>
    <w:p>
      <w:pPr>
        <w:jc w:val="both"/>
        <w:rPr>
          <w:rFonts w:ascii="Times New Roman" w:hAnsi="Times New Roman" w:cs="Times New Roman"/>
          <w:noProof/>
          <w:lang w:val="en-GB"/>
        </w:rPr>
      </w:pPr>
      <w:r>
        <w:rPr>
          <w:rFonts w:ascii="Times New Roman" w:hAnsi="Times New Roman" w:cs="Times New Roman"/>
          <w:noProof/>
          <w:lang w:val="en-GB"/>
        </w:rPr>
        <w:t>The draft plan does not include any assessment of the impact of planned policies on air quality, but it mentions that ambient air pollutant projections will be added to the final plan.</w:t>
      </w:r>
    </w:p>
    <w:p>
      <w:pPr>
        <w:jc w:val="both"/>
        <w:rPr>
          <w:rFonts w:ascii="Times New Roman" w:hAnsi="Times New Roman" w:cs="Times New Roman"/>
          <w:noProof/>
          <w:lang w:val="en-GB"/>
        </w:rPr>
      </w:pPr>
      <w:r>
        <w:rPr>
          <w:rFonts w:ascii="Times New Roman" w:hAnsi="Times New Roman" w:cs="Times New Roman"/>
          <w:noProof/>
          <w:lang w:val="en-GB"/>
        </w:rPr>
        <w:t xml:space="preserve">The coherence of the final plan would also benefit from an explanation of how the future electricity generation adequacy and system flexibility will be ensured in light of the Estonia’s ambition for renewable energy and reduction of electricity produced from oil shale. Concerning oil shale more broadly, it is also not clear to what extent the impact of its continued development and use on Estonia’s decarbonisation targets has been assessed. </w:t>
      </w:r>
    </w:p>
    <w:p>
      <w:pPr>
        <w:jc w:val="both"/>
        <w:rPr>
          <w:rFonts w:ascii="Times New Roman" w:hAnsi="Times New Roman" w:cs="Times New Roman"/>
          <w:noProof/>
          <w:lang w:val="en-GB"/>
        </w:rPr>
      </w:pPr>
      <w:r>
        <w:rPr>
          <w:rFonts w:ascii="Times New Roman" w:hAnsi="Times New Roman" w:cs="Times New Roman"/>
          <w:noProof/>
          <w:lang w:val="en-GB"/>
        </w:rPr>
        <w:t xml:space="preserve">Including relevant considerations on </w:t>
      </w:r>
      <w:r>
        <w:rPr>
          <w:rFonts w:ascii="Times New Roman" w:hAnsi="Times New Roman" w:cs="Times New Roman"/>
          <w:b/>
          <w:noProof/>
          <w:lang w:val="en-GB"/>
        </w:rPr>
        <w:t>just transition</w:t>
      </w:r>
      <w:r>
        <w:rPr>
          <w:rFonts w:ascii="Times New Roman" w:hAnsi="Times New Roman" w:cs="Times New Roman"/>
          <w:noProof/>
          <w:lang w:val="en-GB"/>
        </w:rPr>
        <w:t xml:space="preserve"> issues in the final plan, in line with the requirements set out in the Governance Regulation</w:t>
      </w:r>
      <w:r>
        <w:rPr>
          <w:rStyle w:val="FootnoteReference"/>
          <w:rFonts w:ascii="Times New Roman" w:hAnsi="Times New Roman" w:cs="Times New Roman"/>
          <w:noProof/>
          <w:lang w:val="en-GB"/>
        </w:rPr>
        <w:footnoteReference w:id="20"/>
      </w:r>
      <w:r>
        <w:rPr>
          <w:rFonts w:ascii="Times New Roman" w:hAnsi="Times New Roman" w:cs="Times New Roman"/>
          <w:noProof/>
          <w:lang w:val="en-GB"/>
        </w:rPr>
        <w:t xml:space="preserve"> would provide a more comprehensive overview of the trade-offs associated with this issue. The issue of a </w:t>
      </w:r>
      <w:r>
        <w:rPr>
          <w:rFonts w:ascii="Times New Roman" w:hAnsi="Times New Roman" w:cs="Times New Roman"/>
          <w:b/>
          <w:noProof/>
          <w:lang w:val="en-GB"/>
        </w:rPr>
        <w:t xml:space="preserve">just transition </w:t>
      </w:r>
      <w:r>
        <w:rPr>
          <w:rFonts w:ascii="Times New Roman" w:hAnsi="Times New Roman" w:cs="Times New Roman"/>
          <w:noProof/>
          <w:lang w:val="en-GB"/>
        </w:rPr>
        <w:t>to a climate neutral economy more generally could be better integrated throughout by considering social and employment impacts related to a green/circular economy, for example shifts in sectors/industries, skills impacts, distributional effects, energy poverty and revenue recycling. The plan would benefit from providing more details on the question of skills and training. It would also benefit from considerations in terms of costs and benefits as well as cost effectiveness of planned policies and measures.</w:t>
      </w:r>
    </w:p>
    <w:p>
      <w:pPr>
        <w:jc w:val="both"/>
        <w:rPr>
          <w:rFonts w:ascii="Times New Roman" w:hAnsi="Times New Roman" w:cs="Times New Roman"/>
          <w:noProof/>
          <w:lang w:val="en-GB"/>
        </w:rPr>
      </w:pPr>
      <w:r>
        <w:rPr>
          <w:rFonts w:ascii="Times New Roman" w:hAnsi="Times New Roman" w:cs="Times New Roman"/>
          <w:noProof/>
          <w:lang w:val="en-IE"/>
        </w:rPr>
        <w:t xml:space="preserve">The draft NECP does not explicitly refer to the </w:t>
      </w:r>
      <w:r>
        <w:rPr>
          <w:rFonts w:ascii="Times New Roman" w:hAnsi="Times New Roman" w:cs="Times New Roman"/>
          <w:b/>
          <w:noProof/>
          <w:lang w:val="en-IE"/>
        </w:rPr>
        <w:t>energy efficiency first</w:t>
      </w:r>
      <w:r>
        <w:rPr>
          <w:rFonts w:ascii="Times New Roman" w:hAnsi="Times New Roman" w:cs="Times New Roman"/>
          <w:noProof/>
          <w:lang w:val="en-IE"/>
        </w:rPr>
        <w:t xml:space="preserve"> principle. The impact assessment only includes the statement that in order to assess policy interactions, there must be firm understanding about the impact energy efficiency policy has on the sizing of the energy system to reduce the risk of stranded investment in energy supply. The draft NECP also states that energy efficiency is an important means for reducing energy import dependency</w:t>
      </w:r>
      <w:r>
        <w:rPr>
          <w:rFonts w:ascii="Times New Roman" w:hAnsi="Times New Roman" w:cs="Times New Roman"/>
          <w:noProof/>
          <w:lang w:val="en-GB"/>
        </w:rPr>
        <w:t xml:space="preserve">. </w:t>
      </w:r>
      <w:r>
        <w:rPr>
          <w:rFonts w:ascii="Times New Roman" w:hAnsi="Times New Roman" w:cs="Times New Roman"/>
          <w:noProof/>
          <w:lang w:val="en-IE"/>
        </w:rPr>
        <w:t>On the other hand, it remains unclear how energy efficiency and demand response have been addressed in the assessment of the future electricity generation adequacy.</w:t>
      </w:r>
    </w:p>
    <w:p>
      <w:pPr>
        <w:jc w:val="both"/>
        <w:rPr>
          <w:rFonts w:ascii="Times New Roman" w:hAnsi="Times New Roman" w:cs="Times New Roman"/>
          <w:noProof/>
          <w:lang w:val="en-IE"/>
        </w:rPr>
      </w:pPr>
      <w:r>
        <w:rPr>
          <w:rFonts w:ascii="Times New Roman" w:hAnsi="Times New Roman" w:cs="Times New Roman"/>
          <w:noProof/>
          <w:lang w:val="en-IE"/>
        </w:rPr>
        <w:t xml:space="preserve">The designated section on </w:t>
      </w:r>
      <w:r>
        <w:rPr>
          <w:rFonts w:ascii="Times New Roman" w:hAnsi="Times New Roman" w:cs="Times New Roman"/>
          <w:b/>
          <w:noProof/>
          <w:lang w:val="en-IE"/>
        </w:rPr>
        <w:t>investment</w:t>
      </w:r>
      <w:r>
        <w:rPr>
          <w:rFonts w:ascii="Times New Roman" w:hAnsi="Times New Roman" w:cs="Times New Roman"/>
          <w:noProof/>
          <w:lang w:val="en-IE"/>
        </w:rPr>
        <w:t xml:space="preserve"> </w:t>
      </w:r>
      <w:r>
        <w:rPr>
          <w:rFonts w:ascii="Times New Roman" w:hAnsi="Times New Roman" w:cs="Times New Roman"/>
          <w:b/>
          <w:noProof/>
          <w:lang w:val="en-IE"/>
        </w:rPr>
        <w:t>needs</w:t>
      </w:r>
      <w:r>
        <w:rPr>
          <w:rFonts w:ascii="Times New Roman" w:hAnsi="Times New Roman" w:cs="Times New Roman"/>
          <w:noProof/>
          <w:lang w:val="en-IE"/>
        </w:rPr>
        <w:t>, market risks and barriers and additional public finance support has not been completed in the draft NECP. The information will be developed in 2019, after the updated greenhouse gas emissions projections have been published. The draft plan includes references to financing sources for some policies and measures, namely, EU funding programmes, and the national budget. Comprehensive information for all policies and measures would be necessary for a full assessment of investment needs. The draft plan does not make reference to the use of Estonia’s share of the Modernisation Fund (8.6 million allowances corresponding to EUR 172 million at a carbon price of EUR 20)</w:t>
      </w:r>
      <w:r>
        <w:rPr>
          <w:rStyle w:val="FootnoteReference"/>
          <w:rFonts w:ascii="Times New Roman" w:hAnsi="Times New Roman" w:cs="Times New Roman"/>
          <w:noProof/>
          <w:lang w:val="en-IE"/>
        </w:rPr>
        <w:footnoteReference w:id="21"/>
      </w:r>
      <w:r>
        <w:rPr>
          <w:rFonts w:ascii="Times New Roman" w:hAnsi="Times New Roman" w:cs="Times New Roman"/>
          <w:noProof/>
          <w:lang w:val="en-IE"/>
        </w:rPr>
        <w:t xml:space="preserve"> to support investments in energy systems and sectors, from 2021 to 2030. </w:t>
      </w:r>
      <w:r>
        <w:rPr>
          <w:rFonts w:ascii="Times New Roman" w:hAnsi="Times New Roman" w:cs="Times New Roman"/>
          <w:noProof/>
          <w:lang w:val="en-GB"/>
        </w:rPr>
        <w:t>Some investment needs could partly be covered by EU funds, in particular cohesion policy funding, notably in line with the investment analysis for 2021-2027 of the 2019 European Country Semester Report for Estonia and with any relevant legislation.</w:t>
      </w:r>
    </w:p>
    <w:p>
      <w:pPr>
        <w:pBdr>
          <w:top w:val="single" w:sz="4" w:space="1" w:color="auto"/>
          <w:left w:val="single" w:sz="4" w:space="1" w:color="auto"/>
          <w:bottom w:val="single" w:sz="4" w:space="1" w:color="auto"/>
          <w:right w:val="single" w:sz="4" w:space="1" w:color="auto"/>
        </w:pBdr>
        <w:rPr>
          <w:rFonts w:ascii="Times New Roman" w:hAnsi="Times New Roman" w:cs="Times New Roman"/>
          <w:i/>
          <w:noProof/>
          <w:lang w:val="en-GB"/>
        </w:rPr>
      </w:pPr>
      <w:r>
        <w:rPr>
          <w:rFonts w:ascii="Times New Roman" w:hAnsi="Times New Roman" w:cs="Times New Roman"/>
          <w:i/>
          <w:noProof/>
          <w:lang w:val="en-GB"/>
        </w:rPr>
        <w:t>Links with the European Semester</w:t>
      </w:r>
    </w:p>
    <w:p>
      <w:pPr>
        <w:pBdr>
          <w:top w:val="single" w:sz="4" w:space="1" w:color="auto"/>
          <w:left w:val="single" w:sz="4" w:space="1" w:color="auto"/>
          <w:bottom w:val="single" w:sz="4" w:space="1" w:color="auto"/>
          <w:right w:val="single" w:sz="4" w:space="1" w:color="auto"/>
        </w:pBdr>
        <w:spacing w:after="160"/>
        <w:rPr>
          <w:noProof/>
          <w:lang w:val="en-IE"/>
        </w:rPr>
      </w:pPr>
      <w:r>
        <w:rPr>
          <w:rFonts w:ascii="Times New Roman" w:hAnsi="Times New Roman" w:cs="Times New Roman"/>
          <w:noProof/>
          <w:lang w:val="en-IE"/>
        </w:rPr>
        <w:t>Identifying financing needs and securing the necessary funding will be key to deliver on energy and climate objectives. The Commission addressed this question as part of the 2019 European Semester process. Based on the 2019 Country Report for Estonia, published on 27 February 2019</w:t>
      </w:r>
      <w:r>
        <w:rPr>
          <w:rStyle w:val="FootnoteReference"/>
          <w:rFonts w:ascii="Times New Roman" w:hAnsi="Times New Roman" w:cs="Times New Roman"/>
          <w:noProof/>
        </w:rPr>
        <w:footnoteReference w:id="22"/>
      </w:r>
      <w:r>
        <w:rPr>
          <w:rFonts w:ascii="Times New Roman" w:hAnsi="Times New Roman" w:cs="Times New Roman"/>
          <w:noProof/>
          <w:lang w:val="en-IE"/>
        </w:rPr>
        <w:t>, the European Commission’s recommendation for a Council recommendation for Estonia issued on 5 June 2019</w:t>
      </w:r>
      <w:r>
        <w:rPr>
          <w:rStyle w:val="FootnoteReference"/>
          <w:rFonts w:ascii="Times New Roman" w:hAnsi="Times New Roman" w:cs="Times New Roman"/>
          <w:noProof/>
        </w:rPr>
        <w:footnoteReference w:id="23"/>
      </w:r>
      <w:r>
        <w:rPr>
          <w:rFonts w:ascii="Times New Roman" w:hAnsi="Times New Roman" w:cs="Times New Roman"/>
          <w:noProof/>
          <w:lang w:val="en-IE"/>
        </w:rPr>
        <w:t>, in the context of the European Semester, highlights in particular the need to invest in ‘sustainable transport and energy infrastructure, including interconnections’ and in ‘resource and energy efficiency’. When preparing its overview of investment needs and related sources of finance for the final plan, Estonia should take into account these recommendations and links to the European Semester.</w:t>
      </w:r>
    </w:p>
    <w:p>
      <w:pPr>
        <w:jc w:val="both"/>
        <w:rPr>
          <w:rFonts w:ascii="Times New Roman" w:hAnsi="Times New Roman" w:cs="Times New Roman"/>
          <w:noProof/>
          <w:lang w:val="en-GB"/>
        </w:rPr>
      </w:pPr>
      <w:r>
        <w:rPr>
          <w:rFonts w:ascii="Times New Roman" w:hAnsi="Times New Roman" w:cs="Times New Roman"/>
          <w:noProof/>
          <w:lang w:val="en-IE"/>
        </w:rPr>
        <w:t xml:space="preserve">The </w:t>
      </w:r>
      <w:r>
        <w:rPr>
          <w:rFonts w:ascii="Times New Roman" w:hAnsi="Times New Roman" w:cs="Times New Roman"/>
          <w:noProof/>
          <w:lang w:val="en-GB"/>
        </w:rPr>
        <w:t xml:space="preserve">draft plan includes information on </w:t>
      </w:r>
      <w:r>
        <w:rPr>
          <w:rFonts w:ascii="Times New Roman" w:hAnsi="Times New Roman" w:cs="Times New Roman"/>
          <w:b/>
          <w:noProof/>
          <w:lang w:val="en-GB"/>
        </w:rPr>
        <w:t>energy subsidies</w:t>
      </w:r>
      <w:r>
        <w:rPr>
          <w:rFonts w:ascii="Times New Roman" w:hAnsi="Times New Roman" w:cs="Times New Roman"/>
          <w:noProof/>
          <w:lang w:val="en-GB"/>
        </w:rPr>
        <w:t>, including fossil fuels. Based on internationally used definitions, the report of the European Commission on Energy Prices and Costs in Europe</w:t>
      </w:r>
      <w:r>
        <w:rPr>
          <w:rStyle w:val="FootnoteReference"/>
          <w:rFonts w:ascii="Times New Roman" w:hAnsi="Times New Roman" w:cs="Times New Roman"/>
          <w:noProof/>
          <w:lang w:val="en-GB"/>
        </w:rPr>
        <w:footnoteReference w:id="24"/>
      </w:r>
      <w:r>
        <w:rPr>
          <w:rFonts w:ascii="Times New Roman" w:hAnsi="Times New Roman" w:cs="Times New Roman"/>
          <w:noProof/>
          <w:lang w:val="en-GB"/>
        </w:rPr>
        <w:t xml:space="preserve"> also identifies energy subsidies in Estonia, including for renewable energy and fossil fuels. Although some intentions on tax exemption measures for fossil fuels are stated, it would be important that the final plan includes a more detailed description of national policies, timelines and measures to phase-out energy subsidies, particularly for fossil fuels.</w:t>
      </w:r>
    </w:p>
    <w:p>
      <w:pPr>
        <w:pStyle w:val="Heading1"/>
        <w:numPr>
          <w:ilvl w:val="0"/>
          <w:numId w:val="3"/>
        </w:numPr>
        <w:rPr>
          <w:noProof/>
        </w:rPr>
      </w:pPr>
      <w:bookmarkStart w:id="43" w:name="_Toc11150803"/>
      <w:bookmarkStart w:id="44" w:name="_Toc8828630"/>
      <w:bookmarkStart w:id="45" w:name="_Toc8829544"/>
      <w:bookmarkStart w:id="46" w:name="_Toc11150804"/>
      <w:bookmarkEnd w:id="43"/>
      <w:r>
        <w:rPr>
          <w:noProof/>
        </w:rPr>
        <w:t>Regional cooperation</w:t>
      </w:r>
      <w:bookmarkEnd w:id="44"/>
      <w:bookmarkEnd w:id="45"/>
      <w:bookmarkEnd w:id="46"/>
      <w:r>
        <w:rPr>
          <w:noProof/>
        </w:rPr>
        <w:t xml:space="preserve"> </w:t>
      </w:r>
    </w:p>
    <w:p>
      <w:pPr>
        <w:jc w:val="both"/>
        <w:rPr>
          <w:rFonts w:ascii="Times New Roman" w:hAnsi="Times New Roman" w:cs="Times New Roman"/>
          <w:noProof/>
          <w:lang w:val="en-IE"/>
        </w:rPr>
      </w:pPr>
      <w:r>
        <w:rPr>
          <w:rFonts w:ascii="Times New Roman" w:hAnsi="Times New Roman" w:cs="Times New Roman"/>
          <w:noProof/>
          <w:lang w:val="en-IE"/>
        </w:rPr>
        <w:t>Cooperation between the Baltic States takes place in the framework of the Baltic Energy Market Interconnection Plan (BEMIP)</w:t>
      </w:r>
      <w:r>
        <w:rPr>
          <w:rStyle w:val="FootnoteReference"/>
          <w:rFonts w:ascii="Times New Roman" w:hAnsi="Times New Roman" w:cs="Times New Roman"/>
          <w:noProof/>
          <w:lang w:val="en-IE"/>
        </w:rPr>
        <w:footnoteReference w:id="25"/>
      </w:r>
      <w:r>
        <w:rPr>
          <w:rFonts w:ascii="Times New Roman" w:hAnsi="Times New Roman" w:cs="Times New Roman"/>
          <w:noProof/>
          <w:lang w:val="en-IE"/>
        </w:rPr>
        <w:t xml:space="preserve"> high level group. Building on the initial focus of the work on electricity and gas markets, infrastructure and power generation, the scope of the initiative was extended to include security of supply, energy efficiency and renewable energy. </w:t>
      </w:r>
    </w:p>
    <w:p>
      <w:pPr>
        <w:jc w:val="both"/>
        <w:rPr>
          <w:rFonts w:ascii="Times New Roman" w:hAnsi="Times New Roman" w:cs="Times New Roman"/>
          <w:noProof/>
          <w:lang w:val="en-IE"/>
        </w:rPr>
      </w:pPr>
      <w:r>
        <w:rPr>
          <w:rFonts w:ascii="Times New Roman" w:hAnsi="Times New Roman" w:cs="Times New Roman"/>
          <w:noProof/>
          <w:lang w:val="en-IE"/>
        </w:rPr>
        <w:t>Considerable progress has already been made with regards to ending the energy isolation of the Baltic States through the completion of key infrastructure projects, and the Baltic States are currently among the best interconnected regions in Europe.</w:t>
      </w:r>
    </w:p>
    <w:p>
      <w:pPr>
        <w:jc w:val="both"/>
        <w:rPr>
          <w:rFonts w:ascii="Times New Roman" w:hAnsi="Times New Roman" w:cs="Times New Roman"/>
          <w:noProof/>
          <w:lang w:val="en-IE"/>
        </w:rPr>
      </w:pPr>
      <w:r>
        <w:rPr>
          <w:rFonts w:ascii="Times New Roman" w:hAnsi="Times New Roman" w:cs="Times New Roman"/>
          <w:noProof/>
          <w:lang w:val="en-IE"/>
        </w:rPr>
        <w:t>Nevertheless, further efforts are needed to deliver on the Energy Union objective of a fully integrated European energy market. The next steps include the completion of the regional gas market, with the construction of the Balticconector pipeline between Estonia and Finland, and the integration of the Baltic States' electricity network into the continental European network. Regional cooperation has a key role in assessing regional system adequacy as foreseen in the Electricity Regulation</w:t>
      </w:r>
      <w:r>
        <w:rPr>
          <w:rStyle w:val="FootnoteReference"/>
          <w:rFonts w:ascii="Times New Roman" w:hAnsi="Times New Roman" w:cs="Times New Roman"/>
          <w:noProof/>
          <w:lang w:val="en-IE"/>
        </w:rPr>
        <w:footnoteReference w:id="26"/>
      </w:r>
      <w:r>
        <w:rPr>
          <w:rFonts w:ascii="Times New Roman" w:hAnsi="Times New Roman" w:cs="Times New Roman"/>
          <w:noProof/>
          <w:lang w:val="en-IE"/>
        </w:rPr>
        <w:t>. This will become even more important in light of increasing shares of renewable energy and corresponding need for system flexibility.</w:t>
      </w:r>
    </w:p>
    <w:p>
      <w:pPr>
        <w:jc w:val="both"/>
        <w:rPr>
          <w:rFonts w:ascii="Times New Roman" w:hAnsi="Times New Roman" w:cs="Times New Roman"/>
          <w:noProof/>
          <w:lang w:val="en-IE"/>
        </w:rPr>
      </w:pPr>
      <w:r>
        <w:rPr>
          <w:rFonts w:ascii="Times New Roman" w:hAnsi="Times New Roman" w:cs="Times New Roman"/>
          <w:noProof/>
          <w:lang w:val="en-IE"/>
        </w:rPr>
        <w:t xml:space="preserve">In the consultation process on the draft Finnish NECP, Estonia has already stressed the need for closer regional cooperation on generation adequacy and electricity market integration. Due to the expected shutdown of Estonian oil shale generation capacities, combined with an increase in intermittent renewable generation, there are concerns with ensuring electricity generation adequacy, with implications for the regional electricity market. Thus, developing electricity market services on a regional scale and increasing the level of flexibility is important for Estonia and the other Baltic States. </w:t>
      </w:r>
    </w:p>
    <w:p>
      <w:pPr>
        <w:jc w:val="both"/>
        <w:rPr>
          <w:rFonts w:ascii="Times New Roman" w:hAnsi="Times New Roman" w:cs="Times New Roman"/>
          <w:noProof/>
          <w:lang w:val="en-IE"/>
        </w:rPr>
      </w:pPr>
      <w:r>
        <w:rPr>
          <w:rFonts w:ascii="Times New Roman" w:hAnsi="Times New Roman" w:cs="Times New Roman"/>
          <w:noProof/>
          <w:lang w:val="en-IE"/>
        </w:rPr>
        <w:t>The potential for regional cooperation in renewable energy and energy efficiency needs to be further explored. This could take the form of exchange of best practice or common projects. Cooperation in research could also be considered.</w:t>
      </w:r>
    </w:p>
    <w:p>
      <w:pPr>
        <w:jc w:val="both"/>
        <w:rPr>
          <w:rFonts w:ascii="Times New Roman" w:hAnsi="Times New Roman" w:cs="Times New Roman"/>
          <w:noProof/>
          <w:lang w:val="en-IE"/>
        </w:rPr>
      </w:pPr>
      <w:r>
        <w:rPr>
          <w:rFonts w:ascii="Times New Roman" w:hAnsi="Times New Roman" w:cs="Times New Roman"/>
          <w:noProof/>
          <w:lang w:val="en-IE"/>
        </w:rPr>
        <w:t>Decarbonisation of the transport sector is a challenging area for the Baltic States, as evidenced for example by the recent figures on the shares of renewable energy in transport (0.4 % in Estonia, 2.5 % in Latvia and 3.7 % in Lithuania in 2017, compared to the 2020 target of 10 %</w:t>
      </w:r>
      <w:r>
        <w:rPr>
          <w:rStyle w:val="FootnoteReference"/>
          <w:rFonts w:ascii="Times New Roman" w:hAnsi="Times New Roman" w:cs="Times New Roman"/>
          <w:noProof/>
          <w:lang w:val="en-IE"/>
        </w:rPr>
        <w:footnoteReference w:id="27"/>
      </w:r>
      <w:r>
        <w:rPr>
          <w:rFonts w:ascii="Times New Roman" w:hAnsi="Times New Roman" w:cs="Times New Roman"/>
          <w:noProof/>
          <w:lang w:val="en-IE"/>
        </w:rPr>
        <w:t xml:space="preserve">). A common approach in this area could provide cost-optimal solutions. In a broader regional context, Estonia has already flagged this concern to Finland to ensure that as various technologies are available for decarbonising transport, the development of the charging and refuelling infrastructure is done in a coherent way and does not lead to fragmentation of the EU internal market. </w:t>
      </w:r>
    </w:p>
    <w:p>
      <w:pPr>
        <w:jc w:val="both"/>
        <w:rPr>
          <w:rFonts w:ascii="Times New Roman" w:hAnsi="Times New Roman" w:cs="Times New Roman"/>
          <w:noProof/>
          <w:lang w:val="en-IE"/>
        </w:rPr>
      </w:pPr>
      <w:r>
        <w:rPr>
          <w:rFonts w:ascii="Times New Roman" w:hAnsi="Times New Roman" w:cs="Times New Roman"/>
          <w:noProof/>
          <w:lang w:val="en-IE"/>
        </w:rPr>
        <w:t>In May 2017, the Clean Energy for EU Islands Initiative was launched, aiming at accelerating the clean energy transition by helping islands reduce their dependency on energy imports and making better use of locally available renewable energy sources. It also provides a forum for exchange of best practices and aims to promote modern and innovative energy systems and reduce greenhouse gas emissions on islands. Although Estonia is a signatory to the political declaration for this initiative, it has not mentioned this in the draft NECP. Estonia could consider doing so in its final plan, and enhance cooperation with other Member States and island regions.</w:t>
      </w:r>
    </w:p>
    <w:p>
      <w:pPr>
        <w:pStyle w:val="Heading1"/>
        <w:numPr>
          <w:ilvl w:val="0"/>
          <w:numId w:val="3"/>
        </w:numPr>
        <w:rPr>
          <w:noProof/>
        </w:rPr>
      </w:pPr>
      <w:bookmarkStart w:id="47" w:name="_Toc8828631"/>
      <w:bookmarkStart w:id="48" w:name="_Toc8829545"/>
      <w:bookmarkStart w:id="49" w:name="_Toc11150805"/>
      <w:r>
        <w:rPr>
          <w:noProof/>
        </w:rPr>
        <w:t>Completeness of the draft plan</w:t>
      </w:r>
      <w:bookmarkEnd w:id="47"/>
      <w:bookmarkEnd w:id="48"/>
      <w:bookmarkEnd w:id="49"/>
    </w:p>
    <w:p>
      <w:pPr>
        <w:pStyle w:val="Heading2"/>
        <w:rPr>
          <w:noProof/>
        </w:rPr>
      </w:pPr>
      <w:bookmarkStart w:id="50" w:name="_Toc8828632"/>
      <w:bookmarkStart w:id="51" w:name="_Toc8829546"/>
      <w:bookmarkStart w:id="52" w:name="_Toc11150806"/>
      <w:r>
        <w:rPr>
          <w:noProof/>
        </w:rPr>
        <w:t>Information provided</w:t>
      </w:r>
      <w:bookmarkEnd w:id="50"/>
      <w:bookmarkEnd w:id="51"/>
      <w:bookmarkEnd w:id="52"/>
    </w:p>
    <w:p>
      <w:pPr>
        <w:jc w:val="both"/>
        <w:rPr>
          <w:rFonts w:ascii="Times New Roman" w:hAnsi="Times New Roman" w:cs="Times New Roman"/>
          <w:noProof/>
          <w:lang w:val="en-IE"/>
        </w:rPr>
      </w:pPr>
      <w:r>
        <w:rPr>
          <w:rFonts w:ascii="Times New Roman" w:hAnsi="Times New Roman" w:cs="Times New Roman"/>
          <w:noProof/>
          <w:lang w:val="en-IE"/>
        </w:rPr>
        <w:t>The draft Estonian NECP follows the template set out in Annex I of the Governance Regulation</w:t>
      </w:r>
      <w:r>
        <w:rPr>
          <w:rStyle w:val="FootnoteReference"/>
          <w:rFonts w:ascii="Times New Roman" w:hAnsi="Times New Roman" w:cs="Times New Roman"/>
          <w:noProof/>
          <w:lang w:val="en-IE"/>
        </w:rPr>
        <w:footnoteReference w:id="28"/>
      </w:r>
      <w:r>
        <w:rPr>
          <w:rFonts w:ascii="Times New Roman" w:hAnsi="Times New Roman" w:cs="Times New Roman"/>
          <w:noProof/>
          <w:lang w:val="en-IE"/>
        </w:rPr>
        <w:t>. While objectives, targets and contributions for 2030 are present, the lack of detail concerning corresponding policies and measures limits the depth of the Commission’s assessment.</w:t>
      </w:r>
    </w:p>
    <w:p>
      <w:pPr>
        <w:jc w:val="both"/>
        <w:rPr>
          <w:rFonts w:ascii="Times New Roman" w:hAnsi="Times New Roman" w:cs="Times New Roman"/>
          <w:noProof/>
          <w:lang w:val="en-GB"/>
        </w:rPr>
      </w:pPr>
      <w:r>
        <w:rPr>
          <w:rFonts w:ascii="Times New Roman" w:hAnsi="Times New Roman" w:cs="Times New Roman"/>
          <w:noProof/>
          <w:lang w:val="en-IE"/>
        </w:rPr>
        <w:t xml:space="preserve">Regarding the greenhouse gas emission reduction aspect of the </w:t>
      </w:r>
      <w:r>
        <w:rPr>
          <w:rFonts w:ascii="Times New Roman" w:hAnsi="Times New Roman" w:cs="Times New Roman"/>
          <w:b/>
          <w:noProof/>
          <w:lang w:val="en-IE"/>
        </w:rPr>
        <w:t>decarbonisation dimension</w:t>
      </w:r>
      <w:r>
        <w:rPr>
          <w:rFonts w:ascii="Times New Roman" w:hAnsi="Times New Roman" w:cs="Times New Roman"/>
          <w:noProof/>
          <w:lang w:val="en-IE"/>
        </w:rPr>
        <w:t xml:space="preserve">, the draft NECP is partially complete. </w:t>
      </w:r>
      <w:r>
        <w:rPr>
          <w:rFonts w:ascii="Times New Roman" w:hAnsi="Times New Roman" w:cs="Times New Roman"/>
          <w:noProof/>
          <w:lang w:val="en-GB"/>
        </w:rPr>
        <w:t>It does not sufficiently substantiate how Estonia expects to reach its 2030 targets under the Effort Sharing Regulation (ESR). In particular, there is little detail on the status and anticipated effects of the policies and measures described.</w:t>
      </w:r>
    </w:p>
    <w:p>
      <w:pPr>
        <w:jc w:val="both"/>
        <w:rPr>
          <w:rFonts w:ascii="Times New Roman" w:hAnsi="Times New Roman" w:cs="Times New Roman"/>
          <w:noProof/>
          <w:lang w:val="en-GB"/>
        </w:rPr>
      </w:pPr>
      <w:r>
        <w:rPr>
          <w:rFonts w:ascii="Times New Roman" w:hAnsi="Times New Roman" w:cs="Times New Roman"/>
          <w:noProof/>
          <w:lang w:val="en-GB"/>
        </w:rPr>
        <w:t>The draft plan does not include an estimation of the annual binding emission limits in 2021-2030 under the Effort Sharing Regulation (ESR)</w:t>
      </w:r>
      <w:r>
        <w:rPr>
          <w:rStyle w:val="FootnoteReference"/>
          <w:rFonts w:ascii="Times New Roman" w:hAnsi="Times New Roman" w:cs="Times New Roman"/>
          <w:noProof/>
          <w:lang w:val="en-GB"/>
        </w:rPr>
        <w:footnoteReference w:id="29"/>
      </w:r>
      <w:r>
        <w:rPr>
          <w:rFonts w:ascii="Times New Roman" w:hAnsi="Times New Roman" w:cs="Times New Roman"/>
          <w:noProof/>
          <w:lang w:val="en-GB"/>
        </w:rPr>
        <w:t>. Neither does it apply the accounting rules as set out in the Land Use, Land Use Change And Forestry (LULUCF) Regulation</w:t>
      </w:r>
      <w:r>
        <w:rPr>
          <w:rStyle w:val="FootnoteReference"/>
          <w:rFonts w:ascii="Times New Roman" w:hAnsi="Times New Roman" w:cs="Times New Roman"/>
          <w:noProof/>
          <w:lang w:val="en-GB"/>
        </w:rPr>
        <w:footnoteReference w:id="30"/>
      </w:r>
      <w:r>
        <w:rPr>
          <w:rFonts w:ascii="Times New Roman" w:hAnsi="Times New Roman" w:cs="Times New Roman"/>
          <w:noProof/>
          <w:lang w:val="en-GB"/>
        </w:rPr>
        <w:t>, which are necessary to assess whether Estonia would achieve its overall non-ETS target. Although it acknowledges the binding no-debit commitment of the  LULUCF Regulation</w:t>
      </w:r>
      <w:r>
        <w:rPr>
          <w:rStyle w:val="FootnoteReference"/>
          <w:rFonts w:ascii="Times New Roman" w:hAnsi="Times New Roman" w:cs="Times New Roman"/>
          <w:noProof/>
          <w:lang w:val="en-GB"/>
        </w:rPr>
        <w:footnoteReference w:id="31"/>
      </w:r>
      <w:r>
        <w:rPr>
          <w:rFonts w:ascii="Times New Roman" w:hAnsi="Times New Roman" w:cs="Times New Roman"/>
          <w:noProof/>
          <w:lang w:val="en-GB"/>
        </w:rPr>
        <w:t>, there is no information on how this will be achieved under the Regulation’s accounting rules. For example, the potential use of flexibilities between the LULUCF and the ESR sectors is not addressed, although they are likely to be important elements for Estonia’s achievement of its overall 2030 target.</w:t>
      </w:r>
    </w:p>
    <w:p>
      <w:pPr>
        <w:jc w:val="both"/>
        <w:rPr>
          <w:rFonts w:ascii="Times New Roman" w:hAnsi="Times New Roman" w:cs="Times New Roman"/>
          <w:noProof/>
          <w:lang w:val="en-GB"/>
        </w:rPr>
      </w:pPr>
      <w:r>
        <w:rPr>
          <w:rFonts w:ascii="Times New Roman" w:hAnsi="Times New Roman" w:cs="Times New Roman"/>
          <w:noProof/>
          <w:lang w:val="en-IE"/>
        </w:rPr>
        <w:t>The draft p</w:t>
      </w:r>
      <w:r>
        <w:rPr>
          <w:rFonts w:ascii="Times New Roman" w:hAnsi="Times New Roman" w:cs="Times New Roman"/>
          <w:noProof/>
          <w:lang w:val="en-US"/>
        </w:rPr>
        <w:t xml:space="preserve">lan provides information on targets and trajectories concerning </w:t>
      </w:r>
      <w:r>
        <w:rPr>
          <w:rFonts w:ascii="Times New Roman" w:hAnsi="Times New Roman" w:cs="Times New Roman"/>
          <w:b/>
          <w:noProof/>
          <w:lang w:val="en-GB"/>
        </w:rPr>
        <w:t>renewable energy</w:t>
      </w:r>
      <w:r>
        <w:rPr>
          <w:rFonts w:ascii="Times New Roman" w:hAnsi="Times New Roman" w:cs="Times New Roman"/>
          <w:noProof/>
          <w:lang w:val="en-GB"/>
        </w:rPr>
        <w:t>, but only percentages have been provided. For the estimated sectoral shares the final plan also needs to include absolute values, which would allow to validate that the sectoral contributions are coherent with the overall  share of renewable energy. The same holds true for the</w:t>
      </w:r>
      <w:r>
        <w:rPr>
          <w:rFonts w:ascii="Times New Roman" w:hAnsi="Times New Roman" w:cs="Times New Roman"/>
          <w:b/>
          <w:noProof/>
          <w:lang w:val="en-GB"/>
        </w:rPr>
        <w:t xml:space="preserve"> </w:t>
      </w:r>
      <w:r>
        <w:rPr>
          <w:rFonts w:ascii="Times New Roman" w:hAnsi="Times New Roman" w:cs="Times New Roman"/>
          <w:noProof/>
          <w:lang w:val="en-GB"/>
        </w:rPr>
        <w:t>renewable energy technologies in electricity and heating and cooling to achieve the overall sectoral trajectories from 2021 to 2030, as these are not provided. Information on the total installed capacity split between new and re-powered capacity needs to be included in the final plan.</w:t>
      </w:r>
    </w:p>
    <w:p>
      <w:pPr>
        <w:jc w:val="both"/>
        <w:rPr>
          <w:rFonts w:ascii="Times New Roman" w:hAnsi="Times New Roman" w:cs="Times New Roman"/>
          <w:noProof/>
          <w:lang w:val="en-GB"/>
        </w:rPr>
      </w:pPr>
      <w:r>
        <w:rPr>
          <w:rFonts w:ascii="Times New Roman" w:hAnsi="Times New Roman" w:cs="Times New Roman"/>
          <w:noProof/>
          <w:lang w:val="en-GB"/>
        </w:rPr>
        <w:t xml:space="preserve">The information on trajectories for bioenergy demand and supply, and trajectories for forest biomass, as well as an assessment of its source and impact on the LULUCF sink is missing from the draft plan, which is however especially important given the prominent role of bioenergy in Estonia’s draft NECP. </w:t>
      </w:r>
      <w:r>
        <w:rPr>
          <w:rFonts w:ascii="Times New Roman" w:hAnsi="Times New Roman" w:cs="Times New Roman"/>
          <w:noProof/>
          <w:lang w:val="en-IE"/>
        </w:rPr>
        <w:t>Measures regarding power purchase agreements (PPAs) and enabling framework to promote and facilitate development of renewable self-consumption, energy communities and simplification of administrative procedures are not included.</w:t>
      </w:r>
      <w:r>
        <w:rPr>
          <w:rFonts w:ascii="Times New Roman" w:hAnsi="Times New Roman" w:cs="Times New Roman"/>
          <w:noProof/>
          <w:lang w:val="en-GB"/>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Scenarios with existing and additional measures for </w:t>
      </w:r>
      <w:r>
        <w:rPr>
          <w:rFonts w:ascii="Times New Roman" w:hAnsi="Times New Roman" w:cs="Times New Roman"/>
          <w:b/>
          <w:noProof/>
          <w:lang w:val="en-GB"/>
        </w:rPr>
        <w:t>energy efficiency</w:t>
      </w:r>
      <w:r>
        <w:rPr>
          <w:rFonts w:ascii="Times New Roman" w:hAnsi="Times New Roman" w:cs="Times New Roman"/>
          <w:noProof/>
          <w:lang w:val="en-GB"/>
        </w:rPr>
        <w:t xml:space="preserve"> as well as an assessment of the impact of the planned policies are missing. The draft NECP only partially includes the required elements of the long-term renovation strategy. Policies and measures planned under the strategy, and policies and measures for the promotion of electromobility are not included.</w:t>
      </w:r>
    </w:p>
    <w:p>
      <w:pPr>
        <w:jc w:val="both"/>
        <w:rPr>
          <w:rFonts w:ascii="Times New Roman" w:hAnsi="Times New Roman" w:cs="Times New Roman"/>
          <w:noProof/>
          <w:lang w:val="en-GB"/>
        </w:rPr>
      </w:pPr>
      <w:r>
        <w:rPr>
          <w:rFonts w:ascii="Times New Roman" w:hAnsi="Times New Roman" w:cs="Times New Roman"/>
          <w:noProof/>
          <w:lang w:val="en-GB"/>
        </w:rPr>
        <w:t xml:space="preserve">On </w:t>
      </w:r>
      <w:r>
        <w:rPr>
          <w:rFonts w:ascii="Times New Roman" w:hAnsi="Times New Roman" w:cs="Times New Roman"/>
          <w:b/>
          <w:noProof/>
          <w:lang w:val="en-GB"/>
        </w:rPr>
        <w:t>energy security</w:t>
      </w:r>
      <w:r>
        <w:rPr>
          <w:rFonts w:ascii="Times New Roman" w:hAnsi="Times New Roman" w:cs="Times New Roman"/>
          <w:noProof/>
          <w:lang w:val="en-GB"/>
        </w:rPr>
        <w:t>, the draft NECP includes objectives related to ensuring security of electricity supply and diversification of gas supply, and a number of corresponding measures. The final plan would need to include information on import dependency and the diversification strategy. References to existing risk preparedness, preventive action and emergency plans, as well as oil stocks and emergency procedures would also be beneficial for the final plan. Given Estonia’s focus on the digitalisation agenda, as evidenced for example by the Tallinn e-Energy declaration</w:t>
      </w:r>
      <w:r>
        <w:rPr>
          <w:rStyle w:val="FootnoteReference"/>
          <w:rFonts w:ascii="Times New Roman" w:hAnsi="Times New Roman" w:cs="Times New Roman"/>
          <w:noProof/>
          <w:lang w:val="en-GB"/>
        </w:rPr>
        <w:footnoteReference w:id="32"/>
      </w:r>
      <w:r>
        <w:rPr>
          <w:rFonts w:ascii="Times New Roman" w:hAnsi="Times New Roman" w:cs="Times New Roman"/>
          <w:noProof/>
          <w:lang w:val="en-GB"/>
        </w:rPr>
        <w:t xml:space="preserve">, the final NECP could also </w:t>
      </w:r>
      <w:r>
        <w:rPr>
          <w:rFonts w:ascii="Times New Roman" w:hAnsi="Times New Roman" w:cs="Times New Roman"/>
          <w:noProof/>
          <w:lang w:val="en-IE"/>
        </w:rPr>
        <w:t>address topics becoming more relevant for energy security in a 2030 perspective</w:t>
      </w:r>
      <w:r>
        <w:rPr>
          <w:rFonts w:ascii="Times New Roman" w:hAnsi="Times New Roman" w:cs="Times New Roman"/>
          <w:noProof/>
          <w:lang w:val="en-GB"/>
        </w:rPr>
        <w:t>, such as cybersecurity.</w:t>
      </w:r>
    </w:p>
    <w:p>
      <w:pPr>
        <w:jc w:val="both"/>
        <w:rPr>
          <w:rFonts w:ascii="Times New Roman" w:hAnsi="Times New Roman" w:cs="Times New Roman"/>
          <w:noProof/>
          <w:lang w:val="en-IE"/>
        </w:rPr>
      </w:pPr>
      <w:r>
        <w:rPr>
          <w:rFonts w:ascii="Times New Roman" w:hAnsi="Times New Roman" w:cs="Times New Roman"/>
          <w:noProof/>
          <w:lang w:val="en-GB"/>
        </w:rPr>
        <w:t>T</w:t>
      </w:r>
      <w:r>
        <w:rPr>
          <w:rFonts w:ascii="Times New Roman" w:hAnsi="Times New Roman" w:cs="Times New Roman"/>
          <w:noProof/>
          <w:lang w:val="en-IE"/>
        </w:rPr>
        <w:t xml:space="preserve">he </w:t>
      </w:r>
      <w:r>
        <w:rPr>
          <w:rFonts w:ascii="Times New Roman" w:hAnsi="Times New Roman" w:cs="Times New Roman"/>
          <w:b/>
          <w:noProof/>
          <w:lang w:val="en-IE"/>
        </w:rPr>
        <w:t>internal market</w:t>
      </w:r>
      <w:r>
        <w:rPr>
          <w:rFonts w:ascii="Times New Roman" w:hAnsi="Times New Roman" w:cs="Times New Roman"/>
          <w:noProof/>
          <w:lang w:val="en-IE"/>
        </w:rPr>
        <w:t xml:space="preserve"> section of the draft NECP does not indicate the level of electricity interconnection Estonia is aiming for in 2030. Objectives and strategies to further develop competition in the market are missing. A full assessment of the dimension would necessitate more detailed information on the core quantitative parameters on the functioning of the national retail and wholesale gas and electricity markets as well as more clearly defined objectives and targets, supported by policies and measures. </w:t>
      </w:r>
    </w:p>
    <w:p>
      <w:pPr>
        <w:jc w:val="both"/>
        <w:rPr>
          <w:rFonts w:ascii="Times New Roman" w:hAnsi="Times New Roman" w:cs="Times New Roman"/>
          <w:noProof/>
          <w:lang w:val="en-IE"/>
        </w:rPr>
      </w:pPr>
      <w:r>
        <w:rPr>
          <w:rFonts w:ascii="Times New Roman" w:hAnsi="Times New Roman" w:cs="Times New Roman"/>
          <w:noProof/>
          <w:lang w:val="en-IE"/>
        </w:rPr>
        <w:t xml:space="preserve">The draft NECP does not include national objectives or funding targets to be achieved by 2030 as regards </w:t>
      </w:r>
      <w:r>
        <w:rPr>
          <w:rFonts w:ascii="Times New Roman" w:hAnsi="Times New Roman" w:cs="Times New Roman"/>
          <w:b/>
          <w:noProof/>
          <w:lang w:val="en-IE"/>
        </w:rPr>
        <w:t>research and innovation</w:t>
      </w:r>
      <w:r>
        <w:rPr>
          <w:rFonts w:ascii="Times New Roman" w:hAnsi="Times New Roman" w:cs="Times New Roman"/>
          <w:noProof/>
          <w:lang w:val="en-IE"/>
        </w:rPr>
        <w:t xml:space="preserve">, nor objectives related to the deployment of low-carbon technologies, which would be particularly relevant to support Estonia’s ambition level for renewable energy development. </w:t>
      </w:r>
    </w:p>
    <w:p>
      <w:pPr>
        <w:jc w:val="both"/>
        <w:rPr>
          <w:rFonts w:ascii="Times New Roman" w:hAnsi="Times New Roman" w:cs="Times New Roman"/>
          <w:noProof/>
          <w:lang w:val="en-IE"/>
        </w:rPr>
      </w:pPr>
      <w:r>
        <w:rPr>
          <w:rFonts w:ascii="Times New Roman" w:hAnsi="Times New Roman" w:cs="Times New Roman"/>
          <w:noProof/>
          <w:lang w:val="en-IE"/>
        </w:rPr>
        <w:t xml:space="preserve">Very limitied information is provided on </w:t>
      </w:r>
      <w:r>
        <w:rPr>
          <w:rFonts w:ascii="Times New Roman" w:hAnsi="Times New Roman" w:cs="Times New Roman"/>
          <w:b/>
          <w:noProof/>
          <w:lang w:val="en-IE"/>
        </w:rPr>
        <w:t>investment</w:t>
      </w:r>
      <w:r>
        <w:rPr>
          <w:rFonts w:ascii="Times New Roman" w:hAnsi="Times New Roman" w:cs="Times New Roman"/>
          <w:noProof/>
          <w:lang w:val="en-IE"/>
        </w:rPr>
        <w:t xml:space="preserve"> needs. The final plan needs to include an assessment of the investment needs associated with the planned policies and measures, including sector or market risk factors or barriers and an analysis of additional public financial support or public funds to fill the identified gaps. </w:t>
      </w:r>
    </w:p>
    <w:p>
      <w:pPr>
        <w:pStyle w:val="Heading2"/>
        <w:rPr>
          <w:noProof/>
        </w:rPr>
      </w:pPr>
      <w:bookmarkStart w:id="53" w:name="_Toc8828633"/>
      <w:bookmarkStart w:id="54" w:name="_Toc8829547"/>
      <w:bookmarkStart w:id="55" w:name="_Toc11150807"/>
      <w:r>
        <w:rPr>
          <w:noProof/>
        </w:rPr>
        <w:t>Robustness of the Estonian draft National Energy and Climate Plan</w:t>
      </w:r>
      <w:bookmarkEnd w:id="53"/>
      <w:bookmarkEnd w:id="54"/>
      <w:bookmarkEnd w:id="55"/>
    </w:p>
    <w:p>
      <w:pPr>
        <w:jc w:val="both"/>
        <w:rPr>
          <w:rFonts w:ascii="Times New Roman" w:hAnsi="Times New Roman" w:cs="Times New Roman"/>
          <w:noProof/>
          <w:lang w:val="en-IE"/>
        </w:rPr>
      </w:pPr>
      <w:r>
        <w:rPr>
          <w:rFonts w:ascii="Times New Roman" w:hAnsi="Times New Roman" w:cs="Times New Roman"/>
          <w:noProof/>
          <w:lang w:val="en-IE"/>
        </w:rPr>
        <w:t xml:space="preserve">Elements of the </w:t>
      </w:r>
      <w:r>
        <w:rPr>
          <w:rFonts w:ascii="Times New Roman" w:hAnsi="Times New Roman" w:cs="Times New Roman"/>
          <w:b/>
          <w:noProof/>
          <w:lang w:val="en-IE"/>
        </w:rPr>
        <w:t>analytical basis</w:t>
      </w:r>
      <w:r>
        <w:rPr>
          <w:rFonts w:ascii="Times New Roman" w:hAnsi="Times New Roman" w:cs="Times New Roman"/>
          <w:noProof/>
          <w:lang w:val="en-IE"/>
        </w:rPr>
        <w:t xml:space="preserve"> are included in the draft NECP. Details on the projection with existing measures (WEM) have been reported using the voluntary template. The projection with additional measures (WAM) is announced to be provided later in 2019. The plan uses European statistics for the data presented in some of the tables and graphs. </w:t>
      </w:r>
    </w:p>
    <w:p>
      <w:pPr>
        <w:jc w:val="both"/>
        <w:rPr>
          <w:rFonts w:ascii="Times New Roman" w:hAnsi="Times New Roman" w:cs="Times New Roman"/>
          <w:noProof/>
          <w:lang w:val="en-IE"/>
        </w:rPr>
      </w:pPr>
      <w:r>
        <w:rPr>
          <w:rFonts w:ascii="Times New Roman" w:hAnsi="Times New Roman" w:cs="Times New Roman"/>
          <w:noProof/>
          <w:lang w:val="en-IE"/>
        </w:rPr>
        <w:t xml:space="preserve">The </w:t>
      </w:r>
      <w:r>
        <w:rPr>
          <w:rFonts w:ascii="Times New Roman" w:hAnsi="Times New Roman" w:cs="Times New Roman"/>
          <w:b/>
          <w:noProof/>
          <w:lang w:val="en-IE"/>
        </w:rPr>
        <w:t>WEM projection</w:t>
      </w:r>
      <w:r>
        <w:rPr>
          <w:rFonts w:ascii="Times New Roman" w:hAnsi="Times New Roman" w:cs="Times New Roman"/>
          <w:noProof/>
          <w:lang w:val="en-IE"/>
        </w:rPr>
        <w:t xml:space="preserve"> focusses on the decarbonisation and energy efficiency dimensions of the Energy Union. Key assumptions, parameters and results are reported up to 2035. </w:t>
      </w:r>
      <w:r>
        <w:rPr>
          <w:rFonts w:ascii="Times New Roman" w:hAnsi="Times New Roman" w:cs="Times New Roman"/>
          <w:noProof/>
          <w:lang w:val="en-GB"/>
        </w:rPr>
        <w:t>Additional information would be desirable on the following variables: (i) the differentiation of sectoral greenhouse gas emissions between those covered by the EU Emissions Trading System (EU ETS) and those falling under the Effort Sharing Regulation, (ii) greenhouse gas emissions from international aviation, and (iii) non-GHG air pollutants.</w:t>
      </w:r>
    </w:p>
    <w:p>
      <w:pPr>
        <w:jc w:val="both"/>
        <w:rPr>
          <w:rFonts w:ascii="Times New Roman" w:hAnsi="Times New Roman" w:cs="Times New Roman"/>
          <w:noProof/>
          <w:lang w:val="en-IE"/>
        </w:rPr>
      </w:pPr>
      <w:r>
        <w:rPr>
          <w:rFonts w:ascii="Times New Roman" w:hAnsi="Times New Roman" w:cs="Times New Roman"/>
          <w:noProof/>
          <w:lang w:val="en-IE"/>
        </w:rPr>
        <w:t xml:space="preserve">Key model parameters such as gross domestic product, population as well as fuel and emisisons prices are reported, ensuring </w:t>
      </w:r>
      <w:r>
        <w:rPr>
          <w:rFonts w:ascii="Times New Roman" w:hAnsi="Times New Roman" w:cs="Times New Roman"/>
          <w:b/>
          <w:noProof/>
          <w:lang w:val="en-IE"/>
        </w:rPr>
        <w:t>transparency</w:t>
      </w:r>
      <w:r>
        <w:rPr>
          <w:rFonts w:ascii="Times New Roman" w:hAnsi="Times New Roman" w:cs="Times New Roman"/>
          <w:noProof/>
          <w:lang w:val="en-IE"/>
        </w:rPr>
        <w:t xml:space="preserve"> of the model based projections. The final plan could be enriched by (i) adding technology cost assumptions, (ii) providing information on sources and the modelling approach. </w:t>
      </w:r>
    </w:p>
    <w:p>
      <w:pPr>
        <w:jc w:val="both"/>
        <w:rPr>
          <w:rFonts w:ascii="Times New Roman" w:hAnsi="Times New Roman" w:cs="Times New Roman"/>
          <w:noProof/>
          <w:lang w:val="en-IE"/>
        </w:rPr>
      </w:pPr>
      <w:r>
        <w:rPr>
          <w:rFonts w:ascii="Times New Roman" w:hAnsi="Times New Roman" w:cs="Times New Roman"/>
          <w:noProof/>
          <w:lang w:val="en-IE"/>
        </w:rPr>
        <w:t xml:space="preserve">For the base year of 2015, key model parameters such as population, gross domestic product (assuming 2010 prices) and final energy consumption are largely in line with EUROSTAT figures. On the other hand, the draft </w:t>
      </w:r>
      <w:r>
        <w:rPr>
          <w:rFonts w:ascii="Times New Roman" w:hAnsi="Times New Roman" w:cs="Times New Roman"/>
          <w:noProof/>
          <w:lang w:val="en-GB"/>
        </w:rPr>
        <w:t>plan follows its own assumptions for fuel and EU ETS prices</w:t>
      </w:r>
      <w:r>
        <w:rPr>
          <w:rFonts w:ascii="Times New Roman" w:hAnsi="Times New Roman" w:cs="Times New Roman"/>
          <w:noProof/>
          <w:lang w:val="en-IE"/>
        </w:rPr>
        <w:t>.</w:t>
      </w:r>
      <w:r>
        <w:rPr>
          <w:rFonts w:ascii="Times New Roman" w:hAnsi="Times New Roman" w:cs="Times New Roman"/>
          <w:noProof/>
          <w:lang w:val="en-GB"/>
        </w:rPr>
        <w:t xml:space="preserve"> </w:t>
      </w:r>
      <w:r>
        <w:rPr>
          <w:rFonts w:ascii="Times New Roman" w:hAnsi="Times New Roman" w:cs="Times New Roman"/>
          <w:noProof/>
          <w:lang w:val="en-IE"/>
        </w:rPr>
        <w:t>Parts of the impact assessment on planned policies and measures are present, namely regarding transport and agriculture. The final plan should complete the assessment of macroeconomic and, to the extent feasible, the health, environmental, employment and education, skills and social impacts, including just transition aspects.</w:t>
      </w: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this assessment also considers informal bilateral exchanges, which are part of the iterative process established under the Governance Regulation.</w:t>
      </w:r>
    </w:p>
  </w:footnote>
  <w:footnote w:id="3">
    <w:p>
      <w:pPr>
        <w:spacing w:after="0" w:line="240" w:lineRule="auto"/>
        <w:rPr>
          <w:rFonts w:ascii="Times New Roman" w:hAnsi="Times New Roman" w:cs="Times New Roman"/>
          <w:color w:val="00000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 xml:space="preserve">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w:t>
      </w:r>
    </w:p>
  </w:footnote>
  <w:footnote w:id="4">
    <w:p>
      <w:pPr>
        <w:spacing w:after="0" w:line="240" w:lineRule="auto"/>
        <w:rPr>
          <w:rFonts w:ascii="Times New Roman" w:hAnsi="Times New Roman" w:cs="Times New Roman"/>
          <w:color w:val="000000"/>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p>
  </w:footnote>
  <w:footnote w:id="5">
    <w:p>
      <w:pPr>
        <w:pStyle w:val="FootnoteText"/>
        <w:ind w:left="0" w:firstLine="0"/>
        <w:rPr>
          <w:rFonts w:ascii="Arial" w:hAnsi="Arial" w:cs="Arial"/>
        </w:rPr>
      </w:pPr>
      <w:r>
        <w:rPr>
          <w:rStyle w:val="FootnoteReference"/>
        </w:rPr>
        <w:footnoteRef/>
      </w:r>
      <w:r>
        <w:t xml:space="preserve"> </w:t>
      </w:r>
      <w:r>
        <w:rPr>
          <w:lang w:val="en-IE"/>
        </w:rPr>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6">
    <w:p>
      <w:pPr>
        <w:pStyle w:val="NoSpacing"/>
        <w:rPr>
          <w:rFonts w:ascii="Times New Roman" w:hAnsi="Times New Roman" w:cs="Times New Roman"/>
          <w:sz w:val="20"/>
          <w:szCs w:val="20"/>
          <w:lang w:val="en-GB"/>
        </w:rPr>
      </w:pPr>
      <w:r>
        <w:rPr>
          <w:rStyle w:val="FootnoteReference"/>
          <w:sz w:val="20"/>
          <w:szCs w:val="20"/>
        </w:rPr>
        <w:footnoteRef/>
      </w:r>
      <w:r>
        <w:rPr>
          <w:rFonts w:ascii="Times New Roman" w:hAnsi="Times New Roman" w:cs="Times New Roman"/>
          <w:sz w:val="20"/>
          <w:szCs w:val="20"/>
          <w:lang w:val="en-GB"/>
        </w:rPr>
        <w:t xml:space="preserve"> Projection from the National Energy Development Plan 2030; not confirmed as an official contribution.</w:t>
      </w:r>
    </w:p>
  </w:footnote>
  <w:footnote w:id="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hyperlink w:history="1"/>
      <w:r>
        <w:rPr>
          <w:rFonts w:ascii="Times New Roman" w:hAnsi="Times New Roman" w:cs="Times New Roman"/>
          <w:sz w:val="20"/>
          <w:szCs w:val="20"/>
          <w:lang w:val="en-IE"/>
        </w:rPr>
        <w:t xml:space="preserve"> </w:t>
      </w:r>
      <w:r>
        <w:rPr>
          <w:rStyle w:val="Hyperlink"/>
          <w:rFonts w:ascii="Times New Roman" w:hAnsi="Times New Roman" w:cs="Times New Roman"/>
          <w:color w:val="auto"/>
          <w:sz w:val="20"/>
          <w:szCs w:val="20"/>
          <w:lang w:val="en-IE"/>
        </w:rPr>
        <w:t>https://ec.europa.eu/info/business-economy-euro/economic-and-fiscal-policy-coordination/eu-economic-governance-monitoring-prevention-correction/european-semester/european-semester-your-country_en.</w:t>
      </w:r>
      <w:r>
        <w:rPr>
          <w:rFonts w:ascii="Times New Roman" w:hAnsi="Times New Roman" w:cs="Times New Roman"/>
          <w:sz w:val="20"/>
          <w:szCs w:val="20"/>
          <w:lang w:val="en-IE"/>
        </w:rPr>
        <w:t xml:space="preserve"> </w:t>
      </w:r>
    </w:p>
  </w:footnote>
  <w:footnote w:id="8">
    <w:p>
      <w:pPr>
        <w:pStyle w:val="NoSpacing"/>
        <w:rPr>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eastAsia="Calibri" w:hAnsi="Times New Roman" w:cs="Times New Roman"/>
          <w:color w:val="000000"/>
          <w:sz w:val="20"/>
          <w:szCs w:val="20"/>
          <w:lang w:val="en-GB"/>
        </w:rPr>
        <w:t>Regulation (EU) 2018/841 on greenhouse gas emissions and removals from land use, land use change and forestry.</w:t>
      </w:r>
    </w:p>
  </w:footnote>
  <w:footnote w:id="9">
    <w:p>
      <w:pPr>
        <w:pStyle w:val="FootnoteText"/>
        <w:spacing w:after="0"/>
        <w:ind w:left="0" w:firstLine="0"/>
      </w:pPr>
      <w:r>
        <w:rPr>
          <w:rStyle w:val="FootnoteReference"/>
        </w:rPr>
        <w:footnoteRef/>
      </w:r>
      <w:r>
        <w:t xml:space="preserve"> Regulation (EU) 2018/1999 on the Governance of the Energy Union and Climate Action.</w:t>
      </w:r>
    </w:p>
  </w:footnote>
  <w:footnote w:id="10">
    <w:p>
      <w:pPr>
        <w:pStyle w:val="FootnoteText"/>
        <w:spacing w:after="0"/>
      </w:pPr>
      <w:r>
        <w:rPr>
          <w:rStyle w:val="FootnoteReference"/>
        </w:rPr>
        <w:footnoteRef/>
      </w:r>
      <w:r>
        <w:t xml:space="preserve"> Regulation (EU) 2018/1999 on the Governance of the Energy Union and Climate Action.</w:t>
      </w:r>
    </w:p>
  </w:footnote>
  <w:footnote w:id="11">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draft NECP mentions that the share could reach 50 % with the use of statistical transfers.</w:t>
      </w:r>
    </w:p>
  </w:footnote>
  <w:footnote w:id="1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According to the most recent Eurostat data, the share of renewable energy in the heating and cooling sector already exceeds 50 %.</w:t>
      </w:r>
    </w:p>
  </w:footnote>
  <w:footnote w:id="1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(EU) 2018/2001 of the European Parliament and of the Council of 11 December 2018 on the promotion of the use of energy from renewable sources.</w:t>
      </w:r>
    </w:p>
  </w:footnote>
  <w:footnote w:id="14">
    <w:p>
      <w:pPr>
        <w:pStyle w:val="FootnoteText"/>
        <w:spacing w:after="0"/>
        <w:ind w:left="0" w:firstLine="0"/>
        <w:rPr>
          <w:lang w:val="en-IE"/>
        </w:rPr>
      </w:pPr>
      <w:r>
        <w:rPr>
          <w:rStyle w:val="FootnoteReference"/>
        </w:rPr>
        <w:footnoteRef/>
      </w:r>
      <w:r>
        <w:t xml:space="preserve"> </w:t>
      </w:r>
      <w:r>
        <w:rPr>
          <w:lang w:val="en-IE"/>
        </w:rPr>
        <w:t>Directive (EU) 2018/2001 of the European Parliament and of the Council of 11 December 2018 on the promotion of the use of energy from renewable sources.</w:t>
      </w:r>
    </w:p>
  </w:footnote>
  <w:footnote w:id="15">
    <w:p>
      <w:pPr>
        <w:pStyle w:val="NoSpacing"/>
        <w:rPr>
          <w:rFonts w:cs="Arial"/>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hyperlink r:id="rId1" w:history="1">
        <w:r>
          <w:rPr>
            <w:rStyle w:val="Hyperlink"/>
            <w:rFonts w:ascii="Times New Roman" w:hAnsi="Times New Roman" w:cs="Times New Roman"/>
            <w:color w:val="auto"/>
            <w:sz w:val="20"/>
            <w:szCs w:val="20"/>
            <w:lang w:val="en-IE"/>
          </w:rPr>
          <w:t>https://www.mkm.ee/sites/default/files/ndpes_2030_eng.pdf</w:t>
        </w:r>
      </w:hyperlink>
      <w:r>
        <w:rPr>
          <w:rFonts w:ascii="Times New Roman" w:hAnsi="Times New Roman" w:cs="Times New Roman"/>
          <w:sz w:val="20"/>
          <w:szCs w:val="20"/>
          <w:lang w:val="en-IE"/>
        </w:rPr>
        <w:t>.</w:t>
      </w:r>
      <w:r>
        <w:rPr>
          <w:rFonts w:cs="Arial"/>
          <w:sz w:val="18"/>
          <w:szCs w:val="20"/>
          <w:lang w:val="en-IE"/>
        </w:rPr>
        <w:t xml:space="preserve"> </w:t>
      </w:r>
    </w:p>
  </w:footnote>
  <w:footnote w:id="1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Directive 2012/27/EU of the European Parliament and of the Council of 25 October 2012 on energy efficiency as amended by Directive (EU) 2018/2002.</w:t>
      </w:r>
    </w:p>
  </w:footnote>
  <w:footnote w:id="17">
    <w:p>
      <w:pPr>
        <w:pStyle w:val="NoSpacing"/>
        <w:rPr>
          <w:rFonts w:cs="Arial"/>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inclusion of policies and measures relating to the long-term renovation strategy to support the renovation of the national stock, provided by Article 2a of Directive 2010/31/EU on the Energy Performance of Buildings as amended by Directive 2018/844, was not required for the draft NECP due to the later transposition of the EPBD set for 10 March 2020.</w:t>
      </w:r>
      <w:r>
        <w:rPr>
          <w:rFonts w:cs="Arial"/>
          <w:sz w:val="20"/>
          <w:szCs w:val="20"/>
          <w:lang w:val="en-GB"/>
        </w:rPr>
        <w:t xml:space="preserve"> </w:t>
      </w:r>
    </w:p>
  </w:footnote>
  <w:footnote w:id="18">
    <w:p>
      <w:pPr>
        <w:pStyle w:val="NoSpacing"/>
        <w:contextual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Price differential in the wholesale market exceeding an indicative threshold of EUR 2/MWh between Member States, regions or bidding zones; nominal transmission capacity of interconnectors below 30 % of peak load; nominal transmission capacity of interconnectors below 30 % of installed renewable generation capacity. </w:t>
      </w:r>
    </w:p>
  </w:footnote>
  <w:footnote w:id="19">
    <w:p>
      <w:pPr>
        <w:pStyle w:val="FootnoteText"/>
        <w:spacing w:after="0"/>
        <w:ind w:left="0" w:firstLine="0"/>
      </w:pPr>
      <w:r>
        <w:rPr>
          <w:rStyle w:val="FootnoteReference"/>
        </w:rPr>
        <w:footnoteRef/>
      </w:r>
      <w:r>
        <w:t xml:space="preserve"> Pursuant to Article 3.3(d) of Regulation 2018/1999.</w:t>
      </w:r>
    </w:p>
  </w:footnote>
  <w:footnote w:id="20">
    <w:p>
      <w:pPr>
        <w:pStyle w:val="FootnoteText"/>
        <w:spacing w:after="0"/>
      </w:pPr>
      <w:r>
        <w:rPr>
          <w:rStyle w:val="FootnoteReference"/>
        </w:rPr>
        <w:footnoteRef/>
      </w:r>
      <w:r>
        <w:t xml:space="preserve"> Regulation (EU) 2018/1999 on the Governance of the Energy Union and Climate Action.</w:t>
      </w:r>
    </w:p>
  </w:footnote>
  <w:footnote w:id="21">
    <w:p>
      <w:pPr>
        <w:pStyle w:val="PlainText"/>
        <w:rPr>
          <w:rFonts w:ascii="Arial" w:hAnsi="Arial" w:cs="Arial"/>
        </w:rPr>
      </w:pPr>
      <w:r>
        <w:rPr>
          <w:rStyle w:val="FootnoteReference"/>
          <w:rFonts w:ascii="Times New Roman" w:hAnsi="Times New Roman"/>
          <w:sz w:val="20"/>
          <w:szCs w:val="20"/>
        </w:rPr>
        <w:footnoteRef/>
      </w:r>
      <w:r>
        <w:rPr>
          <w:rFonts w:ascii="Times New Roman" w:hAnsi="Times New Roman"/>
          <w:sz w:val="20"/>
          <w:szCs w:val="20"/>
        </w:rPr>
        <w:t xml:space="preserve"> The figure is based on the amounts established in Directive (EU) 2018/410 and is subject to various uncertainties, such as the possibility to transfer allowances available pursuant to Article 10c to the Modernisation Fund.</w:t>
      </w:r>
    </w:p>
  </w:footnote>
  <w:footnote w:id="22">
    <w:p>
      <w:pPr>
        <w:pStyle w:val="FootnoteText"/>
        <w:spacing w:after="0"/>
        <w:ind w:left="0" w:firstLine="0"/>
      </w:pPr>
      <w:r>
        <w:rPr>
          <w:rStyle w:val="FootnoteReference"/>
        </w:rPr>
        <w:footnoteRef/>
      </w:r>
      <w:r>
        <w:t xml:space="preserve"> SWD(2019) 1005 final: Country Report Estonia 2019.</w:t>
      </w:r>
    </w:p>
  </w:footnote>
  <w:footnote w:id="23">
    <w:p>
      <w:pPr>
        <w:pStyle w:val="FootnoteText"/>
        <w:spacing w:after="0"/>
        <w:ind w:left="0" w:firstLine="0"/>
      </w:pPr>
      <w:r>
        <w:rPr>
          <w:rStyle w:val="FootnoteReference"/>
        </w:rPr>
        <w:footnoteRef/>
      </w:r>
      <w:r>
        <w:t xml:space="preserve"> COM(2019) 506 final: Recommendation for a Council recommendation on the 2019 National Reform Programme of Estonia and delivering a Council opinion on the 2019 Stability Programme of Estonia.</w:t>
      </w:r>
    </w:p>
  </w:footnote>
  <w:footnote w:id="24">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Commission Staff Working Document Accompanying the Document Report from the Commission to the European Parliament, the Council, the European Economic and Social Committee and the Committee of the Regions Energy prices and costs in Europe, COM(2019) 1.</w:t>
      </w:r>
    </w:p>
  </w:footnote>
  <w:footnote w:id="25">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members of the initiative are European Commission, Denmark, Germany, Estonia, Latvia, Lithuania, Poland, Finland, and Sweden. Norway participates as an observer.</w:t>
      </w:r>
    </w:p>
  </w:footnote>
  <w:footnote w:id="26">
    <w:p>
      <w:pPr>
        <w:pStyle w:val="NoSpacing"/>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US"/>
        </w:rPr>
        <w:t>Regulation (EU) 2019/943 of the European Parliament and of the Council of 5 June 2019 on the internal market for electricity.</w:t>
      </w:r>
    </w:p>
  </w:footnote>
  <w:footnote w:id="2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Eurostat.</w:t>
      </w:r>
    </w:p>
  </w:footnote>
  <w:footnote w:id="28">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on the Governance of the Energy Union and Climate Action.</w:t>
      </w:r>
    </w:p>
  </w:footnote>
  <w:footnote w:id="29">
    <w:p>
      <w:pPr>
        <w:pStyle w:val="FootnoteText"/>
        <w:spacing w:after="0"/>
        <w:ind w:left="0" w:firstLine="0"/>
      </w:pPr>
      <w:r>
        <w:rPr>
          <w:rStyle w:val="FootnoteReference"/>
        </w:rPr>
        <w:footnoteRef/>
      </w:r>
      <w:r>
        <w:t xml:space="preserve"> Regulation (EU) 2018/842 on binding annual greenhouse gas emission reductions.</w:t>
      </w:r>
    </w:p>
  </w:footnote>
  <w:footnote w:id="30">
    <w:p>
      <w:pPr>
        <w:pStyle w:val="FootnoteText"/>
        <w:spacing w:after="0"/>
        <w:ind w:left="0" w:firstLine="0"/>
      </w:pPr>
      <w:r>
        <w:rPr>
          <w:rStyle w:val="FootnoteReference"/>
        </w:rPr>
        <w:footnoteRef/>
      </w:r>
      <w:r>
        <w:t xml:space="preserve"> Regulation (EU) 2018/841 on greenhouse gas emissions and removals from land use, land use change and forestry.</w:t>
      </w:r>
    </w:p>
  </w:footnote>
  <w:footnote w:id="31">
    <w:p>
      <w:pPr>
        <w:pStyle w:val="FootnoteText"/>
        <w:spacing w:after="0"/>
        <w:ind w:left="0" w:firstLine="0"/>
      </w:pPr>
      <w:r>
        <w:rPr>
          <w:rStyle w:val="FootnoteReference"/>
        </w:rPr>
        <w:footnoteRef/>
      </w:r>
      <w:r>
        <w:t xml:space="preserve"> Regulation (EU) 2018/841 on greenhouse gas emissions and removals from land use, land use change and forestry.</w:t>
      </w:r>
    </w:p>
  </w:footnote>
  <w:footnote w:id="3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hyperlink r:id="rId2" w:history="1">
        <w:r>
          <w:rPr>
            <w:rStyle w:val="Hyperlink"/>
            <w:rFonts w:ascii="Times New Roman" w:hAnsi="Times New Roman" w:cs="Times New Roman"/>
            <w:color w:val="auto"/>
            <w:sz w:val="20"/>
            <w:szCs w:val="20"/>
            <w:lang w:val="en-IE"/>
          </w:rPr>
          <w:t>https://www.eu2017.ee/tallinn-e-energy-declaration</w:t>
        </w:r>
      </w:hyperlink>
      <w:r>
        <w:rPr>
          <w:rFonts w:ascii="Times New Roman" w:hAnsi="Times New Roman" w:cs="Times New Roman"/>
          <w:sz w:val="20"/>
          <w:szCs w:val="20"/>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DF4"/>
    <w:multiLevelType w:val="multilevel"/>
    <w:tmpl w:val="A546F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EE" w:eastAsia="et-EE" w:bidi="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B1E67"/>
    <w:multiLevelType w:val="hybridMultilevel"/>
    <w:tmpl w:val="BF6409F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2">
    <w:nsid w:val="01DB5284"/>
    <w:multiLevelType w:val="hybridMultilevel"/>
    <w:tmpl w:val="BFBA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C023F7"/>
    <w:multiLevelType w:val="hybridMultilevel"/>
    <w:tmpl w:val="FE8E5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ABA0470"/>
    <w:multiLevelType w:val="hybridMultilevel"/>
    <w:tmpl w:val="623AA960"/>
    <w:lvl w:ilvl="0" w:tplc="4CE435C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DA0F1A"/>
    <w:multiLevelType w:val="hybridMultilevel"/>
    <w:tmpl w:val="FE3AAE46"/>
    <w:lvl w:ilvl="0" w:tplc="3DCE7902">
      <w:start w:val="1"/>
      <w:numFmt w:val="bullet"/>
      <w:lvlText w:val="-"/>
      <w:lvlJc w:val="left"/>
      <w:pPr>
        <w:tabs>
          <w:tab w:val="num" w:pos="720"/>
        </w:tabs>
        <w:ind w:left="720" w:hanging="360"/>
      </w:pPr>
      <w:rPr>
        <w:rFonts w:ascii="Times New Roman" w:hAnsi="Times New Roman" w:hint="default"/>
      </w:rPr>
    </w:lvl>
    <w:lvl w:ilvl="1" w:tplc="C26E907C" w:tentative="1">
      <w:start w:val="1"/>
      <w:numFmt w:val="bullet"/>
      <w:lvlText w:val="-"/>
      <w:lvlJc w:val="left"/>
      <w:pPr>
        <w:tabs>
          <w:tab w:val="num" w:pos="1440"/>
        </w:tabs>
        <w:ind w:left="1440" w:hanging="360"/>
      </w:pPr>
      <w:rPr>
        <w:rFonts w:ascii="Times New Roman" w:hAnsi="Times New Roman" w:hint="default"/>
      </w:rPr>
    </w:lvl>
    <w:lvl w:ilvl="2" w:tplc="4738B632" w:tentative="1">
      <w:start w:val="1"/>
      <w:numFmt w:val="bullet"/>
      <w:lvlText w:val="-"/>
      <w:lvlJc w:val="left"/>
      <w:pPr>
        <w:tabs>
          <w:tab w:val="num" w:pos="2160"/>
        </w:tabs>
        <w:ind w:left="2160" w:hanging="360"/>
      </w:pPr>
      <w:rPr>
        <w:rFonts w:ascii="Times New Roman" w:hAnsi="Times New Roman" w:hint="default"/>
      </w:rPr>
    </w:lvl>
    <w:lvl w:ilvl="3" w:tplc="1BAA8E22" w:tentative="1">
      <w:start w:val="1"/>
      <w:numFmt w:val="bullet"/>
      <w:lvlText w:val="-"/>
      <w:lvlJc w:val="left"/>
      <w:pPr>
        <w:tabs>
          <w:tab w:val="num" w:pos="2880"/>
        </w:tabs>
        <w:ind w:left="2880" w:hanging="360"/>
      </w:pPr>
      <w:rPr>
        <w:rFonts w:ascii="Times New Roman" w:hAnsi="Times New Roman" w:hint="default"/>
      </w:rPr>
    </w:lvl>
    <w:lvl w:ilvl="4" w:tplc="214E20AA" w:tentative="1">
      <w:start w:val="1"/>
      <w:numFmt w:val="bullet"/>
      <w:lvlText w:val="-"/>
      <w:lvlJc w:val="left"/>
      <w:pPr>
        <w:tabs>
          <w:tab w:val="num" w:pos="3600"/>
        </w:tabs>
        <w:ind w:left="3600" w:hanging="360"/>
      </w:pPr>
      <w:rPr>
        <w:rFonts w:ascii="Times New Roman" w:hAnsi="Times New Roman" w:hint="default"/>
      </w:rPr>
    </w:lvl>
    <w:lvl w:ilvl="5" w:tplc="72FEEF72" w:tentative="1">
      <w:start w:val="1"/>
      <w:numFmt w:val="bullet"/>
      <w:lvlText w:val="-"/>
      <w:lvlJc w:val="left"/>
      <w:pPr>
        <w:tabs>
          <w:tab w:val="num" w:pos="4320"/>
        </w:tabs>
        <w:ind w:left="4320" w:hanging="360"/>
      </w:pPr>
      <w:rPr>
        <w:rFonts w:ascii="Times New Roman" w:hAnsi="Times New Roman" w:hint="default"/>
      </w:rPr>
    </w:lvl>
    <w:lvl w:ilvl="6" w:tplc="76342FEE" w:tentative="1">
      <w:start w:val="1"/>
      <w:numFmt w:val="bullet"/>
      <w:lvlText w:val="-"/>
      <w:lvlJc w:val="left"/>
      <w:pPr>
        <w:tabs>
          <w:tab w:val="num" w:pos="5040"/>
        </w:tabs>
        <w:ind w:left="5040" w:hanging="360"/>
      </w:pPr>
      <w:rPr>
        <w:rFonts w:ascii="Times New Roman" w:hAnsi="Times New Roman" w:hint="default"/>
      </w:rPr>
    </w:lvl>
    <w:lvl w:ilvl="7" w:tplc="2ADE0DDC" w:tentative="1">
      <w:start w:val="1"/>
      <w:numFmt w:val="bullet"/>
      <w:lvlText w:val="-"/>
      <w:lvlJc w:val="left"/>
      <w:pPr>
        <w:tabs>
          <w:tab w:val="num" w:pos="5760"/>
        </w:tabs>
        <w:ind w:left="5760" w:hanging="360"/>
      </w:pPr>
      <w:rPr>
        <w:rFonts w:ascii="Times New Roman" w:hAnsi="Times New Roman" w:hint="default"/>
      </w:rPr>
    </w:lvl>
    <w:lvl w:ilvl="8" w:tplc="EE1A24D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F9100AE"/>
    <w:multiLevelType w:val="hybridMultilevel"/>
    <w:tmpl w:val="8040A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37F43915"/>
    <w:multiLevelType w:val="hybridMultilevel"/>
    <w:tmpl w:val="A99447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05425D1"/>
    <w:multiLevelType w:val="hybridMultilevel"/>
    <w:tmpl w:val="199A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B4771A"/>
    <w:multiLevelType w:val="hybridMultilevel"/>
    <w:tmpl w:val="094261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8A564F"/>
    <w:multiLevelType w:val="hybridMultilevel"/>
    <w:tmpl w:val="C3AC47E8"/>
    <w:lvl w:ilvl="0" w:tplc="080C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AEC4F25"/>
    <w:multiLevelType w:val="hybridMultilevel"/>
    <w:tmpl w:val="B8E01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97E8053A">
      <w:start w:val="4"/>
      <w:numFmt w:val="bullet"/>
      <w:lvlText w:val="-"/>
      <w:lvlJc w:val="left"/>
      <w:pPr>
        <w:ind w:left="2520" w:hanging="360"/>
      </w:pPr>
      <w:rPr>
        <w:rFonts w:ascii="Calibri" w:eastAsiaTheme="minorHAnsi" w:hAnsi="Calibri" w:cs="Calibri" w:hint="default"/>
        <w:b/>
        <w:u w:val="single"/>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34235B"/>
    <w:multiLevelType w:val="hybridMultilevel"/>
    <w:tmpl w:val="BB38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6B70F7"/>
    <w:multiLevelType w:val="hybridMultilevel"/>
    <w:tmpl w:val="0A08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FF23C3"/>
    <w:multiLevelType w:val="hybridMultilevel"/>
    <w:tmpl w:val="51AA3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FBB2233"/>
    <w:multiLevelType w:val="hybridMultilevel"/>
    <w:tmpl w:val="61E86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424530"/>
    <w:multiLevelType w:val="hybridMultilevel"/>
    <w:tmpl w:val="0B5C1622"/>
    <w:lvl w:ilvl="0" w:tplc="0809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AB7B15"/>
    <w:multiLevelType w:val="hybridMultilevel"/>
    <w:tmpl w:val="3968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
  </w:num>
  <w:num w:numId="8">
    <w:abstractNumId w:val="10"/>
  </w:num>
  <w:num w:numId="9">
    <w:abstractNumId w:val="13"/>
  </w:num>
  <w:num w:numId="10">
    <w:abstractNumId w:val="4"/>
  </w:num>
  <w:num w:numId="11">
    <w:abstractNumId w:val="8"/>
  </w:num>
  <w:num w:numId="12">
    <w:abstractNumId w:val="20"/>
  </w:num>
  <w:num w:numId="13">
    <w:abstractNumId w:val="22"/>
  </w:num>
  <w:num w:numId="14">
    <w:abstractNumId w:val="19"/>
  </w:num>
  <w:num w:numId="15">
    <w:abstractNumId w:val="16"/>
  </w:num>
  <w:num w:numId="16">
    <w:abstractNumId w:val="12"/>
  </w:num>
  <w:num w:numId="17">
    <w:abstractNumId w:val="2"/>
  </w:num>
  <w:num w:numId="18">
    <w:abstractNumId w:val="7"/>
  </w:num>
  <w:num w:numId="19">
    <w:abstractNumId w:val="17"/>
  </w:num>
  <w:num w:numId="20">
    <w:abstractNumId w:val="0"/>
  </w:num>
  <w:num w:numId="21">
    <w:abstractNumId w:val="3"/>
  </w:num>
  <w:num w:numId="22">
    <w:abstractNumId w:val="14"/>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revisionView w:markup="0"/>
  <w:defaultTabStop w:val="708"/>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B71DD07-A031-4209-A145-DBA7AB04B776"/>
    <w:docVar w:name="LW_COVERPAGE_TYPE" w:val="1"/>
    <w:docVar w:name="LW_CROSSREFERENCE" w:val="{C(2019) 4406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Plan of Estonia covering the period 2021-2030_x000b_"/>
    <w:docVar w:name="LW_PART_NBR" w:val="1"/>
    <w:docVar w:name="LW_PART_NBR_TOTAL" w:val="1"/>
    <w:docVar w:name="LW_REF.INST.NEW" w:val="SWD"/>
    <w:docVar w:name="LW_REF.INST.NEW_ADOPTED" w:val="final"/>
    <w:docVar w:name="LW_REF.INST.NEW_TEXT" w:val="(2019)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ssessment of the draft National Energy and Climate Plan of Estonia"/>
    <w:docVar w:name="LW_TYPE.DOC.CP" w:val="COMMISSION STAFF WORKING DOCUMENT"/>
    <w:docVar w:name="LW_TYPEACTEPRINCIPAL.CP" w:val="Commission Recommendation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Bullet 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paragraph" w:customStyle="1" w:styleId="numberandsizeofhouseholds">
    <w:name w:val="number and size of households"/>
    <w:aliases w:val="sectorial gross value added,freight transport tonnes-kilometres,exchange rate to EUR and to USD,heating and cooling degree days,technology cost assumptions,electricity imports,import dependency,gross inland consumptio"/>
    <w:basedOn w:val="FootnoteText"/>
  </w:style>
  <w:style w:type="paragraph" w:styleId="NoSpacing">
    <w:name w:val="No Spacing"/>
    <w:uiPriority w:val="1"/>
    <w:qFormat/>
    <w:pPr>
      <w:spacing w:after="0" w:line="240" w:lineRule="auto"/>
    </w:pPr>
    <w:rPr>
      <w:rFonts w:ascii="Arial" w:hAnsi="Arial"/>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en-GB"/>
    </w:rPr>
  </w:style>
  <w:style w:type="character" w:customStyle="1" w:styleId="PlainTextChar">
    <w:name w:val="Plain Text Char"/>
    <w:basedOn w:val="DefaultParagraphFont"/>
    <w:link w:val="PlainText"/>
    <w:uiPriority w:val="99"/>
    <w:rPr>
      <w:rFonts w:ascii="Calibri" w:eastAsia="Times New Roman" w:hAnsi="Calibri" w:cs="Times New Roman"/>
      <w:szCs w:val="21"/>
      <w:lang w:val="en-GB"/>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Bullet 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paragraph" w:customStyle="1" w:styleId="numberandsizeofhouseholds">
    <w:name w:val="number and size of households"/>
    <w:aliases w:val="sectorial gross value added,freight transport tonnes-kilometres,exchange rate to EUR and to USD,heating and cooling degree days,technology cost assumptions,electricity imports,import dependency,gross inland consumptio"/>
    <w:basedOn w:val="FootnoteText"/>
  </w:style>
  <w:style w:type="paragraph" w:styleId="NoSpacing">
    <w:name w:val="No Spacing"/>
    <w:uiPriority w:val="1"/>
    <w:qFormat/>
    <w:pPr>
      <w:spacing w:after="0" w:line="240" w:lineRule="auto"/>
    </w:pPr>
    <w:rPr>
      <w:rFonts w:ascii="Arial" w:hAnsi="Arial"/>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en-GB"/>
    </w:rPr>
  </w:style>
  <w:style w:type="character" w:customStyle="1" w:styleId="PlainTextChar">
    <w:name w:val="Plain Text Char"/>
    <w:basedOn w:val="DefaultParagraphFont"/>
    <w:link w:val="PlainText"/>
    <w:uiPriority w:val="99"/>
    <w:rPr>
      <w:rFonts w:ascii="Calibri" w:eastAsia="Times New Roman" w:hAnsi="Calibri" w:cs="Times New Roman"/>
      <w:szCs w:val="21"/>
      <w:lang w:val="en-GB"/>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5363">
      <w:bodyDiv w:val="1"/>
      <w:marLeft w:val="0"/>
      <w:marRight w:val="0"/>
      <w:marTop w:val="0"/>
      <w:marBottom w:val="0"/>
      <w:divBdr>
        <w:top w:val="none" w:sz="0" w:space="0" w:color="auto"/>
        <w:left w:val="none" w:sz="0" w:space="0" w:color="auto"/>
        <w:bottom w:val="none" w:sz="0" w:space="0" w:color="auto"/>
        <w:right w:val="none" w:sz="0" w:space="0" w:color="auto"/>
      </w:divBdr>
    </w:div>
    <w:div w:id="412703579">
      <w:bodyDiv w:val="1"/>
      <w:marLeft w:val="0"/>
      <w:marRight w:val="0"/>
      <w:marTop w:val="0"/>
      <w:marBottom w:val="0"/>
      <w:divBdr>
        <w:top w:val="none" w:sz="0" w:space="0" w:color="auto"/>
        <w:left w:val="none" w:sz="0" w:space="0" w:color="auto"/>
        <w:bottom w:val="none" w:sz="0" w:space="0" w:color="auto"/>
        <w:right w:val="none" w:sz="0" w:space="0" w:color="auto"/>
      </w:divBdr>
    </w:div>
    <w:div w:id="536429852">
      <w:bodyDiv w:val="1"/>
      <w:marLeft w:val="0"/>
      <w:marRight w:val="0"/>
      <w:marTop w:val="0"/>
      <w:marBottom w:val="0"/>
      <w:divBdr>
        <w:top w:val="none" w:sz="0" w:space="0" w:color="auto"/>
        <w:left w:val="none" w:sz="0" w:space="0" w:color="auto"/>
        <w:bottom w:val="none" w:sz="0" w:space="0" w:color="auto"/>
        <w:right w:val="none" w:sz="0" w:space="0" w:color="auto"/>
      </w:divBdr>
    </w:div>
    <w:div w:id="842403753">
      <w:bodyDiv w:val="1"/>
      <w:marLeft w:val="0"/>
      <w:marRight w:val="0"/>
      <w:marTop w:val="0"/>
      <w:marBottom w:val="0"/>
      <w:divBdr>
        <w:top w:val="none" w:sz="0" w:space="0" w:color="auto"/>
        <w:left w:val="none" w:sz="0" w:space="0" w:color="auto"/>
        <w:bottom w:val="none" w:sz="0" w:space="0" w:color="auto"/>
        <w:right w:val="none" w:sz="0" w:space="0" w:color="auto"/>
      </w:divBdr>
    </w:div>
    <w:div w:id="842742154">
      <w:bodyDiv w:val="1"/>
      <w:marLeft w:val="0"/>
      <w:marRight w:val="0"/>
      <w:marTop w:val="0"/>
      <w:marBottom w:val="0"/>
      <w:divBdr>
        <w:top w:val="none" w:sz="0" w:space="0" w:color="auto"/>
        <w:left w:val="none" w:sz="0" w:space="0" w:color="auto"/>
        <w:bottom w:val="none" w:sz="0" w:space="0" w:color="auto"/>
        <w:right w:val="none" w:sz="0" w:space="0" w:color="auto"/>
      </w:divBdr>
    </w:div>
    <w:div w:id="955023213">
      <w:bodyDiv w:val="1"/>
      <w:marLeft w:val="0"/>
      <w:marRight w:val="0"/>
      <w:marTop w:val="0"/>
      <w:marBottom w:val="0"/>
      <w:divBdr>
        <w:top w:val="none" w:sz="0" w:space="0" w:color="auto"/>
        <w:left w:val="none" w:sz="0" w:space="0" w:color="auto"/>
        <w:bottom w:val="none" w:sz="0" w:space="0" w:color="auto"/>
        <w:right w:val="none" w:sz="0" w:space="0" w:color="auto"/>
      </w:divBdr>
    </w:div>
    <w:div w:id="1022904539">
      <w:bodyDiv w:val="1"/>
      <w:marLeft w:val="0"/>
      <w:marRight w:val="0"/>
      <w:marTop w:val="0"/>
      <w:marBottom w:val="0"/>
      <w:divBdr>
        <w:top w:val="none" w:sz="0" w:space="0" w:color="auto"/>
        <w:left w:val="none" w:sz="0" w:space="0" w:color="auto"/>
        <w:bottom w:val="none" w:sz="0" w:space="0" w:color="auto"/>
        <w:right w:val="none" w:sz="0" w:space="0" w:color="auto"/>
      </w:divBdr>
    </w:div>
    <w:div w:id="1123382035">
      <w:bodyDiv w:val="1"/>
      <w:marLeft w:val="0"/>
      <w:marRight w:val="0"/>
      <w:marTop w:val="0"/>
      <w:marBottom w:val="0"/>
      <w:divBdr>
        <w:top w:val="none" w:sz="0" w:space="0" w:color="auto"/>
        <w:left w:val="none" w:sz="0" w:space="0" w:color="auto"/>
        <w:bottom w:val="none" w:sz="0" w:space="0" w:color="auto"/>
        <w:right w:val="none" w:sz="0" w:space="0" w:color="auto"/>
      </w:divBdr>
    </w:div>
    <w:div w:id="1248885866">
      <w:bodyDiv w:val="1"/>
      <w:marLeft w:val="0"/>
      <w:marRight w:val="0"/>
      <w:marTop w:val="0"/>
      <w:marBottom w:val="0"/>
      <w:divBdr>
        <w:top w:val="none" w:sz="0" w:space="0" w:color="auto"/>
        <w:left w:val="none" w:sz="0" w:space="0" w:color="auto"/>
        <w:bottom w:val="none" w:sz="0" w:space="0" w:color="auto"/>
        <w:right w:val="none" w:sz="0" w:space="0" w:color="auto"/>
      </w:divBdr>
    </w:div>
    <w:div w:id="1291981181">
      <w:bodyDiv w:val="1"/>
      <w:marLeft w:val="0"/>
      <w:marRight w:val="0"/>
      <w:marTop w:val="0"/>
      <w:marBottom w:val="0"/>
      <w:divBdr>
        <w:top w:val="none" w:sz="0" w:space="0" w:color="auto"/>
        <w:left w:val="none" w:sz="0" w:space="0" w:color="auto"/>
        <w:bottom w:val="none" w:sz="0" w:space="0" w:color="auto"/>
        <w:right w:val="none" w:sz="0" w:space="0" w:color="auto"/>
      </w:divBdr>
    </w:div>
    <w:div w:id="1369183659">
      <w:bodyDiv w:val="1"/>
      <w:marLeft w:val="0"/>
      <w:marRight w:val="0"/>
      <w:marTop w:val="0"/>
      <w:marBottom w:val="0"/>
      <w:divBdr>
        <w:top w:val="none" w:sz="0" w:space="0" w:color="auto"/>
        <w:left w:val="none" w:sz="0" w:space="0" w:color="auto"/>
        <w:bottom w:val="none" w:sz="0" w:space="0" w:color="auto"/>
        <w:right w:val="none" w:sz="0" w:space="0" w:color="auto"/>
      </w:divBdr>
    </w:div>
    <w:div w:id="1552107699">
      <w:bodyDiv w:val="1"/>
      <w:marLeft w:val="0"/>
      <w:marRight w:val="0"/>
      <w:marTop w:val="0"/>
      <w:marBottom w:val="0"/>
      <w:divBdr>
        <w:top w:val="none" w:sz="0" w:space="0" w:color="auto"/>
        <w:left w:val="none" w:sz="0" w:space="0" w:color="auto"/>
        <w:bottom w:val="none" w:sz="0" w:space="0" w:color="auto"/>
        <w:right w:val="none" w:sz="0" w:space="0" w:color="auto"/>
      </w:divBdr>
    </w:div>
    <w:div w:id="1554385966">
      <w:bodyDiv w:val="1"/>
      <w:marLeft w:val="0"/>
      <w:marRight w:val="0"/>
      <w:marTop w:val="0"/>
      <w:marBottom w:val="0"/>
      <w:divBdr>
        <w:top w:val="none" w:sz="0" w:space="0" w:color="auto"/>
        <w:left w:val="none" w:sz="0" w:space="0" w:color="auto"/>
        <w:bottom w:val="none" w:sz="0" w:space="0" w:color="auto"/>
        <w:right w:val="none" w:sz="0" w:space="0" w:color="auto"/>
      </w:divBdr>
    </w:div>
    <w:div w:id="1614171753">
      <w:bodyDiv w:val="1"/>
      <w:marLeft w:val="0"/>
      <w:marRight w:val="0"/>
      <w:marTop w:val="0"/>
      <w:marBottom w:val="0"/>
      <w:divBdr>
        <w:top w:val="none" w:sz="0" w:space="0" w:color="auto"/>
        <w:left w:val="none" w:sz="0" w:space="0" w:color="auto"/>
        <w:bottom w:val="none" w:sz="0" w:space="0" w:color="auto"/>
        <w:right w:val="none" w:sz="0" w:space="0" w:color="auto"/>
      </w:divBdr>
    </w:div>
    <w:div w:id="1862278139">
      <w:bodyDiv w:val="1"/>
      <w:marLeft w:val="0"/>
      <w:marRight w:val="0"/>
      <w:marTop w:val="0"/>
      <w:marBottom w:val="0"/>
      <w:divBdr>
        <w:top w:val="none" w:sz="0" w:space="0" w:color="auto"/>
        <w:left w:val="none" w:sz="0" w:space="0" w:color="auto"/>
        <w:bottom w:val="none" w:sz="0" w:space="0" w:color="auto"/>
        <w:right w:val="none" w:sz="0" w:space="0" w:color="auto"/>
      </w:divBdr>
    </w:div>
    <w:div w:id="1867986126">
      <w:bodyDiv w:val="1"/>
      <w:marLeft w:val="0"/>
      <w:marRight w:val="0"/>
      <w:marTop w:val="0"/>
      <w:marBottom w:val="0"/>
      <w:divBdr>
        <w:top w:val="none" w:sz="0" w:space="0" w:color="auto"/>
        <w:left w:val="none" w:sz="0" w:space="0" w:color="auto"/>
        <w:bottom w:val="none" w:sz="0" w:space="0" w:color="auto"/>
        <w:right w:val="none" w:sz="0" w:space="0" w:color="auto"/>
      </w:divBdr>
    </w:div>
    <w:div w:id="1942253322">
      <w:bodyDiv w:val="1"/>
      <w:marLeft w:val="0"/>
      <w:marRight w:val="0"/>
      <w:marTop w:val="0"/>
      <w:marBottom w:val="0"/>
      <w:divBdr>
        <w:top w:val="none" w:sz="0" w:space="0" w:color="auto"/>
        <w:left w:val="none" w:sz="0" w:space="0" w:color="auto"/>
        <w:bottom w:val="none" w:sz="0" w:space="0" w:color="auto"/>
        <w:right w:val="none" w:sz="0" w:space="0" w:color="auto"/>
      </w:divBdr>
    </w:div>
    <w:div w:id="1984311966">
      <w:bodyDiv w:val="1"/>
      <w:marLeft w:val="0"/>
      <w:marRight w:val="0"/>
      <w:marTop w:val="0"/>
      <w:marBottom w:val="0"/>
      <w:divBdr>
        <w:top w:val="none" w:sz="0" w:space="0" w:color="auto"/>
        <w:left w:val="none" w:sz="0" w:space="0" w:color="auto"/>
        <w:bottom w:val="none" w:sz="0" w:space="0" w:color="auto"/>
        <w:right w:val="none" w:sz="0" w:space="0" w:color="auto"/>
      </w:divBdr>
    </w:div>
    <w:div w:id="1988822028">
      <w:bodyDiv w:val="1"/>
      <w:marLeft w:val="0"/>
      <w:marRight w:val="0"/>
      <w:marTop w:val="0"/>
      <w:marBottom w:val="0"/>
      <w:divBdr>
        <w:top w:val="none" w:sz="0" w:space="0" w:color="auto"/>
        <w:left w:val="none" w:sz="0" w:space="0" w:color="auto"/>
        <w:bottom w:val="none" w:sz="0" w:space="0" w:color="auto"/>
        <w:right w:val="none" w:sz="0" w:space="0" w:color="auto"/>
      </w:divBdr>
    </w:div>
    <w:div w:id="2060470817">
      <w:bodyDiv w:val="1"/>
      <w:marLeft w:val="0"/>
      <w:marRight w:val="0"/>
      <w:marTop w:val="0"/>
      <w:marBottom w:val="0"/>
      <w:divBdr>
        <w:top w:val="none" w:sz="0" w:space="0" w:color="auto"/>
        <w:left w:val="none" w:sz="0" w:space="0" w:color="auto"/>
        <w:bottom w:val="none" w:sz="0" w:space="0" w:color="auto"/>
        <w:right w:val="none" w:sz="0" w:space="0" w:color="auto"/>
      </w:divBdr>
    </w:div>
    <w:div w:id="20609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jpeg"/><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u2017.ee/tallinn-e-energy-declaration" TargetMode="External"/><Relationship Id="rId1" Type="http://schemas.openxmlformats.org/officeDocument/2006/relationships/hyperlink" Target="https://www.mkm.ee/sites/default/files/ndpes_2030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72b8a243-3f06-42b0-843b-5adbcd6cf751" xsi:nil="true"/>
    <EC_Collab_DocumentLanguage xmlns="72b8a243-3f06-42b0-843b-5adbcd6cf751">EN</EC_Collab_DocumentLanguage>
    <EC_Collab_Status xmlns="72b8a243-3f06-42b0-843b-5adbcd6cf751">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92B0C910B19624AAFD634370086AF78" ma:contentTypeVersion="0" ma:contentTypeDescription="Create a new document in this library." ma:contentTypeScope="" ma:versionID="32203e3f1ca4557eb021531b8f640b40">
  <xsd:schema xmlns:xsd="http://www.w3.org/2001/XMLSchema" xmlns:xs="http://www.w3.org/2001/XMLSchema" xmlns:p="http://schemas.microsoft.com/office/2006/metadata/properties" xmlns:ns2="http://schemas.microsoft.com/sharepoint/v3/fields" xmlns:ns3="72b8a243-3f06-42b0-843b-5adbcd6cf751" targetNamespace="http://schemas.microsoft.com/office/2006/metadata/properties" ma:root="true" ma:fieldsID="f419d686e11161e6b528d5449ce64c8c" ns2:_="" ns3:_="">
    <xsd:import namespace="http://schemas.microsoft.com/sharepoint/v3/fields"/>
    <xsd:import namespace="72b8a243-3f06-42b0-843b-5adbcd6cf75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b8a243-3f06-42b0-843b-5adbcd6cf7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9E1A7D-CAC9-4C24-92B6-405980AAAD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2b8a243-3f06-42b0-843b-5adbcd6cf75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204AC21-D57C-4AC8-A137-585B3CB1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b8a243-3f06-42b0-843b-5adbcd6cf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4829B-9F90-4927-9EBC-331A63C88A98}">
  <ds:schemaRefs>
    <ds:schemaRef ds:uri="http://schemas.microsoft.com/sharepoint/v3/contenttype/forms"/>
  </ds:schemaRefs>
</ds:datastoreItem>
</file>

<file path=customXml/itemProps4.xml><?xml version="1.0" encoding="utf-8"?>
<ds:datastoreItem xmlns:ds="http://schemas.openxmlformats.org/officeDocument/2006/customXml" ds:itemID="{451375D7-119B-47ED-80EC-C5D95059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6747</Words>
  <Characters>37515</Characters>
  <Application>Microsoft Office Word</Application>
  <DocSecurity>0</DocSecurity>
  <Lines>595</Lines>
  <Paragraphs>182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2019-06-14T14:02:00Z</cp:lastPrinted>
  <dcterms:created xsi:type="dcterms:W3CDTF">2019-06-14T17:08:00Z</dcterms:created>
  <dcterms:modified xsi:type="dcterms:W3CDTF">2019-06-17T15:35:00Z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Last edited using">
    <vt:lpwstr>LW 6.0.1, Build 20180503</vt:lpwstr>
  </property>
  <property fmtid="{D5CDD505-2E9C-101B-9397-08002B2CF9AE}" pid="6" name="Created using">
    <vt:lpwstr>LW 6.0.1, Build 20180503</vt:lpwstr>
  </property>
  <property fmtid="{D5CDD505-2E9C-101B-9397-08002B2CF9AE}" pid="7" name="ContentTypeId">
    <vt:lpwstr>0x010100258AA79CEB83498886A3A0868112325000292B0C910B19624AAFD634370086AF78</vt:lpwstr>
  </property>
  <property fmtid="{D5CDD505-2E9C-101B-9397-08002B2CF9AE}" pid="8" name="DocStatus">
    <vt:lpwstr>Green</vt:lpwstr>
  </property>
</Properties>
</file>