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25369FF-67B9-4E02-AEE2-5D429C278DAE" style="width:450.25pt;height:452.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b/>
          <w:noProof/>
        </w:rPr>
      </w:pPr>
      <w:r>
        <w:rPr>
          <w:b/>
          <w:noProof/>
        </w:rPr>
        <w:t>ПРЕПОРЪКА № 01/2019 НА СЪВЕТА ЗА АСОЦИИРАНЕ ЕС—МАРОКО</w:t>
      </w:r>
    </w:p>
    <w:p>
      <w:pPr>
        <w:autoSpaceDE w:val="0"/>
        <w:autoSpaceDN w:val="0"/>
        <w:adjustRightInd w:val="0"/>
        <w:spacing w:before="0" w:after="0"/>
        <w:jc w:val="center"/>
        <w:rPr>
          <w:b/>
          <w:noProof/>
        </w:rPr>
      </w:pPr>
      <w:r>
        <w:rPr>
          <w:b/>
          <w:noProof/>
        </w:rPr>
        <w:t>за одобряване на удължаването с две години на срока на валидност на Плана за действие ЕС—Мароко, с който се прилага напредналият статут (2013—2018 г.)</w:t>
      </w:r>
    </w:p>
    <w:p>
      <w:pPr>
        <w:rPr>
          <w:noProof/>
        </w:rPr>
      </w:pP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СЪВЕТЪТ ЗА АСОЦИИРАНЕ ЕС—МАРОКО,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като взе предвид Евро-средиземноморското споразумение за асоцииране между Европейската общност и нейните държави членки, от една страна, и Кралство Мароко, от друга страна („Евро-средиземноморското споразумение“),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Евро-средиземноморското споразумение влезе в сила на 1 март 2000 г.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С член 80 от Евро-средиземноморското споразумение на Съвета за асоцииране се предоставят правомощия да формулира препоръки, които смята за подходящи за постигането на целите на Споразумението.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В съответствие с член 90 от Евро-средиземноморското споразумение страните трябва да предприемат всички общи или специални мерки, необходими за изпълнение на задълженията им по Споразумението, и трябва да следят за постигането на целите, определени в него.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В член 10 от процедурния правилник на Съвета за асоцииране се предвижда възможността за формулиране на препоръки в периода между заседанията чрез писмена процедура.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 xml:space="preserve">Удължаването на срока на валидност на Плана за действие 2013—2018 г. ще представлява основата на отношенията между ЕС и Мароко през 2019 г. и 2020 г. и ще позволи да бъдат определени новите приоритетни теми в отношенията ЕС—Мароко през идните години, </w:t>
      </w:r>
    </w:p>
    <w:p>
      <w:pPr>
        <w:pStyle w:val="Formuledadoption"/>
        <w:rPr>
          <w:noProof/>
          <w:szCs w:val="24"/>
        </w:rPr>
      </w:pPr>
      <w:r>
        <w:rPr>
          <w:noProof/>
        </w:rPr>
        <w:t>РЕШИ:</w:t>
      </w:r>
    </w:p>
    <w:p>
      <w:pPr>
        <w:pStyle w:val="Titrearticle"/>
        <w:rPr>
          <w:iCs/>
          <w:noProof/>
          <w:szCs w:val="24"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Съветът за асоцииране, като действа чрез писмена процедура, решава срокът на валидност  на Плана за действие ЕС—Мароко, с който се прилага напредналият статут (2013—2018 г.), да бъде удължен с две години.</w:t>
      </w:r>
    </w:p>
    <w:p>
      <w:pPr>
        <w:pStyle w:val="Fait"/>
        <w:rPr>
          <w:noProof/>
          <w:szCs w:val="24"/>
        </w:rPr>
      </w:pPr>
      <w:r>
        <w:rPr>
          <w:noProof/>
        </w:rPr>
        <w:t>Съставено в хх на […2019 г.].</w:t>
      </w:r>
    </w:p>
    <w:p>
      <w:pPr>
        <w:pStyle w:val="Institutionquisigne"/>
        <w:ind w:left="4253"/>
        <w:rPr>
          <w:iCs/>
          <w:noProof/>
          <w:szCs w:val="24"/>
        </w:rPr>
      </w:pPr>
      <w:r>
        <w:rPr>
          <w:noProof/>
        </w:rPr>
        <w:t>За Съвета за асоцииране ЕС—Мароко</w:t>
      </w:r>
    </w:p>
    <w:p>
      <w:pPr>
        <w:pStyle w:val="Personnequisigne"/>
        <w:ind w:left="4253"/>
        <w:rPr>
          <w:noProof/>
        </w:rPr>
      </w:pPr>
      <w:r>
        <w:rPr>
          <w:noProof/>
        </w:rPr>
        <w:t>Председател</w:t>
      </w:r>
    </w:p>
    <w:p>
      <w:pPr>
        <w:pStyle w:val="Personnequisigne"/>
        <w:ind w:left="4253"/>
        <w:rPr>
          <w:noProof/>
        </w:rPr>
      </w:pPr>
    </w:p>
    <w:p>
      <w:pPr>
        <w:pStyle w:val="Personnequisigne"/>
        <w:ind w:left="4253"/>
        <w:rPr>
          <w:noProof/>
          <w:szCs w:val="24"/>
        </w:rPr>
      </w:pPr>
      <w:r>
        <w:rPr>
          <w:noProof/>
        </w:rPr>
        <w:t>***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1C422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FECB0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04E3C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3167A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6D853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58DA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910FC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688E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30 11:35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25369FF-67B9-4E02-AEE2-5D429C278DAE"/>
    <w:docVar w:name="LW_COVERPAGE_TYPE" w:val="1"/>
    <w:docVar w:name="LW_CROSSREFERENCE" w:val="&lt;UNUSED&gt;"/>
    <w:docVar w:name="LW_DocType" w:val="ANNEX"/>
    <w:docVar w:name="LW_EMISSION" w:val="6.8.2019"/>
    <w:docVar w:name="LW_EMISSION_ISODATE" w:val="2019-08-06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72?\u1089?\u1086?\u1094?\u1080?\u1080?\u1088?\u1072?\u1085?\u1077?, \u1089?\u1098?\u1079?\u1076?\u1072?\u1076?\u1077?\u1085? \u1087?\u1086? \u1089?\u1080?\u1083?\u1072?\u1090?\u1072? \u1085?\u1072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50?\u1088?\u1072?\u1083?\u1089?\u1090?\u1074?\u1086? \u1052?\u1072?\u1088?\u1086?\u1082?\u1086?, \u1086?\u1090? \u1076?\u1088?\u1091?\u1075?\u1072? \u1089?\u1090?\u1088?\u1072?\u1085?\u1072?, \u1087?\u1086? \u1086?\u1090?\u1085?\u1086?\u1096?\u1077?\u1085?\u1080?\u1077? \u1085?\u1072? \u1091?\u1076?\u1098?\u1083?\u1078?\u1072?\u1074?\u1072?\u1085?\u1077?\u1090?\u1086? \u1085?\u1072? \u1089?\u1088?\u1086?\u1082?\u1072? \u1085?\u1072? \u1074?\u1072?\u1083?\u1080?\u1076?\u1085?\u1086?\u1089?\u1090? \u1085?\u1072? \u1055?\u1083?\u1072?\u1085?\u1072? \u1079?\u1072? \u1076?\u1077?\u1081?\u1089?\u1090?\u1074?\u1080?\u1077? \u1045?\u1057?\u8212?\u1052?\u1072?\u1088?\u1086?\u1082?\u1086?, \u1089? \u1082?\u1086?\u1081?\u1090?\u1086? \u1089?\u1077? \u1087?\u1088?\u1080?\u1083?\u1072?\u1075?\u1072? \u1085?\u1072?\u1087?\u1088?\u1077?\u1076?\u1085?\u1072?\u1083?\u1080?\u1103?\u1090? \u1089?\u1090?\u1072?\u1090?\u1091?\u1090? (2013\u8212?2018 \u1075?.)_x000b_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72?\u1089?\u1086?\u1094?\u1080?\u1080?\u1088?\u1072?\u1085?\u1077?, \u1089?\u1098?\u1079?\u1076?\u1072?\u1076?\u1077?\u1085? \u1087?\u1086? \u1089?\u1080?\u1083?\u1072?\u1090?\u1072? \u1085?\u1072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50?\u1088?\u1072?\u1083?\u1089?\u1090?\u1074?\u1086? \u1052?\u1072?\u1088?\u1086?\u1082?\u1086?, \u1086?\u1090? \u1076?\u1088?\u1091?\u1075?\u1072? \u1089?\u1090?\u1088?\u1072?\u1085?\u1072?, \u1087?\u1086? \u1086?\u1090?\u1085?\u1086?\u1096?\u1077?\u1085?\u1080?\u1077? \u1085?\u1072? \u1091?\u1076?\u1098?\u1083?\u1078?\u1072?\u1074?\u1072?\u1085?\u1077?\u1090?\u1086? \u1085?\u1072? \u1089?\u1088?\u1086?\u1082?\u1072? \u1085?\u1072? \u1074?\u1072?\u1083?\u1080?\u1076?\u1085?\u1086?\u1089?\u1090? \u1085?\u1072? \u1055?\u1083?\u1072?\u1085?\u1072? \u1079?\u1072? \u1076?\u1077?\u1081?\u1089?\u1090?\u1074?\u1080?\u1077? \u1045?\u1057?\u8212?\u1052?\u1072?\u1088?\u1086?\u1082?\u1086?, \u1089? \u1082?\u1086?\u1081?\u1090?\u1086? \u1089?\u1077? \u1087?\u1088?\u1080?\u1083?\u1072?\u1075?\u1072? \u1085?\u1072?\u1087?\u1088?\u1077?\u1076?\u1085?\u1072?\u1083?\u1080?\u1103?\u1090? \u1089?\u1090?\u1072?\u1090?\u1091?\u1090? (2013\u8212?2018 \u1075?.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36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88?\u1077?\u1096?\u1077?\u1085?\u1080?\u1077? \u1085?\u1072? \u1057?\u1098?\u1074?\u1077?\u1090?\u1072?"/>
    <w:docVar w:name="LW_TYPEACTEPRINCIPAL.CP" w:val="\u1087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261</Words>
  <Characters>1464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PARDO Sandra (EEAS)</dc:creator>
  <cp:lastModifiedBy>WES PDFC Administrator</cp:lastModifiedBy>
  <cp:revision>8</cp:revision>
  <dcterms:created xsi:type="dcterms:W3CDTF">2019-07-16T08:13:00Z</dcterms:created>
  <dcterms:modified xsi:type="dcterms:W3CDTF">2019-07-30T09:35:00Z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