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37858B3-B2B3-4BF7-8DFD-0C68A9957D99" style="width:450.75pt;height:381pt">
            <v:imagedata r:id="rId9" o:title=""/>
          </v:shape>
        </w:pict>
      </w:r>
    </w:p>
    <w:bookmarkEnd w:id="0"/>
    <w:p>
      <w:pPr>
        <w:pStyle w:val="Pagedecouverture"/>
        <w:rPr>
          <w:noProof/>
          <w:color w:val="00B050"/>
        </w:rPr>
        <w:sectPr>
          <w:headerReference w:type="even" r:id="rId10"/>
          <w:headerReference w:type="default" r:id="rId11"/>
          <w:footerReference w:type="even" r:id="rId12"/>
          <w:footerReference w:type="default" r:id="rId13"/>
          <w:headerReference w:type="first" r:id="rId14"/>
          <w:footerReference w:type="first" r:id="rId15"/>
          <w:pgSz w:w="11907" w:h="16834"/>
          <w:pgMar w:top="1134" w:right="1417" w:bottom="1134" w:left="1417" w:header="709" w:footer="709" w:gutter="0"/>
          <w:pgNumType w:start="1"/>
          <w:cols w:space="720"/>
          <w:docGrid w:linePitch="326"/>
        </w:sectPr>
      </w:pPr>
    </w:p>
    <w:p>
      <w:pPr>
        <w:spacing w:before="120" w:after="240"/>
        <w:jc w:val="center"/>
        <w:rPr>
          <w:b/>
          <w:noProof/>
        </w:rPr>
      </w:pPr>
      <w:bookmarkStart w:id="1" w:name="_GoBack"/>
      <w:bookmarkEnd w:id="1"/>
      <w:r>
        <w:rPr>
          <w:b/>
          <w:noProof/>
        </w:rPr>
        <w:lastRenderedPageBreak/>
        <w:t>TABLE OF CONTENTS</w:t>
      </w:r>
    </w:p>
    <w:p>
      <w:pPr>
        <w:jc w:val="both"/>
        <w:rPr>
          <w:noProof/>
        </w:rPr>
      </w:pPr>
    </w:p>
    <w:p>
      <w:pPr>
        <w:pStyle w:val="TOC1"/>
        <w:rPr>
          <w:rFonts w:asciiTheme="minorHAnsi" w:eastAsiaTheme="minorEastAsia" w:hAnsiTheme="minorHAnsi" w:cstheme="minorBidi"/>
          <w:noProof/>
          <w:sz w:val="22"/>
          <w:lang w:val="fr-BE" w:eastAsia="fr-BE"/>
        </w:rPr>
      </w:pPr>
      <w:r>
        <w:rPr>
          <w:noProof/>
          <w:szCs w:val="24"/>
        </w:rPr>
        <w:fldChar w:fldCharType="begin"/>
      </w:r>
      <w:r>
        <w:rPr>
          <w:noProof/>
          <w:szCs w:val="24"/>
        </w:rPr>
        <w:instrText xml:space="preserve"> TOC \o "1-3" \h \z \u </w:instrText>
      </w:r>
      <w:r>
        <w:rPr>
          <w:noProof/>
          <w:szCs w:val="24"/>
        </w:rPr>
        <w:fldChar w:fldCharType="separate"/>
      </w:r>
      <w:hyperlink w:anchor="_Toc6923102" w:history="1">
        <w:r>
          <w:rPr>
            <w:rStyle w:val="Hyperlink"/>
            <w:noProof/>
          </w:rPr>
          <w:t>1.</w:t>
        </w:r>
        <w:r>
          <w:rPr>
            <w:rFonts w:asciiTheme="minorHAnsi" w:eastAsiaTheme="minorEastAsia" w:hAnsiTheme="minorHAnsi" w:cstheme="minorBidi"/>
            <w:noProof/>
            <w:sz w:val="22"/>
            <w:lang w:val="fr-BE" w:eastAsia="fr-BE"/>
          </w:rPr>
          <w:tab/>
        </w:r>
        <w:r>
          <w:rPr>
            <w:rStyle w:val="Hyperlink"/>
            <w:noProof/>
          </w:rPr>
          <w:t>Introduction</w:t>
        </w:r>
        <w:r>
          <w:rPr>
            <w:noProof/>
            <w:webHidden/>
          </w:rPr>
          <w:tab/>
        </w:r>
        <w:r>
          <w:rPr>
            <w:noProof/>
            <w:webHidden/>
          </w:rPr>
          <w:fldChar w:fldCharType="begin"/>
        </w:r>
        <w:r>
          <w:rPr>
            <w:noProof/>
            <w:webHidden/>
          </w:rPr>
          <w:instrText xml:space="preserve"> PAGEREF _Toc6923102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lang w:val="fr-BE" w:eastAsia="fr-BE"/>
        </w:rPr>
      </w:pPr>
      <w:hyperlink w:anchor="_Toc6923103" w:history="1">
        <w:r>
          <w:rPr>
            <w:rStyle w:val="Hyperlink"/>
            <w:noProof/>
          </w:rPr>
          <w:t>2.</w:t>
        </w:r>
        <w:r>
          <w:rPr>
            <w:rFonts w:asciiTheme="minorHAnsi" w:eastAsiaTheme="minorEastAsia" w:hAnsiTheme="minorHAnsi" w:cstheme="minorBidi"/>
            <w:noProof/>
            <w:sz w:val="22"/>
            <w:lang w:val="fr-BE" w:eastAsia="fr-BE"/>
          </w:rPr>
          <w:tab/>
        </w:r>
        <w:r>
          <w:rPr>
            <w:rStyle w:val="Hyperlink"/>
            <w:noProof/>
          </w:rPr>
          <w:t>Fund Management report</w:t>
        </w:r>
        <w:r>
          <w:rPr>
            <w:noProof/>
            <w:webHidden/>
          </w:rPr>
          <w:tab/>
        </w:r>
        <w:r>
          <w:rPr>
            <w:noProof/>
            <w:webHidden/>
          </w:rPr>
          <w:fldChar w:fldCharType="begin"/>
        </w:r>
        <w:r>
          <w:rPr>
            <w:noProof/>
            <w:webHidden/>
          </w:rPr>
          <w:instrText xml:space="preserve"> PAGEREF _Toc6923103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6923104" w:history="1">
        <w:r>
          <w:rPr>
            <w:rStyle w:val="Hyperlink"/>
            <w:noProof/>
          </w:rPr>
          <w:t>2.1.</w:t>
        </w:r>
        <w:r>
          <w:rPr>
            <w:rFonts w:asciiTheme="minorHAnsi" w:eastAsiaTheme="minorEastAsia" w:hAnsiTheme="minorHAnsi" w:cstheme="minorBidi"/>
            <w:noProof/>
            <w:sz w:val="22"/>
            <w:szCs w:val="22"/>
            <w:lang w:val="fr-BE" w:eastAsia="fr-BE"/>
          </w:rPr>
          <w:tab/>
        </w:r>
        <w:r>
          <w:rPr>
            <w:rStyle w:val="Hyperlink"/>
            <w:noProof/>
          </w:rPr>
          <w:t>Development of the Fund in 2018</w:t>
        </w:r>
        <w:r>
          <w:rPr>
            <w:noProof/>
            <w:webHidden/>
          </w:rPr>
          <w:tab/>
        </w:r>
        <w:r>
          <w:rPr>
            <w:noProof/>
            <w:webHidden/>
          </w:rPr>
          <w:fldChar w:fldCharType="begin"/>
        </w:r>
        <w:r>
          <w:rPr>
            <w:noProof/>
            <w:webHidden/>
          </w:rPr>
          <w:instrText xml:space="preserve"> PAGEREF _Toc6923104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6923106" w:history="1">
        <w:r>
          <w:rPr>
            <w:rStyle w:val="Hyperlink"/>
            <w:noProof/>
          </w:rPr>
          <w:t>2.2.</w:t>
        </w:r>
        <w:r>
          <w:rPr>
            <w:rFonts w:asciiTheme="minorHAnsi" w:eastAsiaTheme="minorEastAsia" w:hAnsiTheme="minorHAnsi" w:cstheme="minorBidi"/>
            <w:noProof/>
            <w:sz w:val="22"/>
            <w:szCs w:val="22"/>
            <w:lang w:val="fr-BE" w:eastAsia="fr-BE"/>
          </w:rPr>
          <w:tab/>
        </w:r>
        <w:r>
          <w:rPr>
            <w:rStyle w:val="Hyperlink"/>
            <w:noProof/>
          </w:rPr>
          <w:t>Situation of the Fund</w:t>
        </w:r>
        <w:r>
          <w:rPr>
            <w:noProof/>
            <w:webHidden/>
          </w:rPr>
          <w:tab/>
        </w:r>
        <w:r>
          <w:rPr>
            <w:noProof/>
            <w:webHidden/>
          </w:rPr>
          <w:fldChar w:fldCharType="begin"/>
        </w:r>
        <w:r>
          <w:rPr>
            <w:noProof/>
            <w:webHidden/>
          </w:rPr>
          <w:instrText xml:space="preserve"> PAGEREF _Toc6923106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07" w:history="1">
        <w:r>
          <w:rPr>
            <w:rStyle w:val="Hyperlink"/>
            <w:noProof/>
          </w:rPr>
          <w:t>2.2.1.</w:t>
        </w:r>
        <w:r>
          <w:rPr>
            <w:rFonts w:asciiTheme="minorHAnsi" w:eastAsiaTheme="minorEastAsia" w:hAnsiTheme="minorHAnsi" w:cstheme="minorBidi"/>
            <w:noProof/>
            <w:sz w:val="22"/>
            <w:szCs w:val="22"/>
            <w:lang w:val="fr-BE" w:eastAsia="fr-BE"/>
          </w:rPr>
          <w:tab/>
        </w:r>
        <w:r>
          <w:rPr>
            <w:rStyle w:val="Hyperlink"/>
            <w:noProof/>
          </w:rPr>
          <w:t>Contributions as at 31 December 2018</w:t>
        </w:r>
        <w:r>
          <w:rPr>
            <w:noProof/>
            <w:webHidden/>
          </w:rPr>
          <w:tab/>
        </w:r>
        <w:r>
          <w:rPr>
            <w:noProof/>
            <w:webHidden/>
          </w:rPr>
          <w:fldChar w:fldCharType="begin"/>
        </w:r>
        <w:r>
          <w:rPr>
            <w:noProof/>
            <w:webHidden/>
          </w:rPr>
          <w:instrText xml:space="preserve"> PAGEREF _Toc6923107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08" w:history="1">
        <w:r>
          <w:rPr>
            <w:rStyle w:val="Hyperlink"/>
            <w:noProof/>
          </w:rPr>
          <w:t>2.2.2.</w:t>
        </w:r>
        <w:r>
          <w:rPr>
            <w:rFonts w:asciiTheme="minorHAnsi" w:eastAsiaTheme="minorEastAsia" w:hAnsiTheme="minorHAnsi" w:cstheme="minorBidi"/>
            <w:noProof/>
            <w:sz w:val="22"/>
            <w:szCs w:val="22"/>
            <w:lang w:val="fr-BE" w:eastAsia="fr-BE"/>
          </w:rPr>
          <w:tab/>
        </w:r>
        <w:r>
          <w:rPr>
            <w:rStyle w:val="Hyperlink"/>
            <w:noProof/>
          </w:rPr>
          <w:t>The Fund’s holdings net of accrued interest at 31 December 2018</w:t>
        </w:r>
        <w:r>
          <w:rPr>
            <w:noProof/>
            <w:webHidden/>
          </w:rPr>
          <w:tab/>
        </w:r>
        <w:r>
          <w:rPr>
            <w:noProof/>
            <w:webHidden/>
          </w:rPr>
          <w:fldChar w:fldCharType="begin"/>
        </w:r>
        <w:r>
          <w:rPr>
            <w:noProof/>
            <w:webHidden/>
          </w:rPr>
          <w:instrText xml:space="preserve"> PAGEREF _Toc6923108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6923109" w:history="1">
        <w:r>
          <w:rPr>
            <w:rStyle w:val="Hyperlink"/>
            <w:noProof/>
          </w:rPr>
          <w:t>2.3.</w:t>
        </w:r>
        <w:r>
          <w:rPr>
            <w:rFonts w:asciiTheme="minorHAnsi" w:eastAsiaTheme="minorEastAsia" w:hAnsiTheme="minorHAnsi" w:cstheme="minorBidi"/>
            <w:noProof/>
            <w:sz w:val="22"/>
            <w:szCs w:val="22"/>
            <w:lang w:val="fr-BE" w:eastAsia="fr-BE"/>
          </w:rPr>
          <w:tab/>
        </w:r>
        <w:r>
          <w:rPr>
            <w:rStyle w:val="Hyperlink"/>
            <w:noProof/>
          </w:rPr>
          <w:t>General and segmental analyses of the Fund</w:t>
        </w:r>
        <w:r>
          <w:rPr>
            <w:noProof/>
            <w:webHidden/>
          </w:rPr>
          <w:tab/>
        </w:r>
        <w:r>
          <w:rPr>
            <w:noProof/>
            <w:webHidden/>
          </w:rPr>
          <w:fldChar w:fldCharType="begin"/>
        </w:r>
        <w:r>
          <w:rPr>
            <w:noProof/>
            <w:webHidden/>
          </w:rPr>
          <w:instrText xml:space="preserve"> PAGEREF _Toc6923109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10" w:history="1">
        <w:r>
          <w:rPr>
            <w:rStyle w:val="Hyperlink"/>
            <w:noProof/>
          </w:rPr>
          <w:t>2.3.1.</w:t>
        </w:r>
        <w:r>
          <w:rPr>
            <w:rFonts w:asciiTheme="minorHAnsi" w:eastAsiaTheme="minorEastAsia" w:hAnsiTheme="minorHAnsi" w:cstheme="minorBidi"/>
            <w:noProof/>
            <w:sz w:val="22"/>
            <w:szCs w:val="22"/>
            <w:lang w:val="fr-BE" w:eastAsia="fr-BE"/>
          </w:rPr>
          <w:tab/>
        </w:r>
        <w:r>
          <w:rPr>
            <w:rStyle w:val="Hyperlink"/>
            <w:noProof/>
          </w:rPr>
          <w:t>Liquidity analysis</w:t>
        </w:r>
        <w:r>
          <w:rPr>
            <w:noProof/>
            <w:webHidden/>
          </w:rPr>
          <w:tab/>
        </w:r>
        <w:r>
          <w:rPr>
            <w:noProof/>
            <w:webHidden/>
          </w:rPr>
          <w:fldChar w:fldCharType="begin"/>
        </w:r>
        <w:r>
          <w:rPr>
            <w:noProof/>
            <w:webHidden/>
          </w:rPr>
          <w:instrText xml:space="preserve"> PAGEREF _Toc6923110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12" w:history="1">
        <w:r>
          <w:rPr>
            <w:rStyle w:val="Hyperlink"/>
            <w:noProof/>
          </w:rPr>
          <w:t>2.3.2.</w:t>
        </w:r>
        <w:r>
          <w:rPr>
            <w:rFonts w:asciiTheme="minorHAnsi" w:eastAsiaTheme="minorEastAsia" w:hAnsiTheme="minorHAnsi" w:cstheme="minorBidi"/>
            <w:noProof/>
            <w:sz w:val="22"/>
            <w:szCs w:val="22"/>
            <w:lang w:val="fr-BE" w:eastAsia="fr-BE"/>
          </w:rPr>
          <w:tab/>
        </w:r>
        <w:r>
          <w:rPr>
            <w:rStyle w:val="Hyperlink"/>
            <w:noProof/>
          </w:rPr>
          <w:t>General analysis of the results of the Fund</w:t>
        </w:r>
        <w:r>
          <w:rPr>
            <w:noProof/>
            <w:webHidden/>
          </w:rPr>
          <w:tab/>
        </w:r>
        <w:r>
          <w:rPr>
            <w:noProof/>
            <w:webHidden/>
          </w:rPr>
          <w:fldChar w:fldCharType="begin"/>
        </w:r>
        <w:r>
          <w:rPr>
            <w:noProof/>
            <w:webHidden/>
          </w:rPr>
          <w:instrText xml:space="preserve"> PAGEREF _Toc6923112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13" w:history="1">
        <w:r>
          <w:rPr>
            <w:rStyle w:val="Hyperlink"/>
            <w:noProof/>
          </w:rPr>
          <w:t>2.3.3.</w:t>
        </w:r>
        <w:r>
          <w:rPr>
            <w:rFonts w:asciiTheme="minorHAnsi" w:eastAsiaTheme="minorEastAsia" w:hAnsiTheme="minorHAnsi" w:cstheme="minorBidi"/>
            <w:noProof/>
            <w:sz w:val="22"/>
            <w:szCs w:val="22"/>
            <w:lang w:val="fr-BE" w:eastAsia="fr-BE"/>
          </w:rPr>
          <w:tab/>
        </w:r>
        <w:r>
          <w:rPr>
            <w:rStyle w:val="Hyperlink"/>
            <w:noProof/>
          </w:rPr>
          <w:t>Analysis by segment</w:t>
        </w:r>
        <w:r>
          <w:rPr>
            <w:noProof/>
            <w:webHidden/>
          </w:rPr>
          <w:tab/>
        </w:r>
        <w:r>
          <w:rPr>
            <w:noProof/>
            <w:webHidden/>
          </w:rPr>
          <w:fldChar w:fldCharType="begin"/>
        </w:r>
        <w:r>
          <w:rPr>
            <w:noProof/>
            <w:webHidden/>
          </w:rPr>
          <w:instrText xml:space="preserve"> PAGEREF _Toc6923113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6923114" w:history="1">
        <w:r>
          <w:rPr>
            <w:rStyle w:val="Hyperlink"/>
            <w:noProof/>
          </w:rPr>
          <w:t>2.4.</w:t>
        </w:r>
        <w:r>
          <w:rPr>
            <w:rFonts w:asciiTheme="minorHAnsi" w:eastAsiaTheme="minorEastAsia" w:hAnsiTheme="minorHAnsi" w:cstheme="minorBidi"/>
            <w:noProof/>
            <w:sz w:val="22"/>
            <w:szCs w:val="22"/>
            <w:lang w:val="fr-BE" w:eastAsia="fr-BE"/>
          </w:rPr>
          <w:tab/>
        </w:r>
        <w:r>
          <w:rPr>
            <w:rStyle w:val="Hyperlink"/>
            <w:noProof/>
          </w:rPr>
          <w:t>Benchmarking, performance and interest rate risk analysis</w:t>
        </w:r>
        <w:r>
          <w:rPr>
            <w:noProof/>
            <w:webHidden/>
          </w:rPr>
          <w:tab/>
        </w:r>
        <w:r>
          <w:rPr>
            <w:noProof/>
            <w:webHidden/>
          </w:rPr>
          <w:fldChar w:fldCharType="begin"/>
        </w:r>
        <w:r>
          <w:rPr>
            <w:noProof/>
            <w:webHidden/>
          </w:rPr>
          <w:instrText xml:space="preserve"> PAGEREF _Toc6923114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15" w:history="1">
        <w:r>
          <w:rPr>
            <w:rStyle w:val="Hyperlink"/>
            <w:noProof/>
          </w:rPr>
          <w:t>2.4.1.</w:t>
        </w:r>
        <w:r>
          <w:rPr>
            <w:rFonts w:asciiTheme="minorHAnsi" w:eastAsiaTheme="minorEastAsia" w:hAnsiTheme="minorHAnsi" w:cstheme="minorBidi"/>
            <w:noProof/>
            <w:sz w:val="22"/>
            <w:szCs w:val="22"/>
            <w:lang w:val="fr-BE" w:eastAsia="fr-BE"/>
          </w:rPr>
          <w:tab/>
        </w:r>
        <w:r>
          <w:rPr>
            <w:rStyle w:val="Hyperlink"/>
            <w:noProof/>
          </w:rPr>
          <w:t>Benchmarking</w:t>
        </w:r>
        <w:r>
          <w:rPr>
            <w:noProof/>
            <w:webHidden/>
          </w:rPr>
          <w:tab/>
        </w:r>
        <w:r>
          <w:rPr>
            <w:noProof/>
            <w:webHidden/>
          </w:rPr>
          <w:fldChar w:fldCharType="begin"/>
        </w:r>
        <w:r>
          <w:rPr>
            <w:noProof/>
            <w:webHidden/>
          </w:rPr>
          <w:instrText xml:space="preserve"> PAGEREF _Toc6923115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17" w:history="1">
        <w:r>
          <w:rPr>
            <w:rStyle w:val="Hyperlink"/>
            <w:noProof/>
          </w:rPr>
          <w:t>2.4.2.</w:t>
        </w:r>
        <w:r>
          <w:rPr>
            <w:rFonts w:asciiTheme="minorHAnsi" w:eastAsiaTheme="minorEastAsia" w:hAnsiTheme="minorHAnsi" w:cstheme="minorBidi"/>
            <w:noProof/>
            <w:sz w:val="22"/>
            <w:szCs w:val="22"/>
            <w:lang w:val="fr-BE" w:eastAsia="fr-BE"/>
          </w:rPr>
          <w:tab/>
        </w:r>
        <w:r>
          <w:rPr>
            <w:rStyle w:val="Hyperlink"/>
            <w:noProof/>
          </w:rPr>
          <w:t>Performance</w:t>
        </w:r>
        <w:r>
          <w:rPr>
            <w:noProof/>
            <w:webHidden/>
          </w:rPr>
          <w:tab/>
        </w:r>
        <w:r>
          <w:rPr>
            <w:noProof/>
            <w:webHidden/>
          </w:rPr>
          <w:fldChar w:fldCharType="begin"/>
        </w:r>
        <w:r>
          <w:rPr>
            <w:noProof/>
            <w:webHidden/>
          </w:rPr>
          <w:instrText xml:space="preserve"> PAGEREF _Toc6923117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19" w:history="1">
        <w:r>
          <w:rPr>
            <w:rStyle w:val="Hyperlink"/>
            <w:noProof/>
          </w:rPr>
          <w:t>2.4.3.</w:t>
        </w:r>
        <w:r>
          <w:rPr>
            <w:rFonts w:asciiTheme="minorHAnsi" w:eastAsiaTheme="minorEastAsia" w:hAnsiTheme="minorHAnsi" w:cstheme="minorBidi"/>
            <w:noProof/>
            <w:sz w:val="22"/>
            <w:szCs w:val="22"/>
            <w:lang w:val="fr-BE" w:eastAsia="fr-BE"/>
          </w:rPr>
          <w:tab/>
        </w:r>
        <w:r>
          <w:rPr>
            <w:rStyle w:val="Hyperlink"/>
            <w:noProof/>
          </w:rPr>
          <w:t>Interest rate risk</w:t>
        </w:r>
        <w:r>
          <w:rPr>
            <w:noProof/>
            <w:webHidden/>
          </w:rPr>
          <w:tab/>
        </w:r>
        <w:r>
          <w:rPr>
            <w:noProof/>
            <w:webHidden/>
          </w:rPr>
          <w:fldChar w:fldCharType="begin"/>
        </w:r>
        <w:r>
          <w:rPr>
            <w:noProof/>
            <w:webHidden/>
          </w:rPr>
          <w:instrText xml:space="preserve"> PAGEREF _Toc6923119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noProof/>
          <w:sz w:val="22"/>
          <w:lang w:val="fr-BE" w:eastAsia="fr-BE"/>
        </w:rPr>
      </w:pPr>
      <w:hyperlink w:anchor="_Toc6923120" w:history="1">
        <w:r>
          <w:rPr>
            <w:rStyle w:val="Hyperlink"/>
            <w:noProof/>
          </w:rPr>
          <w:t>3.</w:t>
        </w:r>
        <w:r>
          <w:rPr>
            <w:rFonts w:asciiTheme="minorHAnsi" w:eastAsiaTheme="minorEastAsia" w:hAnsiTheme="minorHAnsi" w:cstheme="minorBidi"/>
            <w:noProof/>
            <w:sz w:val="22"/>
            <w:lang w:val="fr-BE" w:eastAsia="fr-BE"/>
          </w:rPr>
          <w:tab/>
        </w:r>
        <w:r>
          <w:rPr>
            <w:rStyle w:val="Hyperlink"/>
            <w:noProof/>
          </w:rPr>
          <w:t>Guarantee Fund Financial Statements as at 31 December 2018</w:t>
        </w:r>
        <w:r>
          <w:rPr>
            <w:noProof/>
            <w:webHidden/>
          </w:rPr>
          <w:tab/>
        </w:r>
        <w:r>
          <w:rPr>
            <w:noProof/>
            <w:webHidden/>
          </w:rPr>
          <w:fldChar w:fldCharType="begin"/>
        </w:r>
        <w:r>
          <w:rPr>
            <w:noProof/>
            <w:webHidden/>
          </w:rPr>
          <w:instrText xml:space="preserve"> PAGEREF _Toc6923120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6923121" w:history="1">
        <w:r>
          <w:rPr>
            <w:rStyle w:val="Hyperlink"/>
            <w:noProof/>
          </w:rPr>
          <w:t>3.1.</w:t>
        </w:r>
        <w:r>
          <w:rPr>
            <w:rFonts w:asciiTheme="minorHAnsi" w:eastAsiaTheme="minorEastAsia" w:hAnsiTheme="minorHAnsi" w:cstheme="minorBidi"/>
            <w:noProof/>
            <w:sz w:val="22"/>
            <w:szCs w:val="22"/>
            <w:lang w:val="fr-BE" w:eastAsia="fr-BE"/>
          </w:rPr>
          <w:tab/>
        </w:r>
        <w:r>
          <w:rPr>
            <w:rStyle w:val="Hyperlink"/>
            <w:noProof/>
          </w:rPr>
          <w:t>General disclosures</w:t>
        </w:r>
        <w:r>
          <w:rPr>
            <w:noProof/>
            <w:webHidden/>
          </w:rPr>
          <w:tab/>
        </w:r>
        <w:r>
          <w:rPr>
            <w:noProof/>
            <w:webHidden/>
          </w:rPr>
          <w:fldChar w:fldCharType="begin"/>
        </w:r>
        <w:r>
          <w:rPr>
            <w:noProof/>
            <w:webHidden/>
          </w:rPr>
          <w:instrText xml:space="preserve"> PAGEREF _Toc6923121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6923122" w:history="1">
        <w:r>
          <w:rPr>
            <w:rStyle w:val="Hyperlink"/>
            <w:noProof/>
          </w:rPr>
          <w:t>3.2.</w:t>
        </w:r>
        <w:r>
          <w:rPr>
            <w:rFonts w:asciiTheme="minorHAnsi" w:eastAsiaTheme="minorEastAsia" w:hAnsiTheme="minorHAnsi" w:cstheme="minorBidi"/>
            <w:noProof/>
            <w:sz w:val="22"/>
            <w:szCs w:val="22"/>
            <w:lang w:val="fr-BE" w:eastAsia="fr-BE"/>
          </w:rPr>
          <w:tab/>
        </w:r>
        <w:r>
          <w:rPr>
            <w:rStyle w:val="Hyperlink"/>
            <w:noProof/>
          </w:rPr>
          <w:t>Significant accounting policies</w:t>
        </w:r>
        <w:r>
          <w:rPr>
            <w:noProof/>
            <w:webHidden/>
          </w:rPr>
          <w:tab/>
        </w:r>
        <w:r>
          <w:rPr>
            <w:noProof/>
            <w:webHidden/>
          </w:rPr>
          <w:fldChar w:fldCharType="begin"/>
        </w:r>
        <w:r>
          <w:rPr>
            <w:noProof/>
            <w:webHidden/>
          </w:rPr>
          <w:instrText xml:space="preserve"> PAGEREF _Toc6923122 \h </w:instrText>
        </w:r>
        <w:r>
          <w:rPr>
            <w:noProof/>
            <w:webHidden/>
          </w:rPr>
        </w:r>
        <w:r>
          <w:rPr>
            <w:noProof/>
            <w:webHidden/>
          </w:rPr>
          <w:fldChar w:fldCharType="separate"/>
        </w:r>
        <w:r>
          <w:rPr>
            <w:noProof/>
            <w:webHidden/>
          </w:rPr>
          <w:t>20</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23" w:history="1">
        <w:r>
          <w:rPr>
            <w:rStyle w:val="Hyperlink"/>
            <w:noProof/>
          </w:rPr>
          <w:t>3.2.1.</w:t>
        </w:r>
        <w:r>
          <w:rPr>
            <w:rFonts w:asciiTheme="minorHAnsi" w:eastAsiaTheme="minorEastAsia" w:hAnsiTheme="minorHAnsi" w:cstheme="minorBidi"/>
            <w:noProof/>
            <w:sz w:val="22"/>
            <w:szCs w:val="22"/>
            <w:lang w:val="fr-BE" w:eastAsia="fr-BE"/>
          </w:rPr>
          <w:tab/>
        </w:r>
        <w:r>
          <w:rPr>
            <w:rStyle w:val="Hyperlink"/>
            <w:noProof/>
          </w:rPr>
          <w:t>Basis of preparation</w:t>
        </w:r>
        <w:r>
          <w:rPr>
            <w:noProof/>
            <w:webHidden/>
          </w:rPr>
          <w:tab/>
        </w:r>
        <w:r>
          <w:rPr>
            <w:noProof/>
            <w:webHidden/>
          </w:rPr>
          <w:fldChar w:fldCharType="begin"/>
        </w:r>
        <w:r>
          <w:rPr>
            <w:noProof/>
            <w:webHidden/>
          </w:rPr>
          <w:instrText xml:space="preserve"> PAGEREF _Toc6923123 \h </w:instrText>
        </w:r>
        <w:r>
          <w:rPr>
            <w:noProof/>
            <w:webHidden/>
          </w:rPr>
        </w:r>
        <w:r>
          <w:rPr>
            <w:noProof/>
            <w:webHidden/>
          </w:rPr>
          <w:fldChar w:fldCharType="separate"/>
        </w:r>
        <w:r>
          <w:rPr>
            <w:noProof/>
            <w:webHidden/>
          </w:rPr>
          <w:t>20</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24" w:history="1">
        <w:r>
          <w:rPr>
            <w:rStyle w:val="Hyperlink"/>
            <w:noProof/>
          </w:rPr>
          <w:t>3.2.2.</w:t>
        </w:r>
        <w:r>
          <w:rPr>
            <w:rFonts w:asciiTheme="minorHAnsi" w:eastAsiaTheme="minorEastAsia" w:hAnsiTheme="minorHAnsi" w:cstheme="minorBidi"/>
            <w:noProof/>
            <w:sz w:val="22"/>
            <w:szCs w:val="22"/>
            <w:lang w:val="fr-BE" w:eastAsia="fr-BE"/>
          </w:rPr>
          <w:tab/>
        </w:r>
        <w:r>
          <w:rPr>
            <w:rStyle w:val="Hyperlink"/>
            <w:noProof/>
          </w:rPr>
          <w:t>Changes in accounting policies</w:t>
        </w:r>
        <w:r>
          <w:rPr>
            <w:noProof/>
            <w:webHidden/>
          </w:rPr>
          <w:tab/>
        </w:r>
        <w:r>
          <w:rPr>
            <w:noProof/>
            <w:webHidden/>
          </w:rPr>
          <w:fldChar w:fldCharType="begin"/>
        </w:r>
        <w:r>
          <w:rPr>
            <w:noProof/>
            <w:webHidden/>
          </w:rPr>
          <w:instrText xml:space="preserve"> PAGEREF _Toc6923124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25" w:history="1">
        <w:r>
          <w:rPr>
            <w:rStyle w:val="Hyperlink"/>
            <w:noProof/>
          </w:rPr>
          <w:t>3.2.3.</w:t>
        </w:r>
        <w:r>
          <w:rPr>
            <w:rFonts w:asciiTheme="minorHAnsi" w:eastAsiaTheme="minorEastAsia" w:hAnsiTheme="minorHAnsi" w:cstheme="minorBidi"/>
            <w:noProof/>
            <w:sz w:val="22"/>
            <w:szCs w:val="22"/>
            <w:lang w:val="fr-BE" w:eastAsia="fr-BE"/>
          </w:rPr>
          <w:tab/>
        </w:r>
        <w:r>
          <w:rPr>
            <w:rStyle w:val="Hyperlink"/>
            <w:noProof/>
          </w:rPr>
          <w:t>Significant accounting judgments and estimates</w:t>
        </w:r>
        <w:r>
          <w:rPr>
            <w:noProof/>
            <w:webHidden/>
          </w:rPr>
          <w:tab/>
        </w:r>
        <w:r>
          <w:rPr>
            <w:noProof/>
            <w:webHidden/>
          </w:rPr>
          <w:fldChar w:fldCharType="begin"/>
        </w:r>
        <w:r>
          <w:rPr>
            <w:noProof/>
            <w:webHidden/>
          </w:rPr>
          <w:instrText xml:space="preserve"> PAGEREF _Toc6923125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26" w:history="1">
        <w:r>
          <w:rPr>
            <w:rStyle w:val="Hyperlink"/>
            <w:noProof/>
          </w:rPr>
          <w:t>3.2.4.</w:t>
        </w:r>
        <w:r>
          <w:rPr>
            <w:rFonts w:asciiTheme="minorHAnsi" w:eastAsiaTheme="minorEastAsia" w:hAnsiTheme="minorHAnsi" w:cstheme="minorBidi"/>
            <w:noProof/>
            <w:sz w:val="22"/>
            <w:szCs w:val="22"/>
            <w:lang w:val="fr-BE" w:eastAsia="fr-BE"/>
          </w:rPr>
          <w:tab/>
        </w:r>
        <w:r>
          <w:rPr>
            <w:rStyle w:val="Hyperlink"/>
            <w:noProof/>
          </w:rPr>
          <w:t>Summary of significant accounting policies</w:t>
        </w:r>
        <w:r>
          <w:rPr>
            <w:noProof/>
            <w:webHidden/>
          </w:rPr>
          <w:tab/>
        </w:r>
        <w:r>
          <w:rPr>
            <w:noProof/>
            <w:webHidden/>
          </w:rPr>
          <w:fldChar w:fldCharType="begin"/>
        </w:r>
        <w:r>
          <w:rPr>
            <w:noProof/>
            <w:webHidden/>
          </w:rPr>
          <w:instrText xml:space="preserve"> PAGEREF _Toc6923126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28" w:history="1">
        <w:r>
          <w:rPr>
            <w:rStyle w:val="Hyperlink"/>
            <w:noProof/>
          </w:rPr>
          <w:t>3.2.5.</w:t>
        </w:r>
        <w:r>
          <w:rPr>
            <w:rFonts w:asciiTheme="minorHAnsi" w:eastAsiaTheme="minorEastAsia" w:hAnsiTheme="minorHAnsi" w:cstheme="minorBidi"/>
            <w:noProof/>
            <w:sz w:val="22"/>
            <w:szCs w:val="22"/>
            <w:lang w:val="fr-BE" w:eastAsia="fr-BE"/>
          </w:rPr>
          <w:tab/>
        </w:r>
        <w:r>
          <w:rPr>
            <w:rStyle w:val="Hyperlink"/>
            <w:noProof/>
          </w:rPr>
          <w:t>Taxation</w:t>
        </w:r>
        <w:r>
          <w:rPr>
            <w:noProof/>
            <w:webHidden/>
          </w:rPr>
          <w:tab/>
        </w:r>
        <w:r>
          <w:rPr>
            <w:noProof/>
            <w:webHidden/>
          </w:rPr>
          <w:fldChar w:fldCharType="begin"/>
        </w:r>
        <w:r>
          <w:rPr>
            <w:noProof/>
            <w:webHidden/>
          </w:rPr>
          <w:instrText xml:space="preserve"> PAGEREF _Toc6923128 \h </w:instrText>
        </w:r>
        <w:r>
          <w:rPr>
            <w:noProof/>
            <w:webHidden/>
          </w:rPr>
        </w:r>
        <w:r>
          <w:rPr>
            <w:noProof/>
            <w:webHidden/>
          </w:rPr>
          <w:fldChar w:fldCharType="separate"/>
        </w:r>
        <w:r>
          <w:rPr>
            <w:noProof/>
            <w:webHidden/>
          </w:rPr>
          <w:t>26</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6923129" w:history="1">
        <w:r>
          <w:rPr>
            <w:rStyle w:val="Hyperlink"/>
            <w:noProof/>
          </w:rPr>
          <w:t>3.3.</w:t>
        </w:r>
        <w:r>
          <w:rPr>
            <w:rFonts w:asciiTheme="minorHAnsi" w:eastAsiaTheme="minorEastAsia" w:hAnsiTheme="minorHAnsi" w:cstheme="minorBidi"/>
            <w:noProof/>
            <w:sz w:val="22"/>
            <w:szCs w:val="22"/>
            <w:lang w:val="fr-BE" w:eastAsia="fr-BE"/>
          </w:rPr>
          <w:tab/>
        </w:r>
        <w:r>
          <w:rPr>
            <w:rStyle w:val="Hyperlink"/>
            <w:noProof/>
          </w:rPr>
          <w:t>Financial Risk Management</w:t>
        </w:r>
        <w:r>
          <w:rPr>
            <w:noProof/>
            <w:webHidden/>
          </w:rPr>
          <w:tab/>
        </w:r>
        <w:r>
          <w:rPr>
            <w:noProof/>
            <w:webHidden/>
          </w:rPr>
          <w:fldChar w:fldCharType="begin"/>
        </w:r>
        <w:r>
          <w:rPr>
            <w:noProof/>
            <w:webHidden/>
          </w:rPr>
          <w:instrText xml:space="preserve"> PAGEREF _Toc6923129 \h </w:instrText>
        </w:r>
        <w:r>
          <w:rPr>
            <w:noProof/>
            <w:webHidden/>
          </w:rPr>
        </w:r>
        <w:r>
          <w:rPr>
            <w:noProof/>
            <w:webHidden/>
          </w:rPr>
          <w:fldChar w:fldCharType="separate"/>
        </w:r>
        <w:r>
          <w:rPr>
            <w:noProof/>
            <w:webHidden/>
          </w:rPr>
          <w:t>26</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31" w:history="1">
        <w:r>
          <w:rPr>
            <w:rStyle w:val="Hyperlink"/>
            <w:noProof/>
          </w:rPr>
          <w:t>3.3.1.</w:t>
        </w:r>
        <w:r>
          <w:rPr>
            <w:rFonts w:asciiTheme="minorHAnsi" w:eastAsiaTheme="minorEastAsia" w:hAnsiTheme="minorHAnsi" w:cstheme="minorBidi"/>
            <w:noProof/>
            <w:sz w:val="22"/>
            <w:szCs w:val="22"/>
            <w:lang w:val="fr-BE" w:eastAsia="fr-BE"/>
          </w:rPr>
          <w:tab/>
        </w:r>
        <w:r>
          <w:rPr>
            <w:rStyle w:val="Hyperlink"/>
            <w:noProof/>
          </w:rPr>
          <w:t>Risk management organisation</w:t>
        </w:r>
        <w:r>
          <w:rPr>
            <w:noProof/>
            <w:webHidden/>
          </w:rPr>
          <w:tab/>
        </w:r>
        <w:r>
          <w:rPr>
            <w:noProof/>
            <w:webHidden/>
          </w:rPr>
          <w:fldChar w:fldCharType="begin"/>
        </w:r>
        <w:r>
          <w:rPr>
            <w:noProof/>
            <w:webHidden/>
          </w:rPr>
          <w:instrText xml:space="preserve"> PAGEREF _Toc6923131 \h </w:instrText>
        </w:r>
        <w:r>
          <w:rPr>
            <w:noProof/>
            <w:webHidden/>
          </w:rPr>
        </w:r>
        <w:r>
          <w:rPr>
            <w:noProof/>
            <w:webHidden/>
          </w:rPr>
          <w:fldChar w:fldCharType="separate"/>
        </w:r>
        <w:r>
          <w:rPr>
            <w:noProof/>
            <w:webHidden/>
          </w:rPr>
          <w:t>26</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32" w:history="1">
        <w:r>
          <w:rPr>
            <w:rStyle w:val="Hyperlink"/>
            <w:noProof/>
          </w:rPr>
          <w:t>3.3.2.</w:t>
        </w:r>
        <w:r>
          <w:rPr>
            <w:rFonts w:asciiTheme="minorHAnsi" w:eastAsiaTheme="minorEastAsia" w:hAnsiTheme="minorHAnsi" w:cstheme="minorBidi"/>
            <w:noProof/>
            <w:sz w:val="22"/>
            <w:szCs w:val="22"/>
            <w:lang w:val="fr-BE" w:eastAsia="fr-BE"/>
          </w:rPr>
          <w:tab/>
        </w:r>
        <w:r>
          <w:rPr>
            <w:rStyle w:val="Hyperlink"/>
            <w:noProof/>
          </w:rPr>
          <w:t>Credit Risk</w:t>
        </w:r>
        <w:r>
          <w:rPr>
            <w:noProof/>
            <w:webHidden/>
          </w:rPr>
          <w:tab/>
        </w:r>
        <w:r>
          <w:rPr>
            <w:noProof/>
            <w:webHidden/>
          </w:rPr>
          <w:fldChar w:fldCharType="begin"/>
        </w:r>
        <w:r>
          <w:rPr>
            <w:noProof/>
            <w:webHidden/>
          </w:rPr>
          <w:instrText xml:space="preserve"> PAGEREF _Toc6923132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33" w:history="1">
        <w:r>
          <w:rPr>
            <w:rStyle w:val="Hyperlink"/>
            <w:noProof/>
          </w:rPr>
          <w:t>3.3.3.</w:t>
        </w:r>
        <w:r>
          <w:rPr>
            <w:rFonts w:asciiTheme="minorHAnsi" w:eastAsiaTheme="minorEastAsia" w:hAnsiTheme="minorHAnsi" w:cstheme="minorBidi"/>
            <w:noProof/>
            <w:sz w:val="22"/>
            <w:szCs w:val="22"/>
            <w:lang w:val="fr-BE" w:eastAsia="fr-BE"/>
          </w:rPr>
          <w:tab/>
        </w:r>
        <w:r>
          <w:rPr>
            <w:rStyle w:val="Hyperlink"/>
            <w:noProof/>
          </w:rPr>
          <w:t>Liquidity Risk</w:t>
        </w:r>
        <w:r>
          <w:rPr>
            <w:noProof/>
            <w:webHidden/>
          </w:rPr>
          <w:tab/>
        </w:r>
        <w:r>
          <w:rPr>
            <w:noProof/>
            <w:webHidden/>
          </w:rPr>
          <w:fldChar w:fldCharType="begin"/>
        </w:r>
        <w:r>
          <w:rPr>
            <w:noProof/>
            <w:webHidden/>
          </w:rPr>
          <w:instrText xml:space="preserve"> PAGEREF _Toc6923133 \h </w:instrText>
        </w:r>
        <w:r>
          <w:rPr>
            <w:noProof/>
            <w:webHidden/>
          </w:rPr>
        </w:r>
        <w:r>
          <w:rPr>
            <w:noProof/>
            <w:webHidden/>
          </w:rPr>
          <w:fldChar w:fldCharType="separate"/>
        </w:r>
        <w:r>
          <w:rPr>
            <w:noProof/>
            <w:webHidden/>
          </w:rPr>
          <w:t>31</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35" w:history="1">
        <w:r>
          <w:rPr>
            <w:rStyle w:val="Hyperlink"/>
            <w:noProof/>
          </w:rPr>
          <w:t>3.3.4.</w:t>
        </w:r>
        <w:r>
          <w:rPr>
            <w:rFonts w:asciiTheme="minorHAnsi" w:eastAsiaTheme="minorEastAsia" w:hAnsiTheme="minorHAnsi" w:cstheme="minorBidi"/>
            <w:noProof/>
            <w:sz w:val="22"/>
            <w:szCs w:val="22"/>
            <w:lang w:val="fr-BE" w:eastAsia="fr-BE"/>
          </w:rPr>
          <w:tab/>
        </w:r>
        <w:r>
          <w:rPr>
            <w:rStyle w:val="Hyperlink"/>
            <w:noProof/>
          </w:rPr>
          <w:t>Market Risk</w:t>
        </w:r>
        <w:r>
          <w:rPr>
            <w:noProof/>
            <w:webHidden/>
          </w:rPr>
          <w:tab/>
        </w:r>
        <w:r>
          <w:rPr>
            <w:noProof/>
            <w:webHidden/>
          </w:rPr>
          <w:fldChar w:fldCharType="begin"/>
        </w:r>
        <w:r>
          <w:rPr>
            <w:noProof/>
            <w:webHidden/>
          </w:rPr>
          <w:instrText xml:space="preserve"> PAGEREF _Toc6923135 \h </w:instrText>
        </w:r>
        <w:r>
          <w:rPr>
            <w:noProof/>
            <w:webHidden/>
          </w:rPr>
        </w:r>
        <w:r>
          <w:rPr>
            <w:noProof/>
            <w:webHidden/>
          </w:rPr>
          <w:fldChar w:fldCharType="separate"/>
        </w:r>
        <w:r>
          <w:rPr>
            <w:noProof/>
            <w:webHidden/>
          </w:rPr>
          <w:t>32</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37" w:history="1">
        <w:r>
          <w:rPr>
            <w:rStyle w:val="Hyperlink"/>
            <w:noProof/>
          </w:rPr>
          <w:t>3.3.5.</w:t>
        </w:r>
        <w:r>
          <w:rPr>
            <w:rFonts w:asciiTheme="minorHAnsi" w:eastAsiaTheme="minorEastAsia" w:hAnsiTheme="minorHAnsi" w:cstheme="minorBidi"/>
            <w:noProof/>
            <w:sz w:val="22"/>
            <w:szCs w:val="22"/>
            <w:lang w:val="fr-BE" w:eastAsia="fr-BE"/>
          </w:rPr>
          <w:tab/>
        </w:r>
        <w:r>
          <w:rPr>
            <w:rStyle w:val="Hyperlink"/>
            <w:noProof/>
          </w:rPr>
          <w:t>Foreign exchange risk exposure</w:t>
        </w:r>
        <w:r>
          <w:rPr>
            <w:noProof/>
            <w:webHidden/>
          </w:rPr>
          <w:tab/>
        </w:r>
        <w:r>
          <w:rPr>
            <w:noProof/>
            <w:webHidden/>
          </w:rPr>
          <w:fldChar w:fldCharType="begin"/>
        </w:r>
        <w:r>
          <w:rPr>
            <w:noProof/>
            <w:webHidden/>
          </w:rPr>
          <w:instrText xml:space="preserve"> PAGEREF _Toc6923137 \h </w:instrText>
        </w:r>
        <w:r>
          <w:rPr>
            <w:noProof/>
            <w:webHidden/>
          </w:rPr>
        </w:r>
        <w:r>
          <w:rPr>
            <w:noProof/>
            <w:webHidden/>
          </w:rPr>
          <w:fldChar w:fldCharType="separate"/>
        </w:r>
        <w:r>
          <w:rPr>
            <w:noProof/>
            <w:webHidden/>
          </w:rPr>
          <w:t>33</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6923138" w:history="1">
        <w:r>
          <w:rPr>
            <w:rStyle w:val="Hyperlink"/>
            <w:noProof/>
          </w:rPr>
          <w:t>3.4.</w:t>
        </w:r>
        <w:r>
          <w:rPr>
            <w:rFonts w:asciiTheme="minorHAnsi" w:eastAsiaTheme="minorEastAsia" w:hAnsiTheme="minorHAnsi" w:cstheme="minorBidi"/>
            <w:noProof/>
            <w:sz w:val="22"/>
            <w:szCs w:val="22"/>
            <w:lang w:val="fr-BE" w:eastAsia="fr-BE"/>
          </w:rPr>
          <w:tab/>
        </w:r>
        <w:r>
          <w:rPr>
            <w:rStyle w:val="Hyperlink"/>
            <w:noProof/>
          </w:rPr>
          <w:t>Fair value of financial instruments</w:t>
        </w:r>
        <w:r>
          <w:rPr>
            <w:noProof/>
            <w:webHidden/>
          </w:rPr>
          <w:tab/>
        </w:r>
        <w:r>
          <w:rPr>
            <w:noProof/>
            <w:webHidden/>
          </w:rPr>
          <w:fldChar w:fldCharType="begin"/>
        </w:r>
        <w:r>
          <w:rPr>
            <w:noProof/>
            <w:webHidden/>
          </w:rPr>
          <w:instrText xml:space="preserve"> PAGEREF _Toc6923138 \h </w:instrText>
        </w:r>
        <w:r>
          <w:rPr>
            <w:noProof/>
            <w:webHidden/>
          </w:rPr>
        </w:r>
        <w:r>
          <w:rPr>
            <w:noProof/>
            <w:webHidden/>
          </w:rPr>
          <w:fldChar w:fldCharType="separate"/>
        </w:r>
        <w:r>
          <w:rPr>
            <w:noProof/>
            <w:webHidden/>
          </w:rPr>
          <w:t>34</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39" w:history="1">
        <w:r>
          <w:rPr>
            <w:rStyle w:val="Hyperlink"/>
            <w:noProof/>
          </w:rPr>
          <w:t>3.4.1.</w:t>
        </w:r>
        <w:r>
          <w:rPr>
            <w:rFonts w:asciiTheme="minorHAnsi" w:eastAsiaTheme="minorEastAsia" w:hAnsiTheme="minorHAnsi" w:cstheme="minorBidi"/>
            <w:noProof/>
            <w:sz w:val="22"/>
            <w:szCs w:val="22"/>
            <w:lang w:val="fr-BE" w:eastAsia="fr-BE"/>
          </w:rPr>
          <w:tab/>
        </w:r>
        <w:r>
          <w:rPr>
            <w:rStyle w:val="Hyperlink"/>
            <w:noProof/>
          </w:rPr>
          <w:t>Accounting classifications and fair value</w:t>
        </w:r>
        <w:r>
          <w:rPr>
            <w:noProof/>
            <w:webHidden/>
          </w:rPr>
          <w:tab/>
        </w:r>
        <w:r>
          <w:rPr>
            <w:noProof/>
            <w:webHidden/>
          </w:rPr>
          <w:fldChar w:fldCharType="begin"/>
        </w:r>
        <w:r>
          <w:rPr>
            <w:noProof/>
            <w:webHidden/>
          </w:rPr>
          <w:instrText xml:space="preserve"> PAGEREF _Toc6923139 \h </w:instrText>
        </w:r>
        <w:r>
          <w:rPr>
            <w:noProof/>
            <w:webHidden/>
          </w:rPr>
        </w:r>
        <w:r>
          <w:rPr>
            <w:noProof/>
            <w:webHidden/>
          </w:rPr>
          <w:fldChar w:fldCharType="separate"/>
        </w:r>
        <w:r>
          <w:rPr>
            <w:noProof/>
            <w:webHidden/>
          </w:rPr>
          <w:t>34</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40" w:history="1">
        <w:r>
          <w:rPr>
            <w:rStyle w:val="Hyperlink"/>
            <w:noProof/>
          </w:rPr>
          <w:t>3.4.2.</w:t>
        </w:r>
        <w:r>
          <w:rPr>
            <w:rFonts w:asciiTheme="minorHAnsi" w:eastAsiaTheme="minorEastAsia" w:hAnsiTheme="minorHAnsi" w:cstheme="minorBidi"/>
            <w:noProof/>
            <w:sz w:val="22"/>
            <w:szCs w:val="22"/>
            <w:lang w:val="fr-BE" w:eastAsia="fr-BE"/>
          </w:rPr>
          <w:tab/>
        </w:r>
        <w:r>
          <w:rPr>
            <w:rStyle w:val="Hyperlink"/>
            <w:noProof/>
          </w:rPr>
          <w:t>Measurement of fair values</w:t>
        </w:r>
        <w:r>
          <w:rPr>
            <w:noProof/>
            <w:webHidden/>
          </w:rPr>
          <w:tab/>
        </w:r>
        <w:r>
          <w:rPr>
            <w:noProof/>
            <w:webHidden/>
          </w:rPr>
          <w:fldChar w:fldCharType="begin"/>
        </w:r>
        <w:r>
          <w:rPr>
            <w:noProof/>
            <w:webHidden/>
          </w:rPr>
          <w:instrText xml:space="preserve"> PAGEREF _Toc6923140 \h </w:instrText>
        </w:r>
        <w:r>
          <w:rPr>
            <w:noProof/>
            <w:webHidden/>
          </w:rPr>
        </w:r>
        <w:r>
          <w:rPr>
            <w:noProof/>
            <w:webHidden/>
          </w:rPr>
          <w:fldChar w:fldCharType="separate"/>
        </w:r>
        <w:r>
          <w:rPr>
            <w:noProof/>
            <w:webHidden/>
          </w:rPr>
          <w:t>36</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41" w:history="1">
        <w:r>
          <w:rPr>
            <w:rStyle w:val="Hyperlink"/>
            <w:noProof/>
          </w:rPr>
          <w:t>3.4.3.</w:t>
        </w:r>
        <w:r>
          <w:rPr>
            <w:rFonts w:asciiTheme="minorHAnsi" w:eastAsiaTheme="minorEastAsia" w:hAnsiTheme="minorHAnsi" w:cstheme="minorBidi"/>
            <w:noProof/>
            <w:sz w:val="22"/>
            <w:szCs w:val="22"/>
            <w:lang w:val="fr-BE" w:eastAsia="fr-BE"/>
          </w:rPr>
          <w:tab/>
        </w:r>
        <w:r>
          <w:rPr>
            <w:rStyle w:val="Hyperlink"/>
            <w:noProof/>
          </w:rPr>
          <w:t>Transfers between level 1 and level 2</w:t>
        </w:r>
        <w:r>
          <w:rPr>
            <w:noProof/>
            <w:webHidden/>
          </w:rPr>
          <w:tab/>
        </w:r>
        <w:r>
          <w:rPr>
            <w:noProof/>
            <w:webHidden/>
          </w:rPr>
          <w:fldChar w:fldCharType="begin"/>
        </w:r>
        <w:r>
          <w:rPr>
            <w:noProof/>
            <w:webHidden/>
          </w:rPr>
          <w:instrText xml:space="preserve"> PAGEREF _Toc6923141 \h </w:instrText>
        </w:r>
        <w:r>
          <w:rPr>
            <w:noProof/>
            <w:webHidden/>
          </w:rPr>
        </w:r>
        <w:r>
          <w:rPr>
            <w:noProof/>
            <w:webHidden/>
          </w:rPr>
          <w:fldChar w:fldCharType="separate"/>
        </w:r>
        <w:r>
          <w:rPr>
            <w:noProof/>
            <w:webHidden/>
          </w:rPr>
          <w:t>36</w:t>
        </w:r>
        <w:r>
          <w:rPr>
            <w:noProof/>
            <w:webHidden/>
          </w:rPr>
          <w:fldChar w:fldCharType="end"/>
        </w:r>
      </w:hyperlink>
    </w:p>
    <w:p>
      <w:pPr>
        <w:pStyle w:val="TOC3"/>
        <w:rPr>
          <w:rFonts w:asciiTheme="minorHAnsi" w:eastAsiaTheme="minorEastAsia" w:hAnsiTheme="minorHAnsi" w:cstheme="minorBidi"/>
          <w:noProof/>
          <w:sz w:val="22"/>
          <w:szCs w:val="22"/>
          <w:lang w:val="fr-BE" w:eastAsia="fr-BE"/>
        </w:rPr>
      </w:pPr>
      <w:hyperlink w:anchor="_Toc6923142" w:history="1">
        <w:r>
          <w:rPr>
            <w:rStyle w:val="Hyperlink"/>
            <w:noProof/>
          </w:rPr>
          <w:t>3.4.4.</w:t>
        </w:r>
        <w:r>
          <w:rPr>
            <w:rFonts w:asciiTheme="minorHAnsi" w:eastAsiaTheme="minorEastAsia" w:hAnsiTheme="minorHAnsi" w:cstheme="minorBidi"/>
            <w:noProof/>
            <w:sz w:val="22"/>
            <w:szCs w:val="22"/>
            <w:lang w:val="fr-BE" w:eastAsia="fr-BE"/>
          </w:rPr>
          <w:tab/>
        </w:r>
        <w:r>
          <w:rPr>
            <w:rStyle w:val="Hyperlink"/>
            <w:noProof/>
          </w:rPr>
          <w:t>Level 3 fair value</w:t>
        </w:r>
        <w:r>
          <w:rPr>
            <w:noProof/>
            <w:webHidden/>
          </w:rPr>
          <w:tab/>
        </w:r>
        <w:r>
          <w:rPr>
            <w:noProof/>
            <w:webHidden/>
          </w:rPr>
          <w:fldChar w:fldCharType="begin"/>
        </w:r>
        <w:r>
          <w:rPr>
            <w:noProof/>
            <w:webHidden/>
          </w:rPr>
          <w:instrText xml:space="preserve"> PAGEREF _Toc6923142 \h </w:instrText>
        </w:r>
        <w:r>
          <w:rPr>
            <w:noProof/>
            <w:webHidden/>
          </w:rPr>
        </w:r>
        <w:r>
          <w:rPr>
            <w:noProof/>
            <w:webHidden/>
          </w:rPr>
          <w:fldChar w:fldCharType="separate"/>
        </w:r>
        <w:r>
          <w:rPr>
            <w:noProof/>
            <w:webHidden/>
          </w:rPr>
          <w:t>36</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6923143" w:history="1">
        <w:r>
          <w:rPr>
            <w:rStyle w:val="Hyperlink"/>
            <w:noProof/>
          </w:rPr>
          <w:t>3.5.</w:t>
        </w:r>
        <w:r>
          <w:rPr>
            <w:rFonts w:asciiTheme="minorHAnsi" w:eastAsiaTheme="minorEastAsia" w:hAnsiTheme="minorHAnsi" w:cstheme="minorBidi"/>
            <w:noProof/>
            <w:sz w:val="22"/>
            <w:szCs w:val="22"/>
            <w:lang w:val="fr-BE" w:eastAsia="fr-BE"/>
          </w:rPr>
          <w:tab/>
        </w:r>
        <w:r>
          <w:rPr>
            <w:rStyle w:val="Hyperlink"/>
            <w:noProof/>
          </w:rPr>
          <w:t>Bond portfolio</w:t>
        </w:r>
        <w:r>
          <w:rPr>
            <w:noProof/>
            <w:webHidden/>
          </w:rPr>
          <w:tab/>
        </w:r>
        <w:r>
          <w:rPr>
            <w:noProof/>
            <w:webHidden/>
          </w:rPr>
          <w:fldChar w:fldCharType="begin"/>
        </w:r>
        <w:r>
          <w:rPr>
            <w:noProof/>
            <w:webHidden/>
          </w:rPr>
          <w:instrText xml:space="preserve"> PAGEREF _Toc6923143 \h </w:instrText>
        </w:r>
        <w:r>
          <w:rPr>
            <w:noProof/>
            <w:webHidden/>
          </w:rPr>
        </w:r>
        <w:r>
          <w:rPr>
            <w:noProof/>
            <w:webHidden/>
          </w:rPr>
          <w:fldChar w:fldCharType="separate"/>
        </w:r>
        <w:r>
          <w:rPr>
            <w:noProof/>
            <w:webHidden/>
          </w:rPr>
          <w:t>36</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6923144" w:history="1">
        <w:r>
          <w:rPr>
            <w:rStyle w:val="Hyperlink"/>
            <w:noProof/>
          </w:rPr>
          <w:t>3.6.</w:t>
        </w:r>
        <w:r>
          <w:rPr>
            <w:rFonts w:asciiTheme="minorHAnsi" w:eastAsiaTheme="minorEastAsia" w:hAnsiTheme="minorHAnsi" w:cstheme="minorBidi"/>
            <w:noProof/>
            <w:sz w:val="22"/>
            <w:szCs w:val="22"/>
            <w:lang w:val="fr-BE" w:eastAsia="fr-BE"/>
          </w:rPr>
          <w:tab/>
        </w:r>
        <w:r>
          <w:rPr>
            <w:rStyle w:val="Hyperlink"/>
            <w:noProof/>
          </w:rPr>
          <w:t>Cash and cash equivalents</w:t>
        </w:r>
        <w:r>
          <w:rPr>
            <w:noProof/>
            <w:webHidden/>
          </w:rPr>
          <w:tab/>
        </w:r>
        <w:r>
          <w:rPr>
            <w:noProof/>
            <w:webHidden/>
          </w:rPr>
          <w:fldChar w:fldCharType="begin"/>
        </w:r>
        <w:r>
          <w:rPr>
            <w:noProof/>
            <w:webHidden/>
          </w:rPr>
          <w:instrText xml:space="preserve"> PAGEREF _Toc6923144 \h </w:instrText>
        </w:r>
        <w:r>
          <w:rPr>
            <w:noProof/>
            <w:webHidden/>
          </w:rPr>
        </w:r>
        <w:r>
          <w:rPr>
            <w:noProof/>
            <w:webHidden/>
          </w:rPr>
          <w:fldChar w:fldCharType="separate"/>
        </w:r>
        <w:r>
          <w:rPr>
            <w:noProof/>
            <w:webHidden/>
          </w:rPr>
          <w:t>37</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6923145" w:history="1">
        <w:r>
          <w:rPr>
            <w:rStyle w:val="Hyperlink"/>
            <w:noProof/>
          </w:rPr>
          <w:t>3.7.</w:t>
        </w:r>
        <w:r>
          <w:rPr>
            <w:rFonts w:asciiTheme="minorHAnsi" w:eastAsiaTheme="minorEastAsia" w:hAnsiTheme="minorHAnsi" w:cstheme="minorBidi"/>
            <w:noProof/>
            <w:sz w:val="22"/>
            <w:szCs w:val="22"/>
            <w:lang w:val="fr-BE" w:eastAsia="fr-BE"/>
          </w:rPr>
          <w:tab/>
        </w:r>
        <w:r>
          <w:rPr>
            <w:rStyle w:val="Hyperlink"/>
            <w:noProof/>
          </w:rPr>
          <w:t>Recovery fees</w:t>
        </w:r>
        <w:r>
          <w:rPr>
            <w:noProof/>
            <w:webHidden/>
          </w:rPr>
          <w:tab/>
        </w:r>
        <w:r>
          <w:rPr>
            <w:noProof/>
            <w:webHidden/>
          </w:rPr>
          <w:fldChar w:fldCharType="begin"/>
        </w:r>
        <w:r>
          <w:rPr>
            <w:noProof/>
            <w:webHidden/>
          </w:rPr>
          <w:instrText xml:space="preserve"> PAGEREF _Toc6923145 \h </w:instrText>
        </w:r>
        <w:r>
          <w:rPr>
            <w:noProof/>
            <w:webHidden/>
          </w:rPr>
        </w:r>
        <w:r>
          <w:rPr>
            <w:noProof/>
            <w:webHidden/>
          </w:rPr>
          <w:fldChar w:fldCharType="separate"/>
        </w:r>
        <w:r>
          <w:rPr>
            <w:noProof/>
            <w:webHidden/>
          </w:rPr>
          <w:t>37</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6923146" w:history="1">
        <w:r>
          <w:rPr>
            <w:rStyle w:val="Hyperlink"/>
            <w:noProof/>
          </w:rPr>
          <w:t>3.8.</w:t>
        </w:r>
        <w:r>
          <w:rPr>
            <w:rFonts w:asciiTheme="minorHAnsi" w:eastAsiaTheme="minorEastAsia" w:hAnsiTheme="minorHAnsi" w:cstheme="minorBidi"/>
            <w:noProof/>
            <w:sz w:val="22"/>
            <w:szCs w:val="22"/>
            <w:lang w:val="fr-BE" w:eastAsia="fr-BE"/>
          </w:rPr>
          <w:tab/>
        </w:r>
        <w:r>
          <w:rPr>
            <w:rStyle w:val="Hyperlink"/>
            <w:noProof/>
          </w:rPr>
          <w:t>Contributions</w:t>
        </w:r>
        <w:r>
          <w:rPr>
            <w:noProof/>
            <w:webHidden/>
          </w:rPr>
          <w:tab/>
        </w:r>
        <w:r>
          <w:rPr>
            <w:noProof/>
            <w:webHidden/>
          </w:rPr>
          <w:fldChar w:fldCharType="begin"/>
        </w:r>
        <w:r>
          <w:rPr>
            <w:noProof/>
            <w:webHidden/>
          </w:rPr>
          <w:instrText xml:space="preserve"> PAGEREF _Toc6923146 \h </w:instrText>
        </w:r>
        <w:r>
          <w:rPr>
            <w:noProof/>
            <w:webHidden/>
          </w:rPr>
        </w:r>
        <w:r>
          <w:rPr>
            <w:noProof/>
            <w:webHidden/>
          </w:rPr>
          <w:fldChar w:fldCharType="separate"/>
        </w:r>
        <w:r>
          <w:rPr>
            <w:noProof/>
            <w:webHidden/>
          </w:rPr>
          <w:t>37</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6923148" w:history="1">
        <w:r>
          <w:rPr>
            <w:rStyle w:val="Hyperlink"/>
            <w:noProof/>
          </w:rPr>
          <w:t>3.9.</w:t>
        </w:r>
        <w:r>
          <w:rPr>
            <w:rFonts w:asciiTheme="minorHAnsi" w:eastAsiaTheme="minorEastAsia" w:hAnsiTheme="minorHAnsi" w:cstheme="minorBidi"/>
            <w:noProof/>
            <w:sz w:val="22"/>
            <w:szCs w:val="22"/>
            <w:lang w:val="fr-BE" w:eastAsia="fr-BE"/>
          </w:rPr>
          <w:tab/>
        </w:r>
        <w:r>
          <w:rPr>
            <w:rStyle w:val="Hyperlink"/>
            <w:noProof/>
          </w:rPr>
          <w:t>Other payables (in EUR)</w:t>
        </w:r>
        <w:r>
          <w:rPr>
            <w:noProof/>
            <w:webHidden/>
          </w:rPr>
          <w:tab/>
        </w:r>
        <w:r>
          <w:rPr>
            <w:noProof/>
            <w:webHidden/>
          </w:rPr>
          <w:fldChar w:fldCharType="begin"/>
        </w:r>
        <w:r>
          <w:rPr>
            <w:noProof/>
            <w:webHidden/>
          </w:rPr>
          <w:instrText xml:space="preserve"> PAGEREF _Toc6923148 \h </w:instrText>
        </w:r>
        <w:r>
          <w:rPr>
            <w:noProof/>
            <w:webHidden/>
          </w:rPr>
        </w:r>
        <w:r>
          <w:rPr>
            <w:noProof/>
            <w:webHidden/>
          </w:rPr>
          <w:fldChar w:fldCharType="separate"/>
        </w:r>
        <w:r>
          <w:rPr>
            <w:noProof/>
            <w:webHidden/>
          </w:rPr>
          <w:t>38</w:t>
        </w:r>
        <w:r>
          <w:rPr>
            <w:noProof/>
            <w:webHidden/>
          </w:rPr>
          <w:fldChar w:fldCharType="end"/>
        </w:r>
      </w:hyperlink>
    </w:p>
    <w:p>
      <w:pPr>
        <w:pStyle w:val="TOC2"/>
        <w:rPr>
          <w:rFonts w:asciiTheme="minorHAnsi" w:eastAsiaTheme="minorEastAsia" w:hAnsiTheme="minorHAnsi" w:cstheme="minorBidi"/>
          <w:noProof/>
          <w:sz w:val="22"/>
          <w:szCs w:val="22"/>
          <w:lang w:val="fr-BE" w:eastAsia="fr-BE"/>
        </w:rPr>
      </w:pPr>
      <w:hyperlink w:anchor="_Toc6923150" w:history="1">
        <w:r>
          <w:rPr>
            <w:rStyle w:val="Hyperlink"/>
            <w:noProof/>
          </w:rPr>
          <w:t>3.10.</w:t>
        </w:r>
        <w:r>
          <w:rPr>
            <w:rFonts w:asciiTheme="minorHAnsi" w:eastAsiaTheme="minorEastAsia" w:hAnsiTheme="minorHAnsi" w:cstheme="minorBidi"/>
            <w:noProof/>
            <w:sz w:val="22"/>
            <w:szCs w:val="22"/>
            <w:lang w:val="fr-BE" w:eastAsia="fr-BE"/>
          </w:rPr>
          <w:tab/>
        </w:r>
        <w:r>
          <w:rPr>
            <w:rStyle w:val="Hyperlink"/>
            <w:noProof/>
          </w:rPr>
          <w:t>Subsequent events</w:t>
        </w:r>
        <w:r>
          <w:rPr>
            <w:noProof/>
            <w:webHidden/>
          </w:rPr>
          <w:tab/>
        </w:r>
        <w:r>
          <w:rPr>
            <w:noProof/>
            <w:webHidden/>
          </w:rPr>
          <w:fldChar w:fldCharType="begin"/>
        </w:r>
        <w:r>
          <w:rPr>
            <w:noProof/>
            <w:webHidden/>
          </w:rPr>
          <w:instrText xml:space="preserve"> PAGEREF _Toc6923150 \h </w:instrText>
        </w:r>
        <w:r>
          <w:rPr>
            <w:noProof/>
            <w:webHidden/>
          </w:rPr>
        </w:r>
        <w:r>
          <w:rPr>
            <w:noProof/>
            <w:webHidden/>
          </w:rPr>
          <w:fldChar w:fldCharType="separate"/>
        </w:r>
        <w:r>
          <w:rPr>
            <w:noProof/>
            <w:webHidden/>
          </w:rPr>
          <w:t>38</w:t>
        </w:r>
        <w:r>
          <w:rPr>
            <w:noProof/>
            <w:webHidden/>
          </w:rPr>
          <w:fldChar w:fldCharType="end"/>
        </w:r>
      </w:hyperlink>
    </w:p>
    <w:p>
      <w:pPr>
        <w:rPr>
          <w:noProof/>
        </w:rPr>
      </w:pPr>
      <w:r>
        <w:rPr>
          <w:b/>
          <w:bCs/>
          <w:noProof/>
        </w:rPr>
        <w:fldChar w:fldCharType="end"/>
      </w:r>
    </w:p>
    <w:p>
      <w:pPr>
        <w:spacing w:before="120" w:after="120"/>
        <w:jc w:val="both"/>
        <w:rPr>
          <w:noProof/>
        </w:rPr>
      </w:pPr>
    </w:p>
    <w:p>
      <w:pPr>
        <w:keepNext/>
        <w:numPr>
          <w:ilvl w:val="1"/>
          <w:numId w:val="36"/>
        </w:numPr>
        <w:spacing w:before="120" w:after="120"/>
        <w:jc w:val="both"/>
        <w:outlineLvl w:val="1"/>
        <w:rPr>
          <w:b/>
          <w:bCs/>
          <w:noProof/>
        </w:rPr>
        <w:sectPr>
          <w:headerReference w:type="even" r:id="rId16"/>
          <w:headerReference w:type="default" r:id="rId17"/>
          <w:footerReference w:type="even" r:id="rId18"/>
          <w:footerReference w:type="default" r:id="rId19"/>
          <w:headerReference w:type="first" r:id="rId20"/>
          <w:footerReference w:type="first" r:id="rId21"/>
          <w:pgSz w:w="11907" w:h="16834"/>
          <w:pgMar w:top="1417" w:right="1417" w:bottom="1417" w:left="1417" w:header="1531" w:footer="678" w:gutter="0"/>
          <w:pgNumType w:start="1"/>
          <w:cols w:space="720"/>
          <w:docGrid w:linePitch="326"/>
        </w:sectPr>
      </w:pPr>
      <w:bookmarkStart w:id="2" w:name="_Toc322447889"/>
    </w:p>
    <w:p>
      <w:pPr>
        <w:pStyle w:val="ManualHeading1"/>
        <w:rPr>
          <w:noProof/>
        </w:rPr>
      </w:pPr>
      <w:bookmarkStart w:id="3" w:name="_Toc358640308"/>
      <w:bookmarkStart w:id="4" w:name="_Toc358640576"/>
      <w:bookmarkStart w:id="5" w:name="_Toc358640627"/>
      <w:bookmarkStart w:id="6" w:name="_Toc358640725"/>
      <w:bookmarkStart w:id="7" w:name="_Toc385254771"/>
      <w:bookmarkStart w:id="8" w:name="_Toc415736037"/>
      <w:bookmarkStart w:id="9" w:name="_Toc415748654"/>
      <w:bookmarkStart w:id="10" w:name="_Toc417031771"/>
      <w:bookmarkStart w:id="11" w:name="_Toc449626267"/>
      <w:bookmarkStart w:id="12" w:name="_Toc6923102"/>
      <w:r>
        <w:t>1.</w:t>
      </w:r>
      <w:r>
        <w:tab/>
      </w:r>
      <w:r>
        <w:rPr>
          <w:noProof/>
        </w:rPr>
        <w:t>Introduction</w:t>
      </w:r>
      <w:bookmarkEnd w:id="3"/>
      <w:bookmarkEnd w:id="4"/>
      <w:bookmarkEnd w:id="5"/>
      <w:bookmarkEnd w:id="6"/>
      <w:bookmarkEnd w:id="7"/>
      <w:bookmarkEnd w:id="8"/>
      <w:bookmarkEnd w:id="9"/>
      <w:bookmarkEnd w:id="10"/>
      <w:bookmarkEnd w:id="11"/>
      <w:bookmarkEnd w:id="12"/>
    </w:p>
    <w:p>
      <w:pPr>
        <w:pStyle w:val="Text1"/>
        <w:rPr>
          <w:noProof/>
        </w:rPr>
      </w:pPr>
      <w:r>
        <w:rPr>
          <w:noProof/>
        </w:rPr>
        <w:t>According to the Article 7 of the Guarantee Fund Regulation, the assets of the Guarantee Fund (the "Fund") are managed by the EIB (the "Bank"). The Management agreement signed between the European Commission (the "Commission") and the Bank defines the principles governing the management of assets.</w:t>
      </w:r>
    </w:p>
    <w:p>
      <w:pPr>
        <w:pStyle w:val="Text1"/>
        <w:rPr>
          <w:noProof/>
        </w:rPr>
      </w:pPr>
      <w:r>
        <w:rPr>
          <w:noProof/>
        </w:rPr>
        <w:t>Under Article 8(2) of the Agreement, at the beginning of March of each year the Bank has to send the Commission an annual status report on the Fund and the management thereof and the financial statements of the Fund for the preceding year.</w:t>
      </w:r>
    </w:p>
    <w:p>
      <w:pPr>
        <w:pStyle w:val="Text1"/>
        <w:rPr>
          <w:noProof/>
        </w:rPr>
      </w:pPr>
      <w:r>
        <w:rPr>
          <w:noProof/>
        </w:rPr>
        <w:t>The management report on the Fund is presented in the section 2 of this Commission Staff Working Document (SWD). The financial statements audited by an external auditor are included in section 3.</w:t>
      </w:r>
    </w:p>
    <w:p>
      <w:pPr>
        <w:pStyle w:val="ManualHeading1"/>
        <w:rPr>
          <w:noProof/>
        </w:rPr>
      </w:pPr>
      <w:bookmarkStart w:id="13" w:name="_Toc385254772"/>
      <w:bookmarkStart w:id="14" w:name="_Toc415736038"/>
      <w:bookmarkStart w:id="15" w:name="_Toc415748655"/>
      <w:bookmarkStart w:id="16" w:name="_Toc417031772"/>
      <w:bookmarkStart w:id="17" w:name="_Toc449626268"/>
      <w:bookmarkStart w:id="18" w:name="_Toc6923103"/>
      <w:r>
        <w:t>2.</w:t>
      </w:r>
      <w:r>
        <w:tab/>
      </w:r>
      <w:r>
        <w:rPr>
          <w:noProof/>
        </w:rPr>
        <w:t>Fund Management report</w:t>
      </w:r>
      <w:bookmarkEnd w:id="13"/>
      <w:bookmarkEnd w:id="14"/>
      <w:bookmarkEnd w:id="15"/>
      <w:bookmarkEnd w:id="16"/>
      <w:bookmarkEnd w:id="17"/>
      <w:bookmarkEnd w:id="18"/>
    </w:p>
    <w:p>
      <w:pPr>
        <w:pStyle w:val="ManualHeading2"/>
        <w:rPr>
          <w:noProof/>
        </w:rPr>
      </w:pPr>
      <w:bookmarkStart w:id="19" w:name="_Toc449626269"/>
      <w:bookmarkStart w:id="20" w:name="_Toc6923104"/>
      <w:r>
        <w:t>2.1.</w:t>
      </w:r>
      <w:r>
        <w:tab/>
      </w:r>
      <w:r>
        <w:rPr>
          <w:noProof/>
        </w:rPr>
        <w:t xml:space="preserve">Development of the Fund in </w:t>
      </w:r>
      <w:bookmarkEnd w:id="2"/>
      <w:bookmarkEnd w:id="19"/>
      <w:r>
        <w:rPr>
          <w:noProof/>
        </w:rPr>
        <w:t>2018</w:t>
      </w:r>
      <w:bookmarkEnd w:id="20"/>
    </w:p>
    <w:p>
      <w:pPr>
        <w:pStyle w:val="Text1"/>
        <w:rPr>
          <w:noProof/>
        </w:rPr>
      </w:pPr>
      <w:r>
        <w:rPr>
          <w:noProof/>
        </w:rPr>
        <w:t>As at 31 December 2018 total assets (excluding accrued interest) of the Guarantee Fund (the “Fund”) amounted to EUR 2,596.7 million</w:t>
      </w:r>
      <w:r>
        <w:rPr>
          <w:rStyle w:val="FootnoteReference"/>
          <w:noProof/>
          <w:sz w:val="22"/>
          <w:szCs w:val="22"/>
        </w:rPr>
        <w:footnoteReference w:id="1"/>
      </w:r>
      <w:r>
        <w:rPr>
          <w:noProof/>
        </w:rPr>
        <w:t xml:space="preserve"> against EUR 2,546.6 million as at 31 December 2017, an increase of EUR 50.1 million.</w:t>
      </w:r>
    </w:p>
    <w:p>
      <w:pPr>
        <w:spacing w:before="120" w:after="120"/>
        <w:jc w:val="both"/>
        <w:rPr>
          <w:noProof/>
        </w:rPr>
      </w:pPr>
      <w:r>
        <w:rPr>
          <w:noProof/>
        </w:rPr>
        <w:drawing>
          <wp:inline distT="0" distB="0" distL="0" distR="0">
            <wp:extent cx="5715000" cy="2519916"/>
            <wp:effectExtent l="0" t="0" r="0" b="0"/>
            <wp:docPr id="1" name="Chart 1" descr="Title: (million euro)"/>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jc w:val="center"/>
        <w:rPr>
          <w:noProof/>
          <w:sz w:val="18"/>
          <w:szCs w:val="18"/>
          <w:u w:val="single"/>
        </w:rPr>
      </w:pPr>
      <w:r>
        <w:rPr>
          <w:noProof/>
          <w:sz w:val="18"/>
          <w:szCs w:val="18"/>
          <w:u w:val="single"/>
        </w:rPr>
        <w:t>Fig.1: Development of total assets in 2018 and 2017</w:t>
      </w:r>
    </w:p>
    <w:p>
      <w:pPr>
        <w:contextualSpacing/>
        <w:jc w:val="both"/>
        <w:rPr>
          <w:noProof/>
        </w:rPr>
      </w:pPr>
    </w:p>
    <w:p>
      <w:pPr>
        <w:pStyle w:val="Text1"/>
        <w:rPr>
          <w:noProof/>
          <w:lang w:eastAsia="en-US"/>
        </w:rPr>
      </w:pPr>
      <w:r>
        <w:rPr>
          <w:noProof/>
          <w:lang w:eastAsia="en-US"/>
        </w:rPr>
        <w:t xml:space="preserve">The net operating result amounted to EUR 12.04 million at 31 December 2018 compared with EUR 15.97 million </w:t>
      </w:r>
      <w:r>
        <w:rPr>
          <w:noProof/>
        </w:rPr>
        <w:t>at</w:t>
      </w:r>
      <w:r>
        <w:rPr>
          <w:noProof/>
          <w:lang w:eastAsia="en-US"/>
        </w:rPr>
        <w:t xml:space="preserve"> 31 December 2017 representing a decrease of 24.6%.</w:t>
      </w:r>
    </w:p>
    <w:p>
      <w:pPr>
        <w:pStyle w:val="ManualHeading2"/>
        <w:rPr>
          <w:noProof/>
        </w:rPr>
      </w:pPr>
      <w:bookmarkStart w:id="21" w:name="_Toc6923105"/>
      <w:bookmarkStart w:id="22" w:name="_Toc322447890"/>
      <w:bookmarkStart w:id="23" w:name="_Toc449626270"/>
      <w:bookmarkStart w:id="24" w:name="_Toc6923106"/>
      <w:bookmarkEnd w:id="21"/>
      <w:r>
        <w:t>2.2.</w:t>
      </w:r>
      <w:r>
        <w:tab/>
      </w:r>
      <w:r>
        <w:rPr>
          <w:noProof/>
        </w:rPr>
        <w:t>Situation of the Fund</w:t>
      </w:r>
      <w:bookmarkEnd w:id="22"/>
      <w:bookmarkEnd w:id="23"/>
      <w:bookmarkEnd w:id="24"/>
    </w:p>
    <w:p>
      <w:pPr>
        <w:pStyle w:val="ManualHeading3"/>
        <w:rPr>
          <w:noProof/>
        </w:rPr>
      </w:pPr>
      <w:bookmarkStart w:id="25" w:name="_Toc322447891"/>
      <w:bookmarkStart w:id="26" w:name="_Toc449626271"/>
      <w:bookmarkStart w:id="27" w:name="_Toc6923107"/>
      <w:r>
        <w:t>2.2.1.</w:t>
      </w:r>
      <w:r>
        <w:tab/>
      </w:r>
      <w:r>
        <w:rPr>
          <w:noProof/>
        </w:rPr>
        <w:t xml:space="preserve">Contributions as at 31 December </w:t>
      </w:r>
      <w:bookmarkEnd w:id="25"/>
      <w:bookmarkEnd w:id="26"/>
      <w:r>
        <w:rPr>
          <w:noProof/>
        </w:rPr>
        <w:t>2018</w:t>
      </w:r>
      <w:bookmarkEnd w:id="27"/>
    </w:p>
    <w:p>
      <w:pPr>
        <w:pStyle w:val="ManualHeading4"/>
        <w:rPr>
          <w:noProof/>
        </w:rPr>
      </w:pPr>
      <w:r>
        <w:t>2.2.1.1.</w:t>
      </w:r>
      <w:r>
        <w:tab/>
      </w:r>
      <w:r>
        <w:rPr>
          <w:noProof/>
        </w:rPr>
        <w:t>Contributions paid in as at 31 December 2018</w:t>
      </w:r>
    </w:p>
    <w:p>
      <w:pPr>
        <w:pStyle w:val="Text1"/>
        <w:rPr>
          <w:noProof/>
          <w:lang w:val="en-US" w:eastAsia="en-US"/>
        </w:rPr>
      </w:pPr>
      <w:r>
        <w:rPr>
          <w:noProof/>
          <w:lang w:val="en-US" w:eastAsia="en-US"/>
        </w:rPr>
        <w:t xml:space="preserve">The net </w:t>
      </w:r>
      <w:r>
        <w:rPr>
          <w:noProof/>
        </w:rPr>
        <w:t>contributions</w:t>
      </w:r>
      <w:r>
        <w:rPr>
          <w:noProof/>
          <w:lang w:val="en-US" w:eastAsia="en-US"/>
        </w:rPr>
        <w:t xml:space="preserve"> paid into the Fund by the European Union budget increased by EUR 82.2 million </w:t>
      </w:r>
      <w:r>
        <w:rPr>
          <w:noProof/>
        </w:rPr>
        <w:t>or</w:t>
      </w:r>
      <w:r>
        <w:rPr>
          <w:noProof/>
          <w:lang w:val="en-US" w:eastAsia="en-US"/>
        </w:rPr>
        <w:t xml:space="preserve"> 5.8% from EUR 1,413.0 million at 31 December 2017 to EUR 1,495.2 million at 31 December 2018. </w:t>
      </w:r>
    </w:p>
    <w:p>
      <w:pPr>
        <w:pStyle w:val="Text1"/>
        <w:rPr>
          <w:noProof/>
        </w:rPr>
      </w:pPr>
      <w:r>
        <w:rPr>
          <w:noProof/>
        </w:rPr>
        <w:t>This is explained by the movements shown in the following table:</w:t>
      </w:r>
    </w:p>
    <w:tbl>
      <w:tblPr>
        <w:tblW w:w="10175" w:type="dxa"/>
        <w:tblInd w:w="-318" w:type="dxa"/>
        <w:tblLayout w:type="fixed"/>
        <w:tblLook w:val="04A0" w:firstRow="1" w:lastRow="0" w:firstColumn="1" w:lastColumn="0" w:noHBand="0" w:noVBand="1"/>
      </w:tblPr>
      <w:tblGrid>
        <w:gridCol w:w="3276"/>
        <w:gridCol w:w="2253"/>
        <w:gridCol w:w="2268"/>
        <w:gridCol w:w="2378"/>
      </w:tblGrid>
      <w:tr>
        <w:trPr>
          <w:trHeight w:val="705"/>
        </w:trPr>
        <w:tc>
          <w:tcPr>
            <w:tcW w:w="3276" w:type="dxa"/>
            <w:tcBorders>
              <w:top w:val="single" w:sz="4" w:space="0" w:color="auto"/>
              <w:left w:val="single" w:sz="4" w:space="0" w:color="auto"/>
              <w:bottom w:val="nil"/>
              <w:right w:val="nil"/>
            </w:tcBorders>
            <w:shd w:val="clear" w:color="auto" w:fill="auto"/>
            <w:vAlign w:val="center"/>
            <w:hideMark/>
          </w:tcPr>
          <w:p>
            <w:pPr>
              <w:rPr>
                <w:b/>
                <w:bCs/>
                <w:noProof/>
                <w:color w:val="000000"/>
                <w:sz w:val="22"/>
                <w:szCs w:val="22"/>
              </w:rPr>
            </w:pPr>
            <w:r>
              <w:rPr>
                <w:b/>
                <w:bCs/>
                <w:noProof/>
                <w:color w:val="000000"/>
                <w:sz w:val="22"/>
                <w:szCs w:val="22"/>
              </w:rPr>
              <w:t>Contributions paid in (in EUR)</w:t>
            </w:r>
          </w:p>
        </w:tc>
        <w:tc>
          <w:tcPr>
            <w:tcW w:w="2253" w:type="dxa"/>
            <w:tcBorders>
              <w:top w:val="single" w:sz="4" w:space="0" w:color="auto"/>
              <w:left w:val="nil"/>
              <w:bottom w:val="nil"/>
              <w:right w:val="nil"/>
            </w:tcBorders>
            <w:shd w:val="clear" w:color="auto" w:fill="auto"/>
            <w:vAlign w:val="center"/>
            <w:hideMark/>
          </w:tcPr>
          <w:p>
            <w:pPr>
              <w:jc w:val="right"/>
              <w:rPr>
                <w:b/>
                <w:bCs/>
                <w:noProof/>
                <w:color w:val="000000"/>
                <w:sz w:val="22"/>
                <w:szCs w:val="22"/>
              </w:rPr>
            </w:pPr>
            <w:r>
              <w:rPr>
                <w:b/>
                <w:bCs/>
                <w:noProof/>
                <w:color w:val="000000"/>
                <w:sz w:val="22"/>
                <w:szCs w:val="22"/>
              </w:rPr>
              <w:t>Situation at 31/12/2017</w:t>
            </w:r>
          </w:p>
        </w:tc>
        <w:tc>
          <w:tcPr>
            <w:tcW w:w="2268" w:type="dxa"/>
            <w:tcBorders>
              <w:top w:val="single" w:sz="4" w:space="0" w:color="auto"/>
              <w:left w:val="nil"/>
              <w:bottom w:val="nil"/>
              <w:right w:val="nil"/>
            </w:tcBorders>
            <w:shd w:val="clear" w:color="auto" w:fill="auto"/>
            <w:vAlign w:val="center"/>
            <w:hideMark/>
          </w:tcPr>
          <w:p>
            <w:pPr>
              <w:jc w:val="right"/>
              <w:rPr>
                <w:b/>
                <w:bCs/>
                <w:noProof/>
                <w:color w:val="000000"/>
                <w:sz w:val="22"/>
                <w:szCs w:val="22"/>
              </w:rPr>
            </w:pPr>
            <w:r>
              <w:rPr>
                <w:b/>
                <w:bCs/>
                <w:noProof/>
                <w:color w:val="000000"/>
                <w:sz w:val="22"/>
                <w:szCs w:val="22"/>
              </w:rPr>
              <w:t>Movements in 2018</w:t>
            </w:r>
          </w:p>
        </w:tc>
        <w:tc>
          <w:tcPr>
            <w:tcW w:w="2378" w:type="dxa"/>
            <w:tcBorders>
              <w:top w:val="single" w:sz="4" w:space="0" w:color="auto"/>
              <w:left w:val="nil"/>
              <w:bottom w:val="nil"/>
              <w:right w:val="single" w:sz="4" w:space="0" w:color="auto"/>
            </w:tcBorders>
            <w:shd w:val="clear" w:color="auto" w:fill="auto"/>
            <w:vAlign w:val="center"/>
            <w:hideMark/>
          </w:tcPr>
          <w:p>
            <w:pPr>
              <w:jc w:val="right"/>
              <w:rPr>
                <w:b/>
                <w:bCs/>
                <w:noProof/>
                <w:color w:val="000000"/>
                <w:sz w:val="22"/>
                <w:szCs w:val="22"/>
              </w:rPr>
            </w:pPr>
            <w:r>
              <w:rPr>
                <w:b/>
                <w:bCs/>
                <w:noProof/>
                <w:color w:val="000000"/>
                <w:sz w:val="22"/>
                <w:szCs w:val="22"/>
              </w:rPr>
              <w:t>Situation at 31/12/2018</w:t>
            </w:r>
          </w:p>
        </w:tc>
      </w:tr>
      <w:tr>
        <w:trPr>
          <w:trHeight w:val="315"/>
        </w:trPr>
        <w:tc>
          <w:tcPr>
            <w:tcW w:w="3276" w:type="dxa"/>
            <w:tcBorders>
              <w:top w:val="nil"/>
              <w:left w:val="single" w:sz="4" w:space="0" w:color="auto"/>
              <w:bottom w:val="nil"/>
              <w:right w:val="nil"/>
            </w:tcBorders>
            <w:shd w:val="clear" w:color="auto" w:fill="auto"/>
            <w:vAlign w:val="center"/>
            <w:hideMark/>
          </w:tcPr>
          <w:p>
            <w:pPr>
              <w:rPr>
                <w:noProof/>
                <w:color w:val="000000"/>
                <w:sz w:val="22"/>
                <w:szCs w:val="22"/>
              </w:rPr>
            </w:pPr>
            <w:r>
              <w:rPr>
                <w:noProof/>
                <w:color w:val="000000"/>
                <w:sz w:val="22"/>
                <w:szCs w:val="22"/>
              </w:rPr>
              <w:t>Provisioning</w:t>
            </w:r>
          </w:p>
        </w:tc>
        <w:tc>
          <w:tcPr>
            <w:tcW w:w="2253" w:type="dxa"/>
            <w:tcBorders>
              <w:top w:val="nil"/>
              <w:left w:val="nil"/>
              <w:bottom w:val="nil"/>
              <w:right w:val="nil"/>
            </w:tcBorders>
            <w:shd w:val="clear" w:color="auto" w:fill="auto"/>
            <w:vAlign w:val="center"/>
            <w:hideMark/>
          </w:tcPr>
          <w:p>
            <w:pPr>
              <w:jc w:val="right"/>
              <w:rPr>
                <w:noProof/>
                <w:color w:val="000000"/>
                <w:sz w:val="22"/>
                <w:szCs w:val="22"/>
              </w:rPr>
            </w:pPr>
            <w:r>
              <w:rPr>
                <w:noProof/>
                <w:color w:val="000000"/>
                <w:sz w:val="22"/>
                <w:szCs w:val="22"/>
              </w:rPr>
              <w:t>4,245,989,017</w:t>
            </w:r>
          </w:p>
        </w:tc>
        <w:tc>
          <w:tcPr>
            <w:tcW w:w="2268" w:type="dxa"/>
            <w:tcBorders>
              <w:top w:val="nil"/>
              <w:left w:val="nil"/>
              <w:bottom w:val="nil"/>
              <w:right w:val="nil"/>
            </w:tcBorders>
            <w:shd w:val="clear" w:color="auto" w:fill="auto"/>
            <w:vAlign w:val="center"/>
            <w:hideMark/>
          </w:tcPr>
          <w:p>
            <w:pPr>
              <w:jc w:val="right"/>
              <w:rPr>
                <w:noProof/>
                <w:color w:val="000000"/>
                <w:sz w:val="22"/>
                <w:szCs w:val="22"/>
              </w:rPr>
            </w:pPr>
            <w:r>
              <w:rPr>
                <w:noProof/>
                <w:color w:val="000000"/>
                <w:sz w:val="22"/>
                <w:szCs w:val="22"/>
              </w:rPr>
              <w:t>137,800,722</w:t>
            </w:r>
          </w:p>
        </w:tc>
        <w:tc>
          <w:tcPr>
            <w:tcW w:w="2378" w:type="dxa"/>
            <w:tcBorders>
              <w:top w:val="nil"/>
              <w:left w:val="nil"/>
              <w:bottom w:val="nil"/>
              <w:right w:val="single" w:sz="4" w:space="0" w:color="auto"/>
            </w:tcBorders>
            <w:shd w:val="clear" w:color="auto" w:fill="auto"/>
            <w:vAlign w:val="center"/>
            <w:hideMark/>
          </w:tcPr>
          <w:p>
            <w:pPr>
              <w:jc w:val="right"/>
              <w:rPr>
                <w:noProof/>
                <w:color w:val="000000"/>
                <w:sz w:val="22"/>
                <w:szCs w:val="22"/>
              </w:rPr>
            </w:pPr>
            <w:r>
              <w:rPr>
                <w:noProof/>
                <w:color w:val="000000"/>
                <w:sz w:val="22"/>
                <w:szCs w:val="22"/>
              </w:rPr>
              <w:t>4,383,789,739</w:t>
            </w:r>
          </w:p>
        </w:tc>
      </w:tr>
      <w:tr>
        <w:trPr>
          <w:trHeight w:val="300"/>
        </w:trPr>
        <w:tc>
          <w:tcPr>
            <w:tcW w:w="3276" w:type="dxa"/>
            <w:tcBorders>
              <w:top w:val="nil"/>
              <w:left w:val="single" w:sz="4" w:space="0" w:color="auto"/>
              <w:bottom w:val="nil"/>
              <w:right w:val="nil"/>
            </w:tcBorders>
            <w:shd w:val="clear" w:color="auto" w:fill="auto"/>
            <w:vAlign w:val="center"/>
            <w:hideMark/>
          </w:tcPr>
          <w:p>
            <w:pPr>
              <w:rPr>
                <w:noProof/>
                <w:color w:val="000000"/>
                <w:sz w:val="22"/>
                <w:szCs w:val="22"/>
              </w:rPr>
            </w:pPr>
            <w:r>
              <w:rPr>
                <w:noProof/>
                <w:color w:val="000000"/>
                <w:sz w:val="22"/>
                <w:szCs w:val="22"/>
              </w:rPr>
              <w:t>Repayment of surplus</w:t>
            </w:r>
          </w:p>
        </w:tc>
        <w:tc>
          <w:tcPr>
            <w:tcW w:w="2253" w:type="dxa"/>
            <w:tcBorders>
              <w:top w:val="nil"/>
              <w:left w:val="nil"/>
              <w:bottom w:val="nil"/>
              <w:right w:val="nil"/>
            </w:tcBorders>
            <w:shd w:val="clear" w:color="auto" w:fill="auto"/>
            <w:vAlign w:val="center"/>
            <w:hideMark/>
          </w:tcPr>
          <w:p>
            <w:pPr>
              <w:jc w:val="right"/>
              <w:rPr>
                <w:noProof/>
                <w:color w:val="000000"/>
                <w:sz w:val="22"/>
                <w:szCs w:val="22"/>
              </w:rPr>
            </w:pPr>
            <w:r>
              <w:rPr>
                <w:noProof/>
                <w:color w:val="000000"/>
                <w:sz w:val="22"/>
                <w:szCs w:val="22"/>
              </w:rPr>
              <w:t>-1,775,870,000</w:t>
            </w:r>
          </w:p>
        </w:tc>
        <w:tc>
          <w:tcPr>
            <w:tcW w:w="2268" w:type="dxa"/>
            <w:tcBorders>
              <w:top w:val="nil"/>
              <w:left w:val="nil"/>
              <w:bottom w:val="nil"/>
              <w:right w:val="nil"/>
            </w:tcBorders>
            <w:shd w:val="clear" w:color="auto" w:fill="auto"/>
            <w:vAlign w:val="center"/>
            <w:hideMark/>
          </w:tcPr>
          <w:p>
            <w:pPr>
              <w:jc w:val="right"/>
              <w:rPr>
                <w:noProof/>
                <w:color w:val="000000"/>
                <w:sz w:val="22"/>
                <w:szCs w:val="22"/>
              </w:rPr>
            </w:pPr>
            <w:r>
              <w:rPr>
                <w:noProof/>
                <w:color w:val="000000"/>
                <w:sz w:val="22"/>
                <w:szCs w:val="22"/>
              </w:rPr>
              <w:t>0</w:t>
            </w:r>
          </w:p>
        </w:tc>
        <w:tc>
          <w:tcPr>
            <w:tcW w:w="2378" w:type="dxa"/>
            <w:tcBorders>
              <w:top w:val="nil"/>
              <w:left w:val="nil"/>
              <w:bottom w:val="nil"/>
              <w:right w:val="single" w:sz="4" w:space="0" w:color="auto"/>
            </w:tcBorders>
            <w:shd w:val="clear" w:color="auto" w:fill="auto"/>
            <w:vAlign w:val="center"/>
            <w:hideMark/>
          </w:tcPr>
          <w:p>
            <w:pPr>
              <w:jc w:val="right"/>
              <w:rPr>
                <w:noProof/>
                <w:color w:val="000000"/>
                <w:sz w:val="22"/>
                <w:szCs w:val="22"/>
              </w:rPr>
            </w:pPr>
            <w:r>
              <w:rPr>
                <w:noProof/>
                <w:color w:val="000000"/>
                <w:sz w:val="22"/>
                <w:szCs w:val="22"/>
              </w:rPr>
              <w:t>-1,775,870,000</w:t>
            </w:r>
          </w:p>
        </w:tc>
      </w:tr>
      <w:tr>
        <w:trPr>
          <w:trHeight w:val="300"/>
        </w:trPr>
        <w:tc>
          <w:tcPr>
            <w:tcW w:w="3276" w:type="dxa"/>
            <w:tcBorders>
              <w:top w:val="nil"/>
              <w:left w:val="single" w:sz="4" w:space="0" w:color="auto"/>
              <w:bottom w:val="nil"/>
              <w:right w:val="nil"/>
            </w:tcBorders>
            <w:shd w:val="clear" w:color="auto" w:fill="auto"/>
            <w:vAlign w:val="center"/>
            <w:hideMark/>
          </w:tcPr>
          <w:p>
            <w:pPr>
              <w:rPr>
                <w:noProof/>
                <w:color w:val="000000"/>
                <w:sz w:val="22"/>
                <w:szCs w:val="22"/>
              </w:rPr>
            </w:pPr>
            <w:r>
              <w:rPr>
                <w:noProof/>
                <w:color w:val="000000"/>
                <w:sz w:val="22"/>
                <w:szCs w:val="22"/>
              </w:rPr>
              <w:t>Activation of guarantee calls</w:t>
            </w:r>
          </w:p>
        </w:tc>
        <w:tc>
          <w:tcPr>
            <w:tcW w:w="2253" w:type="dxa"/>
            <w:tcBorders>
              <w:top w:val="nil"/>
              <w:left w:val="nil"/>
              <w:bottom w:val="nil"/>
              <w:right w:val="nil"/>
            </w:tcBorders>
            <w:shd w:val="clear" w:color="auto" w:fill="auto"/>
            <w:vAlign w:val="center"/>
            <w:hideMark/>
          </w:tcPr>
          <w:p>
            <w:pPr>
              <w:jc w:val="right"/>
              <w:rPr>
                <w:noProof/>
                <w:color w:val="000000"/>
                <w:sz w:val="22"/>
                <w:szCs w:val="22"/>
              </w:rPr>
            </w:pPr>
            <w:r>
              <w:rPr>
                <w:noProof/>
                <w:color w:val="000000"/>
                <w:sz w:val="22"/>
                <w:szCs w:val="22"/>
              </w:rPr>
              <w:t>-880,157,459</w:t>
            </w:r>
          </w:p>
        </w:tc>
        <w:tc>
          <w:tcPr>
            <w:tcW w:w="2268" w:type="dxa"/>
            <w:tcBorders>
              <w:top w:val="nil"/>
              <w:left w:val="nil"/>
              <w:bottom w:val="nil"/>
              <w:right w:val="nil"/>
            </w:tcBorders>
            <w:shd w:val="clear" w:color="auto" w:fill="auto"/>
            <w:vAlign w:val="center"/>
            <w:hideMark/>
          </w:tcPr>
          <w:p>
            <w:pPr>
              <w:jc w:val="right"/>
              <w:rPr>
                <w:noProof/>
                <w:color w:val="000000"/>
                <w:sz w:val="22"/>
                <w:szCs w:val="22"/>
              </w:rPr>
            </w:pPr>
            <w:r>
              <w:rPr>
                <w:noProof/>
                <w:color w:val="000000"/>
                <w:sz w:val="22"/>
                <w:szCs w:val="22"/>
              </w:rPr>
              <w:t>-55,725,492</w:t>
            </w:r>
          </w:p>
        </w:tc>
        <w:tc>
          <w:tcPr>
            <w:tcW w:w="2378" w:type="dxa"/>
            <w:tcBorders>
              <w:top w:val="nil"/>
              <w:left w:val="nil"/>
              <w:bottom w:val="nil"/>
              <w:right w:val="single" w:sz="4" w:space="0" w:color="auto"/>
            </w:tcBorders>
            <w:shd w:val="clear" w:color="auto" w:fill="auto"/>
            <w:vAlign w:val="center"/>
            <w:hideMark/>
          </w:tcPr>
          <w:p>
            <w:pPr>
              <w:jc w:val="right"/>
              <w:rPr>
                <w:noProof/>
                <w:color w:val="000000"/>
                <w:sz w:val="22"/>
                <w:szCs w:val="22"/>
              </w:rPr>
            </w:pPr>
            <w:r>
              <w:rPr>
                <w:noProof/>
                <w:color w:val="000000"/>
                <w:sz w:val="22"/>
                <w:szCs w:val="22"/>
              </w:rPr>
              <w:t>-935,882,951</w:t>
            </w:r>
          </w:p>
        </w:tc>
      </w:tr>
      <w:tr>
        <w:trPr>
          <w:trHeight w:val="300"/>
        </w:trPr>
        <w:tc>
          <w:tcPr>
            <w:tcW w:w="3276" w:type="dxa"/>
            <w:tcBorders>
              <w:top w:val="nil"/>
              <w:left w:val="single" w:sz="4" w:space="0" w:color="auto"/>
              <w:bottom w:val="nil"/>
              <w:right w:val="nil"/>
            </w:tcBorders>
            <w:shd w:val="clear" w:color="auto" w:fill="auto"/>
            <w:vAlign w:val="center"/>
            <w:hideMark/>
          </w:tcPr>
          <w:p>
            <w:pPr>
              <w:rPr>
                <w:noProof/>
                <w:color w:val="000000"/>
                <w:sz w:val="22"/>
                <w:szCs w:val="22"/>
              </w:rPr>
            </w:pPr>
            <w:r>
              <w:rPr>
                <w:noProof/>
                <w:color w:val="000000"/>
                <w:sz w:val="22"/>
                <w:szCs w:val="22"/>
              </w:rPr>
              <w:t>Recovery of historic called amounts</w:t>
            </w:r>
          </w:p>
        </w:tc>
        <w:tc>
          <w:tcPr>
            <w:tcW w:w="2253" w:type="dxa"/>
            <w:tcBorders>
              <w:top w:val="nil"/>
              <w:left w:val="nil"/>
              <w:bottom w:val="nil"/>
              <w:right w:val="nil"/>
            </w:tcBorders>
            <w:shd w:val="clear" w:color="auto" w:fill="auto"/>
            <w:vAlign w:val="center"/>
            <w:hideMark/>
          </w:tcPr>
          <w:p>
            <w:pPr>
              <w:jc w:val="right"/>
              <w:rPr>
                <w:noProof/>
                <w:color w:val="000000"/>
                <w:sz w:val="22"/>
                <w:szCs w:val="22"/>
              </w:rPr>
            </w:pPr>
            <w:r>
              <w:rPr>
                <w:noProof/>
                <w:color w:val="000000"/>
                <w:sz w:val="22"/>
                <w:szCs w:val="22"/>
              </w:rPr>
              <w:t>578,854,354</w:t>
            </w:r>
          </w:p>
        </w:tc>
        <w:tc>
          <w:tcPr>
            <w:tcW w:w="2268" w:type="dxa"/>
            <w:tcBorders>
              <w:top w:val="nil"/>
              <w:left w:val="nil"/>
              <w:bottom w:val="nil"/>
              <w:right w:val="nil"/>
            </w:tcBorders>
            <w:shd w:val="clear" w:color="auto" w:fill="auto"/>
            <w:vAlign w:val="center"/>
            <w:hideMark/>
          </w:tcPr>
          <w:p>
            <w:pPr>
              <w:jc w:val="right"/>
              <w:rPr>
                <w:noProof/>
                <w:color w:val="000000"/>
                <w:sz w:val="22"/>
                <w:szCs w:val="22"/>
              </w:rPr>
            </w:pPr>
            <w:r>
              <w:rPr>
                <w:noProof/>
                <w:color w:val="000000"/>
                <w:sz w:val="22"/>
                <w:szCs w:val="22"/>
              </w:rPr>
              <w:t>136,093</w:t>
            </w:r>
          </w:p>
        </w:tc>
        <w:tc>
          <w:tcPr>
            <w:tcW w:w="2378" w:type="dxa"/>
            <w:tcBorders>
              <w:top w:val="nil"/>
              <w:left w:val="nil"/>
              <w:bottom w:val="nil"/>
              <w:right w:val="single" w:sz="4" w:space="0" w:color="auto"/>
            </w:tcBorders>
            <w:shd w:val="clear" w:color="auto" w:fill="auto"/>
            <w:vAlign w:val="center"/>
            <w:hideMark/>
          </w:tcPr>
          <w:p>
            <w:pPr>
              <w:jc w:val="right"/>
              <w:rPr>
                <w:noProof/>
                <w:color w:val="000000"/>
                <w:sz w:val="22"/>
                <w:szCs w:val="22"/>
              </w:rPr>
            </w:pPr>
            <w:r>
              <w:rPr>
                <w:noProof/>
                <w:color w:val="000000"/>
                <w:sz w:val="22"/>
                <w:szCs w:val="22"/>
              </w:rPr>
              <w:t>578,990,447</w:t>
            </w:r>
          </w:p>
        </w:tc>
      </w:tr>
      <w:tr>
        <w:trPr>
          <w:trHeight w:val="300"/>
        </w:trPr>
        <w:tc>
          <w:tcPr>
            <w:tcW w:w="3276" w:type="dxa"/>
            <w:tcBorders>
              <w:top w:val="nil"/>
              <w:left w:val="single" w:sz="4" w:space="0" w:color="auto"/>
              <w:bottom w:val="nil"/>
              <w:right w:val="nil"/>
            </w:tcBorders>
            <w:shd w:val="clear" w:color="auto" w:fill="auto"/>
            <w:vAlign w:val="center"/>
            <w:hideMark/>
          </w:tcPr>
          <w:p>
            <w:pPr>
              <w:rPr>
                <w:noProof/>
                <w:color w:val="000000"/>
                <w:sz w:val="22"/>
                <w:szCs w:val="22"/>
              </w:rPr>
            </w:pPr>
            <w:r>
              <w:rPr>
                <w:noProof/>
                <w:color w:val="000000"/>
                <w:sz w:val="22"/>
                <w:szCs w:val="22"/>
              </w:rPr>
              <w:t xml:space="preserve">Repayment of Funds </w:t>
            </w:r>
          </w:p>
        </w:tc>
        <w:tc>
          <w:tcPr>
            <w:tcW w:w="2253" w:type="dxa"/>
            <w:tcBorders>
              <w:top w:val="nil"/>
              <w:left w:val="nil"/>
              <w:bottom w:val="nil"/>
              <w:right w:val="nil"/>
            </w:tcBorders>
            <w:shd w:val="clear" w:color="auto" w:fill="auto"/>
            <w:vAlign w:val="center"/>
            <w:hideMark/>
          </w:tcPr>
          <w:p>
            <w:pPr>
              <w:jc w:val="right"/>
              <w:rPr>
                <w:noProof/>
                <w:color w:val="000000"/>
                <w:sz w:val="22"/>
                <w:szCs w:val="22"/>
              </w:rPr>
            </w:pPr>
            <w:r>
              <w:rPr>
                <w:noProof/>
                <w:color w:val="000000"/>
                <w:sz w:val="22"/>
                <w:szCs w:val="22"/>
              </w:rPr>
              <w:t>-755,856,713</w:t>
            </w:r>
          </w:p>
        </w:tc>
        <w:tc>
          <w:tcPr>
            <w:tcW w:w="2268" w:type="dxa"/>
            <w:tcBorders>
              <w:top w:val="nil"/>
              <w:left w:val="nil"/>
              <w:bottom w:val="nil"/>
              <w:right w:val="nil"/>
            </w:tcBorders>
            <w:shd w:val="clear" w:color="auto" w:fill="auto"/>
            <w:vAlign w:val="center"/>
            <w:hideMark/>
          </w:tcPr>
          <w:p>
            <w:pPr>
              <w:jc w:val="right"/>
              <w:rPr>
                <w:noProof/>
                <w:color w:val="000000"/>
                <w:sz w:val="22"/>
                <w:szCs w:val="22"/>
              </w:rPr>
            </w:pPr>
            <w:r>
              <w:rPr>
                <w:noProof/>
                <w:color w:val="000000"/>
                <w:sz w:val="22"/>
                <w:szCs w:val="22"/>
              </w:rPr>
              <w:t>0</w:t>
            </w:r>
          </w:p>
        </w:tc>
        <w:tc>
          <w:tcPr>
            <w:tcW w:w="2378" w:type="dxa"/>
            <w:tcBorders>
              <w:top w:val="nil"/>
              <w:left w:val="nil"/>
              <w:bottom w:val="nil"/>
              <w:right w:val="single" w:sz="4" w:space="0" w:color="auto"/>
            </w:tcBorders>
            <w:shd w:val="clear" w:color="auto" w:fill="auto"/>
            <w:vAlign w:val="center"/>
            <w:hideMark/>
          </w:tcPr>
          <w:p>
            <w:pPr>
              <w:jc w:val="right"/>
              <w:rPr>
                <w:noProof/>
                <w:color w:val="000000"/>
                <w:sz w:val="22"/>
                <w:szCs w:val="22"/>
              </w:rPr>
            </w:pPr>
            <w:r>
              <w:rPr>
                <w:noProof/>
                <w:color w:val="000000"/>
                <w:sz w:val="22"/>
                <w:szCs w:val="22"/>
              </w:rPr>
              <w:t>-755,856,713</w:t>
            </w:r>
          </w:p>
        </w:tc>
      </w:tr>
      <w:tr>
        <w:trPr>
          <w:trHeight w:val="315"/>
        </w:trPr>
        <w:tc>
          <w:tcPr>
            <w:tcW w:w="3276" w:type="dxa"/>
            <w:tcBorders>
              <w:top w:val="nil"/>
              <w:left w:val="single" w:sz="4" w:space="0" w:color="auto"/>
              <w:bottom w:val="nil"/>
              <w:right w:val="nil"/>
            </w:tcBorders>
            <w:shd w:val="clear" w:color="auto" w:fill="auto"/>
            <w:vAlign w:val="center"/>
            <w:hideMark/>
          </w:tcPr>
          <w:p>
            <w:pPr>
              <w:rPr>
                <w:noProof/>
                <w:color w:val="000000"/>
                <w:sz w:val="22"/>
                <w:szCs w:val="22"/>
              </w:rPr>
            </w:pPr>
          </w:p>
        </w:tc>
        <w:tc>
          <w:tcPr>
            <w:tcW w:w="2253" w:type="dxa"/>
            <w:tcBorders>
              <w:top w:val="nil"/>
              <w:left w:val="nil"/>
              <w:bottom w:val="nil"/>
              <w:right w:val="nil"/>
            </w:tcBorders>
            <w:shd w:val="clear" w:color="auto" w:fill="auto"/>
            <w:vAlign w:val="center"/>
            <w:hideMark/>
          </w:tcPr>
          <w:p>
            <w:pPr>
              <w:jc w:val="right"/>
              <w:rPr>
                <w:noProof/>
                <w:color w:val="000000"/>
                <w:sz w:val="22"/>
                <w:szCs w:val="22"/>
              </w:rPr>
            </w:pPr>
          </w:p>
        </w:tc>
        <w:tc>
          <w:tcPr>
            <w:tcW w:w="2268" w:type="dxa"/>
            <w:tcBorders>
              <w:top w:val="nil"/>
              <w:left w:val="nil"/>
              <w:bottom w:val="nil"/>
              <w:right w:val="nil"/>
            </w:tcBorders>
            <w:shd w:val="clear" w:color="auto" w:fill="auto"/>
            <w:vAlign w:val="center"/>
            <w:hideMark/>
          </w:tcPr>
          <w:p>
            <w:pPr>
              <w:jc w:val="right"/>
              <w:rPr>
                <w:noProof/>
                <w:color w:val="000000"/>
                <w:sz w:val="22"/>
                <w:szCs w:val="22"/>
              </w:rPr>
            </w:pPr>
          </w:p>
        </w:tc>
        <w:tc>
          <w:tcPr>
            <w:tcW w:w="2378" w:type="dxa"/>
            <w:tcBorders>
              <w:top w:val="nil"/>
              <w:left w:val="nil"/>
              <w:bottom w:val="nil"/>
              <w:right w:val="single" w:sz="4" w:space="0" w:color="auto"/>
            </w:tcBorders>
            <w:shd w:val="clear" w:color="auto" w:fill="auto"/>
            <w:vAlign w:val="center"/>
            <w:hideMark/>
          </w:tcPr>
          <w:p>
            <w:pPr>
              <w:jc w:val="right"/>
              <w:rPr>
                <w:noProof/>
                <w:color w:val="000000"/>
                <w:sz w:val="22"/>
                <w:szCs w:val="22"/>
              </w:rPr>
            </w:pPr>
          </w:p>
        </w:tc>
      </w:tr>
      <w:tr>
        <w:trPr>
          <w:trHeight w:val="315"/>
        </w:trPr>
        <w:tc>
          <w:tcPr>
            <w:tcW w:w="3276"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22"/>
                <w:szCs w:val="22"/>
              </w:rPr>
            </w:pPr>
            <w:r>
              <w:rPr>
                <w:b/>
                <w:bCs/>
                <w:noProof/>
                <w:color w:val="000000"/>
                <w:sz w:val="22"/>
                <w:szCs w:val="22"/>
              </w:rPr>
              <w:t>Balance</w:t>
            </w:r>
          </w:p>
        </w:tc>
        <w:tc>
          <w:tcPr>
            <w:tcW w:w="2253" w:type="dxa"/>
            <w:tcBorders>
              <w:top w:val="single" w:sz="4" w:space="0" w:color="auto"/>
              <w:left w:val="nil"/>
              <w:bottom w:val="single" w:sz="4" w:space="0" w:color="auto"/>
              <w:right w:val="nil"/>
            </w:tcBorders>
            <w:shd w:val="clear" w:color="auto" w:fill="auto"/>
            <w:vAlign w:val="center"/>
            <w:hideMark/>
          </w:tcPr>
          <w:p>
            <w:pPr>
              <w:jc w:val="right"/>
              <w:rPr>
                <w:b/>
                <w:noProof/>
                <w:color w:val="000000"/>
                <w:sz w:val="22"/>
                <w:szCs w:val="22"/>
              </w:rPr>
            </w:pPr>
            <w:r>
              <w:rPr>
                <w:b/>
                <w:bCs/>
                <w:noProof/>
                <w:color w:val="000000"/>
                <w:sz w:val="22"/>
                <w:szCs w:val="22"/>
              </w:rPr>
              <w:t>1,412,959,199</w:t>
            </w:r>
          </w:p>
        </w:tc>
        <w:tc>
          <w:tcPr>
            <w:tcW w:w="2268" w:type="dxa"/>
            <w:tcBorders>
              <w:top w:val="single" w:sz="4" w:space="0" w:color="auto"/>
              <w:left w:val="nil"/>
              <w:bottom w:val="single" w:sz="4" w:space="0" w:color="auto"/>
              <w:right w:val="nil"/>
            </w:tcBorders>
            <w:shd w:val="clear" w:color="auto" w:fill="auto"/>
            <w:vAlign w:val="center"/>
            <w:hideMark/>
          </w:tcPr>
          <w:p>
            <w:pPr>
              <w:jc w:val="right"/>
              <w:rPr>
                <w:b/>
                <w:noProof/>
                <w:color w:val="000000"/>
                <w:sz w:val="22"/>
                <w:szCs w:val="22"/>
              </w:rPr>
            </w:pPr>
            <w:r>
              <w:rPr>
                <w:b/>
                <w:noProof/>
                <w:color w:val="000000"/>
                <w:sz w:val="22"/>
                <w:szCs w:val="22"/>
              </w:rPr>
              <w:t>82,211,323</w:t>
            </w:r>
          </w:p>
        </w:tc>
        <w:tc>
          <w:tcPr>
            <w:tcW w:w="2378" w:type="dxa"/>
            <w:tcBorders>
              <w:top w:val="single" w:sz="4" w:space="0" w:color="auto"/>
              <w:left w:val="nil"/>
              <w:bottom w:val="single" w:sz="4" w:space="0" w:color="auto"/>
              <w:right w:val="single" w:sz="4" w:space="0" w:color="auto"/>
            </w:tcBorders>
            <w:shd w:val="clear" w:color="auto" w:fill="auto"/>
            <w:vAlign w:val="center"/>
            <w:hideMark/>
          </w:tcPr>
          <w:p>
            <w:pPr>
              <w:jc w:val="right"/>
              <w:rPr>
                <w:b/>
                <w:noProof/>
                <w:color w:val="000000"/>
                <w:sz w:val="22"/>
                <w:szCs w:val="22"/>
              </w:rPr>
            </w:pPr>
            <w:r>
              <w:rPr>
                <w:b/>
                <w:bCs/>
                <w:noProof/>
                <w:color w:val="000000"/>
                <w:sz w:val="22"/>
                <w:szCs w:val="22"/>
              </w:rPr>
              <w:t>1,495,170,522</w:t>
            </w:r>
          </w:p>
        </w:tc>
      </w:tr>
    </w:tbl>
    <w:p>
      <w:pPr>
        <w:rPr>
          <w:noProof/>
        </w:rPr>
      </w:pPr>
    </w:p>
    <w:p>
      <w:pPr>
        <w:pStyle w:val="ManualHeading4"/>
        <w:rPr>
          <w:noProof/>
        </w:rPr>
      </w:pPr>
      <w:r>
        <w:t>2.2.1.2.</w:t>
      </w:r>
      <w:r>
        <w:tab/>
      </w:r>
      <w:r>
        <w:rPr>
          <w:noProof/>
        </w:rPr>
        <w:t>Contributions payable and receivable as at 31 December 2018</w:t>
      </w:r>
    </w:p>
    <w:p>
      <w:pPr>
        <w:pStyle w:val="Text1"/>
        <w:rPr>
          <w:noProof/>
          <w:lang w:eastAsia="en-US"/>
        </w:rPr>
      </w:pPr>
      <w:r>
        <w:rPr>
          <w:noProof/>
          <w:lang w:eastAsia="en-US"/>
        </w:rPr>
        <w:t xml:space="preserve">As at 31 December </w:t>
      </w:r>
      <w:r>
        <w:rPr>
          <w:noProof/>
        </w:rPr>
        <w:t>2018</w:t>
      </w:r>
      <w:r>
        <w:rPr>
          <w:noProof/>
          <w:lang w:eastAsia="en-US"/>
        </w:rPr>
        <w:t xml:space="preserve"> the Fund has recorded EUR 103.2 million (2017: EUR 137.8 million) as contributions to be paid </w:t>
      </w:r>
      <w:r>
        <w:rPr>
          <w:noProof/>
        </w:rPr>
        <w:t>in</w:t>
      </w:r>
      <w:r>
        <w:rPr>
          <w:noProof/>
          <w:lang w:eastAsia="en-US"/>
        </w:rPr>
        <w:t xml:space="preserve"> by the European Union. In addition, as at 31 December 2018 the fund has recorded EUR Nil (2017: EUR 136,093) as contribution receivable from historically called amounts.</w:t>
      </w:r>
    </w:p>
    <w:p>
      <w:pPr>
        <w:pStyle w:val="ManualHeading3"/>
        <w:rPr>
          <w:noProof/>
        </w:rPr>
      </w:pPr>
      <w:bookmarkStart w:id="28" w:name="_Toc322447892"/>
      <w:bookmarkStart w:id="29" w:name="_Toc449626272"/>
      <w:bookmarkStart w:id="30" w:name="_Toc6923108"/>
      <w:r>
        <w:t>2.2.2.</w:t>
      </w:r>
      <w:r>
        <w:tab/>
      </w:r>
      <w:r>
        <w:rPr>
          <w:noProof/>
        </w:rPr>
        <w:t xml:space="preserve">The Fund’s holdings net of accrued interest at 31 December </w:t>
      </w:r>
      <w:bookmarkEnd w:id="28"/>
      <w:bookmarkEnd w:id="29"/>
      <w:r>
        <w:rPr>
          <w:noProof/>
        </w:rPr>
        <w:t>2018</w:t>
      </w:r>
      <w:bookmarkEnd w:id="30"/>
    </w:p>
    <w:p>
      <w:pPr>
        <w:suppressAutoHyphens/>
        <w:jc w:val="both"/>
        <w:rPr>
          <w:noProof/>
        </w:rPr>
      </w:pPr>
      <w:r>
        <w:rPr>
          <w:noProof/>
        </w:rPr>
        <w:t>The Fund’s holdings at 31 December 2018 excluding accrued interest and contributions receivable totalled EUR 2,493.5 million as detailed below:</w:t>
      </w:r>
    </w:p>
    <w:p>
      <w:pPr>
        <w:suppressAutoHyphens/>
        <w:ind w:left="567" w:hanging="567"/>
        <w:jc w:val="both"/>
        <w:rPr>
          <w:noProof/>
        </w:rPr>
      </w:pPr>
    </w:p>
    <w:p>
      <w:pPr>
        <w:numPr>
          <w:ilvl w:val="0"/>
          <w:numId w:val="26"/>
        </w:numPr>
        <w:suppressAutoHyphens/>
        <w:ind w:left="567" w:hanging="567"/>
        <w:jc w:val="both"/>
        <w:rPr>
          <w:noProof/>
        </w:rPr>
      </w:pPr>
      <w:r>
        <w:rPr>
          <w:noProof/>
        </w:rPr>
        <w:t>EUR 14.0 million in the monetary portfolio (nominal value of interbank term deposits);</w:t>
      </w:r>
    </w:p>
    <w:p>
      <w:pPr>
        <w:numPr>
          <w:ilvl w:val="0"/>
          <w:numId w:val="26"/>
        </w:numPr>
        <w:suppressAutoHyphens/>
        <w:ind w:left="567" w:hanging="567"/>
        <w:jc w:val="both"/>
        <w:rPr>
          <w:noProof/>
        </w:rPr>
      </w:pPr>
      <w:r>
        <w:rPr>
          <w:noProof/>
        </w:rPr>
        <w:t xml:space="preserve">EUR 27.6 million in the current accounts; </w:t>
      </w:r>
    </w:p>
    <w:p>
      <w:pPr>
        <w:numPr>
          <w:ilvl w:val="0"/>
          <w:numId w:val="26"/>
        </w:numPr>
        <w:suppressAutoHyphens/>
        <w:ind w:left="567" w:hanging="567"/>
        <w:jc w:val="both"/>
        <w:rPr>
          <w:noProof/>
        </w:rPr>
      </w:pPr>
      <w:r>
        <w:rPr>
          <w:noProof/>
        </w:rPr>
        <w:t>EUR 2,451.9 million in the Available For Sale (AFS) (portfolio market value of fixed rate bonds, floating rate bonds, zero-coupon bonds and commercial papers, excluding accrued interest)</w:t>
      </w:r>
      <w:r>
        <w:rPr>
          <w:noProof/>
          <w:lang w:eastAsia="en-US"/>
        </w:rPr>
        <w:t>.</w:t>
      </w:r>
    </w:p>
    <w:p>
      <w:pPr>
        <w:pStyle w:val="Text1"/>
        <w:rPr>
          <w:noProof/>
        </w:rPr>
      </w:pPr>
      <w:r>
        <w:rPr>
          <w:noProof/>
        </w:rPr>
        <w:t>The Fund operates in one currency only, the Euro.</w:t>
      </w:r>
    </w:p>
    <w:p>
      <w:pPr>
        <w:pStyle w:val="ManualHeading2"/>
        <w:rPr>
          <w:noProof/>
        </w:rPr>
      </w:pPr>
      <w:bookmarkStart w:id="31" w:name="_Toc449626273"/>
      <w:bookmarkStart w:id="32" w:name="_Toc6923109"/>
      <w:r>
        <w:t>2.3.</w:t>
      </w:r>
      <w:r>
        <w:tab/>
      </w:r>
      <w:r>
        <w:rPr>
          <w:noProof/>
        </w:rPr>
        <w:t>General and segmental analyses of the Fund</w:t>
      </w:r>
      <w:bookmarkEnd w:id="31"/>
      <w:bookmarkEnd w:id="32"/>
    </w:p>
    <w:p>
      <w:pPr>
        <w:pStyle w:val="ManualHeading3"/>
        <w:rPr>
          <w:noProof/>
        </w:rPr>
      </w:pPr>
      <w:bookmarkStart w:id="33" w:name="_Toc322447894"/>
      <w:bookmarkStart w:id="34" w:name="_Toc449626274"/>
      <w:bookmarkStart w:id="35" w:name="_Toc6923110"/>
      <w:r>
        <w:t>2.3.1.</w:t>
      </w:r>
      <w:r>
        <w:tab/>
      </w:r>
      <w:r>
        <w:rPr>
          <w:noProof/>
        </w:rPr>
        <w:t>Liquidity analysis</w:t>
      </w:r>
      <w:bookmarkEnd w:id="33"/>
      <w:bookmarkEnd w:id="34"/>
      <w:bookmarkEnd w:id="35"/>
    </w:p>
    <w:p>
      <w:pPr>
        <w:pStyle w:val="Text1"/>
        <w:rPr>
          <w:noProof/>
          <w:lang w:eastAsia="en-US"/>
        </w:rPr>
      </w:pPr>
      <w:bookmarkStart w:id="36" w:name="_Toc322447895"/>
      <w:bookmarkStart w:id="37" w:name="_Toc449626275"/>
      <w:r>
        <w:rPr>
          <w:noProof/>
          <w:lang w:eastAsia="en-US"/>
        </w:rPr>
        <w:t xml:space="preserve">The liquidity position of </w:t>
      </w:r>
      <w:r>
        <w:rPr>
          <w:noProof/>
        </w:rPr>
        <w:t>the</w:t>
      </w:r>
      <w:r>
        <w:rPr>
          <w:noProof/>
          <w:lang w:eastAsia="en-US"/>
        </w:rPr>
        <w:t xml:space="preserve"> </w:t>
      </w:r>
      <w:r>
        <w:rPr>
          <w:noProof/>
        </w:rPr>
        <w:t>Fund</w:t>
      </w:r>
      <w:r>
        <w:rPr>
          <w:noProof/>
          <w:lang w:eastAsia="en-US"/>
        </w:rPr>
        <w:t xml:space="preserve"> at 31 December 2018 is outlined in the table below. The liabilities shown in the column "maturity undefined" represent the Contributor's (i.e. European Union's) resources. </w:t>
      </w:r>
    </w:p>
    <w:p>
      <w:pPr>
        <w:pStyle w:val="Text1"/>
        <w:rPr>
          <w:noProof/>
          <w:lang w:eastAsia="en-US"/>
        </w:rPr>
      </w:pPr>
      <w:r>
        <w:rPr>
          <w:noProof/>
          <w:lang w:eastAsia="en-US"/>
        </w:rPr>
        <w:t xml:space="preserve">Liquidity position as at 31 </w:t>
      </w:r>
      <w:r>
        <w:rPr>
          <w:noProof/>
        </w:rPr>
        <w:t>December</w:t>
      </w:r>
      <w:r>
        <w:rPr>
          <w:noProof/>
          <w:lang w:eastAsia="en-US"/>
        </w:rPr>
        <w:t xml:space="preserve"> 2018 (in EUR million):</w:t>
      </w:r>
    </w:p>
    <w:p>
      <w:pPr>
        <w:spacing w:before="120" w:after="120"/>
        <w:contextualSpacing/>
        <w:jc w:val="both"/>
        <w:rPr>
          <w:noProof/>
          <w:lang w:eastAsia="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417"/>
        <w:gridCol w:w="1560"/>
        <w:gridCol w:w="1405"/>
        <w:gridCol w:w="1420"/>
        <w:gridCol w:w="1131"/>
      </w:tblGrid>
      <w:tr>
        <w:trPr>
          <w:trHeight w:val="692"/>
        </w:trPr>
        <w:tc>
          <w:tcPr>
            <w:tcW w:w="2296" w:type="dxa"/>
            <w:shd w:val="clear" w:color="auto" w:fill="auto"/>
            <w:vAlign w:val="center"/>
            <w:hideMark/>
          </w:tcPr>
          <w:p>
            <w:pPr>
              <w:jc w:val="center"/>
              <w:rPr>
                <w:b/>
                <w:bCs/>
                <w:noProof/>
                <w:color w:val="000000"/>
              </w:rPr>
            </w:pPr>
            <w:r>
              <w:rPr>
                <w:b/>
                <w:bCs/>
                <w:noProof/>
                <w:color w:val="000000"/>
              </w:rPr>
              <w:t>Maturity</w:t>
            </w:r>
          </w:p>
        </w:tc>
        <w:tc>
          <w:tcPr>
            <w:tcW w:w="1417" w:type="dxa"/>
            <w:shd w:val="clear" w:color="auto" w:fill="auto"/>
            <w:vAlign w:val="center"/>
            <w:hideMark/>
          </w:tcPr>
          <w:p>
            <w:pPr>
              <w:jc w:val="center"/>
              <w:rPr>
                <w:b/>
                <w:bCs/>
                <w:noProof/>
                <w:color w:val="000000"/>
              </w:rPr>
            </w:pPr>
            <w:r>
              <w:rPr>
                <w:b/>
                <w:bCs/>
                <w:noProof/>
                <w:color w:val="000000"/>
              </w:rPr>
              <w:t>less than 3 months</w:t>
            </w:r>
          </w:p>
        </w:tc>
        <w:tc>
          <w:tcPr>
            <w:tcW w:w="1560" w:type="dxa"/>
            <w:shd w:val="clear" w:color="auto" w:fill="auto"/>
            <w:vAlign w:val="center"/>
            <w:hideMark/>
          </w:tcPr>
          <w:p>
            <w:pPr>
              <w:jc w:val="center"/>
              <w:rPr>
                <w:b/>
                <w:bCs/>
                <w:noProof/>
                <w:color w:val="000000"/>
              </w:rPr>
            </w:pPr>
            <w:r>
              <w:rPr>
                <w:b/>
                <w:bCs/>
                <w:noProof/>
                <w:color w:val="000000"/>
              </w:rPr>
              <w:t>3 months to 1 year</w:t>
            </w:r>
          </w:p>
        </w:tc>
        <w:tc>
          <w:tcPr>
            <w:tcW w:w="1405" w:type="dxa"/>
            <w:shd w:val="clear" w:color="auto" w:fill="auto"/>
            <w:vAlign w:val="center"/>
            <w:hideMark/>
          </w:tcPr>
          <w:p>
            <w:pPr>
              <w:ind w:right="36"/>
              <w:jc w:val="center"/>
              <w:rPr>
                <w:b/>
                <w:bCs/>
                <w:noProof/>
                <w:color w:val="000000"/>
              </w:rPr>
            </w:pPr>
            <w:r>
              <w:rPr>
                <w:b/>
                <w:bCs/>
                <w:noProof/>
                <w:color w:val="000000"/>
              </w:rPr>
              <w:t>1 to 10 years</w:t>
            </w:r>
          </w:p>
        </w:tc>
        <w:tc>
          <w:tcPr>
            <w:tcW w:w="1420" w:type="dxa"/>
            <w:shd w:val="clear" w:color="auto" w:fill="auto"/>
            <w:vAlign w:val="center"/>
            <w:hideMark/>
          </w:tcPr>
          <w:p>
            <w:pPr>
              <w:jc w:val="center"/>
              <w:rPr>
                <w:b/>
                <w:bCs/>
                <w:noProof/>
                <w:color w:val="000000"/>
              </w:rPr>
            </w:pPr>
            <w:r>
              <w:rPr>
                <w:b/>
                <w:bCs/>
                <w:noProof/>
                <w:color w:val="000000"/>
              </w:rPr>
              <w:t>maturity undefined</w:t>
            </w:r>
          </w:p>
        </w:tc>
        <w:tc>
          <w:tcPr>
            <w:tcW w:w="1131" w:type="dxa"/>
            <w:shd w:val="clear" w:color="auto" w:fill="auto"/>
            <w:vAlign w:val="center"/>
            <w:hideMark/>
          </w:tcPr>
          <w:p>
            <w:pPr>
              <w:ind w:right="34"/>
              <w:jc w:val="center"/>
              <w:rPr>
                <w:b/>
                <w:bCs/>
                <w:noProof/>
                <w:color w:val="000000"/>
              </w:rPr>
            </w:pPr>
            <w:r>
              <w:rPr>
                <w:b/>
                <w:bCs/>
                <w:noProof/>
                <w:color w:val="000000"/>
              </w:rPr>
              <w:t>Total</w:t>
            </w:r>
          </w:p>
        </w:tc>
      </w:tr>
      <w:tr>
        <w:trPr>
          <w:trHeight w:val="315"/>
        </w:trPr>
        <w:tc>
          <w:tcPr>
            <w:tcW w:w="2296" w:type="dxa"/>
            <w:shd w:val="clear" w:color="auto" w:fill="auto"/>
            <w:vAlign w:val="center"/>
            <w:hideMark/>
          </w:tcPr>
          <w:p>
            <w:pPr>
              <w:ind w:left="53"/>
              <w:rPr>
                <w:i/>
                <w:noProof/>
                <w:color w:val="000000"/>
              </w:rPr>
            </w:pPr>
            <w:r>
              <w:rPr>
                <w:i/>
                <w:noProof/>
                <w:color w:val="000000"/>
              </w:rPr>
              <w:t>Total assets</w:t>
            </w:r>
          </w:p>
        </w:tc>
        <w:tc>
          <w:tcPr>
            <w:tcW w:w="1417" w:type="dxa"/>
            <w:shd w:val="clear" w:color="auto" w:fill="auto"/>
            <w:vAlign w:val="center"/>
            <w:hideMark/>
          </w:tcPr>
          <w:p>
            <w:pPr>
              <w:ind w:right="187"/>
              <w:jc w:val="center"/>
              <w:rPr>
                <w:i/>
                <w:noProof/>
                <w:color w:val="000000"/>
              </w:rPr>
            </w:pPr>
            <w:r>
              <w:rPr>
                <w:i/>
                <w:noProof/>
                <w:color w:val="000000"/>
              </w:rPr>
              <w:t>203</w:t>
            </w:r>
          </w:p>
        </w:tc>
        <w:tc>
          <w:tcPr>
            <w:tcW w:w="1560" w:type="dxa"/>
            <w:shd w:val="clear" w:color="auto" w:fill="auto"/>
            <w:vAlign w:val="center"/>
            <w:hideMark/>
          </w:tcPr>
          <w:p>
            <w:pPr>
              <w:ind w:right="188"/>
              <w:jc w:val="center"/>
              <w:rPr>
                <w:i/>
                <w:noProof/>
                <w:color w:val="000000"/>
              </w:rPr>
            </w:pPr>
            <w:r>
              <w:rPr>
                <w:i/>
                <w:noProof/>
                <w:color w:val="000000"/>
              </w:rPr>
              <w:t>120</w:t>
            </w:r>
          </w:p>
        </w:tc>
        <w:tc>
          <w:tcPr>
            <w:tcW w:w="1405" w:type="dxa"/>
            <w:shd w:val="clear" w:color="auto" w:fill="auto"/>
            <w:vAlign w:val="center"/>
            <w:hideMark/>
          </w:tcPr>
          <w:p>
            <w:pPr>
              <w:ind w:right="178"/>
              <w:jc w:val="center"/>
              <w:rPr>
                <w:i/>
                <w:noProof/>
                <w:color w:val="000000"/>
              </w:rPr>
            </w:pPr>
            <w:r>
              <w:rPr>
                <w:i/>
                <w:noProof/>
                <w:color w:val="000000"/>
              </w:rPr>
              <w:t>2,287</w:t>
            </w:r>
          </w:p>
        </w:tc>
        <w:tc>
          <w:tcPr>
            <w:tcW w:w="1420" w:type="dxa"/>
            <w:shd w:val="clear" w:color="auto" w:fill="auto"/>
            <w:vAlign w:val="center"/>
            <w:hideMark/>
          </w:tcPr>
          <w:p>
            <w:pPr>
              <w:ind w:right="176"/>
              <w:jc w:val="center"/>
              <w:rPr>
                <w:i/>
                <w:noProof/>
                <w:color w:val="000000"/>
              </w:rPr>
            </w:pPr>
            <w:r>
              <w:rPr>
                <w:i/>
                <w:noProof/>
                <w:color w:val="000000"/>
              </w:rPr>
              <w:t>0</w:t>
            </w:r>
          </w:p>
        </w:tc>
        <w:tc>
          <w:tcPr>
            <w:tcW w:w="1131" w:type="dxa"/>
            <w:shd w:val="clear" w:color="auto" w:fill="auto"/>
            <w:vAlign w:val="center"/>
            <w:hideMark/>
          </w:tcPr>
          <w:p>
            <w:pPr>
              <w:ind w:right="101"/>
              <w:jc w:val="center"/>
              <w:rPr>
                <w:i/>
                <w:noProof/>
                <w:color w:val="000000"/>
              </w:rPr>
            </w:pPr>
            <w:r>
              <w:rPr>
                <w:i/>
                <w:noProof/>
                <w:color w:val="000000"/>
              </w:rPr>
              <w:t>2,610</w:t>
            </w:r>
          </w:p>
        </w:tc>
      </w:tr>
      <w:tr>
        <w:trPr>
          <w:trHeight w:val="315"/>
        </w:trPr>
        <w:tc>
          <w:tcPr>
            <w:tcW w:w="9229" w:type="dxa"/>
            <w:gridSpan w:val="6"/>
            <w:shd w:val="clear" w:color="auto" w:fill="auto"/>
            <w:noWrap/>
            <w:vAlign w:val="center"/>
          </w:tcPr>
          <w:p>
            <w:pPr>
              <w:ind w:left="53" w:right="101"/>
              <w:rPr>
                <w:noProof/>
                <w:color w:val="000000"/>
              </w:rPr>
            </w:pPr>
          </w:p>
        </w:tc>
      </w:tr>
      <w:tr>
        <w:trPr>
          <w:trHeight w:val="363"/>
        </w:trPr>
        <w:tc>
          <w:tcPr>
            <w:tcW w:w="2296" w:type="dxa"/>
            <w:shd w:val="clear" w:color="auto" w:fill="auto"/>
            <w:noWrap/>
            <w:vAlign w:val="center"/>
            <w:hideMark/>
          </w:tcPr>
          <w:p>
            <w:pPr>
              <w:ind w:left="53"/>
              <w:rPr>
                <w:noProof/>
                <w:color w:val="000000"/>
              </w:rPr>
            </w:pPr>
            <w:r>
              <w:rPr>
                <w:noProof/>
                <w:color w:val="000000"/>
              </w:rPr>
              <w:t>Total net assets</w:t>
            </w:r>
          </w:p>
        </w:tc>
        <w:tc>
          <w:tcPr>
            <w:tcW w:w="1417" w:type="dxa"/>
            <w:shd w:val="clear" w:color="auto" w:fill="auto"/>
            <w:noWrap/>
            <w:vAlign w:val="center"/>
            <w:hideMark/>
          </w:tcPr>
          <w:p>
            <w:pPr>
              <w:ind w:right="187"/>
              <w:jc w:val="center"/>
              <w:rPr>
                <w:noProof/>
                <w:color w:val="000000"/>
              </w:rPr>
            </w:pPr>
            <w:r>
              <w:rPr>
                <w:noProof/>
                <w:color w:val="000000"/>
              </w:rPr>
              <w:t>0</w:t>
            </w:r>
          </w:p>
        </w:tc>
        <w:tc>
          <w:tcPr>
            <w:tcW w:w="1560" w:type="dxa"/>
            <w:shd w:val="clear" w:color="auto" w:fill="auto"/>
            <w:noWrap/>
            <w:vAlign w:val="center"/>
            <w:hideMark/>
          </w:tcPr>
          <w:p>
            <w:pPr>
              <w:ind w:right="188"/>
              <w:jc w:val="center"/>
              <w:rPr>
                <w:noProof/>
                <w:color w:val="000000"/>
              </w:rPr>
            </w:pPr>
            <w:r>
              <w:rPr>
                <w:noProof/>
                <w:color w:val="000000"/>
              </w:rPr>
              <w:t>0</w:t>
            </w:r>
          </w:p>
        </w:tc>
        <w:tc>
          <w:tcPr>
            <w:tcW w:w="1405" w:type="dxa"/>
            <w:shd w:val="clear" w:color="auto" w:fill="auto"/>
            <w:noWrap/>
            <w:vAlign w:val="center"/>
            <w:hideMark/>
          </w:tcPr>
          <w:p>
            <w:pPr>
              <w:ind w:right="178"/>
              <w:jc w:val="center"/>
              <w:rPr>
                <w:noProof/>
                <w:color w:val="000000"/>
              </w:rPr>
            </w:pPr>
            <w:r>
              <w:rPr>
                <w:noProof/>
                <w:color w:val="000000"/>
              </w:rPr>
              <w:t>0</w:t>
            </w:r>
          </w:p>
        </w:tc>
        <w:tc>
          <w:tcPr>
            <w:tcW w:w="1420" w:type="dxa"/>
            <w:shd w:val="clear" w:color="auto" w:fill="auto"/>
            <w:noWrap/>
            <w:vAlign w:val="center"/>
            <w:hideMark/>
          </w:tcPr>
          <w:p>
            <w:pPr>
              <w:ind w:right="176"/>
              <w:jc w:val="center"/>
              <w:rPr>
                <w:noProof/>
                <w:color w:val="000000"/>
              </w:rPr>
            </w:pPr>
            <w:r>
              <w:rPr>
                <w:noProof/>
                <w:color w:val="000000"/>
              </w:rPr>
              <w:t>-2,609</w:t>
            </w:r>
          </w:p>
        </w:tc>
        <w:tc>
          <w:tcPr>
            <w:tcW w:w="1131" w:type="dxa"/>
            <w:shd w:val="clear" w:color="auto" w:fill="auto"/>
            <w:vAlign w:val="center"/>
            <w:hideMark/>
          </w:tcPr>
          <w:p>
            <w:pPr>
              <w:ind w:right="101"/>
              <w:jc w:val="center"/>
              <w:rPr>
                <w:noProof/>
                <w:color w:val="000000"/>
              </w:rPr>
            </w:pPr>
            <w:r>
              <w:rPr>
                <w:noProof/>
                <w:color w:val="000000"/>
              </w:rPr>
              <w:t>-2,609</w:t>
            </w:r>
          </w:p>
        </w:tc>
      </w:tr>
      <w:tr>
        <w:trPr>
          <w:trHeight w:val="315"/>
        </w:trPr>
        <w:tc>
          <w:tcPr>
            <w:tcW w:w="2296" w:type="dxa"/>
            <w:shd w:val="clear" w:color="auto" w:fill="auto"/>
            <w:noWrap/>
            <w:vAlign w:val="center"/>
            <w:hideMark/>
          </w:tcPr>
          <w:p>
            <w:pPr>
              <w:ind w:left="53"/>
              <w:rPr>
                <w:noProof/>
                <w:color w:val="000000"/>
              </w:rPr>
            </w:pPr>
            <w:r>
              <w:rPr>
                <w:noProof/>
                <w:color w:val="000000"/>
              </w:rPr>
              <w:t>Total liabilities</w:t>
            </w:r>
          </w:p>
        </w:tc>
        <w:tc>
          <w:tcPr>
            <w:tcW w:w="1417" w:type="dxa"/>
            <w:tcBorders>
              <w:bottom w:val="single" w:sz="4" w:space="0" w:color="auto"/>
            </w:tcBorders>
            <w:shd w:val="clear" w:color="auto" w:fill="auto"/>
            <w:noWrap/>
            <w:vAlign w:val="center"/>
            <w:hideMark/>
          </w:tcPr>
          <w:p>
            <w:pPr>
              <w:ind w:right="187"/>
              <w:jc w:val="center"/>
              <w:rPr>
                <w:noProof/>
                <w:color w:val="000000"/>
              </w:rPr>
            </w:pPr>
            <w:r>
              <w:rPr>
                <w:noProof/>
                <w:color w:val="000000"/>
              </w:rPr>
              <w:t>-1</w:t>
            </w:r>
          </w:p>
        </w:tc>
        <w:tc>
          <w:tcPr>
            <w:tcW w:w="1560" w:type="dxa"/>
            <w:tcBorders>
              <w:bottom w:val="single" w:sz="4" w:space="0" w:color="auto"/>
            </w:tcBorders>
            <w:shd w:val="clear" w:color="auto" w:fill="auto"/>
            <w:noWrap/>
            <w:vAlign w:val="center"/>
            <w:hideMark/>
          </w:tcPr>
          <w:p>
            <w:pPr>
              <w:ind w:right="188"/>
              <w:jc w:val="center"/>
              <w:rPr>
                <w:noProof/>
                <w:color w:val="000000"/>
              </w:rPr>
            </w:pPr>
            <w:r>
              <w:rPr>
                <w:noProof/>
                <w:color w:val="000000"/>
              </w:rPr>
              <w:t>0</w:t>
            </w:r>
          </w:p>
        </w:tc>
        <w:tc>
          <w:tcPr>
            <w:tcW w:w="1405" w:type="dxa"/>
            <w:tcBorders>
              <w:bottom w:val="single" w:sz="4" w:space="0" w:color="auto"/>
            </w:tcBorders>
            <w:shd w:val="clear" w:color="auto" w:fill="auto"/>
            <w:noWrap/>
            <w:vAlign w:val="center"/>
            <w:hideMark/>
          </w:tcPr>
          <w:p>
            <w:pPr>
              <w:ind w:right="178"/>
              <w:jc w:val="center"/>
              <w:rPr>
                <w:noProof/>
                <w:color w:val="000000"/>
              </w:rPr>
            </w:pPr>
            <w:r>
              <w:rPr>
                <w:noProof/>
                <w:color w:val="000000"/>
              </w:rPr>
              <w:t>0</w:t>
            </w:r>
          </w:p>
        </w:tc>
        <w:tc>
          <w:tcPr>
            <w:tcW w:w="1420" w:type="dxa"/>
            <w:tcBorders>
              <w:bottom w:val="single" w:sz="4" w:space="0" w:color="auto"/>
            </w:tcBorders>
            <w:shd w:val="clear" w:color="auto" w:fill="auto"/>
            <w:noWrap/>
            <w:vAlign w:val="center"/>
            <w:hideMark/>
          </w:tcPr>
          <w:p>
            <w:pPr>
              <w:ind w:right="176"/>
              <w:jc w:val="center"/>
              <w:rPr>
                <w:noProof/>
                <w:color w:val="000000"/>
              </w:rPr>
            </w:pPr>
            <w:r>
              <w:rPr>
                <w:noProof/>
                <w:color w:val="000000"/>
              </w:rPr>
              <w:t>0</w:t>
            </w:r>
          </w:p>
        </w:tc>
        <w:tc>
          <w:tcPr>
            <w:tcW w:w="1131" w:type="dxa"/>
            <w:tcBorders>
              <w:bottom w:val="single" w:sz="4" w:space="0" w:color="auto"/>
            </w:tcBorders>
            <w:shd w:val="clear" w:color="auto" w:fill="auto"/>
            <w:vAlign w:val="center"/>
            <w:hideMark/>
          </w:tcPr>
          <w:p>
            <w:pPr>
              <w:ind w:right="101"/>
              <w:jc w:val="center"/>
              <w:rPr>
                <w:noProof/>
                <w:color w:val="000000"/>
              </w:rPr>
            </w:pPr>
            <w:r>
              <w:rPr>
                <w:noProof/>
                <w:color w:val="000000"/>
              </w:rPr>
              <w:t>-1</w:t>
            </w:r>
          </w:p>
        </w:tc>
      </w:tr>
      <w:tr>
        <w:trPr>
          <w:trHeight w:val="315"/>
        </w:trPr>
        <w:tc>
          <w:tcPr>
            <w:tcW w:w="2296" w:type="dxa"/>
            <w:shd w:val="clear" w:color="auto" w:fill="auto"/>
            <w:noWrap/>
            <w:vAlign w:val="center"/>
          </w:tcPr>
          <w:p>
            <w:pPr>
              <w:ind w:left="53"/>
              <w:rPr>
                <w:i/>
                <w:noProof/>
                <w:color w:val="000000"/>
              </w:rPr>
            </w:pPr>
            <w:r>
              <w:rPr>
                <w:i/>
                <w:noProof/>
                <w:color w:val="000000"/>
              </w:rPr>
              <w:t>Total net assets and liabilities</w:t>
            </w:r>
          </w:p>
        </w:tc>
        <w:tc>
          <w:tcPr>
            <w:tcW w:w="1417" w:type="dxa"/>
            <w:tcBorders>
              <w:bottom w:val="single" w:sz="4" w:space="0" w:color="auto"/>
            </w:tcBorders>
            <w:shd w:val="clear" w:color="auto" w:fill="auto"/>
            <w:noWrap/>
            <w:vAlign w:val="center"/>
          </w:tcPr>
          <w:p>
            <w:pPr>
              <w:ind w:right="187"/>
              <w:jc w:val="center"/>
              <w:rPr>
                <w:i/>
                <w:noProof/>
                <w:color w:val="000000"/>
              </w:rPr>
            </w:pPr>
            <w:r>
              <w:rPr>
                <w:i/>
                <w:noProof/>
                <w:color w:val="000000"/>
              </w:rPr>
              <w:t>-1</w:t>
            </w:r>
          </w:p>
        </w:tc>
        <w:tc>
          <w:tcPr>
            <w:tcW w:w="1560" w:type="dxa"/>
            <w:tcBorders>
              <w:bottom w:val="single" w:sz="4" w:space="0" w:color="auto"/>
            </w:tcBorders>
            <w:shd w:val="clear" w:color="auto" w:fill="auto"/>
            <w:noWrap/>
            <w:vAlign w:val="center"/>
          </w:tcPr>
          <w:p>
            <w:pPr>
              <w:ind w:right="188"/>
              <w:jc w:val="center"/>
              <w:rPr>
                <w:i/>
                <w:noProof/>
                <w:color w:val="000000"/>
              </w:rPr>
            </w:pPr>
            <w:r>
              <w:rPr>
                <w:i/>
                <w:noProof/>
                <w:color w:val="000000"/>
              </w:rPr>
              <w:t>0</w:t>
            </w:r>
          </w:p>
        </w:tc>
        <w:tc>
          <w:tcPr>
            <w:tcW w:w="1405" w:type="dxa"/>
            <w:tcBorders>
              <w:bottom w:val="single" w:sz="4" w:space="0" w:color="auto"/>
            </w:tcBorders>
            <w:shd w:val="clear" w:color="auto" w:fill="auto"/>
            <w:noWrap/>
            <w:vAlign w:val="center"/>
          </w:tcPr>
          <w:p>
            <w:pPr>
              <w:ind w:right="178"/>
              <w:jc w:val="center"/>
              <w:rPr>
                <w:i/>
                <w:noProof/>
                <w:color w:val="000000"/>
              </w:rPr>
            </w:pPr>
            <w:r>
              <w:rPr>
                <w:i/>
                <w:noProof/>
                <w:color w:val="000000"/>
              </w:rPr>
              <w:t>0</w:t>
            </w:r>
          </w:p>
        </w:tc>
        <w:tc>
          <w:tcPr>
            <w:tcW w:w="1420" w:type="dxa"/>
            <w:tcBorders>
              <w:bottom w:val="single" w:sz="4" w:space="0" w:color="auto"/>
            </w:tcBorders>
            <w:shd w:val="clear" w:color="auto" w:fill="auto"/>
            <w:noWrap/>
            <w:vAlign w:val="center"/>
          </w:tcPr>
          <w:p>
            <w:pPr>
              <w:ind w:right="176"/>
              <w:jc w:val="center"/>
              <w:rPr>
                <w:i/>
                <w:noProof/>
                <w:color w:val="000000"/>
              </w:rPr>
            </w:pPr>
            <w:r>
              <w:rPr>
                <w:i/>
                <w:noProof/>
                <w:color w:val="000000"/>
              </w:rPr>
              <w:t>-2,609</w:t>
            </w:r>
          </w:p>
        </w:tc>
        <w:tc>
          <w:tcPr>
            <w:tcW w:w="1131" w:type="dxa"/>
            <w:tcBorders>
              <w:bottom w:val="single" w:sz="4" w:space="0" w:color="auto"/>
            </w:tcBorders>
            <w:shd w:val="clear" w:color="auto" w:fill="auto"/>
            <w:vAlign w:val="center"/>
          </w:tcPr>
          <w:p>
            <w:pPr>
              <w:ind w:right="101"/>
              <w:jc w:val="center"/>
              <w:rPr>
                <w:i/>
                <w:noProof/>
                <w:color w:val="000000"/>
              </w:rPr>
            </w:pPr>
            <w:r>
              <w:rPr>
                <w:i/>
                <w:noProof/>
                <w:color w:val="000000"/>
              </w:rPr>
              <w:t>-2,610</w:t>
            </w:r>
          </w:p>
        </w:tc>
      </w:tr>
      <w:tr>
        <w:trPr>
          <w:trHeight w:val="315"/>
        </w:trPr>
        <w:tc>
          <w:tcPr>
            <w:tcW w:w="2296" w:type="dxa"/>
            <w:tcBorders>
              <w:bottom w:val="single" w:sz="4" w:space="0" w:color="auto"/>
              <w:right w:val="nil"/>
            </w:tcBorders>
            <w:shd w:val="clear" w:color="auto" w:fill="auto"/>
            <w:noWrap/>
            <w:vAlign w:val="center"/>
          </w:tcPr>
          <w:p>
            <w:pPr>
              <w:ind w:left="53"/>
              <w:rPr>
                <w:i/>
                <w:noProof/>
                <w:color w:val="000000"/>
              </w:rPr>
            </w:pPr>
          </w:p>
        </w:tc>
        <w:tc>
          <w:tcPr>
            <w:tcW w:w="1417" w:type="dxa"/>
            <w:tcBorders>
              <w:top w:val="single" w:sz="4" w:space="0" w:color="auto"/>
              <w:left w:val="nil"/>
              <w:bottom w:val="single" w:sz="4" w:space="0" w:color="auto"/>
              <w:right w:val="nil"/>
            </w:tcBorders>
            <w:shd w:val="clear" w:color="auto" w:fill="auto"/>
            <w:noWrap/>
            <w:vAlign w:val="center"/>
          </w:tcPr>
          <w:p>
            <w:pPr>
              <w:ind w:right="187"/>
              <w:jc w:val="center"/>
              <w:rPr>
                <w:i/>
                <w:noProof/>
                <w:color w:val="000000"/>
              </w:rPr>
            </w:pPr>
          </w:p>
        </w:tc>
        <w:tc>
          <w:tcPr>
            <w:tcW w:w="1560" w:type="dxa"/>
            <w:tcBorders>
              <w:top w:val="single" w:sz="4" w:space="0" w:color="auto"/>
              <w:left w:val="nil"/>
              <w:bottom w:val="single" w:sz="4" w:space="0" w:color="auto"/>
              <w:right w:val="nil"/>
            </w:tcBorders>
            <w:shd w:val="clear" w:color="auto" w:fill="auto"/>
            <w:noWrap/>
            <w:vAlign w:val="center"/>
          </w:tcPr>
          <w:p>
            <w:pPr>
              <w:ind w:right="188"/>
              <w:jc w:val="center"/>
              <w:rPr>
                <w:i/>
                <w:noProof/>
                <w:color w:val="000000"/>
              </w:rPr>
            </w:pPr>
          </w:p>
        </w:tc>
        <w:tc>
          <w:tcPr>
            <w:tcW w:w="1405" w:type="dxa"/>
            <w:tcBorders>
              <w:top w:val="single" w:sz="4" w:space="0" w:color="auto"/>
              <w:left w:val="nil"/>
              <w:bottom w:val="single" w:sz="4" w:space="0" w:color="auto"/>
              <w:right w:val="nil"/>
            </w:tcBorders>
            <w:shd w:val="clear" w:color="auto" w:fill="auto"/>
            <w:noWrap/>
            <w:vAlign w:val="center"/>
          </w:tcPr>
          <w:p>
            <w:pPr>
              <w:ind w:right="178"/>
              <w:jc w:val="center"/>
              <w:rPr>
                <w:i/>
                <w:noProof/>
                <w:color w:val="000000"/>
              </w:rPr>
            </w:pPr>
          </w:p>
        </w:tc>
        <w:tc>
          <w:tcPr>
            <w:tcW w:w="1420" w:type="dxa"/>
            <w:tcBorders>
              <w:top w:val="single" w:sz="4" w:space="0" w:color="auto"/>
              <w:left w:val="nil"/>
              <w:bottom w:val="single" w:sz="4" w:space="0" w:color="auto"/>
              <w:right w:val="nil"/>
            </w:tcBorders>
            <w:shd w:val="clear" w:color="auto" w:fill="auto"/>
            <w:noWrap/>
            <w:vAlign w:val="center"/>
          </w:tcPr>
          <w:p>
            <w:pPr>
              <w:ind w:right="176"/>
              <w:jc w:val="center"/>
              <w:rPr>
                <w:i/>
                <w:noProof/>
                <w:color w:val="000000"/>
              </w:rPr>
            </w:pPr>
          </w:p>
        </w:tc>
        <w:tc>
          <w:tcPr>
            <w:tcW w:w="1131" w:type="dxa"/>
            <w:tcBorders>
              <w:top w:val="single" w:sz="4" w:space="0" w:color="auto"/>
              <w:left w:val="nil"/>
              <w:bottom w:val="single" w:sz="4" w:space="0" w:color="auto"/>
            </w:tcBorders>
            <w:shd w:val="clear" w:color="auto" w:fill="auto"/>
            <w:vAlign w:val="center"/>
          </w:tcPr>
          <w:p>
            <w:pPr>
              <w:ind w:right="101"/>
              <w:jc w:val="center"/>
              <w:rPr>
                <w:i/>
                <w:noProof/>
                <w:color w:val="000000"/>
              </w:rPr>
            </w:pPr>
          </w:p>
        </w:tc>
      </w:tr>
      <w:tr>
        <w:trPr>
          <w:trHeight w:val="451"/>
        </w:trPr>
        <w:tc>
          <w:tcPr>
            <w:tcW w:w="2296" w:type="dxa"/>
            <w:tcBorders>
              <w:top w:val="single" w:sz="4" w:space="0" w:color="auto"/>
              <w:bottom w:val="single" w:sz="4" w:space="0" w:color="auto"/>
            </w:tcBorders>
            <w:shd w:val="clear" w:color="auto" w:fill="auto"/>
            <w:noWrap/>
            <w:vAlign w:val="center"/>
          </w:tcPr>
          <w:p>
            <w:pPr>
              <w:ind w:left="53"/>
              <w:rPr>
                <w:i/>
                <w:noProof/>
                <w:color w:val="000000"/>
              </w:rPr>
            </w:pPr>
            <w:r>
              <w:rPr>
                <w:i/>
                <w:noProof/>
                <w:color w:val="000000"/>
              </w:rPr>
              <w:t>Net liquidity position</w:t>
            </w:r>
          </w:p>
        </w:tc>
        <w:tc>
          <w:tcPr>
            <w:tcW w:w="1417" w:type="dxa"/>
            <w:tcBorders>
              <w:top w:val="single" w:sz="4" w:space="0" w:color="auto"/>
              <w:bottom w:val="single" w:sz="4" w:space="0" w:color="auto"/>
            </w:tcBorders>
            <w:shd w:val="clear" w:color="auto" w:fill="auto"/>
            <w:noWrap/>
            <w:vAlign w:val="center"/>
          </w:tcPr>
          <w:p>
            <w:pPr>
              <w:ind w:right="187"/>
              <w:jc w:val="center"/>
              <w:rPr>
                <w:i/>
                <w:noProof/>
                <w:color w:val="000000"/>
              </w:rPr>
            </w:pPr>
            <w:r>
              <w:rPr>
                <w:i/>
                <w:noProof/>
                <w:color w:val="000000"/>
              </w:rPr>
              <w:t>202</w:t>
            </w:r>
          </w:p>
        </w:tc>
        <w:tc>
          <w:tcPr>
            <w:tcW w:w="1560" w:type="dxa"/>
            <w:tcBorders>
              <w:top w:val="single" w:sz="4" w:space="0" w:color="auto"/>
              <w:bottom w:val="single" w:sz="4" w:space="0" w:color="auto"/>
            </w:tcBorders>
            <w:shd w:val="clear" w:color="auto" w:fill="auto"/>
            <w:noWrap/>
            <w:vAlign w:val="center"/>
          </w:tcPr>
          <w:p>
            <w:pPr>
              <w:ind w:right="188"/>
              <w:jc w:val="center"/>
              <w:rPr>
                <w:i/>
                <w:noProof/>
                <w:color w:val="000000"/>
              </w:rPr>
            </w:pPr>
            <w:r>
              <w:rPr>
                <w:i/>
                <w:noProof/>
                <w:color w:val="000000"/>
              </w:rPr>
              <w:t>120</w:t>
            </w:r>
          </w:p>
        </w:tc>
        <w:tc>
          <w:tcPr>
            <w:tcW w:w="1405" w:type="dxa"/>
            <w:tcBorders>
              <w:top w:val="single" w:sz="4" w:space="0" w:color="auto"/>
              <w:bottom w:val="single" w:sz="4" w:space="0" w:color="auto"/>
            </w:tcBorders>
            <w:shd w:val="clear" w:color="auto" w:fill="auto"/>
            <w:noWrap/>
            <w:vAlign w:val="center"/>
          </w:tcPr>
          <w:p>
            <w:pPr>
              <w:ind w:right="178"/>
              <w:jc w:val="center"/>
              <w:rPr>
                <w:i/>
                <w:noProof/>
                <w:color w:val="000000"/>
              </w:rPr>
            </w:pPr>
            <w:r>
              <w:rPr>
                <w:i/>
                <w:noProof/>
                <w:color w:val="000000"/>
              </w:rPr>
              <w:t>2,287</w:t>
            </w:r>
          </w:p>
        </w:tc>
        <w:tc>
          <w:tcPr>
            <w:tcW w:w="1420" w:type="dxa"/>
            <w:tcBorders>
              <w:top w:val="single" w:sz="4" w:space="0" w:color="auto"/>
              <w:bottom w:val="single" w:sz="4" w:space="0" w:color="auto"/>
            </w:tcBorders>
            <w:shd w:val="clear" w:color="auto" w:fill="auto"/>
            <w:noWrap/>
            <w:vAlign w:val="center"/>
          </w:tcPr>
          <w:p>
            <w:pPr>
              <w:ind w:right="176"/>
              <w:jc w:val="center"/>
              <w:rPr>
                <w:i/>
                <w:noProof/>
                <w:color w:val="000000"/>
              </w:rPr>
            </w:pPr>
            <w:r>
              <w:rPr>
                <w:i/>
                <w:noProof/>
                <w:color w:val="000000"/>
              </w:rPr>
              <w:t>-2,609</w:t>
            </w:r>
          </w:p>
        </w:tc>
        <w:tc>
          <w:tcPr>
            <w:tcW w:w="1131" w:type="dxa"/>
            <w:tcBorders>
              <w:top w:val="single" w:sz="4" w:space="0" w:color="auto"/>
              <w:bottom w:val="single" w:sz="4" w:space="0" w:color="auto"/>
            </w:tcBorders>
            <w:shd w:val="clear" w:color="auto" w:fill="auto"/>
            <w:vAlign w:val="center"/>
          </w:tcPr>
          <w:p>
            <w:pPr>
              <w:ind w:right="101"/>
              <w:jc w:val="center"/>
              <w:rPr>
                <w:i/>
                <w:noProof/>
                <w:color w:val="000000"/>
              </w:rPr>
            </w:pPr>
            <w:r>
              <w:rPr>
                <w:i/>
                <w:noProof/>
                <w:color w:val="000000"/>
              </w:rPr>
              <w:t>0</w:t>
            </w:r>
          </w:p>
        </w:tc>
      </w:tr>
    </w:tbl>
    <w:p>
      <w:pPr>
        <w:pStyle w:val="ManualHeading3"/>
        <w:rPr>
          <w:noProof/>
        </w:rPr>
      </w:pPr>
      <w:bookmarkStart w:id="38" w:name="_Toc6923111"/>
      <w:bookmarkStart w:id="39" w:name="_Toc6923112"/>
      <w:bookmarkEnd w:id="38"/>
      <w:r>
        <w:t>2.3.2.</w:t>
      </w:r>
      <w:r>
        <w:tab/>
      </w:r>
      <w:r>
        <w:rPr>
          <w:noProof/>
        </w:rPr>
        <w:t>General analysis of the results of the Fund</w:t>
      </w:r>
      <w:bookmarkEnd w:id="36"/>
      <w:bookmarkEnd w:id="37"/>
      <w:bookmarkEnd w:id="39"/>
    </w:p>
    <w:p>
      <w:pPr>
        <w:pStyle w:val="Text1"/>
        <w:rPr>
          <w:noProof/>
          <w:lang w:eastAsia="en-US"/>
        </w:rPr>
      </w:pPr>
      <w:r>
        <w:rPr>
          <w:noProof/>
          <w:lang w:val="en-US" w:eastAsia="en-US"/>
        </w:rPr>
        <w:t xml:space="preserve">Overall, during the reporting period 1 January 2018 to 31 December 2018 the Fund achieved EUR 12.04 million in net </w:t>
      </w:r>
      <w:r>
        <w:rPr>
          <w:noProof/>
        </w:rPr>
        <w:t>revenue</w:t>
      </w:r>
      <w:r>
        <w:rPr>
          <w:noProof/>
          <w:lang w:val="en-US" w:eastAsia="en-US"/>
        </w:rPr>
        <w:t xml:space="preserve">. </w:t>
      </w:r>
      <w:r>
        <w:rPr>
          <w:noProof/>
          <w:lang w:eastAsia="en-US"/>
        </w:rPr>
        <w:t>The following table outlines the net revenue earned in 2018 and compares it with 2017:</w:t>
      </w:r>
    </w:p>
    <w:tbl>
      <w:tblPr>
        <w:tblW w:w="9214" w:type="dxa"/>
        <w:tblInd w:w="108" w:type="dxa"/>
        <w:tblLayout w:type="fixed"/>
        <w:tblLook w:val="04A0" w:firstRow="1" w:lastRow="0" w:firstColumn="1" w:lastColumn="0" w:noHBand="0" w:noVBand="1"/>
      </w:tblPr>
      <w:tblGrid>
        <w:gridCol w:w="4361"/>
        <w:gridCol w:w="997"/>
        <w:gridCol w:w="1413"/>
        <w:gridCol w:w="1066"/>
        <w:gridCol w:w="1377"/>
      </w:tblGrid>
      <w:tr>
        <w:trPr>
          <w:trHeight w:val="644"/>
        </w:trPr>
        <w:tc>
          <w:tcPr>
            <w:tcW w:w="4361" w:type="dxa"/>
            <w:tcBorders>
              <w:top w:val="single" w:sz="4" w:space="0" w:color="auto"/>
              <w:left w:val="single" w:sz="4" w:space="0" w:color="auto"/>
              <w:bottom w:val="single" w:sz="4" w:space="0" w:color="auto"/>
              <w:right w:val="nil"/>
            </w:tcBorders>
            <w:shd w:val="clear" w:color="auto" w:fill="auto"/>
            <w:noWrap/>
            <w:vAlign w:val="bottom"/>
            <w:hideMark/>
          </w:tcPr>
          <w:p>
            <w:pPr>
              <w:spacing w:before="120" w:after="240"/>
              <w:jc w:val="center"/>
              <w:rPr>
                <w:b/>
                <w:bCs/>
                <w:noProof/>
                <w:sz w:val="22"/>
                <w:szCs w:val="22"/>
              </w:rPr>
            </w:pPr>
            <w:r>
              <w:rPr>
                <w:b/>
                <w:bCs/>
                <w:noProof/>
                <w:sz w:val="22"/>
                <w:szCs w:val="22"/>
              </w:rPr>
              <w:t>In EUR million</w:t>
            </w:r>
          </w:p>
        </w:tc>
        <w:tc>
          <w:tcPr>
            <w:tcW w:w="24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pPr>
              <w:spacing w:before="120" w:after="240"/>
              <w:jc w:val="center"/>
              <w:rPr>
                <w:b/>
                <w:bCs/>
                <w:noProof/>
                <w:sz w:val="22"/>
                <w:szCs w:val="22"/>
              </w:rPr>
            </w:pPr>
            <w:r>
              <w:rPr>
                <w:b/>
                <w:bCs/>
                <w:noProof/>
                <w:sz w:val="22"/>
                <w:szCs w:val="22"/>
              </w:rPr>
              <w:t>From 1 January to</w:t>
            </w:r>
            <w:r>
              <w:rPr>
                <w:b/>
                <w:bCs/>
                <w:noProof/>
                <w:sz w:val="22"/>
                <w:szCs w:val="22"/>
              </w:rPr>
              <w:br/>
              <w:t>31 December 2018</w:t>
            </w:r>
          </w:p>
        </w:tc>
        <w:tc>
          <w:tcPr>
            <w:tcW w:w="2443" w:type="dxa"/>
            <w:gridSpan w:val="2"/>
            <w:tcBorders>
              <w:top w:val="single" w:sz="4" w:space="0" w:color="auto"/>
              <w:left w:val="nil"/>
              <w:bottom w:val="single" w:sz="4" w:space="0" w:color="auto"/>
              <w:right w:val="single" w:sz="4" w:space="0" w:color="000000"/>
            </w:tcBorders>
            <w:shd w:val="clear" w:color="auto" w:fill="auto"/>
            <w:noWrap/>
            <w:vAlign w:val="bottom"/>
            <w:hideMark/>
          </w:tcPr>
          <w:p>
            <w:pPr>
              <w:spacing w:before="120" w:after="240"/>
              <w:jc w:val="center"/>
              <w:rPr>
                <w:b/>
                <w:bCs/>
                <w:noProof/>
                <w:sz w:val="22"/>
                <w:szCs w:val="22"/>
              </w:rPr>
            </w:pPr>
            <w:r>
              <w:rPr>
                <w:b/>
                <w:bCs/>
                <w:noProof/>
                <w:sz w:val="22"/>
                <w:szCs w:val="22"/>
              </w:rPr>
              <w:t>From 1 January to 31 December 2017</w:t>
            </w:r>
          </w:p>
        </w:tc>
      </w:tr>
      <w:tr>
        <w:trPr>
          <w:trHeight w:val="188"/>
        </w:trPr>
        <w:tc>
          <w:tcPr>
            <w:tcW w:w="4361" w:type="dxa"/>
            <w:tcBorders>
              <w:top w:val="nil"/>
              <w:left w:val="single" w:sz="4" w:space="0" w:color="auto"/>
              <w:bottom w:val="nil"/>
              <w:right w:val="nil"/>
            </w:tcBorders>
            <w:shd w:val="clear" w:color="auto" w:fill="auto"/>
            <w:noWrap/>
            <w:vAlign w:val="bottom"/>
          </w:tcPr>
          <w:p>
            <w:pPr>
              <w:rPr>
                <w:noProof/>
                <w:sz w:val="22"/>
                <w:szCs w:val="22"/>
              </w:rPr>
            </w:pPr>
          </w:p>
        </w:tc>
        <w:tc>
          <w:tcPr>
            <w:tcW w:w="997" w:type="dxa"/>
            <w:tcBorders>
              <w:top w:val="nil"/>
              <w:left w:val="single" w:sz="4" w:space="0" w:color="auto"/>
              <w:bottom w:val="nil"/>
              <w:right w:val="nil"/>
            </w:tcBorders>
            <w:shd w:val="clear" w:color="auto" w:fill="auto"/>
            <w:noWrap/>
            <w:vAlign w:val="bottom"/>
          </w:tcPr>
          <w:p>
            <w:pPr>
              <w:rPr>
                <w:noProof/>
                <w:sz w:val="22"/>
                <w:szCs w:val="22"/>
              </w:rPr>
            </w:pPr>
          </w:p>
        </w:tc>
        <w:tc>
          <w:tcPr>
            <w:tcW w:w="1413" w:type="dxa"/>
            <w:tcBorders>
              <w:top w:val="nil"/>
              <w:left w:val="nil"/>
              <w:bottom w:val="nil"/>
              <w:right w:val="single" w:sz="4" w:space="0" w:color="auto"/>
            </w:tcBorders>
            <w:shd w:val="clear" w:color="auto" w:fill="auto"/>
            <w:noWrap/>
            <w:vAlign w:val="bottom"/>
          </w:tcPr>
          <w:p>
            <w:pPr>
              <w:rPr>
                <w:noProof/>
                <w:sz w:val="22"/>
                <w:szCs w:val="22"/>
              </w:rPr>
            </w:pPr>
          </w:p>
        </w:tc>
        <w:tc>
          <w:tcPr>
            <w:tcW w:w="1066" w:type="dxa"/>
            <w:tcBorders>
              <w:top w:val="nil"/>
              <w:left w:val="nil"/>
              <w:bottom w:val="nil"/>
              <w:right w:val="nil"/>
            </w:tcBorders>
            <w:shd w:val="clear" w:color="auto" w:fill="auto"/>
            <w:noWrap/>
            <w:vAlign w:val="bottom"/>
          </w:tcPr>
          <w:p>
            <w:pPr>
              <w:rPr>
                <w:noProof/>
                <w:sz w:val="22"/>
                <w:szCs w:val="22"/>
              </w:rPr>
            </w:pPr>
          </w:p>
        </w:tc>
        <w:tc>
          <w:tcPr>
            <w:tcW w:w="1377" w:type="dxa"/>
            <w:tcBorders>
              <w:top w:val="nil"/>
              <w:left w:val="nil"/>
              <w:bottom w:val="nil"/>
              <w:right w:val="single" w:sz="4" w:space="0" w:color="auto"/>
            </w:tcBorders>
            <w:shd w:val="clear" w:color="auto" w:fill="auto"/>
            <w:noWrap/>
            <w:vAlign w:val="bottom"/>
          </w:tcPr>
          <w:p>
            <w:pPr>
              <w:rPr>
                <w:noProof/>
                <w:sz w:val="22"/>
                <w:szCs w:val="22"/>
              </w:rPr>
            </w:pPr>
          </w:p>
        </w:tc>
      </w:tr>
      <w:tr>
        <w:trPr>
          <w:trHeight w:val="270"/>
        </w:trPr>
        <w:tc>
          <w:tcPr>
            <w:tcW w:w="4361" w:type="dxa"/>
            <w:tcBorders>
              <w:top w:val="nil"/>
              <w:left w:val="single" w:sz="4" w:space="0" w:color="auto"/>
              <w:bottom w:val="nil"/>
              <w:right w:val="nil"/>
            </w:tcBorders>
            <w:shd w:val="clear" w:color="auto" w:fill="auto"/>
            <w:noWrap/>
            <w:vAlign w:val="bottom"/>
            <w:hideMark/>
          </w:tcPr>
          <w:p>
            <w:pPr>
              <w:rPr>
                <w:noProof/>
                <w:sz w:val="22"/>
                <w:szCs w:val="22"/>
              </w:rPr>
            </w:pPr>
            <w:r>
              <w:rPr>
                <w:noProof/>
                <w:sz w:val="22"/>
                <w:szCs w:val="22"/>
              </w:rPr>
              <w:t>Interest income on cash and cash equivalents</w:t>
            </w:r>
          </w:p>
        </w:tc>
        <w:tc>
          <w:tcPr>
            <w:tcW w:w="997" w:type="dxa"/>
            <w:tcBorders>
              <w:top w:val="nil"/>
              <w:left w:val="single" w:sz="4" w:space="0" w:color="auto"/>
              <w:bottom w:val="nil"/>
              <w:right w:val="nil"/>
            </w:tcBorders>
            <w:shd w:val="clear" w:color="auto" w:fill="auto"/>
            <w:noWrap/>
            <w:vAlign w:val="bottom"/>
            <w:hideMark/>
          </w:tcPr>
          <w:p>
            <w:pPr>
              <w:jc w:val="right"/>
              <w:rPr>
                <w:noProof/>
                <w:sz w:val="22"/>
                <w:szCs w:val="22"/>
              </w:rPr>
            </w:pPr>
            <w:r>
              <w:rPr>
                <w:noProof/>
                <w:sz w:val="22"/>
                <w:szCs w:val="22"/>
              </w:rPr>
              <w:t>0.00</w:t>
            </w:r>
          </w:p>
        </w:tc>
        <w:tc>
          <w:tcPr>
            <w:tcW w:w="1413" w:type="dxa"/>
            <w:tcBorders>
              <w:top w:val="nil"/>
              <w:left w:val="nil"/>
              <w:bottom w:val="nil"/>
              <w:right w:val="single" w:sz="4" w:space="0" w:color="auto"/>
            </w:tcBorders>
            <w:shd w:val="clear" w:color="auto" w:fill="auto"/>
            <w:noWrap/>
            <w:vAlign w:val="bottom"/>
            <w:hideMark/>
          </w:tcPr>
          <w:p>
            <w:pPr>
              <w:ind w:right="147"/>
              <w:jc w:val="right"/>
              <w:rPr>
                <w:noProof/>
                <w:sz w:val="22"/>
                <w:szCs w:val="22"/>
              </w:rPr>
            </w:pPr>
            <w:r>
              <w:rPr>
                <w:noProof/>
                <w:sz w:val="22"/>
                <w:szCs w:val="22"/>
              </w:rPr>
              <w:t>0.0%</w:t>
            </w:r>
          </w:p>
        </w:tc>
        <w:tc>
          <w:tcPr>
            <w:tcW w:w="1066" w:type="dxa"/>
            <w:tcBorders>
              <w:top w:val="nil"/>
              <w:left w:val="nil"/>
              <w:bottom w:val="nil"/>
              <w:right w:val="nil"/>
            </w:tcBorders>
            <w:shd w:val="clear" w:color="auto" w:fill="auto"/>
            <w:noWrap/>
            <w:vAlign w:val="bottom"/>
            <w:hideMark/>
          </w:tcPr>
          <w:p>
            <w:pPr>
              <w:jc w:val="right"/>
              <w:rPr>
                <w:noProof/>
                <w:sz w:val="22"/>
                <w:szCs w:val="22"/>
              </w:rPr>
            </w:pPr>
            <w:r>
              <w:rPr>
                <w:noProof/>
                <w:sz w:val="22"/>
                <w:szCs w:val="22"/>
              </w:rPr>
              <w:t>0.00</w:t>
            </w:r>
          </w:p>
        </w:tc>
        <w:tc>
          <w:tcPr>
            <w:tcW w:w="1377" w:type="dxa"/>
            <w:tcBorders>
              <w:top w:val="nil"/>
              <w:left w:val="nil"/>
              <w:bottom w:val="nil"/>
              <w:right w:val="single" w:sz="4" w:space="0" w:color="auto"/>
            </w:tcBorders>
            <w:shd w:val="clear" w:color="auto" w:fill="auto"/>
            <w:noWrap/>
            <w:vAlign w:val="bottom"/>
            <w:hideMark/>
          </w:tcPr>
          <w:p>
            <w:pPr>
              <w:ind w:right="175"/>
              <w:jc w:val="right"/>
              <w:rPr>
                <w:noProof/>
                <w:sz w:val="22"/>
                <w:szCs w:val="22"/>
              </w:rPr>
            </w:pPr>
            <w:r>
              <w:rPr>
                <w:noProof/>
                <w:sz w:val="22"/>
                <w:szCs w:val="22"/>
              </w:rPr>
              <w:t>0.0%</w:t>
            </w:r>
          </w:p>
        </w:tc>
      </w:tr>
      <w:tr>
        <w:trPr>
          <w:trHeight w:val="270"/>
        </w:trPr>
        <w:tc>
          <w:tcPr>
            <w:tcW w:w="4361" w:type="dxa"/>
            <w:tcBorders>
              <w:top w:val="nil"/>
              <w:left w:val="single" w:sz="4" w:space="0" w:color="auto"/>
              <w:bottom w:val="nil"/>
              <w:right w:val="nil"/>
            </w:tcBorders>
            <w:shd w:val="clear" w:color="auto" w:fill="auto"/>
            <w:noWrap/>
            <w:vAlign w:val="bottom"/>
            <w:hideMark/>
          </w:tcPr>
          <w:p>
            <w:pPr>
              <w:rPr>
                <w:noProof/>
                <w:sz w:val="22"/>
                <w:szCs w:val="22"/>
              </w:rPr>
            </w:pPr>
            <w:r>
              <w:rPr>
                <w:noProof/>
                <w:sz w:val="22"/>
                <w:szCs w:val="22"/>
              </w:rPr>
              <w:t>Interest income on AFS assets</w:t>
            </w:r>
          </w:p>
        </w:tc>
        <w:tc>
          <w:tcPr>
            <w:tcW w:w="997" w:type="dxa"/>
            <w:tcBorders>
              <w:top w:val="nil"/>
              <w:left w:val="single" w:sz="4" w:space="0" w:color="auto"/>
              <w:bottom w:val="nil"/>
              <w:right w:val="nil"/>
            </w:tcBorders>
            <w:shd w:val="clear" w:color="auto" w:fill="auto"/>
            <w:noWrap/>
            <w:vAlign w:val="bottom"/>
            <w:hideMark/>
          </w:tcPr>
          <w:p>
            <w:pPr>
              <w:jc w:val="right"/>
              <w:rPr>
                <w:noProof/>
                <w:sz w:val="22"/>
                <w:szCs w:val="22"/>
              </w:rPr>
            </w:pPr>
            <w:r>
              <w:rPr>
                <w:noProof/>
                <w:sz w:val="22"/>
                <w:szCs w:val="22"/>
              </w:rPr>
              <w:t>6.29</w:t>
            </w:r>
          </w:p>
        </w:tc>
        <w:tc>
          <w:tcPr>
            <w:tcW w:w="1413" w:type="dxa"/>
            <w:tcBorders>
              <w:top w:val="nil"/>
              <w:left w:val="nil"/>
              <w:bottom w:val="nil"/>
              <w:right w:val="single" w:sz="4" w:space="0" w:color="auto"/>
            </w:tcBorders>
            <w:shd w:val="clear" w:color="auto" w:fill="auto"/>
            <w:noWrap/>
            <w:vAlign w:val="bottom"/>
            <w:hideMark/>
          </w:tcPr>
          <w:p>
            <w:pPr>
              <w:ind w:right="147"/>
              <w:jc w:val="right"/>
              <w:rPr>
                <w:noProof/>
                <w:sz w:val="22"/>
                <w:szCs w:val="22"/>
              </w:rPr>
            </w:pPr>
            <w:r>
              <w:rPr>
                <w:noProof/>
                <w:sz w:val="22"/>
                <w:szCs w:val="22"/>
              </w:rPr>
              <w:t>52.2%</w:t>
            </w:r>
          </w:p>
        </w:tc>
        <w:tc>
          <w:tcPr>
            <w:tcW w:w="1066" w:type="dxa"/>
            <w:tcBorders>
              <w:top w:val="nil"/>
              <w:left w:val="nil"/>
              <w:bottom w:val="nil"/>
              <w:right w:val="nil"/>
            </w:tcBorders>
            <w:shd w:val="clear" w:color="auto" w:fill="auto"/>
            <w:noWrap/>
            <w:vAlign w:val="bottom"/>
            <w:hideMark/>
          </w:tcPr>
          <w:p>
            <w:pPr>
              <w:jc w:val="right"/>
              <w:rPr>
                <w:noProof/>
                <w:sz w:val="22"/>
                <w:szCs w:val="22"/>
              </w:rPr>
            </w:pPr>
            <w:r>
              <w:rPr>
                <w:noProof/>
                <w:sz w:val="22"/>
                <w:szCs w:val="22"/>
              </w:rPr>
              <w:t>8.76</w:t>
            </w:r>
          </w:p>
        </w:tc>
        <w:tc>
          <w:tcPr>
            <w:tcW w:w="1377" w:type="dxa"/>
            <w:tcBorders>
              <w:top w:val="nil"/>
              <w:left w:val="nil"/>
              <w:bottom w:val="nil"/>
              <w:right w:val="single" w:sz="4" w:space="0" w:color="auto"/>
            </w:tcBorders>
            <w:shd w:val="clear" w:color="auto" w:fill="auto"/>
            <w:noWrap/>
            <w:vAlign w:val="bottom"/>
            <w:hideMark/>
          </w:tcPr>
          <w:p>
            <w:pPr>
              <w:ind w:right="175"/>
              <w:jc w:val="right"/>
              <w:rPr>
                <w:noProof/>
                <w:sz w:val="22"/>
                <w:szCs w:val="22"/>
              </w:rPr>
            </w:pPr>
            <w:r>
              <w:rPr>
                <w:noProof/>
                <w:sz w:val="22"/>
                <w:szCs w:val="22"/>
              </w:rPr>
              <w:t>54.9%</w:t>
            </w:r>
          </w:p>
        </w:tc>
      </w:tr>
      <w:tr>
        <w:trPr>
          <w:trHeight w:val="270"/>
        </w:trPr>
        <w:tc>
          <w:tcPr>
            <w:tcW w:w="4361" w:type="dxa"/>
            <w:tcBorders>
              <w:top w:val="nil"/>
              <w:left w:val="single" w:sz="4" w:space="0" w:color="auto"/>
              <w:bottom w:val="nil"/>
              <w:right w:val="nil"/>
            </w:tcBorders>
            <w:shd w:val="clear" w:color="auto" w:fill="auto"/>
            <w:noWrap/>
            <w:vAlign w:val="bottom"/>
            <w:hideMark/>
          </w:tcPr>
          <w:p>
            <w:pPr>
              <w:rPr>
                <w:noProof/>
                <w:sz w:val="22"/>
                <w:szCs w:val="22"/>
              </w:rPr>
            </w:pPr>
            <w:r>
              <w:rPr>
                <w:noProof/>
                <w:sz w:val="22"/>
                <w:szCs w:val="22"/>
              </w:rPr>
              <w:t>Realised gain on sale of AFS assets</w:t>
            </w:r>
          </w:p>
        </w:tc>
        <w:tc>
          <w:tcPr>
            <w:tcW w:w="997" w:type="dxa"/>
            <w:tcBorders>
              <w:top w:val="nil"/>
              <w:left w:val="single" w:sz="4" w:space="0" w:color="auto"/>
              <w:bottom w:val="nil"/>
              <w:right w:val="nil"/>
            </w:tcBorders>
            <w:shd w:val="clear" w:color="auto" w:fill="auto"/>
            <w:noWrap/>
            <w:vAlign w:val="bottom"/>
            <w:hideMark/>
          </w:tcPr>
          <w:p>
            <w:pPr>
              <w:jc w:val="right"/>
              <w:rPr>
                <w:noProof/>
                <w:sz w:val="22"/>
                <w:szCs w:val="22"/>
              </w:rPr>
            </w:pPr>
            <w:r>
              <w:rPr>
                <w:noProof/>
                <w:sz w:val="22"/>
                <w:szCs w:val="22"/>
              </w:rPr>
              <w:t>9.96</w:t>
            </w:r>
          </w:p>
        </w:tc>
        <w:tc>
          <w:tcPr>
            <w:tcW w:w="1413" w:type="dxa"/>
            <w:tcBorders>
              <w:top w:val="nil"/>
              <w:left w:val="nil"/>
              <w:bottom w:val="nil"/>
              <w:right w:val="single" w:sz="4" w:space="0" w:color="auto"/>
            </w:tcBorders>
            <w:shd w:val="clear" w:color="auto" w:fill="auto"/>
            <w:noWrap/>
            <w:vAlign w:val="bottom"/>
            <w:hideMark/>
          </w:tcPr>
          <w:p>
            <w:pPr>
              <w:ind w:right="147"/>
              <w:jc w:val="right"/>
              <w:rPr>
                <w:noProof/>
                <w:sz w:val="22"/>
                <w:szCs w:val="22"/>
              </w:rPr>
            </w:pPr>
            <w:r>
              <w:rPr>
                <w:noProof/>
                <w:sz w:val="22"/>
                <w:szCs w:val="22"/>
              </w:rPr>
              <w:t>82.7%</w:t>
            </w:r>
          </w:p>
        </w:tc>
        <w:tc>
          <w:tcPr>
            <w:tcW w:w="1066" w:type="dxa"/>
            <w:tcBorders>
              <w:top w:val="nil"/>
              <w:left w:val="nil"/>
              <w:bottom w:val="nil"/>
              <w:right w:val="nil"/>
            </w:tcBorders>
            <w:shd w:val="clear" w:color="auto" w:fill="auto"/>
            <w:noWrap/>
            <w:vAlign w:val="bottom"/>
            <w:hideMark/>
          </w:tcPr>
          <w:p>
            <w:pPr>
              <w:jc w:val="right"/>
              <w:rPr>
                <w:noProof/>
                <w:sz w:val="22"/>
                <w:szCs w:val="22"/>
              </w:rPr>
            </w:pPr>
            <w:r>
              <w:rPr>
                <w:noProof/>
                <w:sz w:val="22"/>
                <w:szCs w:val="22"/>
              </w:rPr>
              <w:t>9.20</w:t>
            </w:r>
          </w:p>
        </w:tc>
        <w:tc>
          <w:tcPr>
            <w:tcW w:w="1377" w:type="dxa"/>
            <w:tcBorders>
              <w:top w:val="nil"/>
              <w:left w:val="nil"/>
              <w:bottom w:val="nil"/>
              <w:right w:val="single" w:sz="4" w:space="0" w:color="auto"/>
            </w:tcBorders>
            <w:shd w:val="clear" w:color="auto" w:fill="auto"/>
            <w:noWrap/>
            <w:vAlign w:val="bottom"/>
            <w:hideMark/>
          </w:tcPr>
          <w:p>
            <w:pPr>
              <w:ind w:right="175"/>
              <w:jc w:val="right"/>
              <w:rPr>
                <w:noProof/>
                <w:sz w:val="22"/>
                <w:szCs w:val="22"/>
              </w:rPr>
            </w:pPr>
            <w:r>
              <w:rPr>
                <w:noProof/>
                <w:sz w:val="22"/>
                <w:szCs w:val="22"/>
              </w:rPr>
              <w:t>57.6%</w:t>
            </w:r>
          </w:p>
        </w:tc>
      </w:tr>
      <w:tr>
        <w:trPr>
          <w:trHeight w:val="270"/>
        </w:trPr>
        <w:tc>
          <w:tcPr>
            <w:tcW w:w="4361" w:type="dxa"/>
            <w:tcBorders>
              <w:top w:val="nil"/>
              <w:left w:val="single" w:sz="4" w:space="0" w:color="auto"/>
              <w:bottom w:val="nil"/>
              <w:right w:val="nil"/>
            </w:tcBorders>
            <w:shd w:val="clear" w:color="auto" w:fill="auto"/>
            <w:noWrap/>
            <w:vAlign w:val="bottom"/>
            <w:hideMark/>
          </w:tcPr>
          <w:p>
            <w:pPr>
              <w:rPr>
                <w:noProof/>
                <w:sz w:val="22"/>
                <w:szCs w:val="22"/>
              </w:rPr>
            </w:pPr>
            <w:r>
              <w:rPr>
                <w:noProof/>
                <w:sz w:val="22"/>
                <w:szCs w:val="22"/>
              </w:rPr>
              <w:t>Income from securities lending activity</w:t>
            </w:r>
          </w:p>
        </w:tc>
        <w:tc>
          <w:tcPr>
            <w:tcW w:w="997" w:type="dxa"/>
            <w:tcBorders>
              <w:top w:val="nil"/>
              <w:left w:val="single" w:sz="4" w:space="0" w:color="auto"/>
              <w:bottom w:val="nil"/>
              <w:right w:val="nil"/>
            </w:tcBorders>
            <w:shd w:val="clear" w:color="auto" w:fill="auto"/>
            <w:noWrap/>
            <w:vAlign w:val="bottom"/>
            <w:hideMark/>
          </w:tcPr>
          <w:p>
            <w:pPr>
              <w:jc w:val="right"/>
              <w:rPr>
                <w:noProof/>
                <w:sz w:val="22"/>
                <w:szCs w:val="22"/>
              </w:rPr>
            </w:pPr>
            <w:r>
              <w:rPr>
                <w:noProof/>
                <w:sz w:val="22"/>
                <w:szCs w:val="22"/>
              </w:rPr>
              <w:t>0.08</w:t>
            </w:r>
          </w:p>
        </w:tc>
        <w:tc>
          <w:tcPr>
            <w:tcW w:w="1413" w:type="dxa"/>
            <w:tcBorders>
              <w:top w:val="nil"/>
              <w:left w:val="nil"/>
              <w:bottom w:val="nil"/>
              <w:right w:val="single" w:sz="4" w:space="0" w:color="auto"/>
            </w:tcBorders>
            <w:shd w:val="clear" w:color="auto" w:fill="auto"/>
            <w:noWrap/>
            <w:vAlign w:val="bottom"/>
            <w:hideMark/>
          </w:tcPr>
          <w:p>
            <w:pPr>
              <w:ind w:right="147"/>
              <w:jc w:val="right"/>
              <w:rPr>
                <w:noProof/>
                <w:sz w:val="22"/>
                <w:szCs w:val="22"/>
              </w:rPr>
            </w:pPr>
            <w:r>
              <w:rPr>
                <w:noProof/>
                <w:sz w:val="22"/>
                <w:szCs w:val="22"/>
              </w:rPr>
              <w:t>0.7%</w:t>
            </w:r>
          </w:p>
        </w:tc>
        <w:tc>
          <w:tcPr>
            <w:tcW w:w="1066" w:type="dxa"/>
            <w:tcBorders>
              <w:top w:val="nil"/>
              <w:left w:val="nil"/>
              <w:bottom w:val="nil"/>
              <w:right w:val="nil"/>
            </w:tcBorders>
            <w:shd w:val="clear" w:color="auto" w:fill="auto"/>
            <w:noWrap/>
            <w:vAlign w:val="bottom"/>
            <w:hideMark/>
          </w:tcPr>
          <w:p>
            <w:pPr>
              <w:jc w:val="right"/>
              <w:rPr>
                <w:noProof/>
                <w:sz w:val="22"/>
                <w:szCs w:val="22"/>
              </w:rPr>
            </w:pPr>
            <w:r>
              <w:rPr>
                <w:noProof/>
                <w:sz w:val="22"/>
                <w:szCs w:val="22"/>
              </w:rPr>
              <w:t>0.10</w:t>
            </w:r>
          </w:p>
        </w:tc>
        <w:tc>
          <w:tcPr>
            <w:tcW w:w="1377" w:type="dxa"/>
            <w:tcBorders>
              <w:top w:val="nil"/>
              <w:left w:val="nil"/>
              <w:bottom w:val="nil"/>
              <w:right w:val="single" w:sz="4" w:space="0" w:color="auto"/>
            </w:tcBorders>
            <w:shd w:val="clear" w:color="auto" w:fill="auto"/>
            <w:noWrap/>
            <w:vAlign w:val="bottom"/>
            <w:hideMark/>
          </w:tcPr>
          <w:p>
            <w:pPr>
              <w:ind w:right="175"/>
              <w:jc w:val="right"/>
              <w:rPr>
                <w:noProof/>
                <w:sz w:val="22"/>
                <w:szCs w:val="22"/>
              </w:rPr>
            </w:pPr>
            <w:r>
              <w:rPr>
                <w:noProof/>
                <w:sz w:val="22"/>
                <w:szCs w:val="22"/>
              </w:rPr>
              <w:t>0.6%</w:t>
            </w:r>
          </w:p>
        </w:tc>
      </w:tr>
      <w:tr>
        <w:trPr>
          <w:trHeight w:val="270"/>
        </w:trPr>
        <w:tc>
          <w:tcPr>
            <w:tcW w:w="4361" w:type="dxa"/>
            <w:tcBorders>
              <w:top w:val="nil"/>
              <w:left w:val="single" w:sz="4" w:space="0" w:color="auto"/>
              <w:bottom w:val="nil"/>
              <w:right w:val="nil"/>
            </w:tcBorders>
            <w:shd w:val="clear" w:color="auto" w:fill="auto"/>
            <w:noWrap/>
            <w:vAlign w:val="bottom"/>
          </w:tcPr>
          <w:p>
            <w:pPr>
              <w:rPr>
                <w:noProof/>
                <w:sz w:val="22"/>
                <w:szCs w:val="22"/>
              </w:rPr>
            </w:pPr>
            <w:r>
              <w:rPr>
                <w:noProof/>
                <w:sz w:val="22"/>
                <w:szCs w:val="22"/>
              </w:rPr>
              <w:t>Interest expense on cash and cash equivalents</w:t>
            </w:r>
          </w:p>
        </w:tc>
        <w:tc>
          <w:tcPr>
            <w:tcW w:w="997" w:type="dxa"/>
            <w:tcBorders>
              <w:top w:val="nil"/>
              <w:left w:val="single" w:sz="4" w:space="0" w:color="auto"/>
              <w:bottom w:val="nil"/>
              <w:right w:val="nil"/>
            </w:tcBorders>
            <w:shd w:val="clear" w:color="auto" w:fill="auto"/>
            <w:noWrap/>
            <w:vAlign w:val="bottom"/>
          </w:tcPr>
          <w:p>
            <w:pPr>
              <w:jc w:val="right"/>
              <w:rPr>
                <w:noProof/>
                <w:sz w:val="22"/>
                <w:szCs w:val="22"/>
              </w:rPr>
            </w:pPr>
            <w:r>
              <w:rPr>
                <w:noProof/>
                <w:sz w:val="22"/>
                <w:szCs w:val="22"/>
              </w:rPr>
              <w:t>-0.86</w:t>
            </w:r>
          </w:p>
        </w:tc>
        <w:tc>
          <w:tcPr>
            <w:tcW w:w="1413" w:type="dxa"/>
            <w:tcBorders>
              <w:top w:val="nil"/>
              <w:left w:val="nil"/>
              <w:bottom w:val="nil"/>
              <w:right w:val="single" w:sz="4" w:space="0" w:color="auto"/>
            </w:tcBorders>
            <w:shd w:val="clear" w:color="auto" w:fill="auto"/>
            <w:noWrap/>
            <w:vAlign w:val="bottom"/>
          </w:tcPr>
          <w:p>
            <w:pPr>
              <w:ind w:right="147"/>
              <w:jc w:val="right"/>
              <w:rPr>
                <w:noProof/>
                <w:sz w:val="22"/>
                <w:szCs w:val="22"/>
              </w:rPr>
            </w:pPr>
            <w:r>
              <w:rPr>
                <w:noProof/>
                <w:sz w:val="22"/>
                <w:szCs w:val="22"/>
              </w:rPr>
              <w:t>-7.1%</w:t>
            </w:r>
          </w:p>
        </w:tc>
        <w:tc>
          <w:tcPr>
            <w:tcW w:w="1066" w:type="dxa"/>
            <w:tcBorders>
              <w:top w:val="nil"/>
              <w:left w:val="nil"/>
              <w:bottom w:val="nil"/>
              <w:right w:val="nil"/>
            </w:tcBorders>
            <w:shd w:val="clear" w:color="auto" w:fill="auto"/>
            <w:noWrap/>
            <w:vAlign w:val="bottom"/>
          </w:tcPr>
          <w:p>
            <w:pPr>
              <w:jc w:val="right"/>
              <w:rPr>
                <w:noProof/>
                <w:sz w:val="22"/>
                <w:szCs w:val="22"/>
              </w:rPr>
            </w:pPr>
            <w:r>
              <w:rPr>
                <w:noProof/>
                <w:sz w:val="22"/>
                <w:szCs w:val="22"/>
              </w:rPr>
              <w:t>-0.96</w:t>
            </w:r>
          </w:p>
        </w:tc>
        <w:tc>
          <w:tcPr>
            <w:tcW w:w="1377" w:type="dxa"/>
            <w:tcBorders>
              <w:top w:val="nil"/>
              <w:left w:val="nil"/>
              <w:bottom w:val="nil"/>
              <w:right w:val="single" w:sz="4" w:space="0" w:color="auto"/>
            </w:tcBorders>
            <w:shd w:val="clear" w:color="auto" w:fill="auto"/>
            <w:noWrap/>
            <w:vAlign w:val="bottom"/>
          </w:tcPr>
          <w:p>
            <w:pPr>
              <w:ind w:right="175"/>
              <w:jc w:val="right"/>
              <w:rPr>
                <w:noProof/>
                <w:sz w:val="22"/>
                <w:szCs w:val="22"/>
              </w:rPr>
            </w:pPr>
            <w:r>
              <w:rPr>
                <w:noProof/>
                <w:sz w:val="22"/>
                <w:szCs w:val="22"/>
              </w:rPr>
              <w:t>-6.0%</w:t>
            </w:r>
          </w:p>
        </w:tc>
      </w:tr>
      <w:tr>
        <w:trPr>
          <w:trHeight w:val="270"/>
        </w:trPr>
        <w:tc>
          <w:tcPr>
            <w:tcW w:w="4361" w:type="dxa"/>
            <w:tcBorders>
              <w:top w:val="nil"/>
              <w:left w:val="single" w:sz="4" w:space="0" w:color="auto"/>
              <w:bottom w:val="nil"/>
              <w:right w:val="nil"/>
            </w:tcBorders>
            <w:shd w:val="clear" w:color="auto" w:fill="auto"/>
            <w:noWrap/>
            <w:vAlign w:val="bottom"/>
          </w:tcPr>
          <w:p>
            <w:pPr>
              <w:rPr>
                <w:noProof/>
                <w:sz w:val="22"/>
                <w:szCs w:val="22"/>
              </w:rPr>
            </w:pPr>
            <w:r>
              <w:rPr>
                <w:noProof/>
                <w:sz w:val="22"/>
                <w:szCs w:val="22"/>
              </w:rPr>
              <w:t>Realised loss on sale of AFS assets</w:t>
            </w:r>
          </w:p>
        </w:tc>
        <w:tc>
          <w:tcPr>
            <w:tcW w:w="997" w:type="dxa"/>
            <w:tcBorders>
              <w:top w:val="nil"/>
              <w:left w:val="single" w:sz="4" w:space="0" w:color="auto"/>
              <w:bottom w:val="nil"/>
              <w:right w:val="nil"/>
            </w:tcBorders>
            <w:shd w:val="clear" w:color="auto" w:fill="auto"/>
            <w:noWrap/>
            <w:vAlign w:val="bottom"/>
          </w:tcPr>
          <w:p>
            <w:pPr>
              <w:jc w:val="right"/>
              <w:rPr>
                <w:noProof/>
                <w:sz w:val="22"/>
                <w:szCs w:val="22"/>
              </w:rPr>
            </w:pPr>
            <w:r>
              <w:rPr>
                <w:noProof/>
                <w:sz w:val="22"/>
                <w:szCs w:val="22"/>
              </w:rPr>
              <w:t>-0.45</w:t>
            </w:r>
          </w:p>
        </w:tc>
        <w:tc>
          <w:tcPr>
            <w:tcW w:w="1413" w:type="dxa"/>
            <w:tcBorders>
              <w:top w:val="nil"/>
              <w:left w:val="nil"/>
              <w:bottom w:val="nil"/>
              <w:right w:val="single" w:sz="4" w:space="0" w:color="auto"/>
            </w:tcBorders>
            <w:shd w:val="clear" w:color="auto" w:fill="auto"/>
            <w:noWrap/>
            <w:vAlign w:val="bottom"/>
          </w:tcPr>
          <w:p>
            <w:pPr>
              <w:ind w:right="147"/>
              <w:jc w:val="right"/>
              <w:rPr>
                <w:noProof/>
                <w:sz w:val="22"/>
                <w:szCs w:val="22"/>
              </w:rPr>
            </w:pPr>
            <w:r>
              <w:rPr>
                <w:noProof/>
                <w:sz w:val="22"/>
                <w:szCs w:val="22"/>
              </w:rPr>
              <w:t>-3.7%</w:t>
            </w:r>
          </w:p>
        </w:tc>
        <w:tc>
          <w:tcPr>
            <w:tcW w:w="1066" w:type="dxa"/>
            <w:tcBorders>
              <w:top w:val="nil"/>
              <w:left w:val="nil"/>
              <w:bottom w:val="nil"/>
              <w:right w:val="nil"/>
            </w:tcBorders>
            <w:shd w:val="clear" w:color="auto" w:fill="auto"/>
            <w:noWrap/>
            <w:vAlign w:val="bottom"/>
          </w:tcPr>
          <w:p>
            <w:pPr>
              <w:jc w:val="right"/>
              <w:rPr>
                <w:noProof/>
                <w:sz w:val="22"/>
                <w:szCs w:val="22"/>
              </w:rPr>
            </w:pPr>
            <w:r>
              <w:rPr>
                <w:noProof/>
                <w:sz w:val="22"/>
                <w:szCs w:val="22"/>
              </w:rPr>
              <w:t>-0.03</w:t>
            </w:r>
          </w:p>
        </w:tc>
        <w:tc>
          <w:tcPr>
            <w:tcW w:w="1377" w:type="dxa"/>
            <w:tcBorders>
              <w:top w:val="nil"/>
              <w:left w:val="nil"/>
              <w:bottom w:val="nil"/>
              <w:right w:val="single" w:sz="4" w:space="0" w:color="auto"/>
            </w:tcBorders>
            <w:shd w:val="clear" w:color="auto" w:fill="auto"/>
            <w:noWrap/>
            <w:vAlign w:val="bottom"/>
          </w:tcPr>
          <w:p>
            <w:pPr>
              <w:ind w:right="175"/>
              <w:jc w:val="right"/>
              <w:rPr>
                <w:noProof/>
                <w:sz w:val="22"/>
                <w:szCs w:val="22"/>
              </w:rPr>
            </w:pPr>
            <w:r>
              <w:rPr>
                <w:noProof/>
                <w:sz w:val="22"/>
                <w:szCs w:val="22"/>
              </w:rPr>
              <w:t>-0.2%</w:t>
            </w:r>
          </w:p>
        </w:tc>
      </w:tr>
      <w:tr>
        <w:trPr>
          <w:trHeight w:val="270"/>
        </w:trPr>
        <w:tc>
          <w:tcPr>
            <w:tcW w:w="4361" w:type="dxa"/>
            <w:tcBorders>
              <w:top w:val="nil"/>
              <w:left w:val="single" w:sz="4" w:space="0" w:color="auto"/>
              <w:bottom w:val="nil"/>
              <w:right w:val="nil"/>
            </w:tcBorders>
            <w:shd w:val="clear" w:color="auto" w:fill="auto"/>
            <w:noWrap/>
            <w:vAlign w:val="bottom"/>
            <w:hideMark/>
          </w:tcPr>
          <w:p>
            <w:pPr>
              <w:rPr>
                <w:noProof/>
                <w:sz w:val="22"/>
                <w:szCs w:val="22"/>
              </w:rPr>
            </w:pPr>
            <w:r>
              <w:rPr>
                <w:noProof/>
                <w:sz w:val="22"/>
                <w:szCs w:val="22"/>
              </w:rPr>
              <w:t>Commission and other charges</w:t>
            </w:r>
          </w:p>
        </w:tc>
        <w:tc>
          <w:tcPr>
            <w:tcW w:w="997" w:type="dxa"/>
            <w:tcBorders>
              <w:top w:val="nil"/>
              <w:left w:val="single" w:sz="4" w:space="0" w:color="auto"/>
              <w:bottom w:val="nil"/>
              <w:right w:val="nil"/>
            </w:tcBorders>
            <w:shd w:val="clear" w:color="auto" w:fill="auto"/>
            <w:noWrap/>
            <w:vAlign w:val="bottom"/>
            <w:hideMark/>
          </w:tcPr>
          <w:p>
            <w:pPr>
              <w:jc w:val="right"/>
              <w:rPr>
                <w:noProof/>
                <w:sz w:val="22"/>
                <w:szCs w:val="22"/>
              </w:rPr>
            </w:pPr>
            <w:r>
              <w:rPr>
                <w:noProof/>
                <w:sz w:val="22"/>
                <w:szCs w:val="22"/>
              </w:rPr>
              <w:t>-2.98</w:t>
            </w:r>
          </w:p>
        </w:tc>
        <w:tc>
          <w:tcPr>
            <w:tcW w:w="1413" w:type="dxa"/>
            <w:tcBorders>
              <w:top w:val="nil"/>
              <w:left w:val="nil"/>
              <w:bottom w:val="nil"/>
              <w:right w:val="single" w:sz="4" w:space="0" w:color="auto"/>
            </w:tcBorders>
            <w:shd w:val="clear" w:color="auto" w:fill="auto"/>
            <w:noWrap/>
            <w:vAlign w:val="bottom"/>
            <w:hideMark/>
          </w:tcPr>
          <w:p>
            <w:pPr>
              <w:ind w:right="147"/>
              <w:jc w:val="right"/>
              <w:rPr>
                <w:noProof/>
                <w:sz w:val="22"/>
                <w:szCs w:val="22"/>
              </w:rPr>
            </w:pPr>
            <w:r>
              <w:rPr>
                <w:noProof/>
                <w:sz w:val="22"/>
                <w:szCs w:val="22"/>
              </w:rPr>
              <w:t>-24.8%</w:t>
            </w:r>
          </w:p>
        </w:tc>
        <w:tc>
          <w:tcPr>
            <w:tcW w:w="1066" w:type="dxa"/>
            <w:tcBorders>
              <w:top w:val="nil"/>
              <w:left w:val="nil"/>
              <w:bottom w:val="nil"/>
              <w:right w:val="nil"/>
            </w:tcBorders>
            <w:shd w:val="clear" w:color="auto" w:fill="auto"/>
            <w:noWrap/>
            <w:vAlign w:val="bottom"/>
            <w:hideMark/>
          </w:tcPr>
          <w:p>
            <w:pPr>
              <w:jc w:val="right"/>
              <w:rPr>
                <w:noProof/>
                <w:sz w:val="22"/>
                <w:szCs w:val="22"/>
              </w:rPr>
            </w:pPr>
            <w:r>
              <w:rPr>
                <w:noProof/>
                <w:sz w:val="22"/>
                <w:szCs w:val="22"/>
              </w:rPr>
              <w:t>-1.10</w:t>
            </w:r>
          </w:p>
        </w:tc>
        <w:tc>
          <w:tcPr>
            <w:tcW w:w="1377" w:type="dxa"/>
            <w:tcBorders>
              <w:top w:val="nil"/>
              <w:left w:val="nil"/>
              <w:bottom w:val="nil"/>
              <w:right w:val="single" w:sz="4" w:space="0" w:color="auto"/>
            </w:tcBorders>
            <w:shd w:val="clear" w:color="auto" w:fill="auto"/>
            <w:noWrap/>
            <w:vAlign w:val="bottom"/>
            <w:hideMark/>
          </w:tcPr>
          <w:p>
            <w:pPr>
              <w:ind w:right="175"/>
              <w:jc w:val="right"/>
              <w:rPr>
                <w:noProof/>
                <w:sz w:val="22"/>
                <w:szCs w:val="22"/>
              </w:rPr>
            </w:pPr>
            <w:r>
              <w:rPr>
                <w:noProof/>
                <w:sz w:val="22"/>
                <w:szCs w:val="22"/>
              </w:rPr>
              <w:t>-6.9%</w:t>
            </w:r>
          </w:p>
        </w:tc>
      </w:tr>
      <w:tr>
        <w:trPr>
          <w:trHeight w:val="153"/>
        </w:trPr>
        <w:tc>
          <w:tcPr>
            <w:tcW w:w="4361" w:type="dxa"/>
            <w:tcBorders>
              <w:top w:val="nil"/>
              <w:left w:val="single" w:sz="4" w:space="0" w:color="auto"/>
              <w:bottom w:val="nil"/>
              <w:right w:val="nil"/>
            </w:tcBorders>
            <w:shd w:val="clear" w:color="auto" w:fill="auto"/>
            <w:noWrap/>
            <w:vAlign w:val="bottom"/>
            <w:hideMark/>
          </w:tcPr>
          <w:p>
            <w:pPr>
              <w:rPr>
                <w:noProof/>
                <w:sz w:val="22"/>
                <w:szCs w:val="22"/>
              </w:rPr>
            </w:pPr>
            <w:r>
              <w:rPr>
                <w:noProof/>
                <w:sz w:val="22"/>
                <w:szCs w:val="22"/>
              </w:rPr>
              <w:t> </w:t>
            </w:r>
          </w:p>
        </w:tc>
        <w:tc>
          <w:tcPr>
            <w:tcW w:w="997" w:type="dxa"/>
            <w:tcBorders>
              <w:top w:val="nil"/>
              <w:left w:val="single" w:sz="4" w:space="0" w:color="auto"/>
              <w:bottom w:val="nil"/>
              <w:right w:val="nil"/>
            </w:tcBorders>
            <w:shd w:val="clear" w:color="auto" w:fill="auto"/>
            <w:noWrap/>
            <w:vAlign w:val="bottom"/>
            <w:hideMark/>
          </w:tcPr>
          <w:p>
            <w:pPr>
              <w:jc w:val="right"/>
              <w:rPr>
                <w:noProof/>
                <w:sz w:val="22"/>
                <w:szCs w:val="22"/>
              </w:rPr>
            </w:pPr>
          </w:p>
        </w:tc>
        <w:tc>
          <w:tcPr>
            <w:tcW w:w="1413" w:type="dxa"/>
            <w:tcBorders>
              <w:top w:val="nil"/>
              <w:left w:val="nil"/>
              <w:bottom w:val="nil"/>
              <w:right w:val="single" w:sz="4" w:space="0" w:color="auto"/>
            </w:tcBorders>
            <w:shd w:val="clear" w:color="auto" w:fill="auto"/>
            <w:noWrap/>
            <w:vAlign w:val="bottom"/>
            <w:hideMark/>
          </w:tcPr>
          <w:p>
            <w:pPr>
              <w:jc w:val="right"/>
              <w:rPr>
                <w:noProof/>
                <w:sz w:val="22"/>
                <w:szCs w:val="22"/>
              </w:rPr>
            </w:pPr>
          </w:p>
        </w:tc>
        <w:tc>
          <w:tcPr>
            <w:tcW w:w="1066" w:type="dxa"/>
            <w:tcBorders>
              <w:top w:val="nil"/>
              <w:left w:val="nil"/>
              <w:bottom w:val="nil"/>
              <w:right w:val="nil"/>
            </w:tcBorders>
            <w:shd w:val="clear" w:color="auto" w:fill="auto"/>
            <w:noWrap/>
            <w:vAlign w:val="bottom"/>
            <w:hideMark/>
          </w:tcPr>
          <w:p>
            <w:pPr>
              <w:jc w:val="right"/>
              <w:rPr>
                <w:noProof/>
                <w:sz w:val="22"/>
                <w:szCs w:val="22"/>
              </w:rPr>
            </w:pPr>
          </w:p>
        </w:tc>
        <w:tc>
          <w:tcPr>
            <w:tcW w:w="1377" w:type="dxa"/>
            <w:tcBorders>
              <w:top w:val="nil"/>
              <w:left w:val="nil"/>
              <w:bottom w:val="nil"/>
              <w:right w:val="single" w:sz="4" w:space="0" w:color="auto"/>
            </w:tcBorders>
            <w:shd w:val="clear" w:color="auto" w:fill="auto"/>
            <w:noWrap/>
            <w:vAlign w:val="bottom"/>
            <w:hideMark/>
          </w:tcPr>
          <w:p>
            <w:pPr>
              <w:jc w:val="right"/>
              <w:rPr>
                <w:noProof/>
                <w:sz w:val="22"/>
                <w:szCs w:val="22"/>
              </w:rPr>
            </w:pPr>
          </w:p>
        </w:tc>
      </w:tr>
      <w:tr>
        <w:trPr>
          <w:trHeight w:val="517"/>
        </w:trPr>
        <w:tc>
          <w:tcPr>
            <w:tcW w:w="4361" w:type="dxa"/>
            <w:tcBorders>
              <w:top w:val="single" w:sz="4" w:space="0" w:color="auto"/>
              <w:left w:val="single" w:sz="4" w:space="0" w:color="auto"/>
              <w:bottom w:val="single" w:sz="4" w:space="0" w:color="auto"/>
              <w:right w:val="nil"/>
            </w:tcBorders>
            <w:shd w:val="clear" w:color="auto" w:fill="auto"/>
            <w:noWrap/>
            <w:vAlign w:val="center"/>
            <w:hideMark/>
          </w:tcPr>
          <w:p>
            <w:pPr>
              <w:jc w:val="center"/>
              <w:rPr>
                <w:b/>
                <w:bCs/>
                <w:noProof/>
                <w:sz w:val="22"/>
                <w:szCs w:val="22"/>
              </w:rPr>
            </w:pPr>
            <w:r>
              <w:rPr>
                <w:b/>
                <w:bCs/>
                <w:noProof/>
                <w:sz w:val="22"/>
                <w:szCs w:val="22"/>
              </w:rPr>
              <w:t>Total</w:t>
            </w:r>
          </w:p>
        </w:tc>
        <w:tc>
          <w:tcPr>
            <w:tcW w:w="997" w:type="dxa"/>
            <w:tcBorders>
              <w:top w:val="single" w:sz="4" w:space="0" w:color="auto"/>
              <w:left w:val="single" w:sz="4" w:space="0" w:color="auto"/>
              <w:bottom w:val="single" w:sz="4" w:space="0" w:color="auto"/>
              <w:right w:val="nil"/>
            </w:tcBorders>
            <w:shd w:val="clear" w:color="auto" w:fill="auto"/>
            <w:noWrap/>
            <w:vAlign w:val="center"/>
            <w:hideMark/>
          </w:tcPr>
          <w:p>
            <w:pPr>
              <w:jc w:val="right"/>
              <w:rPr>
                <w:b/>
                <w:bCs/>
                <w:noProof/>
                <w:sz w:val="22"/>
                <w:szCs w:val="22"/>
              </w:rPr>
            </w:pPr>
            <w:r>
              <w:rPr>
                <w:b/>
                <w:bCs/>
                <w:noProof/>
                <w:sz w:val="22"/>
                <w:szCs w:val="22"/>
              </w:rPr>
              <w:t>12.04</w:t>
            </w:r>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pPr>
              <w:jc w:val="right"/>
              <w:rPr>
                <w:b/>
                <w:bCs/>
                <w:noProof/>
                <w:sz w:val="22"/>
                <w:szCs w:val="22"/>
              </w:rPr>
            </w:pPr>
            <w:r>
              <w:rPr>
                <w:b/>
                <w:bCs/>
                <w:noProof/>
                <w:sz w:val="22"/>
                <w:szCs w:val="22"/>
              </w:rPr>
              <w:t>100.0%</w:t>
            </w:r>
          </w:p>
        </w:tc>
        <w:tc>
          <w:tcPr>
            <w:tcW w:w="1066" w:type="dxa"/>
            <w:tcBorders>
              <w:top w:val="single" w:sz="4" w:space="0" w:color="auto"/>
              <w:left w:val="nil"/>
              <w:bottom w:val="single" w:sz="4" w:space="0" w:color="auto"/>
              <w:right w:val="nil"/>
            </w:tcBorders>
            <w:shd w:val="clear" w:color="auto" w:fill="auto"/>
            <w:noWrap/>
            <w:vAlign w:val="center"/>
            <w:hideMark/>
          </w:tcPr>
          <w:p>
            <w:pPr>
              <w:jc w:val="right"/>
              <w:rPr>
                <w:b/>
                <w:bCs/>
                <w:noProof/>
                <w:sz w:val="22"/>
                <w:szCs w:val="22"/>
              </w:rPr>
            </w:pPr>
            <w:r>
              <w:rPr>
                <w:b/>
                <w:bCs/>
                <w:noProof/>
                <w:sz w:val="22"/>
                <w:szCs w:val="22"/>
              </w:rPr>
              <w:t>15.97</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pPr>
              <w:jc w:val="center"/>
              <w:rPr>
                <w:b/>
                <w:bCs/>
                <w:noProof/>
                <w:sz w:val="22"/>
                <w:szCs w:val="22"/>
              </w:rPr>
            </w:pPr>
            <w:r>
              <w:rPr>
                <w:b/>
                <w:bCs/>
                <w:noProof/>
                <w:sz w:val="22"/>
                <w:szCs w:val="22"/>
              </w:rPr>
              <w:t>100.0%</w:t>
            </w:r>
          </w:p>
        </w:tc>
      </w:tr>
    </w:tbl>
    <w:p>
      <w:pPr>
        <w:ind w:left="851"/>
        <w:rPr>
          <w:noProof/>
        </w:rPr>
      </w:pPr>
    </w:p>
    <w:p>
      <w:pPr>
        <w:pStyle w:val="ManualHeading3"/>
        <w:rPr>
          <w:noProof/>
        </w:rPr>
      </w:pPr>
      <w:bookmarkStart w:id="40" w:name="_Toc322447896"/>
      <w:bookmarkStart w:id="41" w:name="_Toc449626276"/>
      <w:bookmarkStart w:id="42" w:name="_Toc6923113"/>
      <w:r>
        <w:t>2.3.3.</w:t>
      </w:r>
      <w:r>
        <w:tab/>
      </w:r>
      <w:r>
        <w:rPr>
          <w:noProof/>
        </w:rPr>
        <w:t>Analysis by segment</w:t>
      </w:r>
      <w:bookmarkEnd w:id="40"/>
      <w:bookmarkEnd w:id="41"/>
      <w:bookmarkEnd w:id="42"/>
    </w:p>
    <w:p>
      <w:pPr>
        <w:pStyle w:val="ManualHeading4"/>
        <w:rPr>
          <w:noProof/>
        </w:rPr>
      </w:pPr>
      <w:bookmarkStart w:id="43" w:name="_Toc322447897"/>
      <w:r>
        <w:t>2.3.3.1.</w:t>
      </w:r>
      <w:r>
        <w:tab/>
      </w:r>
      <w:r>
        <w:rPr>
          <w:noProof/>
        </w:rPr>
        <w:t>Analysis of money market operations</w:t>
      </w:r>
      <w:bookmarkEnd w:id="43"/>
    </w:p>
    <w:p>
      <w:pPr>
        <w:pStyle w:val="Text1"/>
        <w:rPr>
          <w:noProof/>
        </w:rPr>
      </w:pPr>
      <w:r>
        <w:rPr>
          <w:noProof/>
        </w:rPr>
        <w:t>Money-market investments (excluding accrued interest) amount to EUR 14.0 million at 31 December 2018, as compared to EUR 224.2 million the year before.</w:t>
      </w:r>
    </w:p>
    <w:p>
      <w:pPr>
        <w:keepNext/>
        <w:numPr>
          <w:ilvl w:val="0"/>
          <w:numId w:val="38"/>
        </w:numPr>
        <w:spacing w:before="120" w:after="120"/>
        <w:ind w:left="567" w:hanging="567"/>
        <w:jc w:val="both"/>
        <w:rPr>
          <w:bCs/>
          <w:i/>
          <w:noProof/>
          <w:lang w:eastAsia="en-US"/>
        </w:rPr>
      </w:pPr>
      <w:r>
        <w:rPr>
          <w:bCs/>
          <w:i/>
          <w:noProof/>
          <w:lang w:eastAsia="en-US"/>
        </w:rPr>
        <w:t>Market development in 2018</w:t>
      </w:r>
    </w:p>
    <w:p>
      <w:pPr>
        <w:pStyle w:val="Text1"/>
        <w:ind w:left="567"/>
        <w:rPr>
          <w:noProof/>
          <w:lang w:eastAsia="en-US"/>
        </w:rPr>
      </w:pPr>
      <w:r>
        <w:rPr>
          <w:noProof/>
          <w:lang w:eastAsia="en-US"/>
        </w:rPr>
        <w:t xml:space="preserve">The year was characterized by volatile yield movements on European fixed income markets with rates moving higher in </w:t>
      </w:r>
      <w:r>
        <w:rPr>
          <w:noProof/>
        </w:rPr>
        <w:t>Q1</w:t>
      </w:r>
      <w:r>
        <w:rPr>
          <w:noProof/>
          <w:lang w:eastAsia="en-US"/>
        </w:rPr>
        <w:t xml:space="preserve"> due to ECB QE taper expectations. Rates then moved to annual lows at the end of the year due to softening economic growth. Credit spreads edged higher during the year and the move accelerated in December on falling equity markets and expectation of tighter monetary policies.</w:t>
      </w:r>
    </w:p>
    <w:p>
      <w:pPr>
        <w:pStyle w:val="Text1"/>
        <w:ind w:left="567"/>
        <w:rPr>
          <w:noProof/>
          <w:lang w:eastAsia="en-US"/>
        </w:rPr>
      </w:pPr>
      <w:r>
        <w:rPr>
          <w:noProof/>
          <w:lang w:eastAsia="en-US"/>
        </w:rPr>
        <w:t xml:space="preserve">Throughout the year, financial markets were effected by the following risk factors. The imposition of trade tariffs by president </w:t>
      </w:r>
      <w:r>
        <w:rPr>
          <w:noProof/>
        </w:rPr>
        <w:t>Trump</w:t>
      </w:r>
      <w:r>
        <w:rPr>
          <w:noProof/>
          <w:lang w:eastAsia="en-US"/>
        </w:rPr>
        <w:t xml:space="preserve"> slowed economic growth, and inflation remained below the central bank </w:t>
      </w:r>
      <w:r>
        <w:rPr>
          <w:noProof/>
        </w:rPr>
        <w:t>targets</w:t>
      </w:r>
      <w:r>
        <w:rPr>
          <w:noProof/>
          <w:lang w:eastAsia="en-US"/>
        </w:rPr>
        <w:t xml:space="preserve"> due to low commodity prices and globalization factors. The uncertain outlook of Brexit negotiations weighed on UK financials and corporates. The ramifications of the March Italian elections were felt in May, as Italian spreads widened out to more than 250 basispoints vs Germany as the market worried about a possible exit from the Euro and redenomination of Italian bonds. This led to a widening of peripheral spreads and financial spreads as well. </w:t>
      </w:r>
    </w:p>
    <w:p>
      <w:pPr>
        <w:pStyle w:val="Text1"/>
        <w:ind w:left="567"/>
        <w:rPr>
          <w:noProof/>
          <w:lang w:eastAsia="en-US"/>
        </w:rPr>
      </w:pPr>
      <w:r>
        <w:rPr>
          <w:noProof/>
          <w:lang w:eastAsia="en-US"/>
        </w:rPr>
        <w:t xml:space="preserve">Monetary policy of major global central banks became tighter in 2018. The US FED continued its rate hike cycle every quarter by 25 basispoints raising the FED funds target rate to 2.5-2.75% range by year-end. The </w:t>
      </w:r>
      <w:r>
        <w:rPr>
          <w:noProof/>
        </w:rPr>
        <w:t>ECB</w:t>
      </w:r>
      <w:r>
        <w:rPr>
          <w:noProof/>
          <w:lang w:eastAsia="en-US"/>
        </w:rPr>
        <w:t xml:space="preserve"> has reduced the monthly net asset purchases as part its quantitative easing policy from EUR 30bn to EUR 15bn in </w:t>
      </w:r>
      <w:r>
        <w:rPr>
          <w:noProof/>
        </w:rPr>
        <w:t>September</w:t>
      </w:r>
      <w:r>
        <w:rPr>
          <w:noProof/>
          <w:lang w:eastAsia="en-US"/>
        </w:rPr>
        <w:t xml:space="preserve"> and terminated the net purchases at the end of 2018. The reinvestments of the maturing bonds on the ECB balance sheet will keep support the markets. However, more recently, the monetary policy on both sides of the Atlantic has turned more dovish with increasing uncertainties. The market expectations for further FED hikes have been priced out and the first tightening for the ECB has been postponed to 2020. Economic growth is </w:t>
      </w:r>
      <w:r>
        <w:rPr>
          <w:noProof/>
        </w:rPr>
        <w:t>expected</w:t>
      </w:r>
      <w:r>
        <w:rPr>
          <w:noProof/>
          <w:lang w:eastAsia="en-US"/>
        </w:rPr>
        <w:t xml:space="preserve"> to slow down from 2.9% in 2018 to 2.5% in 2019 for US, and from 1.9% to 1.4% for the Eurozone. Despite of the slowdown, a recession seems to be avoidable for the time being, as employment and wages remain firm and fiscal policy will turn expansionary after many years of fiscal tightening.</w:t>
      </w:r>
    </w:p>
    <w:p>
      <w:pPr>
        <w:pStyle w:val="Text1"/>
        <w:ind w:left="567" w:hanging="567"/>
        <w:rPr>
          <w:noProof/>
          <w:lang w:eastAsia="en-US"/>
        </w:rPr>
      </w:pPr>
      <w:r>
        <w:rPr>
          <w:noProof/>
          <w:lang w:eastAsia="en-US"/>
        </w:rPr>
        <w:tab/>
        <w:t xml:space="preserve">Going forward, in 2019 we expect market volatility to remain, as uncertainty around Brexit, growth slowdown and </w:t>
      </w:r>
      <w:r>
        <w:rPr>
          <w:noProof/>
        </w:rPr>
        <w:t>European</w:t>
      </w:r>
      <w:r>
        <w:rPr>
          <w:noProof/>
          <w:lang w:eastAsia="en-US"/>
        </w:rPr>
        <w:t xml:space="preserve"> </w:t>
      </w:r>
      <w:r>
        <w:rPr>
          <w:noProof/>
        </w:rPr>
        <w:t>Parliamentary</w:t>
      </w:r>
      <w:r>
        <w:rPr>
          <w:noProof/>
          <w:lang w:eastAsia="en-US"/>
        </w:rPr>
        <w:t xml:space="preserve"> elections will effect market rates being currently close to historical lows. In the same time credit spreads are tend to move wider as the economic cycle matures in the US and central bank asset purchases has been terminated in EU.</w:t>
      </w:r>
    </w:p>
    <w:p>
      <w:pPr>
        <w:keepNext/>
        <w:numPr>
          <w:ilvl w:val="0"/>
          <w:numId w:val="24"/>
        </w:numPr>
        <w:tabs>
          <w:tab w:val="clear" w:pos="360"/>
        </w:tabs>
        <w:suppressAutoHyphens/>
        <w:spacing w:before="120" w:after="120"/>
        <w:ind w:left="567" w:hanging="567"/>
        <w:jc w:val="both"/>
        <w:rPr>
          <w:i/>
          <w:iCs/>
          <w:noProof/>
          <w:lang w:eastAsia="en-US"/>
        </w:rPr>
      </w:pPr>
      <w:r>
        <w:rPr>
          <w:i/>
          <w:iCs/>
          <w:noProof/>
          <w:lang w:eastAsia="en-US"/>
        </w:rPr>
        <w:t>Profile of counterparties</w:t>
      </w:r>
    </w:p>
    <w:p>
      <w:pPr>
        <w:pStyle w:val="Text1"/>
        <w:ind w:left="567"/>
        <w:rPr>
          <w:noProof/>
          <w:lang w:eastAsia="en-US"/>
        </w:rPr>
      </w:pPr>
      <w:r>
        <w:rPr>
          <w:noProof/>
          <w:lang w:eastAsia="en-US"/>
        </w:rPr>
        <w:t xml:space="preserve">In accordance with the agreement between the European Union and the EIB on the management of the Fund, all banks with which deposits </w:t>
      </w:r>
      <w:r>
        <w:rPr>
          <w:noProof/>
        </w:rPr>
        <w:t>are</w:t>
      </w:r>
      <w:r>
        <w:rPr>
          <w:noProof/>
          <w:lang w:eastAsia="en-US"/>
        </w:rPr>
        <w:t xml:space="preserve"> placed should have a minimum short-term credit rating of P-1 (Moody's or equivalent). As at 31 December 2018 the short term interbank investments were held with the </w:t>
      </w:r>
      <w:r>
        <w:rPr>
          <w:noProof/>
        </w:rPr>
        <w:t>counterparty</w:t>
      </w:r>
      <w:r>
        <w:rPr>
          <w:noProof/>
          <w:lang w:eastAsia="en-US"/>
        </w:rPr>
        <w:t xml:space="preserve"> that has the long term credit rating of Aa3 and the short term credit rating of P-1 (Moody's or equivalent).</w:t>
      </w:r>
    </w:p>
    <w:p>
      <w:pPr>
        <w:pStyle w:val="ManualHeading4"/>
        <w:rPr>
          <w:noProof/>
        </w:rPr>
      </w:pPr>
      <w:bookmarkStart w:id="44" w:name="_Toc322447898"/>
      <w:r>
        <w:t>2.3.3.2.</w:t>
      </w:r>
      <w:r>
        <w:tab/>
      </w:r>
      <w:r>
        <w:rPr>
          <w:noProof/>
        </w:rPr>
        <w:t>Analysis of bond portfolio results</w:t>
      </w:r>
      <w:bookmarkEnd w:id="44"/>
      <w:r>
        <w:rPr>
          <w:noProof/>
        </w:rPr>
        <w:t xml:space="preserve"> </w:t>
      </w:r>
    </w:p>
    <w:p>
      <w:pPr>
        <w:pStyle w:val="Text1"/>
        <w:rPr>
          <w:noProof/>
        </w:rPr>
      </w:pPr>
      <w:bookmarkStart w:id="45" w:name="OLE_LINK1"/>
      <w:bookmarkStart w:id="46" w:name="OLE_LINK2"/>
      <w:bookmarkStart w:id="47" w:name="_Hlk190783042"/>
      <w:bookmarkStart w:id="48" w:name="_Toc449626277"/>
      <w:bookmarkEnd w:id="45"/>
      <w:bookmarkEnd w:id="46"/>
      <w:bookmarkEnd w:id="47"/>
      <w:r>
        <w:rPr>
          <w:noProof/>
        </w:rPr>
        <w:t>The bond portfolio, seen as a long-term investment portfolio, is made up of euro-denominated securities initially acquired with the intention of holding them until maturity. In the Fund’s Financial Statements these securities are classified as Available for Sale (AFS) in line with the EC accounting rule 11</w:t>
      </w:r>
      <w:r>
        <w:rPr>
          <w:rStyle w:val="FootnoteReference"/>
          <w:noProof/>
        </w:rPr>
        <w:footnoteReference w:id="2"/>
      </w:r>
      <w:r>
        <w:rPr>
          <w:noProof/>
        </w:rPr>
        <w:t xml:space="preserve">. At 31 December 2018, the market value (excluding accrued interest) of securities with a residual period </w:t>
      </w:r>
      <w:bookmarkStart w:id="49" w:name="OLE_LINK7"/>
      <w:r>
        <w:rPr>
          <w:noProof/>
        </w:rPr>
        <w:t>to maturity of less than three months amounted to EUR 57.2 million, between 3 months and one year EUR 119.4 million and between one and 10 years EUR 2,275.3 million.</w:t>
      </w:r>
    </w:p>
    <w:bookmarkEnd w:id="49"/>
    <w:p>
      <w:pPr>
        <w:pStyle w:val="Text1"/>
        <w:rPr>
          <w:noProof/>
        </w:rPr>
      </w:pPr>
      <w:r>
        <w:rPr>
          <w:noProof/>
        </w:rPr>
        <w:t>The starting value of the securities in this portfolio is the acquisition cost. The difference between the entry price and the redemption value is the premium/discount spread, which is amortised over the remaining life of each of the securities using the effective interest rate method as specified in the EC accounting rules.</w:t>
      </w:r>
    </w:p>
    <w:p>
      <w:pPr>
        <w:pStyle w:val="Text1"/>
        <w:rPr>
          <w:noProof/>
        </w:rPr>
      </w:pPr>
      <w:r>
        <w:rPr>
          <w:noProof/>
        </w:rPr>
        <w:t>At 31 December 2018, the nominal value of the investment bond portfolio was EUR 2,399.4 million, against a clean market value of EUR 2,451.9 million.</w:t>
      </w:r>
    </w:p>
    <w:p>
      <w:pPr>
        <w:pStyle w:val="Text1"/>
        <w:rPr>
          <w:noProof/>
        </w:rPr>
      </w:pPr>
      <w:r>
        <w:rPr>
          <w:noProof/>
        </w:rPr>
        <w:t xml:space="preserve">The global (modified) duration of the bond portfolio decreased over 2018 to reach 2.58 at the end of the year. As of 31 December 2018, the clean market value of the investment bond portfolio came to EUR 2,451.9 million (2017: EUR 2,184.5 million) compared with a book value (including premiums/discounts) of EUR 2,439.7 million (2017: EUR 2,161.8 million), which gives an unrealised fair value result of EUR +12.2 million (2017: EUR +22.7 million). </w:t>
      </w:r>
    </w:p>
    <w:p>
      <w:pPr>
        <w:pStyle w:val="Text1"/>
        <w:spacing w:after="0"/>
        <w:rPr>
          <w:noProof/>
        </w:rPr>
      </w:pPr>
      <w:r>
        <w:rPr>
          <w:noProof/>
        </w:rPr>
        <w:t xml:space="preserve">In the 12-month period until December 2018, the German sovereign yield curve bull flattened.  The front-end of the curve until the 2-year rose marginally by 0-2 basispoints, as the ECB has terminated its quantitative easing monetary policy, rate hike expectations rose. In the same time the mid to long part of the curve moved lower, as the Euro area economic outlook has deteriorated and inflation remained below the ECB target. </w:t>
      </w:r>
    </w:p>
    <w:p>
      <w:pPr>
        <w:pStyle w:val="Text1"/>
        <w:spacing w:before="100" w:beforeAutospacing="1" w:after="100" w:afterAutospacing="1"/>
        <w:jc w:val="center"/>
        <w:rPr>
          <w:noProof/>
          <w:sz w:val="18"/>
          <w:szCs w:val="18"/>
          <w:u w:val="single"/>
          <w:lang w:eastAsia="en-US"/>
        </w:rPr>
      </w:pPr>
      <w:r>
        <w:rPr>
          <w:noProof/>
          <w:lang w:eastAsia="en-GB"/>
        </w:rPr>
        <w:drawing>
          <wp:inline distT="0" distB="0" distL="0" distR="0">
            <wp:extent cx="5409028" cy="217614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9028" cy="2176149"/>
                    </a:xfrm>
                    <a:prstGeom prst="rect">
                      <a:avLst/>
                    </a:prstGeom>
                    <a:noFill/>
                    <a:ln>
                      <a:noFill/>
                    </a:ln>
                  </pic:spPr>
                </pic:pic>
              </a:graphicData>
            </a:graphic>
          </wp:inline>
        </w:drawing>
      </w:r>
      <w:r>
        <w:rPr>
          <w:noProof/>
          <w:sz w:val="18"/>
          <w:szCs w:val="18"/>
          <w:u w:val="single"/>
          <w:lang w:eastAsia="en-US"/>
        </w:rPr>
        <w:br/>
      </w:r>
    </w:p>
    <w:p>
      <w:pPr>
        <w:pStyle w:val="Text1"/>
        <w:spacing w:before="100" w:beforeAutospacing="1" w:after="100" w:afterAutospacing="1"/>
        <w:jc w:val="center"/>
        <w:rPr>
          <w:noProof/>
          <w:sz w:val="22"/>
          <w:szCs w:val="22"/>
          <w:highlight w:val="yellow"/>
          <w:u w:val="single"/>
          <w:lang w:eastAsia="en-US"/>
        </w:rPr>
      </w:pPr>
      <w:r>
        <w:rPr>
          <w:noProof/>
          <w:sz w:val="18"/>
          <w:szCs w:val="18"/>
          <w:u w:val="single"/>
          <w:lang w:eastAsia="en-US"/>
        </w:rPr>
        <w:t>Fig. 2: Bull-flattening of the German sovereign yield curve during 2018 (source: Bloomberg)</w:t>
      </w:r>
    </w:p>
    <w:p>
      <w:pPr>
        <w:pStyle w:val="Text1"/>
        <w:rPr>
          <w:noProof/>
        </w:rPr>
      </w:pPr>
      <w:r>
        <w:rPr>
          <w:noProof/>
        </w:rPr>
        <w:t>The positive absolute performance of the portfolio was driven by lower yields, while the widening of credit spreads somewhat reduced the result. However, the spread widening was relatively smaller in higher quality credit segments, where the portfolio is typically invested. As rates moved lower, the contribution of floating rate notes was negative. The portfolio absolute performance resulted 10 basispoints throughout 2018, which translates to a positive contribution of roughly EUR 2.4 million.</w:t>
      </w:r>
    </w:p>
    <w:p>
      <w:pPr>
        <w:pStyle w:val="Text1"/>
        <w:rPr>
          <w:noProof/>
        </w:rPr>
      </w:pPr>
      <w:r>
        <w:rPr>
          <w:noProof/>
        </w:rPr>
        <w:t>After the negotiations have ended between EIB and the Commission, updated Asset Management Guidelines (AMGs) have been approved and were implemented in October 2018. This allows the portfolio to be invested in the full range of investment grade securities, down to BBB credit rating. An updated investment strategy was sent to the Commission to comply with the new AMGs in Q4 2018. Separately, a new benchmark has been introduced in early 2019 to better represent the investment universe and the 4 eligible asset classes for the GF portfolio.</w:t>
      </w:r>
    </w:p>
    <w:p>
      <w:pPr>
        <w:pStyle w:val="Text1"/>
        <w:rPr>
          <w:noProof/>
        </w:rPr>
      </w:pPr>
      <w:r>
        <w:rPr>
          <w:noProof/>
        </w:rPr>
        <w:t>In line with the updated investment strategy and in compliance with the guidelines, a total nominal amount of EUR 1,032.2 million was invested in four asset classes: Sovereigns, Supranationals and Agencies (SSA) (EUR 536.9 million or 52%), covered bonds (EUR 110.5 million or 10.7%), corporate bonds (EUR 130.1 million or 12.6%) and financials (EUR 254.7 million or 24.7%) either on an outright or on a switch basis. The purchases were made both on the primary and on the secondary market. All of the transactions aimed to maximize the risk return profile of the portfolio while satisfying the liquidity constraints. The charts below outline the total 2018 investments per asset class as well as in terms of country distribution.</w:t>
      </w:r>
    </w:p>
    <w:p>
      <w:pPr>
        <w:jc w:val="center"/>
        <w:rPr>
          <w:noProof/>
        </w:rPr>
      </w:pPr>
      <w:r>
        <w:rPr>
          <w:noProof/>
        </w:rPr>
        <w:drawing>
          <wp:inline distT="0" distB="0" distL="0" distR="0">
            <wp:extent cx="5743575" cy="2665730"/>
            <wp:effectExtent l="0" t="0" r="0" b="1270"/>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contextualSpacing/>
        <w:jc w:val="center"/>
        <w:rPr>
          <w:noProof/>
          <w:sz w:val="18"/>
          <w:szCs w:val="18"/>
          <w:u w:val="single"/>
        </w:rPr>
      </w:pPr>
      <w:r>
        <w:rPr>
          <w:noProof/>
          <w:sz w:val="18"/>
          <w:szCs w:val="18"/>
          <w:u w:val="single"/>
        </w:rPr>
        <w:t>Fig. 3: 2018 Investments per asset class</w:t>
      </w:r>
    </w:p>
    <w:p>
      <w:pPr>
        <w:contextualSpacing/>
        <w:jc w:val="center"/>
        <w:rPr>
          <w:noProof/>
        </w:rPr>
      </w:pPr>
    </w:p>
    <w:p>
      <w:pPr>
        <w:contextualSpacing/>
        <w:jc w:val="center"/>
        <w:rPr>
          <w:b/>
          <w:noProof/>
        </w:rPr>
      </w:pPr>
      <w:r>
        <w:rPr>
          <w:noProof/>
        </w:rPr>
        <w:drawing>
          <wp:inline distT="0" distB="0" distL="0" distR="0">
            <wp:extent cx="5743575" cy="3113405"/>
            <wp:effectExtent l="0" t="0" r="0" b="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jc w:val="center"/>
        <w:rPr>
          <w:noProof/>
          <w:sz w:val="18"/>
          <w:szCs w:val="18"/>
          <w:u w:val="single"/>
        </w:rPr>
      </w:pPr>
      <w:r>
        <w:rPr>
          <w:noProof/>
          <w:sz w:val="18"/>
          <w:szCs w:val="18"/>
          <w:u w:val="single"/>
        </w:rPr>
        <w:t>Fig. 4: 2018 Investments per country of exposure</w:t>
      </w:r>
    </w:p>
    <w:p>
      <w:pPr>
        <w:pStyle w:val="Text1"/>
        <w:rPr>
          <w:noProof/>
        </w:rPr>
      </w:pPr>
    </w:p>
    <w:p>
      <w:pPr>
        <w:pStyle w:val="Text1"/>
        <w:rPr>
          <w:noProof/>
        </w:rPr>
      </w:pPr>
      <w:r>
        <w:rPr>
          <w:noProof/>
        </w:rPr>
        <w:t>The below chart displays the maturity and instrument format split of the 2018 investments. It can be inferred from the chart that the 5Y tenor, as most attractive spot on the yield curve in terms of supply dynamics of new issuances.</w:t>
      </w:r>
    </w:p>
    <w:p>
      <w:pPr>
        <w:pStyle w:val="Bullet0"/>
        <w:numPr>
          <w:ilvl w:val="0"/>
          <w:numId w:val="0"/>
        </w:numPr>
        <w:spacing w:before="0" w:after="0"/>
        <w:jc w:val="center"/>
        <w:rPr>
          <w:noProof/>
          <w:szCs w:val="24"/>
        </w:rPr>
      </w:pPr>
      <w:r>
        <w:rPr>
          <w:noProof/>
          <w:szCs w:val="24"/>
        </w:rPr>
        <w:drawing>
          <wp:inline distT="0" distB="0" distL="0" distR="0">
            <wp:extent cx="5743575" cy="3305175"/>
            <wp:effectExtent l="0" t="0" r="0" b="0"/>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contextualSpacing/>
        <w:jc w:val="center"/>
        <w:rPr>
          <w:noProof/>
        </w:rPr>
      </w:pPr>
    </w:p>
    <w:p>
      <w:pPr>
        <w:contextualSpacing/>
        <w:jc w:val="center"/>
        <w:rPr>
          <w:noProof/>
          <w:sz w:val="18"/>
          <w:szCs w:val="18"/>
          <w:u w:val="single"/>
          <w:lang w:val="en-US"/>
        </w:rPr>
      </w:pPr>
      <w:r>
        <w:rPr>
          <w:noProof/>
          <w:sz w:val="18"/>
          <w:szCs w:val="18"/>
          <w:u w:val="single"/>
        </w:rPr>
        <w:t>Fig. 5: 2018 Investments per maturity tenor and instrument type (EUR)</w:t>
      </w:r>
    </w:p>
    <w:p>
      <w:pPr>
        <w:pStyle w:val="Bullet0"/>
        <w:numPr>
          <w:ilvl w:val="0"/>
          <w:numId w:val="0"/>
        </w:numPr>
        <w:spacing w:before="0" w:after="0"/>
        <w:ind w:left="426"/>
        <w:jc w:val="center"/>
        <w:rPr>
          <w:noProof/>
          <w:sz w:val="18"/>
          <w:szCs w:val="18"/>
          <w:highlight w:val="yellow"/>
          <w:u w:val="single"/>
        </w:rPr>
      </w:pPr>
    </w:p>
    <w:p>
      <w:pPr>
        <w:pStyle w:val="Bullet0"/>
        <w:numPr>
          <w:ilvl w:val="0"/>
          <w:numId w:val="39"/>
        </w:numPr>
        <w:spacing w:before="0" w:after="0"/>
        <w:ind w:left="567" w:hanging="567"/>
        <w:rPr>
          <w:i/>
          <w:noProof/>
          <w:szCs w:val="24"/>
          <w:lang w:val="en-US"/>
        </w:rPr>
      </w:pPr>
      <w:r>
        <w:rPr>
          <w:i/>
          <w:noProof/>
          <w:szCs w:val="24"/>
          <w:lang w:val="en-US"/>
        </w:rPr>
        <w:t>Breakdown of the investment portfolio between fixed rate and variable rate securities (nominal value)</w:t>
      </w:r>
    </w:p>
    <w:p>
      <w:pPr>
        <w:ind w:left="720"/>
        <w:jc w:val="center"/>
        <w:rPr>
          <w:noProof/>
        </w:rPr>
      </w:pPr>
      <w:r>
        <w:rPr>
          <w:noProof/>
        </w:rPr>
        <w:drawing>
          <wp:inline distT="0" distB="0" distL="0" distR="0">
            <wp:extent cx="4664710" cy="2484755"/>
            <wp:effectExtent l="0" t="0" r="2540" b="0"/>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spacing w:before="120" w:after="120"/>
        <w:jc w:val="center"/>
        <w:rPr>
          <w:noProof/>
          <w:sz w:val="18"/>
          <w:szCs w:val="18"/>
          <w:u w:val="single"/>
          <w:lang w:eastAsia="en-US"/>
        </w:rPr>
      </w:pPr>
      <w:r>
        <w:rPr>
          <w:noProof/>
          <w:sz w:val="18"/>
          <w:szCs w:val="18"/>
          <w:u w:val="single"/>
          <w:lang w:eastAsia="en-US"/>
        </w:rPr>
        <w:t>Fig. 6: Investment portfolio breakdown between fixed</w:t>
      </w:r>
      <w:r>
        <w:rPr>
          <w:noProof/>
          <w:sz w:val="18"/>
          <w:szCs w:val="18"/>
          <w:u w:val="single"/>
          <w:vertAlign w:val="superscript"/>
          <w:lang w:eastAsia="en-US"/>
        </w:rPr>
        <w:footnoteReference w:id="3"/>
      </w:r>
      <w:r>
        <w:rPr>
          <w:noProof/>
          <w:sz w:val="18"/>
          <w:szCs w:val="18"/>
          <w:u w:val="single"/>
          <w:lang w:eastAsia="en-US"/>
        </w:rPr>
        <w:t xml:space="preserve"> and variable rate securities at 31 December 2018</w:t>
      </w:r>
    </w:p>
    <w:p>
      <w:pPr>
        <w:spacing w:before="120" w:after="120"/>
        <w:jc w:val="center"/>
        <w:rPr>
          <w:noProof/>
          <w:sz w:val="18"/>
          <w:szCs w:val="18"/>
          <w:u w:val="single"/>
          <w:lang w:eastAsia="en-US"/>
        </w:rPr>
      </w:pPr>
    </w:p>
    <w:p>
      <w:pPr>
        <w:numPr>
          <w:ilvl w:val="0"/>
          <w:numId w:val="29"/>
        </w:numPr>
        <w:spacing w:before="120" w:after="120"/>
        <w:ind w:left="567" w:hanging="567"/>
        <w:jc w:val="both"/>
        <w:rPr>
          <w:i/>
          <w:noProof/>
        </w:rPr>
      </w:pPr>
      <w:r>
        <w:rPr>
          <w:i/>
          <w:noProof/>
        </w:rPr>
        <w:t>Redemption profile of investment portfolio (nominal value)</w:t>
      </w:r>
    </w:p>
    <w:p>
      <w:pPr>
        <w:tabs>
          <w:tab w:val="left" w:pos="426"/>
        </w:tabs>
        <w:ind w:left="426" w:hanging="426"/>
        <w:jc w:val="center"/>
        <w:rPr>
          <w:noProof/>
        </w:rPr>
      </w:pPr>
      <w:r>
        <w:rPr>
          <w:noProof/>
        </w:rPr>
        <w:drawing>
          <wp:inline distT="0" distB="0" distL="0" distR="0">
            <wp:extent cx="5761990" cy="2073275"/>
            <wp:effectExtent l="0" t="0" r="0" b="3175"/>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tabs>
          <w:tab w:val="left" w:pos="7305"/>
        </w:tabs>
        <w:jc w:val="center"/>
        <w:rPr>
          <w:noProof/>
          <w:sz w:val="18"/>
          <w:szCs w:val="18"/>
        </w:rPr>
      </w:pPr>
      <w:r>
        <w:rPr>
          <w:noProof/>
          <w:sz w:val="18"/>
          <w:szCs w:val="18"/>
        </w:rPr>
        <w:t>Fig.7: Investment portfolio: Redemption profile at 31 December 2018 (EUR)</w:t>
      </w:r>
    </w:p>
    <w:p>
      <w:pPr>
        <w:rPr>
          <w:noProof/>
        </w:rPr>
      </w:pPr>
    </w:p>
    <w:p>
      <w:pPr>
        <w:ind w:left="567"/>
        <w:rPr>
          <w:noProof/>
        </w:rPr>
      </w:pPr>
      <w:r>
        <w:rPr>
          <w:noProof/>
        </w:rPr>
        <w:t>The latest final maturity date for fixed rate securities is 7 December 2026.</w:t>
      </w:r>
    </w:p>
    <w:p>
      <w:pPr>
        <w:rPr>
          <w:noProof/>
        </w:rPr>
      </w:pPr>
    </w:p>
    <w:p>
      <w:pPr>
        <w:pStyle w:val="Bullet0"/>
        <w:numPr>
          <w:ilvl w:val="0"/>
          <w:numId w:val="37"/>
        </w:numPr>
        <w:tabs>
          <w:tab w:val="clear" w:pos="850"/>
        </w:tabs>
        <w:spacing w:before="0" w:after="0"/>
        <w:ind w:left="567" w:hanging="567"/>
        <w:rPr>
          <w:i/>
          <w:noProof/>
          <w:color w:val="000000"/>
          <w:szCs w:val="24"/>
        </w:rPr>
      </w:pPr>
      <w:r>
        <w:rPr>
          <w:i/>
          <w:noProof/>
          <w:color w:val="000000"/>
          <w:szCs w:val="24"/>
        </w:rPr>
        <w:t>Profile of issuers</w:t>
      </w:r>
    </w:p>
    <w:p>
      <w:pPr>
        <w:pStyle w:val="Text1"/>
        <w:ind w:left="567"/>
        <w:rPr>
          <w:noProof/>
          <w:color w:val="000000"/>
        </w:rPr>
      </w:pPr>
      <w:r>
        <w:rPr>
          <w:noProof/>
          <w:color w:val="000000"/>
        </w:rPr>
        <w:t>The Asset Management Guidelines for GF have been revised by EIB and DG ECFIN, and the revised version came into force at the end of September 2018.</w:t>
      </w:r>
    </w:p>
    <w:p>
      <w:pPr>
        <w:pStyle w:val="Text1"/>
        <w:ind w:left="567"/>
        <w:rPr>
          <w:noProof/>
          <w:color w:val="000000"/>
        </w:rPr>
      </w:pPr>
      <w:r>
        <w:rPr>
          <w:noProof/>
          <w:color w:val="000000"/>
        </w:rPr>
        <w:t>Ac</w:t>
      </w:r>
      <w:r>
        <w:rPr>
          <w:noProof/>
          <w:color w:val="000000"/>
          <w:lang w:eastAsia="en-GB"/>
        </w:rPr>
        <w:t>cording to the new guidelines, the investment universe is broader and it can include investment grade corporate and financial institutions (with a second best rating</w:t>
      </w:r>
      <w:r>
        <w:rPr>
          <w:noProof/>
          <w:color w:val="000000"/>
          <w:sz w:val="22"/>
          <w:szCs w:val="22"/>
          <w:vertAlign w:val="superscript"/>
          <w:lang w:eastAsia="en-US"/>
        </w:rPr>
        <w:footnoteReference w:id="4"/>
      </w:r>
      <w:r>
        <w:rPr>
          <w:noProof/>
          <w:color w:val="000000"/>
          <w:lang w:eastAsia="en-GB"/>
        </w:rPr>
        <w:t xml:space="preserve"> higher or at least equal to Baa3). The new guidelines follow the FAFA template for defining the eligibility criteria for different entities and the limit amounts.</w:t>
      </w:r>
    </w:p>
    <w:p>
      <w:pPr>
        <w:pStyle w:val="Text1"/>
        <w:ind w:left="567"/>
        <w:rPr>
          <w:noProof/>
          <w:color w:val="000000"/>
        </w:rPr>
      </w:pPr>
      <w:r>
        <w:rPr>
          <w:noProof/>
          <w:color w:val="000000"/>
        </w:rPr>
        <w:t xml:space="preserve">The securities held in the </w:t>
      </w:r>
      <w:r>
        <w:rPr>
          <w:noProof/>
        </w:rPr>
        <w:t>portfolio</w:t>
      </w:r>
      <w:r>
        <w:rPr>
          <w:noProof/>
          <w:color w:val="000000"/>
        </w:rPr>
        <w:t xml:space="preserve"> are in line with the new asset management guidelines and meet the following criteria for:</w:t>
      </w:r>
    </w:p>
    <w:p>
      <w:pPr>
        <w:pStyle w:val="Tiret0"/>
        <w:numPr>
          <w:ilvl w:val="0"/>
          <w:numId w:val="41"/>
        </w:numPr>
        <w:ind w:left="1134" w:hanging="567"/>
        <w:contextualSpacing/>
        <w:rPr>
          <w:noProof/>
          <w:color w:val="000000"/>
        </w:rPr>
      </w:pPr>
      <w:r>
        <w:rPr>
          <w:noProof/>
          <w:color w:val="000000"/>
        </w:rPr>
        <w:t>Securities issued or guaranteed by European Union or Euratom: minimum rating Baa3;</w:t>
      </w:r>
    </w:p>
    <w:p>
      <w:pPr>
        <w:pStyle w:val="Tiret0"/>
        <w:numPr>
          <w:ilvl w:val="0"/>
          <w:numId w:val="41"/>
        </w:numPr>
        <w:ind w:left="1134" w:hanging="567"/>
        <w:contextualSpacing/>
        <w:rPr>
          <w:noProof/>
          <w:color w:val="000000"/>
        </w:rPr>
      </w:pPr>
      <w:r>
        <w:rPr>
          <w:noProof/>
          <w:color w:val="000000"/>
        </w:rPr>
        <w:t>Securities issued or guaranteed by Member States</w:t>
      </w:r>
      <w:r>
        <w:rPr>
          <w:noProof/>
          <w:color w:val="000000"/>
          <w:sz w:val="22"/>
          <w:szCs w:val="22"/>
          <w:vertAlign w:val="superscript"/>
          <w:lang w:eastAsia="en-US"/>
        </w:rPr>
        <w:footnoteReference w:id="5"/>
      </w:r>
      <w:r>
        <w:rPr>
          <w:noProof/>
          <w:color w:val="000000"/>
        </w:rPr>
        <w:t>: minimum rating Baa3;</w:t>
      </w:r>
    </w:p>
    <w:p>
      <w:pPr>
        <w:pStyle w:val="Tiret0"/>
        <w:numPr>
          <w:ilvl w:val="0"/>
          <w:numId w:val="41"/>
        </w:numPr>
        <w:ind w:left="1134" w:hanging="567"/>
        <w:contextualSpacing/>
        <w:rPr>
          <w:noProof/>
          <w:color w:val="000000"/>
        </w:rPr>
      </w:pPr>
      <w:r>
        <w:rPr>
          <w:noProof/>
          <w:color w:val="000000"/>
        </w:rPr>
        <w:t>Securities issued (or guaranteed) by a Supranational in which Member States have a participation, or by sovereigns that are not Member States of the EU: minimum rating Aa2;</w:t>
      </w:r>
    </w:p>
    <w:p>
      <w:pPr>
        <w:pStyle w:val="Tiret0"/>
        <w:numPr>
          <w:ilvl w:val="0"/>
          <w:numId w:val="41"/>
        </w:numPr>
        <w:ind w:left="1134" w:hanging="567"/>
        <w:contextualSpacing/>
        <w:rPr>
          <w:noProof/>
          <w:color w:val="000000"/>
        </w:rPr>
      </w:pPr>
      <w:r>
        <w:rPr>
          <w:noProof/>
          <w:color w:val="000000"/>
        </w:rPr>
        <w:t>Securities issued by other legal entities: minimum rating Baa3.</w:t>
      </w:r>
    </w:p>
    <w:p>
      <w:pPr>
        <w:keepNext/>
        <w:ind w:left="567"/>
        <w:rPr>
          <w:noProof/>
          <w:color w:val="000000"/>
          <w:highlight w:val="yellow"/>
        </w:rPr>
      </w:pPr>
      <w:r>
        <w:rPr>
          <w:noProof/>
          <w:color w:val="000000"/>
          <w:lang w:eastAsia="de-DE"/>
        </w:rPr>
        <w:t>The profile of issuers by issuer type and long term rating</w:t>
      </w:r>
      <w:r>
        <w:rPr>
          <w:noProof/>
          <w:color w:val="FFFFFF"/>
          <w:sz w:val="2"/>
          <w:szCs w:val="2"/>
          <w:vertAlign w:val="superscript"/>
          <w:lang w:eastAsia="en-US"/>
        </w:rPr>
        <w:footnoteReference w:id="6"/>
      </w:r>
      <w:r>
        <w:rPr>
          <w:noProof/>
          <w:color w:val="FFFFFF"/>
          <w:sz w:val="2"/>
          <w:szCs w:val="2"/>
          <w:vertAlign w:val="superscript"/>
          <w:lang w:eastAsia="en-US"/>
        </w:rPr>
        <w:t>5</w:t>
      </w:r>
      <w:r>
        <w:rPr>
          <w:noProof/>
          <w:color w:val="000000"/>
          <w:sz w:val="22"/>
          <w:szCs w:val="22"/>
          <w:vertAlign w:val="superscript"/>
          <w:lang w:eastAsia="en-US"/>
        </w:rPr>
        <w:t>6</w:t>
      </w:r>
      <w:r>
        <w:rPr>
          <w:noProof/>
          <w:color w:val="000000"/>
          <w:lang w:eastAsia="de-DE"/>
        </w:rPr>
        <w:t xml:space="preserve"> of the investment portfolio (nominal amount) at 31 December 2018 is as follows:</w:t>
      </w:r>
    </w:p>
    <w:p>
      <w:pPr>
        <w:ind w:hanging="709"/>
        <w:rPr>
          <w:noProof/>
          <w:color w:val="FFFFFF"/>
        </w:rPr>
      </w:pPr>
    </w:p>
    <w:p>
      <w:pPr>
        <w:jc w:val="center"/>
        <w:rPr>
          <w:noProof/>
        </w:rPr>
      </w:pPr>
      <w:r>
        <w:rPr>
          <w:noProof/>
        </w:rPr>
        <w:drawing>
          <wp:inline distT="0" distB="0" distL="0" distR="0">
            <wp:extent cx="5761990" cy="3674745"/>
            <wp:effectExtent l="0" t="0" r="0" b="1905"/>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noProof/>
          <w:sz w:val="18"/>
          <w:szCs w:val="18"/>
          <w:u w:val="single"/>
        </w:rPr>
        <w:t>Fig.8: Investment portfolio: Profile of issuers at 31 December 2018</w:t>
      </w:r>
      <w:r>
        <w:rPr>
          <w:rStyle w:val="FootnoteReference"/>
          <w:noProof/>
          <w:sz w:val="18"/>
          <w:szCs w:val="18"/>
          <w:u w:val="single"/>
        </w:rPr>
        <w:footnoteReference w:id="7"/>
      </w:r>
    </w:p>
    <w:p>
      <w:pPr>
        <w:pStyle w:val="ManualHeading2"/>
        <w:rPr>
          <w:noProof/>
        </w:rPr>
      </w:pPr>
      <w:bookmarkStart w:id="50" w:name="_Toc6923114"/>
      <w:r>
        <w:t>2.4.</w:t>
      </w:r>
      <w:r>
        <w:tab/>
      </w:r>
      <w:r>
        <w:rPr>
          <w:noProof/>
        </w:rPr>
        <w:t>Benchmarking, performance and interest rate risk analysis</w:t>
      </w:r>
      <w:bookmarkEnd w:id="48"/>
      <w:bookmarkEnd w:id="50"/>
    </w:p>
    <w:p>
      <w:pPr>
        <w:pStyle w:val="ManualHeading3"/>
        <w:rPr>
          <w:noProof/>
        </w:rPr>
      </w:pPr>
      <w:bookmarkStart w:id="51" w:name="_Toc449626278"/>
      <w:bookmarkStart w:id="52" w:name="_Toc6923115"/>
      <w:r>
        <w:t>2.4.1.</w:t>
      </w:r>
      <w:r>
        <w:tab/>
      </w:r>
      <w:r>
        <w:rPr>
          <w:noProof/>
        </w:rPr>
        <w:t>Benchmarking</w:t>
      </w:r>
      <w:bookmarkEnd w:id="51"/>
      <w:bookmarkEnd w:id="52"/>
    </w:p>
    <w:p>
      <w:pPr>
        <w:pStyle w:val="Text1"/>
        <w:keepNext/>
        <w:rPr>
          <w:noProof/>
        </w:rPr>
      </w:pPr>
      <w:bookmarkStart w:id="53" w:name="_Toc322447901"/>
      <w:bookmarkStart w:id="54" w:name="_Toc449626279"/>
      <w:r>
        <w:rPr>
          <w:noProof/>
        </w:rPr>
        <w:t>The performance of the Fund is monitored on a marked-to-market (MTM) basis against a composite index. This index is the result of the combination of the following sub-indices:</w:t>
      </w:r>
    </w:p>
    <w:p>
      <w:pPr>
        <w:pStyle w:val="Bullet0"/>
        <w:numPr>
          <w:ilvl w:val="0"/>
          <w:numId w:val="48"/>
        </w:numPr>
        <w:spacing w:before="0" w:after="0"/>
        <w:ind w:left="567" w:hanging="567"/>
        <w:rPr>
          <w:noProof/>
          <w:szCs w:val="24"/>
        </w:rPr>
      </w:pPr>
      <w:r>
        <w:rPr>
          <w:noProof/>
          <w:szCs w:val="24"/>
        </w:rPr>
        <w:t>Euribid 1M for money-market operations;</w:t>
      </w:r>
    </w:p>
    <w:p>
      <w:pPr>
        <w:pStyle w:val="Bullet0"/>
        <w:numPr>
          <w:ilvl w:val="0"/>
          <w:numId w:val="48"/>
        </w:numPr>
        <w:spacing w:before="0" w:after="0"/>
        <w:ind w:left="567" w:hanging="567"/>
        <w:rPr>
          <w:noProof/>
          <w:szCs w:val="24"/>
        </w:rPr>
      </w:pPr>
      <w:r>
        <w:rPr>
          <w:noProof/>
          <w:szCs w:val="24"/>
        </w:rPr>
        <w:t>Euribid 3M for floating rate notes and fixed rate bond with less than one year to maturity;</w:t>
      </w:r>
    </w:p>
    <w:p>
      <w:pPr>
        <w:pStyle w:val="Bullet0"/>
        <w:numPr>
          <w:ilvl w:val="0"/>
          <w:numId w:val="48"/>
        </w:numPr>
        <w:spacing w:before="0" w:after="0"/>
        <w:ind w:left="567" w:hanging="567"/>
        <w:rPr>
          <w:noProof/>
          <w:szCs w:val="24"/>
        </w:rPr>
      </w:pPr>
      <w:r>
        <w:rPr>
          <w:noProof/>
          <w:szCs w:val="24"/>
        </w:rPr>
        <w:t>IBOXX EUR Sovereign indices for fixed rate bonds issued by sovereign (or similar) issuers, split by maturity buckets;</w:t>
      </w:r>
    </w:p>
    <w:p>
      <w:pPr>
        <w:pStyle w:val="Bullet0"/>
        <w:numPr>
          <w:ilvl w:val="0"/>
          <w:numId w:val="48"/>
        </w:numPr>
        <w:spacing w:before="0"/>
        <w:ind w:left="567" w:hanging="567"/>
        <w:rPr>
          <w:noProof/>
          <w:szCs w:val="24"/>
        </w:rPr>
      </w:pPr>
      <w:r>
        <w:rPr>
          <w:noProof/>
          <w:szCs w:val="24"/>
        </w:rPr>
        <w:t>IBOXX EUR Collateralized Covered indices for fixed rate bonds issued by non-sovereign issuers, split by maturity buckets.</w:t>
      </w:r>
    </w:p>
    <w:p>
      <w:pPr>
        <w:keepNext/>
        <w:spacing w:after="120"/>
        <w:rPr>
          <w:noProof/>
        </w:rPr>
      </w:pPr>
      <w:r>
        <w:rPr>
          <w:noProof/>
        </w:rPr>
        <w:t>Index weightings are based on portfolio composition and are reviewed:</w:t>
      </w:r>
    </w:p>
    <w:p>
      <w:pPr>
        <w:pStyle w:val="Bullet0"/>
        <w:numPr>
          <w:ilvl w:val="0"/>
          <w:numId w:val="49"/>
        </w:numPr>
        <w:spacing w:before="0" w:after="0"/>
        <w:ind w:left="567" w:hanging="567"/>
        <w:rPr>
          <w:noProof/>
          <w:szCs w:val="24"/>
        </w:rPr>
      </w:pPr>
      <w:r>
        <w:rPr>
          <w:noProof/>
          <w:szCs w:val="24"/>
        </w:rPr>
        <w:t>at each end-month day: the dates which define the time buckets (up to 1y, from 1y to 3y, from 3y to 5y, from 5y to 7y and from 7y to 10y) are updated. As a consequence, the shifts between buckets due to the aging of existing positions are accounted only once per month at end-month, following the same procedure underlying the managing of the IBOXX’s indexes;</w:t>
      </w:r>
    </w:p>
    <w:p>
      <w:pPr>
        <w:pStyle w:val="Bullet0"/>
        <w:numPr>
          <w:ilvl w:val="0"/>
          <w:numId w:val="49"/>
        </w:numPr>
        <w:ind w:left="567" w:hanging="567"/>
        <w:rPr>
          <w:noProof/>
          <w:szCs w:val="24"/>
        </w:rPr>
      </w:pPr>
      <w:r>
        <w:rPr>
          <w:noProof/>
          <w:szCs w:val="24"/>
        </w:rPr>
        <w:t>during the month, whenever a change higher then ±5% in one of the asset-classes (with respect to the last benchmark’s adjustment) is observed. This change can be the result of:</w:t>
      </w:r>
    </w:p>
    <w:p>
      <w:pPr>
        <w:pStyle w:val="Tiret1"/>
        <w:numPr>
          <w:ilvl w:val="0"/>
          <w:numId w:val="50"/>
        </w:numPr>
        <w:spacing w:before="0"/>
        <w:ind w:left="1208" w:hanging="357"/>
        <w:rPr>
          <w:noProof/>
        </w:rPr>
      </w:pPr>
      <w:r>
        <w:rPr>
          <w:noProof/>
        </w:rPr>
        <w:t>the impact of a contribution from the European Commission to the portfolio (external cash flows from the European Commission);</w:t>
      </w:r>
    </w:p>
    <w:p>
      <w:pPr>
        <w:pStyle w:val="Tiret1"/>
        <w:numPr>
          <w:ilvl w:val="0"/>
          <w:numId w:val="50"/>
        </w:numPr>
        <w:spacing w:before="0"/>
        <w:rPr>
          <w:noProof/>
        </w:rPr>
      </w:pPr>
      <w:r>
        <w:rPr>
          <w:noProof/>
        </w:rPr>
        <w:t>the impact of a withdrawal from the portfolio to the European Commission (external cash flows to the European Commission);</w:t>
      </w:r>
    </w:p>
    <w:p>
      <w:pPr>
        <w:pStyle w:val="Tiret1"/>
        <w:numPr>
          <w:ilvl w:val="0"/>
          <w:numId w:val="50"/>
        </w:numPr>
        <w:spacing w:before="0"/>
        <w:rPr>
          <w:noProof/>
        </w:rPr>
      </w:pPr>
      <w:r>
        <w:rPr>
          <w:noProof/>
        </w:rPr>
        <w:t>the impact of a transaction settled (sales and purchases);</w:t>
      </w:r>
    </w:p>
    <w:p>
      <w:pPr>
        <w:pStyle w:val="Tiret1"/>
        <w:numPr>
          <w:ilvl w:val="0"/>
          <w:numId w:val="50"/>
        </w:numPr>
        <w:spacing w:before="0" w:after="0"/>
        <w:rPr>
          <w:noProof/>
        </w:rPr>
      </w:pPr>
      <w:r>
        <w:rPr>
          <w:noProof/>
        </w:rPr>
        <w:t>the impact of a redemption;</w:t>
      </w:r>
    </w:p>
    <w:p>
      <w:pPr>
        <w:pStyle w:val="Tiret1"/>
        <w:numPr>
          <w:ilvl w:val="0"/>
          <w:numId w:val="50"/>
        </w:numPr>
        <w:spacing w:after="0"/>
        <w:rPr>
          <w:noProof/>
        </w:rPr>
      </w:pPr>
      <w:r>
        <w:rPr>
          <w:noProof/>
        </w:rPr>
        <w:t xml:space="preserve">the sum of the impacts of previous events accumulated from the last benchmark’s adjustment, taking also into consideration the changes in the clean values of the positions. </w:t>
      </w:r>
    </w:p>
    <w:tbl>
      <w:tblPr>
        <w:tblW w:w="9371" w:type="dxa"/>
        <w:tblInd w:w="93" w:type="dxa"/>
        <w:tblLook w:val="04A0" w:firstRow="1" w:lastRow="0" w:firstColumn="1" w:lastColumn="0" w:noHBand="0" w:noVBand="1"/>
      </w:tblPr>
      <w:tblGrid>
        <w:gridCol w:w="887"/>
        <w:gridCol w:w="2621"/>
        <w:gridCol w:w="2247"/>
        <w:gridCol w:w="3616"/>
      </w:tblGrid>
      <w:tr>
        <w:trPr>
          <w:trHeight w:val="417"/>
        </w:trPr>
        <w:tc>
          <w:tcPr>
            <w:tcW w:w="887"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jc w:val="center"/>
              <w:rPr>
                <w:b/>
                <w:bCs/>
                <w:noProof/>
                <w:color w:val="000000"/>
                <w:sz w:val="22"/>
                <w:szCs w:val="22"/>
              </w:rPr>
            </w:pPr>
            <w:r>
              <w:rPr>
                <w:b/>
                <w:bCs/>
                <w:noProof/>
                <w:color w:val="000000"/>
                <w:sz w:val="22"/>
                <w:szCs w:val="22"/>
              </w:rPr>
              <w:t>Bucket (years)</w:t>
            </w:r>
          </w:p>
        </w:tc>
        <w:tc>
          <w:tcPr>
            <w:tcW w:w="2621" w:type="dxa"/>
            <w:tcBorders>
              <w:top w:val="single" w:sz="4" w:space="0" w:color="auto"/>
              <w:left w:val="nil"/>
              <w:bottom w:val="single" w:sz="4" w:space="0" w:color="auto"/>
              <w:right w:val="single" w:sz="4" w:space="0" w:color="auto"/>
            </w:tcBorders>
            <w:shd w:val="clear" w:color="auto" w:fill="auto"/>
            <w:vAlign w:val="center"/>
            <w:hideMark/>
          </w:tcPr>
          <w:p>
            <w:pPr>
              <w:keepNext/>
              <w:keepLines/>
              <w:jc w:val="center"/>
              <w:rPr>
                <w:b/>
                <w:bCs/>
                <w:noProof/>
                <w:color w:val="000000"/>
                <w:sz w:val="22"/>
                <w:szCs w:val="22"/>
              </w:rPr>
            </w:pPr>
            <w:r>
              <w:rPr>
                <w:b/>
                <w:bCs/>
                <w:noProof/>
                <w:color w:val="000000"/>
                <w:sz w:val="22"/>
                <w:szCs w:val="22"/>
              </w:rPr>
              <w:t>Performance Benchmark Sector</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pPr>
              <w:keepNext/>
              <w:keepLines/>
              <w:jc w:val="center"/>
              <w:rPr>
                <w:b/>
                <w:bCs/>
                <w:noProof/>
                <w:color w:val="000000"/>
                <w:sz w:val="22"/>
                <w:szCs w:val="22"/>
              </w:rPr>
            </w:pPr>
            <w:r>
              <w:rPr>
                <w:b/>
                <w:bCs/>
                <w:noProof/>
                <w:color w:val="000000"/>
                <w:sz w:val="22"/>
                <w:szCs w:val="22"/>
              </w:rPr>
              <w:t>Instrument</w:t>
            </w:r>
          </w:p>
        </w:tc>
        <w:tc>
          <w:tcPr>
            <w:tcW w:w="3616" w:type="dxa"/>
            <w:tcBorders>
              <w:top w:val="single" w:sz="4" w:space="0" w:color="auto"/>
              <w:left w:val="nil"/>
              <w:bottom w:val="single" w:sz="4" w:space="0" w:color="auto"/>
              <w:right w:val="single" w:sz="4" w:space="0" w:color="auto"/>
            </w:tcBorders>
            <w:shd w:val="clear" w:color="auto" w:fill="auto"/>
            <w:vAlign w:val="center"/>
            <w:hideMark/>
          </w:tcPr>
          <w:p>
            <w:pPr>
              <w:keepNext/>
              <w:keepLines/>
              <w:jc w:val="center"/>
              <w:rPr>
                <w:b/>
                <w:bCs/>
                <w:noProof/>
                <w:color w:val="000000"/>
                <w:sz w:val="22"/>
                <w:szCs w:val="22"/>
              </w:rPr>
            </w:pPr>
            <w:r>
              <w:rPr>
                <w:b/>
                <w:bCs/>
                <w:noProof/>
                <w:color w:val="000000"/>
                <w:sz w:val="22"/>
                <w:szCs w:val="22"/>
              </w:rPr>
              <w:t>Average Clean Market Value Composition of 2018</w:t>
            </w:r>
          </w:p>
        </w:tc>
      </w:tr>
      <w:tr>
        <w:trPr>
          <w:trHeight w:val="210"/>
        </w:trPr>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pPr>
              <w:keepNext/>
              <w:keepLines/>
              <w:spacing w:after="240"/>
              <w:jc w:val="center"/>
              <w:rPr>
                <w:noProof/>
                <w:color w:val="000000"/>
                <w:sz w:val="22"/>
                <w:szCs w:val="22"/>
              </w:rPr>
            </w:pPr>
            <w:r>
              <w:rPr>
                <w:noProof/>
                <w:color w:val="000000"/>
                <w:sz w:val="22"/>
                <w:szCs w:val="22"/>
              </w:rPr>
              <w:t>0-1</w:t>
            </w:r>
          </w:p>
        </w:tc>
        <w:tc>
          <w:tcPr>
            <w:tcW w:w="2621" w:type="dxa"/>
            <w:tcBorders>
              <w:top w:val="nil"/>
              <w:left w:val="nil"/>
              <w:bottom w:val="single" w:sz="4" w:space="0" w:color="auto"/>
              <w:right w:val="single" w:sz="4" w:space="0" w:color="auto"/>
            </w:tcBorders>
            <w:shd w:val="clear" w:color="auto" w:fill="auto"/>
            <w:noWrap/>
            <w:vAlign w:val="center"/>
            <w:hideMark/>
          </w:tcPr>
          <w:p>
            <w:pPr>
              <w:keepNext/>
              <w:keepLines/>
              <w:spacing w:line="360" w:lineRule="auto"/>
              <w:jc w:val="center"/>
              <w:rPr>
                <w:noProof/>
                <w:color w:val="000000"/>
                <w:sz w:val="22"/>
                <w:szCs w:val="22"/>
              </w:rPr>
            </w:pPr>
            <w:r>
              <w:rPr>
                <w:noProof/>
                <w:color w:val="000000"/>
                <w:sz w:val="22"/>
                <w:szCs w:val="22"/>
              </w:rPr>
              <w:t>1 m</w:t>
            </w:r>
          </w:p>
        </w:tc>
        <w:tc>
          <w:tcPr>
            <w:tcW w:w="2247" w:type="dxa"/>
            <w:tcBorders>
              <w:top w:val="nil"/>
              <w:left w:val="nil"/>
              <w:bottom w:val="single" w:sz="4" w:space="0" w:color="auto"/>
              <w:right w:val="single" w:sz="4" w:space="0" w:color="auto"/>
            </w:tcBorders>
            <w:shd w:val="clear" w:color="auto" w:fill="auto"/>
            <w:noWrap/>
            <w:vAlign w:val="center"/>
            <w:hideMark/>
          </w:tcPr>
          <w:p>
            <w:pPr>
              <w:keepNext/>
              <w:keepLines/>
              <w:jc w:val="center"/>
              <w:rPr>
                <w:noProof/>
                <w:color w:val="000000"/>
                <w:sz w:val="22"/>
                <w:szCs w:val="22"/>
              </w:rPr>
            </w:pPr>
            <w:r>
              <w:rPr>
                <w:noProof/>
                <w:color w:val="000000"/>
                <w:sz w:val="22"/>
                <w:szCs w:val="22"/>
              </w:rPr>
              <w:t>Money Market</w:t>
            </w:r>
          </w:p>
        </w:tc>
        <w:tc>
          <w:tcPr>
            <w:tcW w:w="3616" w:type="dxa"/>
            <w:tcBorders>
              <w:top w:val="nil"/>
              <w:left w:val="nil"/>
              <w:bottom w:val="single" w:sz="4" w:space="0" w:color="auto"/>
              <w:right w:val="single" w:sz="4" w:space="0" w:color="auto"/>
            </w:tcBorders>
            <w:shd w:val="clear" w:color="auto" w:fill="auto"/>
            <w:noWrap/>
            <w:vAlign w:val="center"/>
            <w:hideMark/>
          </w:tcPr>
          <w:p>
            <w:pPr>
              <w:keepNext/>
              <w:keepLines/>
              <w:jc w:val="center"/>
              <w:rPr>
                <w:noProof/>
                <w:color w:val="000000"/>
                <w:sz w:val="22"/>
                <w:szCs w:val="22"/>
              </w:rPr>
            </w:pPr>
            <w:r>
              <w:rPr>
                <w:noProof/>
                <w:sz w:val="22"/>
                <w:szCs w:val="22"/>
                <w:lang w:eastAsia="en-US"/>
              </w:rPr>
              <w:t>10.6%</w:t>
            </w:r>
          </w:p>
        </w:tc>
      </w:tr>
      <w:tr>
        <w:trPr>
          <w:trHeight w:val="259"/>
        </w:trPr>
        <w:tc>
          <w:tcPr>
            <w:tcW w:w="887" w:type="dxa"/>
            <w:vMerge/>
            <w:tcBorders>
              <w:top w:val="nil"/>
              <w:left w:val="single" w:sz="4" w:space="0" w:color="auto"/>
              <w:bottom w:val="single" w:sz="4" w:space="0" w:color="auto"/>
              <w:right w:val="single" w:sz="4" w:space="0" w:color="auto"/>
            </w:tcBorders>
            <w:vAlign w:val="center"/>
            <w:hideMark/>
          </w:tcPr>
          <w:p>
            <w:pPr>
              <w:keepNext/>
              <w:keepLines/>
              <w:jc w:val="center"/>
              <w:rPr>
                <w:noProof/>
                <w:color w:val="000000"/>
                <w:sz w:val="22"/>
                <w:szCs w:val="22"/>
              </w:rPr>
            </w:pPr>
          </w:p>
        </w:tc>
        <w:tc>
          <w:tcPr>
            <w:tcW w:w="2621" w:type="dxa"/>
            <w:tcBorders>
              <w:top w:val="nil"/>
              <w:left w:val="nil"/>
              <w:bottom w:val="single" w:sz="4" w:space="0" w:color="auto"/>
              <w:right w:val="single" w:sz="4" w:space="0" w:color="auto"/>
            </w:tcBorders>
            <w:shd w:val="clear" w:color="auto" w:fill="auto"/>
            <w:noWrap/>
            <w:vAlign w:val="center"/>
            <w:hideMark/>
          </w:tcPr>
          <w:p>
            <w:pPr>
              <w:keepNext/>
              <w:keepLines/>
              <w:spacing w:line="360" w:lineRule="auto"/>
              <w:jc w:val="center"/>
              <w:rPr>
                <w:noProof/>
                <w:color w:val="000000"/>
                <w:sz w:val="22"/>
                <w:szCs w:val="22"/>
              </w:rPr>
            </w:pPr>
            <w:r>
              <w:rPr>
                <w:noProof/>
                <w:color w:val="000000"/>
                <w:sz w:val="22"/>
                <w:szCs w:val="22"/>
              </w:rPr>
              <w:t>3 m</w:t>
            </w:r>
          </w:p>
        </w:tc>
        <w:tc>
          <w:tcPr>
            <w:tcW w:w="2247" w:type="dxa"/>
            <w:tcBorders>
              <w:top w:val="nil"/>
              <w:left w:val="nil"/>
              <w:bottom w:val="single" w:sz="4" w:space="0" w:color="auto"/>
              <w:right w:val="single" w:sz="4" w:space="0" w:color="auto"/>
            </w:tcBorders>
            <w:shd w:val="clear" w:color="auto" w:fill="auto"/>
            <w:noWrap/>
            <w:vAlign w:val="center"/>
            <w:hideMark/>
          </w:tcPr>
          <w:p>
            <w:pPr>
              <w:keepNext/>
              <w:keepLines/>
              <w:jc w:val="center"/>
              <w:rPr>
                <w:noProof/>
                <w:color w:val="000000"/>
                <w:sz w:val="22"/>
                <w:szCs w:val="22"/>
              </w:rPr>
            </w:pPr>
            <w:r>
              <w:rPr>
                <w:noProof/>
                <w:color w:val="000000"/>
                <w:sz w:val="22"/>
                <w:szCs w:val="22"/>
              </w:rPr>
              <w:t>FRN and Fixed Rate Bonds</w:t>
            </w:r>
          </w:p>
        </w:tc>
        <w:tc>
          <w:tcPr>
            <w:tcW w:w="3616" w:type="dxa"/>
            <w:tcBorders>
              <w:top w:val="nil"/>
              <w:left w:val="nil"/>
              <w:bottom w:val="single" w:sz="4" w:space="0" w:color="auto"/>
              <w:right w:val="single" w:sz="4" w:space="0" w:color="auto"/>
            </w:tcBorders>
            <w:shd w:val="clear" w:color="auto" w:fill="auto"/>
            <w:noWrap/>
            <w:vAlign w:val="center"/>
            <w:hideMark/>
          </w:tcPr>
          <w:p>
            <w:pPr>
              <w:keepNext/>
              <w:keepLines/>
              <w:spacing w:line="360" w:lineRule="auto"/>
              <w:jc w:val="center"/>
              <w:rPr>
                <w:noProof/>
                <w:color w:val="000000"/>
                <w:sz w:val="22"/>
                <w:szCs w:val="22"/>
              </w:rPr>
            </w:pPr>
            <w:r>
              <w:rPr>
                <w:noProof/>
                <w:sz w:val="22"/>
                <w:szCs w:val="22"/>
                <w:lang w:eastAsia="en-US"/>
              </w:rPr>
              <w:t>15.4%</w:t>
            </w:r>
          </w:p>
        </w:tc>
      </w:tr>
      <w:tr>
        <w:trPr>
          <w:trHeight w:val="223"/>
        </w:trPr>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pPr>
              <w:keepNext/>
              <w:keepLines/>
              <w:jc w:val="center"/>
              <w:rPr>
                <w:noProof/>
                <w:color w:val="000000"/>
                <w:sz w:val="22"/>
                <w:szCs w:val="22"/>
              </w:rPr>
            </w:pPr>
            <w:r>
              <w:rPr>
                <w:noProof/>
                <w:color w:val="000000"/>
                <w:sz w:val="22"/>
                <w:szCs w:val="22"/>
              </w:rPr>
              <w:t>1-3</w:t>
            </w:r>
          </w:p>
          <w:p>
            <w:pPr>
              <w:keepNext/>
              <w:keepLines/>
              <w:jc w:val="center"/>
              <w:rPr>
                <w:noProof/>
                <w:color w:val="000000"/>
                <w:sz w:val="22"/>
                <w:szCs w:val="22"/>
              </w:rPr>
            </w:pPr>
          </w:p>
        </w:tc>
        <w:tc>
          <w:tcPr>
            <w:tcW w:w="2621" w:type="dxa"/>
            <w:tcBorders>
              <w:top w:val="nil"/>
              <w:left w:val="nil"/>
              <w:bottom w:val="single" w:sz="4" w:space="0" w:color="auto"/>
              <w:right w:val="single" w:sz="4" w:space="0" w:color="auto"/>
            </w:tcBorders>
            <w:shd w:val="clear" w:color="auto" w:fill="auto"/>
            <w:noWrap/>
            <w:vAlign w:val="center"/>
            <w:hideMark/>
          </w:tcPr>
          <w:p>
            <w:pPr>
              <w:keepNext/>
              <w:keepLines/>
              <w:spacing w:line="360" w:lineRule="auto"/>
              <w:jc w:val="center"/>
              <w:rPr>
                <w:noProof/>
                <w:color w:val="000000"/>
                <w:sz w:val="22"/>
                <w:szCs w:val="22"/>
              </w:rPr>
            </w:pPr>
            <w:r>
              <w:rPr>
                <w:noProof/>
                <w:color w:val="000000"/>
                <w:sz w:val="22"/>
                <w:szCs w:val="22"/>
              </w:rPr>
              <w:t>sovereign</w:t>
            </w:r>
          </w:p>
        </w:tc>
        <w:tc>
          <w:tcPr>
            <w:tcW w:w="2247" w:type="dxa"/>
            <w:vMerge w:val="restart"/>
            <w:tcBorders>
              <w:top w:val="nil"/>
              <w:left w:val="single" w:sz="4" w:space="0" w:color="auto"/>
              <w:bottom w:val="single" w:sz="4" w:space="0" w:color="auto"/>
              <w:right w:val="single" w:sz="4" w:space="0" w:color="auto"/>
            </w:tcBorders>
            <w:shd w:val="clear" w:color="auto" w:fill="auto"/>
            <w:vAlign w:val="center"/>
            <w:hideMark/>
          </w:tcPr>
          <w:p>
            <w:pPr>
              <w:keepNext/>
              <w:keepLines/>
              <w:spacing w:after="240" w:line="360" w:lineRule="auto"/>
              <w:jc w:val="center"/>
              <w:rPr>
                <w:noProof/>
                <w:color w:val="000000"/>
                <w:sz w:val="22"/>
                <w:szCs w:val="22"/>
              </w:rPr>
            </w:pPr>
            <w:r>
              <w:rPr>
                <w:noProof/>
                <w:color w:val="000000"/>
                <w:sz w:val="22"/>
                <w:szCs w:val="22"/>
              </w:rPr>
              <w:t>Fixed</w:t>
            </w:r>
            <w:r>
              <w:rPr>
                <w:noProof/>
                <w:color w:val="000000"/>
                <w:sz w:val="22"/>
                <w:szCs w:val="22"/>
              </w:rPr>
              <w:br/>
              <w:t>Rate</w:t>
            </w:r>
            <w:r>
              <w:rPr>
                <w:noProof/>
                <w:color w:val="000000"/>
                <w:sz w:val="22"/>
                <w:szCs w:val="22"/>
              </w:rPr>
              <w:br/>
              <w:t>Bonds</w:t>
            </w:r>
            <w:r>
              <w:rPr>
                <w:noProof/>
                <w:color w:val="000000"/>
                <w:sz w:val="22"/>
                <w:szCs w:val="22"/>
              </w:rPr>
              <w:br/>
            </w:r>
          </w:p>
        </w:tc>
        <w:tc>
          <w:tcPr>
            <w:tcW w:w="3616" w:type="dxa"/>
            <w:tcBorders>
              <w:top w:val="nil"/>
              <w:left w:val="nil"/>
              <w:bottom w:val="single" w:sz="4" w:space="0" w:color="auto"/>
              <w:right w:val="single" w:sz="4" w:space="0" w:color="auto"/>
            </w:tcBorders>
            <w:shd w:val="clear" w:color="auto" w:fill="auto"/>
            <w:noWrap/>
            <w:vAlign w:val="center"/>
            <w:hideMark/>
          </w:tcPr>
          <w:p>
            <w:pPr>
              <w:keepNext/>
              <w:keepLines/>
              <w:spacing w:line="360" w:lineRule="auto"/>
              <w:jc w:val="center"/>
              <w:rPr>
                <w:noProof/>
                <w:color w:val="000000"/>
                <w:sz w:val="22"/>
                <w:szCs w:val="22"/>
              </w:rPr>
            </w:pPr>
            <w:r>
              <w:rPr>
                <w:noProof/>
                <w:sz w:val="22"/>
                <w:szCs w:val="22"/>
                <w:lang w:eastAsia="en-US"/>
              </w:rPr>
              <w:t>17.2%</w:t>
            </w:r>
          </w:p>
        </w:tc>
      </w:tr>
      <w:tr>
        <w:trPr>
          <w:trHeight w:val="218"/>
        </w:trPr>
        <w:tc>
          <w:tcPr>
            <w:tcW w:w="887" w:type="dxa"/>
            <w:vMerge/>
            <w:tcBorders>
              <w:top w:val="nil"/>
              <w:left w:val="single" w:sz="4" w:space="0" w:color="auto"/>
              <w:bottom w:val="single" w:sz="4" w:space="0" w:color="auto"/>
              <w:right w:val="single" w:sz="4" w:space="0" w:color="auto"/>
            </w:tcBorders>
            <w:vAlign w:val="center"/>
            <w:hideMark/>
          </w:tcPr>
          <w:p>
            <w:pPr>
              <w:keepNext/>
              <w:keepLines/>
              <w:jc w:val="center"/>
              <w:rPr>
                <w:noProof/>
                <w:color w:val="000000"/>
                <w:sz w:val="22"/>
                <w:szCs w:val="22"/>
              </w:rPr>
            </w:pPr>
          </w:p>
        </w:tc>
        <w:tc>
          <w:tcPr>
            <w:tcW w:w="2621" w:type="dxa"/>
            <w:tcBorders>
              <w:top w:val="nil"/>
              <w:left w:val="nil"/>
              <w:bottom w:val="single" w:sz="4" w:space="0" w:color="auto"/>
              <w:right w:val="single" w:sz="4" w:space="0" w:color="auto"/>
            </w:tcBorders>
            <w:shd w:val="clear" w:color="auto" w:fill="auto"/>
            <w:noWrap/>
            <w:vAlign w:val="center"/>
            <w:hideMark/>
          </w:tcPr>
          <w:p>
            <w:pPr>
              <w:keepNext/>
              <w:keepLines/>
              <w:spacing w:line="360" w:lineRule="auto"/>
              <w:jc w:val="center"/>
              <w:rPr>
                <w:noProof/>
                <w:color w:val="000000"/>
                <w:sz w:val="22"/>
                <w:szCs w:val="22"/>
              </w:rPr>
            </w:pPr>
            <w:r>
              <w:rPr>
                <w:noProof/>
                <w:color w:val="000000"/>
                <w:sz w:val="22"/>
                <w:szCs w:val="22"/>
              </w:rPr>
              <w:t>covered bonds</w:t>
            </w:r>
          </w:p>
        </w:tc>
        <w:tc>
          <w:tcPr>
            <w:tcW w:w="2247" w:type="dxa"/>
            <w:vMerge/>
            <w:tcBorders>
              <w:top w:val="nil"/>
              <w:left w:val="single" w:sz="4" w:space="0" w:color="auto"/>
              <w:bottom w:val="single" w:sz="4" w:space="0" w:color="auto"/>
              <w:right w:val="single" w:sz="4" w:space="0" w:color="auto"/>
            </w:tcBorders>
            <w:vAlign w:val="center"/>
            <w:hideMark/>
          </w:tcPr>
          <w:p>
            <w:pPr>
              <w:keepNext/>
              <w:keepLines/>
              <w:spacing w:line="360" w:lineRule="auto"/>
              <w:jc w:val="center"/>
              <w:rPr>
                <w:noProof/>
                <w:color w:val="000000"/>
                <w:sz w:val="22"/>
                <w:szCs w:val="22"/>
              </w:rPr>
            </w:pPr>
          </w:p>
        </w:tc>
        <w:tc>
          <w:tcPr>
            <w:tcW w:w="3616" w:type="dxa"/>
            <w:tcBorders>
              <w:top w:val="nil"/>
              <w:left w:val="nil"/>
              <w:bottom w:val="single" w:sz="4" w:space="0" w:color="auto"/>
              <w:right w:val="single" w:sz="4" w:space="0" w:color="auto"/>
            </w:tcBorders>
            <w:shd w:val="clear" w:color="auto" w:fill="auto"/>
            <w:noWrap/>
            <w:vAlign w:val="center"/>
            <w:hideMark/>
          </w:tcPr>
          <w:p>
            <w:pPr>
              <w:keepNext/>
              <w:keepLines/>
              <w:spacing w:line="360" w:lineRule="auto"/>
              <w:jc w:val="center"/>
              <w:rPr>
                <w:noProof/>
                <w:color w:val="000000"/>
                <w:sz w:val="22"/>
                <w:szCs w:val="22"/>
              </w:rPr>
            </w:pPr>
            <w:r>
              <w:rPr>
                <w:noProof/>
                <w:sz w:val="22"/>
                <w:szCs w:val="22"/>
                <w:lang w:eastAsia="en-US"/>
              </w:rPr>
              <w:t>11.3%</w:t>
            </w:r>
          </w:p>
        </w:tc>
      </w:tr>
      <w:tr>
        <w:trPr>
          <w:trHeight w:val="196"/>
        </w:trPr>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pPr>
              <w:keepNext/>
              <w:keepLines/>
              <w:jc w:val="center"/>
              <w:rPr>
                <w:noProof/>
                <w:color w:val="000000"/>
                <w:sz w:val="22"/>
                <w:szCs w:val="22"/>
              </w:rPr>
            </w:pPr>
            <w:r>
              <w:rPr>
                <w:noProof/>
                <w:color w:val="000000"/>
                <w:sz w:val="22"/>
                <w:szCs w:val="22"/>
              </w:rPr>
              <w:t>3-5</w:t>
            </w:r>
          </w:p>
          <w:p>
            <w:pPr>
              <w:keepNext/>
              <w:keepLines/>
              <w:jc w:val="center"/>
              <w:rPr>
                <w:noProof/>
                <w:color w:val="000000"/>
                <w:sz w:val="22"/>
                <w:szCs w:val="22"/>
              </w:rPr>
            </w:pPr>
          </w:p>
        </w:tc>
        <w:tc>
          <w:tcPr>
            <w:tcW w:w="2621" w:type="dxa"/>
            <w:tcBorders>
              <w:top w:val="nil"/>
              <w:left w:val="nil"/>
              <w:bottom w:val="single" w:sz="4" w:space="0" w:color="auto"/>
              <w:right w:val="single" w:sz="4" w:space="0" w:color="auto"/>
            </w:tcBorders>
            <w:shd w:val="clear" w:color="auto" w:fill="auto"/>
            <w:noWrap/>
            <w:vAlign w:val="center"/>
            <w:hideMark/>
          </w:tcPr>
          <w:p>
            <w:pPr>
              <w:keepNext/>
              <w:keepLines/>
              <w:spacing w:line="360" w:lineRule="auto"/>
              <w:jc w:val="center"/>
              <w:rPr>
                <w:noProof/>
                <w:color w:val="000000"/>
                <w:sz w:val="22"/>
                <w:szCs w:val="22"/>
              </w:rPr>
            </w:pPr>
            <w:r>
              <w:rPr>
                <w:noProof/>
                <w:color w:val="000000"/>
                <w:sz w:val="22"/>
                <w:szCs w:val="22"/>
              </w:rPr>
              <w:t>sovereign</w:t>
            </w:r>
          </w:p>
        </w:tc>
        <w:tc>
          <w:tcPr>
            <w:tcW w:w="2247" w:type="dxa"/>
            <w:vMerge/>
            <w:tcBorders>
              <w:top w:val="nil"/>
              <w:left w:val="single" w:sz="4" w:space="0" w:color="auto"/>
              <w:bottom w:val="single" w:sz="4" w:space="0" w:color="auto"/>
              <w:right w:val="single" w:sz="4" w:space="0" w:color="auto"/>
            </w:tcBorders>
            <w:vAlign w:val="center"/>
            <w:hideMark/>
          </w:tcPr>
          <w:p>
            <w:pPr>
              <w:keepNext/>
              <w:keepLines/>
              <w:spacing w:line="360" w:lineRule="auto"/>
              <w:jc w:val="center"/>
              <w:rPr>
                <w:noProof/>
                <w:color w:val="000000"/>
                <w:sz w:val="22"/>
                <w:szCs w:val="22"/>
              </w:rPr>
            </w:pPr>
          </w:p>
        </w:tc>
        <w:tc>
          <w:tcPr>
            <w:tcW w:w="3616" w:type="dxa"/>
            <w:tcBorders>
              <w:top w:val="nil"/>
              <w:left w:val="nil"/>
              <w:bottom w:val="single" w:sz="4" w:space="0" w:color="auto"/>
              <w:right w:val="single" w:sz="4" w:space="0" w:color="auto"/>
            </w:tcBorders>
            <w:shd w:val="clear" w:color="auto" w:fill="auto"/>
            <w:noWrap/>
            <w:vAlign w:val="center"/>
            <w:hideMark/>
          </w:tcPr>
          <w:p>
            <w:pPr>
              <w:keepNext/>
              <w:keepLines/>
              <w:spacing w:line="360" w:lineRule="auto"/>
              <w:jc w:val="center"/>
              <w:rPr>
                <w:noProof/>
                <w:color w:val="000000"/>
                <w:sz w:val="22"/>
                <w:szCs w:val="22"/>
              </w:rPr>
            </w:pPr>
            <w:r>
              <w:rPr>
                <w:noProof/>
                <w:sz w:val="22"/>
                <w:szCs w:val="22"/>
                <w:lang w:eastAsia="en-US"/>
              </w:rPr>
              <w:t>20.5%</w:t>
            </w:r>
          </w:p>
        </w:tc>
      </w:tr>
      <w:tr>
        <w:trPr>
          <w:trHeight w:val="199"/>
        </w:trPr>
        <w:tc>
          <w:tcPr>
            <w:tcW w:w="887" w:type="dxa"/>
            <w:vMerge/>
            <w:tcBorders>
              <w:top w:val="nil"/>
              <w:left w:val="single" w:sz="4" w:space="0" w:color="auto"/>
              <w:bottom w:val="single" w:sz="4" w:space="0" w:color="auto"/>
              <w:right w:val="single" w:sz="4" w:space="0" w:color="auto"/>
            </w:tcBorders>
            <w:vAlign w:val="center"/>
            <w:hideMark/>
          </w:tcPr>
          <w:p>
            <w:pPr>
              <w:keepNext/>
              <w:keepLines/>
              <w:jc w:val="center"/>
              <w:rPr>
                <w:noProof/>
                <w:color w:val="000000"/>
                <w:sz w:val="22"/>
                <w:szCs w:val="22"/>
              </w:rPr>
            </w:pPr>
          </w:p>
        </w:tc>
        <w:tc>
          <w:tcPr>
            <w:tcW w:w="2621" w:type="dxa"/>
            <w:tcBorders>
              <w:top w:val="nil"/>
              <w:left w:val="nil"/>
              <w:bottom w:val="single" w:sz="4" w:space="0" w:color="auto"/>
              <w:right w:val="single" w:sz="4" w:space="0" w:color="auto"/>
            </w:tcBorders>
            <w:shd w:val="clear" w:color="auto" w:fill="auto"/>
            <w:noWrap/>
            <w:vAlign w:val="center"/>
            <w:hideMark/>
          </w:tcPr>
          <w:p>
            <w:pPr>
              <w:keepNext/>
              <w:keepLines/>
              <w:spacing w:line="360" w:lineRule="auto"/>
              <w:jc w:val="center"/>
              <w:rPr>
                <w:noProof/>
                <w:color w:val="000000"/>
                <w:sz w:val="22"/>
                <w:szCs w:val="22"/>
              </w:rPr>
            </w:pPr>
            <w:r>
              <w:rPr>
                <w:noProof/>
                <w:color w:val="000000"/>
                <w:sz w:val="22"/>
                <w:szCs w:val="22"/>
              </w:rPr>
              <w:t>covered bonds</w:t>
            </w:r>
          </w:p>
        </w:tc>
        <w:tc>
          <w:tcPr>
            <w:tcW w:w="2247" w:type="dxa"/>
            <w:vMerge/>
            <w:tcBorders>
              <w:top w:val="nil"/>
              <w:left w:val="single" w:sz="4" w:space="0" w:color="auto"/>
              <w:bottom w:val="single" w:sz="4" w:space="0" w:color="auto"/>
              <w:right w:val="single" w:sz="4" w:space="0" w:color="auto"/>
            </w:tcBorders>
            <w:vAlign w:val="center"/>
            <w:hideMark/>
          </w:tcPr>
          <w:p>
            <w:pPr>
              <w:keepNext/>
              <w:keepLines/>
              <w:spacing w:line="360" w:lineRule="auto"/>
              <w:jc w:val="center"/>
              <w:rPr>
                <w:noProof/>
                <w:color w:val="000000"/>
                <w:sz w:val="22"/>
                <w:szCs w:val="22"/>
              </w:rPr>
            </w:pPr>
          </w:p>
        </w:tc>
        <w:tc>
          <w:tcPr>
            <w:tcW w:w="3616" w:type="dxa"/>
            <w:tcBorders>
              <w:top w:val="nil"/>
              <w:left w:val="nil"/>
              <w:bottom w:val="single" w:sz="4" w:space="0" w:color="auto"/>
              <w:right w:val="single" w:sz="4" w:space="0" w:color="auto"/>
            </w:tcBorders>
            <w:shd w:val="clear" w:color="auto" w:fill="auto"/>
            <w:noWrap/>
            <w:vAlign w:val="center"/>
            <w:hideMark/>
          </w:tcPr>
          <w:p>
            <w:pPr>
              <w:keepNext/>
              <w:keepLines/>
              <w:spacing w:line="360" w:lineRule="auto"/>
              <w:jc w:val="center"/>
              <w:rPr>
                <w:noProof/>
                <w:color w:val="000000"/>
                <w:sz w:val="22"/>
                <w:szCs w:val="22"/>
              </w:rPr>
            </w:pPr>
            <w:r>
              <w:rPr>
                <w:noProof/>
                <w:sz w:val="22"/>
                <w:szCs w:val="22"/>
                <w:lang w:eastAsia="en-US"/>
              </w:rPr>
              <w:t>17.2%</w:t>
            </w:r>
          </w:p>
        </w:tc>
      </w:tr>
      <w:tr>
        <w:trPr>
          <w:trHeight w:val="202"/>
        </w:trPr>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pPr>
              <w:keepNext/>
              <w:keepLines/>
              <w:jc w:val="center"/>
              <w:rPr>
                <w:noProof/>
                <w:color w:val="000000"/>
                <w:sz w:val="22"/>
                <w:szCs w:val="22"/>
              </w:rPr>
            </w:pPr>
            <w:r>
              <w:rPr>
                <w:noProof/>
                <w:color w:val="000000"/>
                <w:sz w:val="22"/>
                <w:szCs w:val="22"/>
              </w:rPr>
              <w:t>5-7</w:t>
            </w:r>
          </w:p>
          <w:p>
            <w:pPr>
              <w:keepNext/>
              <w:keepLines/>
              <w:jc w:val="center"/>
              <w:rPr>
                <w:noProof/>
                <w:color w:val="000000"/>
                <w:sz w:val="22"/>
                <w:szCs w:val="22"/>
              </w:rPr>
            </w:pPr>
          </w:p>
        </w:tc>
        <w:tc>
          <w:tcPr>
            <w:tcW w:w="2621" w:type="dxa"/>
            <w:tcBorders>
              <w:top w:val="nil"/>
              <w:left w:val="nil"/>
              <w:bottom w:val="single" w:sz="4" w:space="0" w:color="auto"/>
              <w:right w:val="single" w:sz="4" w:space="0" w:color="auto"/>
            </w:tcBorders>
            <w:shd w:val="clear" w:color="auto" w:fill="auto"/>
            <w:noWrap/>
            <w:vAlign w:val="center"/>
            <w:hideMark/>
          </w:tcPr>
          <w:p>
            <w:pPr>
              <w:keepNext/>
              <w:keepLines/>
              <w:spacing w:line="360" w:lineRule="auto"/>
              <w:jc w:val="center"/>
              <w:rPr>
                <w:noProof/>
                <w:color w:val="000000"/>
                <w:sz w:val="22"/>
                <w:szCs w:val="22"/>
              </w:rPr>
            </w:pPr>
            <w:r>
              <w:rPr>
                <w:noProof/>
                <w:color w:val="000000"/>
                <w:sz w:val="22"/>
                <w:szCs w:val="22"/>
              </w:rPr>
              <w:t>sovereign</w:t>
            </w:r>
          </w:p>
        </w:tc>
        <w:tc>
          <w:tcPr>
            <w:tcW w:w="2247" w:type="dxa"/>
            <w:vMerge/>
            <w:tcBorders>
              <w:top w:val="nil"/>
              <w:left w:val="single" w:sz="4" w:space="0" w:color="auto"/>
              <w:bottom w:val="single" w:sz="4" w:space="0" w:color="auto"/>
              <w:right w:val="single" w:sz="4" w:space="0" w:color="auto"/>
            </w:tcBorders>
            <w:vAlign w:val="center"/>
            <w:hideMark/>
          </w:tcPr>
          <w:p>
            <w:pPr>
              <w:keepNext/>
              <w:keepLines/>
              <w:spacing w:line="360" w:lineRule="auto"/>
              <w:jc w:val="center"/>
              <w:rPr>
                <w:noProof/>
                <w:color w:val="000000"/>
                <w:sz w:val="22"/>
                <w:szCs w:val="22"/>
              </w:rPr>
            </w:pPr>
          </w:p>
        </w:tc>
        <w:tc>
          <w:tcPr>
            <w:tcW w:w="3616" w:type="dxa"/>
            <w:tcBorders>
              <w:top w:val="nil"/>
              <w:left w:val="nil"/>
              <w:bottom w:val="single" w:sz="4" w:space="0" w:color="auto"/>
              <w:right w:val="single" w:sz="4" w:space="0" w:color="auto"/>
            </w:tcBorders>
            <w:shd w:val="clear" w:color="auto" w:fill="auto"/>
            <w:noWrap/>
            <w:vAlign w:val="center"/>
            <w:hideMark/>
          </w:tcPr>
          <w:p>
            <w:pPr>
              <w:keepNext/>
              <w:keepLines/>
              <w:spacing w:line="360" w:lineRule="auto"/>
              <w:jc w:val="center"/>
              <w:rPr>
                <w:noProof/>
                <w:color w:val="000000"/>
                <w:sz w:val="22"/>
                <w:szCs w:val="22"/>
              </w:rPr>
            </w:pPr>
            <w:r>
              <w:rPr>
                <w:noProof/>
                <w:sz w:val="22"/>
                <w:szCs w:val="22"/>
                <w:lang w:eastAsia="en-US"/>
              </w:rPr>
              <w:t>4.5%</w:t>
            </w:r>
          </w:p>
        </w:tc>
      </w:tr>
      <w:tr>
        <w:trPr>
          <w:trHeight w:val="205"/>
        </w:trPr>
        <w:tc>
          <w:tcPr>
            <w:tcW w:w="887" w:type="dxa"/>
            <w:vMerge/>
            <w:tcBorders>
              <w:top w:val="nil"/>
              <w:left w:val="single" w:sz="4" w:space="0" w:color="auto"/>
              <w:bottom w:val="single" w:sz="4" w:space="0" w:color="auto"/>
              <w:right w:val="single" w:sz="4" w:space="0" w:color="auto"/>
            </w:tcBorders>
            <w:vAlign w:val="center"/>
            <w:hideMark/>
          </w:tcPr>
          <w:p>
            <w:pPr>
              <w:keepNext/>
              <w:keepLines/>
              <w:jc w:val="center"/>
              <w:rPr>
                <w:noProof/>
                <w:color w:val="000000"/>
                <w:sz w:val="22"/>
                <w:szCs w:val="22"/>
              </w:rPr>
            </w:pPr>
          </w:p>
        </w:tc>
        <w:tc>
          <w:tcPr>
            <w:tcW w:w="2621" w:type="dxa"/>
            <w:tcBorders>
              <w:top w:val="nil"/>
              <w:left w:val="nil"/>
              <w:bottom w:val="single" w:sz="4" w:space="0" w:color="auto"/>
              <w:right w:val="single" w:sz="4" w:space="0" w:color="auto"/>
            </w:tcBorders>
            <w:shd w:val="clear" w:color="auto" w:fill="auto"/>
            <w:noWrap/>
            <w:vAlign w:val="center"/>
            <w:hideMark/>
          </w:tcPr>
          <w:p>
            <w:pPr>
              <w:keepNext/>
              <w:keepLines/>
              <w:spacing w:line="360" w:lineRule="auto"/>
              <w:jc w:val="center"/>
              <w:rPr>
                <w:noProof/>
                <w:color w:val="000000"/>
                <w:sz w:val="22"/>
                <w:szCs w:val="22"/>
              </w:rPr>
            </w:pPr>
            <w:r>
              <w:rPr>
                <w:noProof/>
                <w:color w:val="000000"/>
                <w:sz w:val="22"/>
                <w:szCs w:val="22"/>
              </w:rPr>
              <w:t>covered bonds</w:t>
            </w:r>
          </w:p>
        </w:tc>
        <w:tc>
          <w:tcPr>
            <w:tcW w:w="2247" w:type="dxa"/>
            <w:vMerge/>
            <w:tcBorders>
              <w:top w:val="nil"/>
              <w:left w:val="single" w:sz="4" w:space="0" w:color="auto"/>
              <w:bottom w:val="single" w:sz="4" w:space="0" w:color="auto"/>
              <w:right w:val="single" w:sz="4" w:space="0" w:color="auto"/>
            </w:tcBorders>
            <w:vAlign w:val="center"/>
            <w:hideMark/>
          </w:tcPr>
          <w:p>
            <w:pPr>
              <w:keepNext/>
              <w:keepLines/>
              <w:spacing w:line="360" w:lineRule="auto"/>
              <w:jc w:val="center"/>
              <w:rPr>
                <w:noProof/>
                <w:color w:val="000000"/>
                <w:sz w:val="22"/>
                <w:szCs w:val="22"/>
              </w:rPr>
            </w:pPr>
          </w:p>
        </w:tc>
        <w:tc>
          <w:tcPr>
            <w:tcW w:w="3616" w:type="dxa"/>
            <w:tcBorders>
              <w:top w:val="nil"/>
              <w:left w:val="nil"/>
              <w:bottom w:val="single" w:sz="4" w:space="0" w:color="auto"/>
              <w:right w:val="single" w:sz="4" w:space="0" w:color="auto"/>
            </w:tcBorders>
            <w:shd w:val="clear" w:color="auto" w:fill="auto"/>
            <w:noWrap/>
            <w:vAlign w:val="center"/>
            <w:hideMark/>
          </w:tcPr>
          <w:p>
            <w:pPr>
              <w:keepNext/>
              <w:keepLines/>
              <w:spacing w:line="360" w:lineRule="auto"/>
              <w:jc w:val="center"/>
              <w:rPr>
                <w:noProof/>
                <w:color w:val="000000"/>
                <w:sz w:val="22"/>
                <w:szCs w:val="22"/>
              </w:rPr>
            </w:pPr>
            <w:r>
              <w:rPr>
                <w:noProof/>
                <w:sz w:val="22"/>
                <w:szCs w:val="22"/>
                <w:lang w:eastAsia="en-US"/>
              </w:rPr>
              <w:t>2.2%</w:t>
            </w:r>
          </w:p>
        </w:tc>
      </w:tr>
      <w:tr>
        <w:trPr>
          <w:trHeight w:val="201"/>
        </w:trPr>
        <w:tc>
          <w:tcPr>
            <w:tcW w:w="887" w:type="dxa"/>
            <w:vMerge w:val="restart"/>
            <w:tcBorders>
              <w:top w:val="nil"/>
              <w:left w:val="single" w:sz="4" w:space="0" w:color="auto"/>
              <w:bottom w:val="single" w:sz="4" w:space="0" w:color="auto"/>
              <w:right w:val="single" w:sz="4" w:space="0" w:color="auto"/>
            </w:tcBorders>
            <w:shd w:val="clear" w:color="auto" w:fill="auto"/>
            <w:vAlign w:val="center"/>
            <w:hideMark/>
          </w:tcPr>
          <w:p>
            <w:pPr>
              <w:keepNext/>
              <w:keepLines/>
              <w:jc w:val="center"/>
              <w:rPr>
                <w:noProof/>
                <w:color w:val="000000"/>
                <w:sz w:val="22"/>
                <w:szCs w:val="22"/>
              </w:rPr>
            </w:pPr>
            <w:r>
              <w:rPr>
                <w:noProof/>
                <w:color w:val="000000"/>
                <w:sz w:val="22"/>
                <w:szCs w:val="22"/>
              </w:rPr>
              <w:t>7-10</w:t>
            </w:r>
          </w:p>
          <w:p>
            <w:pPr>
              <w:keepNext/>
              <w:keepLines/>
              <w:jc w:val="center"/>
              <w:rPr>
                <w:noProof/>
                <w:color w:val="000000"/>
                <w:sz w:val="22"/>
                <w:szCs w:val="22"/>
              </w:rPr>
            </w:pPr>
          </w:p>
        </w:tc>
        <w:tc>
          <w:tcPr>
            <w:tcW w:w="2621" w:type="dxa"/>
            <w:tcBorders>
              <w:top w:val="nil"/>
              <w:left w:val="nil"/>
              <w:bottom w:val="single" w:sz="4" w:space="0" w:color="auto"/>
              <w:right w:val="single" w:sz="4" w:space="0" w:color="auto"/>
            </w:tcBorders>
            <w:shd w:val="clear" w:color="auto" w:fill="auto"/>
            <w:noWrap/>
            <w:vAlign w:val="center"/>
            <w:hideMark/>
          </w:tcPr>
          <w:p>
            <w:pPr>
              <w:keepNext/>
              <w:keepLines/>
              <w:spacing w:line="360" w:lineRule="auto"/>
              <w:jc w:val="center"/>
              <w:rPr>
                <w:noProof/>
                <w:color w:val="000000"/>
                <w:sz w:val="22"/>
                <w:szCs w:val="22"/>
              </w:rPr>
            </w:pPr>
            <w:r>
              <w:rPr>
                <w:noProof/>
                <w:color w:val="000000"/>
                <w:sz w:val="22"/>
                <w:szCs w:val="22"/>
              </w:rPr>
              <w:t>sovereign</w:t>
            </w:r>
          </w:p>
        </w:tc>
        <w:tc>
          <w:tcPr>
            <w:tcW w:w="2247" w:type="dxa"/>
            <w:vMerge/>
            <w:tcBorders>
              <w:top w:val="nil"/>
              <w:left w:val="single" w:sz="4" w:space="0" w:color="auto"/>
              <w:bottom w:val="single" w:sz="4" w:space="0" w:color="auto"/>
              <w:right w:val="single" w:sz="4" w:space="0" w:color="auto"/>
            </w:tcBorders>
            <w:vAlign w:val="center"/>
            <w:hideMark/>
          </w:tcPr>
          <w:p>
            <w:pPr>
              <w:keepNext/>
              <w:keepLines/>
              <w:spacing w:line="360" w:lineRule="auto"/>
              <w:jc w:val="center"/>
              <w:rPr>
                <w:noProof/>
                <w:color w:val="000000"/>
                <w:sz w:val="22"/>
                <w:szCs w:val="22"/>
              </w:rPr>
            </w:pPr>
          </w:p>
        </w:tc>
        <w:tc>
          <w:tcPr>
            <w:tcW w:w="3616" w:type="dxa"/>
            <w:tcBorders>
              <w:top w:val="nil"/>
              <w:left w:val="nil"/>
              <w:bottom w:val="single" w:sz="4" w:space="0" w:color="auto"/>
              <w:right w:val="single" w:sz="4" w:space="0" w:color="auto"/>
            </w:tcBorders>
            <w:shd w:val="clear" w:color="auto" w:fill="auto"/>
            <w:noWrap/>
            <w:vAlign w:val="center"/>
            <w:hideMark/>
          </w:tcPr>
          <w:p>
            <w:pPr>
              <w:keepNext/>
              <w:keepLines/>
              <w:spacing w:line="360" w:lineRule="auto"/>
              <w:jc w:val="center"/>
              <w:rPr>
                <w:noProof/>
                <w:color w:val="000000"/>
                <w:sz w:val="22"/>
                <w:szCs w:val="22"/>
              </w:rPr>
            </w:pPr>
            <w:r>
              <w:rPr>
                <w:noProof/>
                <w:sz w:val="22"/>
                <w:szCs w:val="22"/>
                <w:lang w:eastAsia="en-US"/>
              </w:rPr>
              <w:t>0.6%</w:t>
            </w:r>
          </w:p>
        </w:tc>
      </w:tr>
      <w:tr>
        <w:trPr>
          <w:trHeight w:val="204"/>
        </w:trPr>
        <w:tc>
          <w:tcPr>
            <w:tcW w:w="887" w:type="dxa"/>
            <w:vMerge/>
            <w:tcBorders>
              <w:top w:val="nil"/>
              <w:left w:val="single" w:sz="4" w:space="0" w:color="auto"/>
              <w:bottom w:val="single" w:sz="4" w:space="0" w:color="auto"/>
              <w:right w:val="single" w:sz="4" w:space="0" w:color="auto"/>
            </w:tcBorders>
            <w:vAlign w:val="center"/>
            <w:hideMark/>
          </w:tcPr>
          <w:p>
            <w:pPr>
              <w:keepNext/>
              <w:keepLines/>
              <w:jc w:val="center"/>
              <w:rPr>
                <w:noProof/>
                <w:color w:val="000000"/>
                <w:sz w:val="22"/>
                <w:szCs w:val="22"/>
              </w:rPr>
            </w:pPr>
          </w:p>
        </w:tc>
        <w:tc>
          <w:tcPr>
            <w:tcW w:w="2621" w:type="dxa"/>
            <w:tcBorders>
              <w:top w:val="nil"/>
              <w:left w:val="nil"/>
              <w:bottom w:val="single" w:sz="4" w:space="0" w:color="auto"/>
              <w:right w:val="single" w:sz="4" w:space="0" w:color="auto"/>
            </w:tcBorders>
            <w:shd w:val="clear" w:color="auto" w:fill="auto"/>
            <w:noWrap/>
            <w:vAlign w:val="center"/>
            <w:hideMark/>
          </w:tcPr>
          <w:p>
            <w:pPr>
              <w:keepNext/>
              <w:keepLines/>
              <w:spacing w:line="360" w:lineRule="auto"/>
              <w:jc w:val="center"/>
              <w:rPr>
                <w:noProof/>
                <w:color w:val="000000"/>
                <w:sz w:val="22"/>
                <w:szCs w:val="22"/>
              </w:rPr>
            </w:pPr>
            <w:r>
              <w:rPr>
                <w:noProof/>
                <w:color w:val="000000"/>
                <w:sz w:val="22"/>
                <w:szCs w:val="22"/>
              </w:rPr>
              <w:t>covered bonds</w:t>
            </w:r>
          </w:p>
        </w:tc>
        <w:tc>
          <w:tcPr>
            <w:tcW w:w="2247" w:type="dxa"/>
            <w:vMerge/>
            <w:tcBorders>
              <w:top w:val="nil"/>
              <w:left w:val="single" w:sz="4" w:space="0" w:color="auto"/>
              <w:bottom w:val="single" w:sz="4" w:space="0" w:color="auto"/>
              <w:right w:val="single" w:sz="4" w:space="0" w:color="auto"/>
            </w:tcBorders>
            <w:vAlign w:val="center"/>
            <w:hideMark/>
          </w:tcPr>
          <w:p>
            <w:pPr>
              <w:keepNext/>
              <w:keepLines/>
              <w:spacing w:line="360" w:lineRule="auto"/>
              <w:jc w:val="center"/>
              <w:rPr>
                <w:noProof/>
                <w:color w:val="000000"/>
                <w:sz w:val="22"/>
                <w:szCs w:val="22"/>
              </w:rPr>
            </w:pPr>
          </w:p>
        </w:tc>
        <w:tc>
          <w:tcPr>
            <w:tcW w:w="3616" w:type="dxa"/>
            <w:tcBorders>
              <w:top w:val="nil"/>
              <w:left w:val="nil"/>
              <w:bottom w:val="single" w:sz="4" w:space="0" w:color="auto"/>
              <w:right w:val="single" w:sz="4" w:space="0" w:color="auto"/>
            </w:tcBorders>
            <w:shd w:val="clear" w:color="auto" w:fill="auto"/>
            <w:noWrap/>
            <w:vAlign w:val="center"/>
            <w:hideMark/>
          </w:tcPr>
          <w:p>
            <w:pPr>
              <w:keepNext/>
              <w:keepLines/>
              <w:spacing w:line="360" w:lineRule="auto"/>
              <w:jc w:val="center"/>
              <w:rPr>
                <w:noProof/>
                <w:color w:val="000000"/>
                <w:sz w:val="22"/>
                <w:szCs w:val="22"/>
              </w:rPr>
            </w:pPr>
            <w:r>
              <w:rPr>
                <w:noProof/>
                <w:sz w:val="22"/>
                <w:szCs w:val="22"/>
                <w:lang w:eastAsia="en-US"/>
              </w:rPr>
              <w:t>0.5%</w:t>
            </w:r>
          </w:p>
        </w:tc>
      </w:tr>
      <w:tr>
        <w:trPr>
          <w:trHeight w:val="193"/>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pPr>
              <w:keepNext/>
              <w:keepLines/>
              <w:jc w:val="center"/>
              <w:rPr>
                <w:b/>
                <w:bCs/>
                <w:noProof/>
                <w:color w:val="000000"/>
                <w:sz w:val="22"/>
                <w:szCs w:val="22"/>
              </w:rPr>
            </w:pPr>
            <w:r>
              <w:rPr>
                <w:b/>
                <w:bCs/>
                <w:noProof/>
                <w:color w:val="000000"/>
                <w:sz w:val="22"/>
                <w:szCs w:val="22"/>
              </w:rPr>
              <w:t>Total</w:t>
            </w:r>
          </w:p>
        </w:tc>
        <w:tc>
          <w:tcPr>
            <w:tcW w:w="2621" w:type="dxa"/>
            <w:tcBorders>
              <w:top w:val="nil"/>
              <w:left w:val="nil"/>
              <w:bottom w:val="single" w:sz="4" w:space="0" w:color="auto"/>
              <w:right w:val="single" w:sz="4" w:space="0" w:color="auto"/>
            </w:tcBorders>
            <w:shd w:val="clear" w:color="auto" w:fill="auto"/>
            <w:noWrap/>
            <w:vAlign w:val="center"/>
            <w:hideMark/>
          </w:tcPr>
          <w:p>
            <w:pPr>
              <w:keepNext/>
              <w:keepLines/>
              <w:jc w:val="center"/>
              <w:rPr>
                <w:b/>
                <w:bCs/>
                <w:noProof/>
                <w:color w:val="000000"/>
                <w:sz w:val="22"/>
                <w:szCs w:val="22"/>
              </w:rPr>
            </w:pPr>
          </w:p>
        </w:tc>
        <w:tc>
          <w:tcPr>
            <w:tcW w:w="2247" w:type="dxa"/>
            <w:tcBorders>
              <w:top w:val="nil"/>
              <w:left w:val="nil"/>
              <w:bottom w:val="single" w:sz="4" w:space="0" w:color="auto"/>
              <w:right w:val="single" w:sz="4" w:space="0" w:color="auto"/>
            </w:tcBorders>
            <w:shd w:val="clear" w:color="auto" w:fill="auto"/>
            <w:noWrap/>
            <w:vAlign w:val="center"/>
            <w:hideMark/>
          </w:tcPr>
          <w:p>
            <w:pPr>
              <w:keepNext/>
              <w:keepLines/>
              <w:jc w:val="center"/>
              <w:rPr>
                <w:b/>
                <w:bCs/>
                <w:noProof/>
                <w:color w:val="000000"/>
                <w:sz w:val="22"/>
                <w:szCs w:val="22"/>
              </w:rPr>
            </w:pPr>
          </w:p>
        </w:tc>
        <w:tc>
          <w:tcPr>
            <w:tcW w:w="3616" w:type="dxa"/>
            <w:tcBorders>
              <w:top w:val="nil"/>
              <w:left w:val="nil"/>
              <w:bottom w:val="single" w:sz="4" w:space="0" w:color="auto"/>
              <w:right w:val="single" w:sz="4" w:space="0" w:color="auto"/>
            </w:tcBorders>
            <w:shd w:val="clear" w:color="auto" w:fill="auto"/>
            <w:noWrap/>
            <w:vAlign w:val="center"/>
            <w:hideMark/>
          </w:tcPr>
          <w:p>
            <w:pPr>
              <w:keepNext/>
              <w:keepLines/>
              <w:jc w:val="center"/>
              <w:rPr>
                <w:b/>
                <w:bCs/>
                <w:noProof/>
                <w:sz w:val="22"/>
                <w:szCs w:val="22"/>
              </w:rPr>
            </w:pPr>
            <w:r>
              <w:rPr>
                <w:b/>
                <w:bCs/>
                <w:noProof/>
                <w:sz w:val="22"/>
                <w:szCs w:val="22"/>
              </w:rPr>
              <w:t>100.00%</w:t>
            </w:r>
          </w:p>
        </w:tc>
      </w:tr>
    </w:tbl>
    <w:p>
      <w:pPr>
        <w:pStyle w:val="ManualHeading3"/>
        <w:rPr>
          <w:noProof/>
        </w:rPr>
      </w:pPr>
      <w:bookmarkStart w:id="55" w:name="_Toc6923116"/>
      <w:bookmarkStart w:id="56" w:name="_Toc6923117"/>
      <w:bookmarkEnd w:id="55"/>
      <w:r>
        <w:t>2.4.2.</w:t>
      </w:r>
      <w:r>
        <w:tab/>
      </w:r>
      <w:r>
        <w:rPr>
          <w:noProof/>
        </w:rPr>
        <w:t>Performance</w:t>
      </w:r>
      <w:bookmarkEnd w:id="53"/>
      <w:bookmarkEnd w:id="54"/>
      <w:bookmarkEnd w:id="56"/>
    </w:p>
    <w:p>
      <w:pPr>
        <w:pStyle w:val="Text1"/>
        <w:rPr>
          <w:noProof/>
          <w:lang w:eastAsia="en-US"/>
        </w:rPr>
      </w:pPr>
      <w:r>
        <w:rPr>
          <w:noProof/>
          <w:lang w:eastAsia="en-US"/>
        </w:rPr>
        <w:t>The performance of the Fund portfolio was monitored on a marked-to-market basis. During 2018, the portfolio delivered a 0.</w:t>
      </w:r>
      <w:r>
        <w:rPr>
          <w:noProof/>
        </w:rPr>
        <w:t>1005</w:t>
      </w:r>
      <w:r>
        <w:rPr>
          <w:noProof/>
          <w:lang w:eastAsia="en-US"/>
        </w:rPr>
        <w:t xml:space="preserve">% MTM yearly return, outperforming its benchmark by +13.5 bps. The evolution of the portfolio return </w:t>
      </w:r>
      <w:r>
        <w:rPr>
          <w:noProof/>
        </w:rPr>
        <w:t>and</w:t>
      </w:r>
      <w:r>
        <w:rPr>
          <w:noProof/>
          <w:lang w:eastAsia="en-US"/>
        </w:rPr>
        <w:t xml:space="preserve"> excess return vis-à-vis its benchmark is presented in the following table:</w:t>
      </w:r>
    </w:p>
    <w:tbl>
      <w:tblPr>
        <w:tblW w:w="9640" w:type="dxa"/>
        <w:tblInd w:w="-176" w:type="dxa"/>
        <w:tblLayout w:type="fixed"/>
        <w:tblLook w:val="04A0" w:firstRow="1" w:lastRow="0" w:firstColumn="1" w:lastColumn="0" w:noHBand="0" w:noVBand="1"/>
      </w:tblPr>
      <w:tblGrid>
        <w:gridCol w:w="1560"/>
        <w:gridCol w:w="1701"/>
        <w:gridCol w:w="1559"/>
        <w:gridCol w:w="1418"/>
        <w:gridCol w:w="283"/>
        <w:gridCol w:w="1701"/>
        <w:gridCol w:w="1418"/>
      </w:tblGrid>
      <w:tr>
        <w:trPr>
          <w:trHeight w:val="279"/>
        </w:trPr>
        <w:tc>
          <w:tcPr>
            <w:tcW w:w="1560" w:type="dxa"/>
            <w:tcBorders>
              <w:top w:val="nil"/>
              <w:left w:val="nil"/>
              <w:bottom w:val="nil"/>
              <w:right w:val="nil"/>
            </w:tcBorders>
            <w:shd w:val="clear" w:color="auto" w:fill="auto"/>
            <w:vAlign w:val="center"/>
            <w:hideMark/>
          </w:tcPr>
          <w:p>
            <w:pPr>
              <w:jc w:val="both"/>
              <w:rPr>
                <w:noProof/>
                <w:sz w:val="22"/>
                <w:szCs w:val="22"/>
              </w:rPr>
            </w:pPr>
          </w:p>
        </w:tc>
        <w:tc>
          <w:tcPr>
            <w:tcW w:w="467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pPr>
              <w:jc w:val="center"/>
              <w:rPr>
                <w:b/>
                <w:bCs/>
                <w:noProof/>
                <w:sz w:val="22"/>
                <w:szCs w:val="22"/>
              </w:rPr>
            </w:pPr>
            <w:r>
              <w:rPr>
                <w:b/>
                <w:bCs/>
                <w:noProof/>
                <w:sz w:val="22"/>
                <w:szCs w:val="22"/>
              </w:rPr>
              <w:t>Portfolio</w:t>
            </w:r>
            <w:r>
              <w:rPr>
                <w:b/>
                <w:bCs/>
                <w:noProof/>
                <w:sz w:val="22"/>
                <w:szCs w:val="22"/>
                <w:vertAlign w:val="superscript"/>
              </w:rPr>
              <w:footnoteReference w:id="8"/>
            </w:r>
          </w:p>
        </w:tc>
        <w:tc>
          <w:tcPr>
            <w:tcW w:w="283" w:type="dxa"/>
            <w:tcBorders>
              <w:top w:val="nil"/>
              <w:left w:val="nil"/>
              <w:bottom w:val="nil"/>
              <w:right w:val="nil"/>
            </w:tcBorders>
            <w:shd w:val="clear" w:color="auto" w:fill="auto"/>
            <w:vAlign w:val="center"/>
            <w:hideMark/>
          </w:tcPr>
          <w:p>
            <w:pPr>
              <w:jc w:val="center"/>
              <w:rPr>
                <w:b/>
                <w:bCs/>
                <w:noProof/>
                <w:sz w:val="22"/>
                <w:szCs w:val="22"/>
              </w:rPr>
            </w:pPr>
            <w:r>
              <w:rPr>
                <w:b/>
                <w:bCs/>
                <w:noProof/>
                <w:sz w:val="22"/>
                <w:szCs w:val="22"/>
              </w:rPr>
              <w:t> </w:t>
            </w:r>
          </w:p>
        </w:tc>
        <w:tc>
          <w:tcPr>
            <w:tcW w:w="31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jc w:val="center"/>
              <w:rPr>
                <w:b/>
                <w:bCs/>
                <w:noProof/>
                <w:sz w:val="22"/>
                <w:szCs w:val="22"/>
              </w:rPr>
            </w:pPr>
            <w:r>
              <w:rPr>
                <w:b/>
                <w:bCs/>
                <w:noProof/>
                <w:sz w:val="22"/>
                <w:szCs w:val="22"/>
              </w:rPr>
              <w:t>Out-performance</w:t>
            </w:r>
          </w:p>
        </w:tc>
      </w:tr>
      <w:tr>
        <w:trPr>
          <w:trHeight w:val="965"/>
        </w:trPr>
        <w:tc>
          <w:tcPr>
            <w:tcW w:w="1560" w:type="dxa"/>
            <w:tcBorders>
              <w:top w:val="nil"/>
              <w:left w:val="nil"/>
              <w:bottom w:val="nil"/>
              <w:right w:val="nil"/>
            </w:tcBorders>
            <w:shd w:val="clear" w:color="auto" w:fill="auto"/>
            <w:vAlign w:val="center"/>
            <w:hideMark/>
          </w:tcPr>
          <w:p>
            <w:pPr>
              <w:jc w:val="center"/>
              <w:rPr>
                <w:noProof/>
                <w:sz w:val="22"/>
                <w:szCs w:val="22"/>
              </w:rPr>
            </w:pPr>
          </w:p>
        </w:tc>
        <w:tc>
          <w:tcPr>
            <w:tcW w:w="1701" w:type="dxa"/>
            <w:tcBorders>
              <w:top w:val="single" w:sz="8" w:space="0" w:color="auto"/>
              <w:left w:val="single" w:sz="8" w:space="0" w:color="auto"/>
              <w:bottom w:val="single" w:sz="8" w:space="0" w:color="auto"/>
              <w:right w:val="nil"/>
            </w:tcBorders>
            <w:shd w:val="clear" w:color="auto" w:fill="auto"/>
            <w:vAlign w:val="center"/>
            <w:hideMark/>
          </w:tcPr>
          <w:p>
            <w:pPr>
              <w:jc w:val="center"/>
              <w:rPr>
                <w:noProof/>
                <w:sz w:val="22"/>
                <w:szCs w:val="22"/>
              </w:rPr>
            </w:pPr>
            <w:r>
              <w:rPr>
                <w:noProof/>
                <w:sz w:val="22"/>
                <w:szCs w:val="22"/>
              </w:rPr>
              <w:t>Market Value (including accrued interest)</w:t>
            </w:r>
          </w:p>
        </w:tc>
        <w:tc>
          <w:tcPr>
            <w:tcW w:w="1559" w:type="dxa"/>
            <w:tcBorders>
              <w:top w:val="single" w:sz="8" w:space="0" w:color="auto"/>
              <w:left w:val="single" w:sz="8" w:space="0" w:color="000000"/>
              <w:bottom w:val="single" w:sz="8" w:space="0" w:color="auto"/>
              <w:right w:val="nil"/>
            </w:tcBorders>
            <w:shd w:val="clear" w:color="auto" w:fill="auto"/>
            <w:vAlign w:val="center"/>
            <w:hideMark/>
          </w:tcPr>
          <w:p>
            <w:pPr>
              <w:jc w:val="center"/>
              <w:rPr>
                <w:noProof/>
                <w:sz w:val="22"/>
                <w:szCs w:val="22"/>
              </w:rPr>
            </w:pPr>
            <w:r>
              <w:rPr>
                <w:noProof/>
                <w:sz w:val="22"/>
                <w:szCs w:val="22"/>
              </w:rPr>
              <w:t>Monthly  return (absolute return in %)</w:t>
            </w:r>
          </w:p>
        </w:tc>
        <w:tc>
          <w:tcPr>
            <w:tcW w:w="1418" w:type="dxa"/>
            <w:tcBorders>
              <w:top w:val="single" w:sz="8" w:space="0" w:color="auto"/>
              <w:left w:val="single" w:sz="8" w:space="0" w:color="000000"/>
              <w:bottom w:val="single" w:sz="8" w:space="0" w:color="auto"/>
              <w:right w:val="single" w:sz="8" w:space="0" w:color="auto"/>
            </w:tcBorders>
            <w:shd w:val="clear" w:color="auto" w:fill="auto"/>
            <w:vAlign w:val="center"/>
            <w:hideMark/>
          </w:tcPr>
          <w:p>
            <w:pPr>
              <w:jc w:val="center"/>
              <w:rPr>
                <w:noProof/>
                <w:sz w:val="22"/>
                <w:szCs w:val="22"/>
              </w:rPr>
            </w:pPr>
            <w:r>
              <w:rPr>
                <w:noProof/>
                <w:sz w:val="22"/>
                <w:szCs w:val="22"/>
              </w:rPr>
              <w:t>YTD  return (absolute return in %)</w:t>
            </w:r>
          </w:p>
        </w:tc>
        <w:tc>
          <w:tcPr>
            <w:tcW w:w="283" w:type="dxa"/>
            <w:tcBorders>
              <w:top w:val="nil"/>
              <w:left w:val="nil"/>
              <w:bottom w:val="nil"/>
              <w:right w:val="single" w:sz="4" w:space="0" w:color="auto"/>
            </w:tcBorders>
            <w:shd w:val="clear" w:color="auto" w:fill="auto"/>
            <w:vAlign w:val="center"/>
            <w:hideMark/>
          </w:tcPr>
          <w:p>
            <w:pPr>
              <w:jc w:val="center"/>
              <w:rPr>
                <w:noProof/>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noProof/>
                <w:sz w:val="22"/>
                <w:szCs w:val="22"/>
              </w:rPr>
            </w:pPr>
            <w:r>
              <w:rPr>
                <w:noProof/>
                <w:sz w:val="22"/>
                <w:szCs w:val="22"/>
              </w:rPr>
              <w:t>Monthly</w:t>
            </w:r>
            <w:r>
              <w:rPr>
                <w:noProof/>
                <w:sz w:val="22"/>
                <w:szCs w:val="22"/>
              </w:rPr>
              <w:br/>
              <w:t>Excess Return compared to benchmark (in%)</w:t>
            </w:r>
          </w:p>
        </w:tc>
        <w:tc>
          <w:tcPr>
            <w:tcW w:w="1418" w:type="dxa"/>
            <w:tcBorders>
              <w:top w:val="single" w:sz="8" w:space="0" w:color="auto"/>
              <w:left w:val="single" w:sz="4" w:space="0" w:color="auto"/>
              <w:bottom w:val="single" w:sz="8" w:space="0" w:color="auto"/>
              <w:right w:val="single" w:sz="8" w:space="0" w:color="auto"/>
            </w:tcBorders>
            <w:shd w:val="clear" w:color="auto" w:fill="auto"/>
            <w:vAlign w:val="center"/>
            <w:hideMark/>
          </w:tcPr>
          <w:p>
            <w:pPr>
              <w:rPr>
                <w:noProof/>
                <w:sz w:val="22"/>
                <w:szCs w:val="22"/>
              </w:rPr>
            </w:pPr>
            <w:r>
              <w:rPr>
                <w:noProof/>
                <w:sz w:val="22"/>
                <w:szCs w:val="22"/>
              </w:rPr>
              <w:t>YTD</w:t>
            </w:r>
            <w:r>
              <w:rPr>
                <w:noProof/>
                <w:sz w:val="22"/>
                <w:szCs w:val="22"/>
              </w:rPr>
              <w:br/>
              <w:t>Excess Return (in%)</w:t>
            </w:r>
          </w:p>
        </w:tc>
      </w:tr>
      <w:tr>
        <w:trPr>
          <w:trHeight w:val="340"/>
        </w:trPr>
        <w:tc>
          <w:tcPr>
            <w:tcW w:w="1560" w:type="dxa"/>
            <w:tcBorders>
              <w:top w:val="single" w:sz="8" w:space="0" w:color="auto"/>
              <w:left w:val="single" w:sz="8" w:space="0" w:color="auto"/>
              <w:bottom w:val="nil"/>
              <w:right w:val="single" w:sz="8" w:space="0" w:color="auto"/>
            </w:tcBorders>
            <w:shd w:val="clear" w:color="auto" w:fill="auto"/>
            <w:noWrap/>
            <w:vAlign w:val="center"/>
            <w:hideMark/>
          </w:tcPr>
          <w:p>
            <w:pPr>
              <w:spacing w:before="120" w:after="120"/>
              <w:jc w:val="center"/>
              <w:rPr>
                <w:b/>
                <w:bCs/>
                <w:noProof/>
                <w:color w:val="000000"/>
                <w:sz w:val="22"/>
                <w:szCs w:val="22"/>
                <w:lang w:eastAsia="en-US"/>
              </w:rPr>
            </w:pPr>
            <w:r>
              <w:rPr>
                <w:b/>
                <w:bCs/>
                <w:noProof/>
                <w:color w:val="000000"/>
                <w:sz w:val="22"/>
                <w:szCs w:val="22"/>
                <w:lang w:eastAsia="en-US"/>
              </w:rPr>
              <w:t>31/01/2018</w:t>
            </w:r>
          </w:p>
        </w:tc>
        <w:tc>
          <w:tcPr>
            <w:tcW w:w="1701" w:type="dxa"/>
            <w:tcBorders>
              <w:top w:val="nil"/>
              <w:left w:val="nil"/>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2,414,728,998</w:t>
            </w:r>
          </w:p>
        </w:tc>
        <w:tc>
          <w:tcPr>
            <w:tcW w:w="1559"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-0.3514</w:t>
            </w:r>
          </w:p>
        </w:tc>
        <w:tc>
          <w:tcPr>
            <w:tcW w:w="1418"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-0.3514</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22"/>
                <w:szCs w:val="22"/>
                <w:lang w:eastAsia="en-US"/>
              </w:rPr>
            </w:pPr>
            <w:r>
              <w:rPr>
                <w:noProof/>
                <w:color w:val="000000"/>
                <w:sz w:val="22"/>
                <w:szCs w:val="22"/>
                <w:lang w:eastAsia="en-US"/>
              </w:rPr>
              <w:t> </w:t>
            </w:r>
          </w:p>
        </w:tc>
        <w:tc>
          <w:tcPr>
            <w:tcW w:w="1701" w:type="dxa"/>
            <w:tcBorders>
              <w:top w:val="single" w:sz="4" w:space="0" w:color="auto"/>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-0.048</w:t>
            </w:r>
          </w:p>
        </w:tc>
        <w:tc>
          <w:tcPr>
            <w:tcW w:w="1418" w:type="dxa"/>
            <w:tcBorders>
              <w:top w:val="nil"/>
              <w:left w:val="single" w:sz="8" w:space="0" w:color="auto"/>
              <w:bottom w:val="single" w:sz="8" w:space="0" w:color="000000"/>
              <w:right w:val="single" w:sz="8" w:space="0" w:color="auto"/>
            </w:tcBorders>
            <w:shd w:val="clear" w:color="auto" w:fill="auto"/>
            <w:hideMark/>
          </w:tcPr>
          <w:p>
            <w:pPr>
              <w:spacing w:before="120" w:after="120"/>
              <w:jc w:val="center"/>
              <w:rPr>
                <w:noProof/>
                <w:sz w:val="22"/>
                <w:szCs w:val="22"/>
                <w:lang w:eastAsia="en-US"/>
              </w:rPr>
            </w:pPr>
            <w:r>
              <w:rPr>
                <w:noProof/>
                <w:sz w:val="22"/>
                <w:szCs w:val="22"/>
                <w:lang w:eastAsia="en-US"/>
              </w:rPr>
              <w:t>-0.048</w:t>
            </w:r>
          </w:p>
        </w:tc>
      </w:tr>
      <w:tr>
        <w:trPr>
          <w:trHeight w:val="340"/>
        </w:trPr>
        <w:tc>
          <w:tcPr>
            <w:tcW w:w="1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120" w:after="120"/>
              <w:jc w:val="center"/>
              <w:rPr>
                <w:b/>
                <w:bCs/>
                <w:noProof/>
                <w:color w:val="000000"/>
                <w:sz w:val="22"/>
                <w:szCs w:val="22"/>
                <w:lang w:eastAsia="en-US"/>
              </w:rPr>
            </w:pPr>
            <w:r>
              <w:rPr>
                <w:b/>
                <w:bCs/>
                <w:noProof/>
                <w:color w:val="000000"/>
                <w:sz w:val="22"/>
                <w:szCs w:val="22"/>
                <w:lang w:eastAsia="en-US"/>
              </w:rPr>
              <w:t>28/02/2018</w:t>
            </w:r>
          </w:p>
        </w:tc>
        <w:tc>
          <w:tcPr>
            <w:tcW w:w="1701" w:type="dxa"/>
            <w:tcBorders>
              <w:top w:val="nil"/>
              <w:left w:val="nil"/>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2,551,764,158</w:t>
            </w:r>
          </w:p>
        </w:tc>
        <w:tc>
          <w:tcPr>
            <w:tcW w:w="1559"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0.0986</w:t>
            </w:r>
          </w:p>
        </w:tc>
        <w:tc>
          <w:tcPr>
            <w:tcW w:w="1418"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-0.2532</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22"/>
                <w:szCs w:val="22"/>
                <w:lang w:eastAsia="en-US"/>
              </w:rPr>
            </w:pPr>
            <w:r>
              <w:rPr>
                <w:noProof/>
                <w:color w:val="000000"/>
                <w:sz w:val="22"/>
                <w:szCs w:val="22"/>
                <w:lang w:eastAsia="en-US"/>
              </w:rPr>
              <w:t> </w:t>
            </w:r>
          </w:p>
        </w:tc>
        <w:tc>
          <w:tcPr>
            <w:tcW w:w="1701"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0.017</w:t>
            </w:r>
          </w:p>
        </w:tc>
        <w:tc>
          <w:tcPr>
            <w:tcW w:w="1418" w:type="dxa"/>
            <w:tcBorders>
              <w:top w:val="nil"/>
              <w:left w:val="single" w:sz="8" w:space="0" w:color="auto"/>
              <w:bottom w:val="single" w:sz="8" w:space="0" w:color="000000"/>
              <w:right w:val="single" w:sz="8" w:space="0" w:color="auto"/>
            </w:tcBorders>
            <w:shd w:val="clear" w:color="auto" w:fill="auto"/>
            <w:hideMark/>
          </w:tcPr>
          <w:p>
            <w:pPr>
              <w:spacing w:before="120" w:after="120"/>
              <w:jc w:val="center"/>
              <w:rPr>
                <w:noProof/>
                <w:sz w:val="22"/>
                <w:szCs w:val="22"/>
                <w:lang w:eastAsia="en-US"/>
              </w:rPr>
            </w:pPr>
            <w:r>
              <w:rPr>
                <w:noProof/>
                <w:sz w:val="22"/>
                <w:szCs w:val="22"/>
                <w:lang w:eastAsia="en-US"/>
              </w:rPr>
              <w:t>-0.031</w:t>
            </w:r>
          </w:p>
        </w:tc>
      </w:tr>
      <w:tr>
        <w:trPr>
          <w:trHeight w:val="359"/>
        </w:trPr>
        <w:tc>
          <w:tcPr>
            <w:tcW w:w="1560" w:type="dxa"/>
            <w:tcBorders>
              <w:top w:val="nil"/>
              <w:left w:val="single" w:sz="8" w:space="0" w:color="auto"/>
              <w:bottom w:val="nil"/>
              <w:right w:val="single" w:sz="8" w:space="0" w:color="auto"/>
            </w:tcBorders>
            <w:shd w:val="clear" w:color="auto" w:fill="auto"/>
            <w:noWrap/>
            <w:vAlign w:val="center"/>
            <w:hideMark/>
          </w:tcPr>
          <w:p>
            <w:pPr>
              <w:spacing w:before="120" w:after="120"/>
              <w:jc w:val="center"/>
              <w:rPr>
                <w:b/>
                <w:bCs/>
                <w:noProof/>
                <w:color w:val="000000"/>
                <w:sz w:val="22"/>
                <w:szCs w:val="22"/>
                <w:lang w:eastAsia="en-US"/>
              </w:rPr>
            </w:pPr>
            <w:r>
              <w:rPr>
                <w:b/>
                <w:bCs/>
                <w:noProof/>
                <w:color w:val="000000"/>
                <w:sz w:val="22"/>
                <w:szCs w:val="22"/>
                <w:lang w:eastAsia="en-US"/>
              </w:rPr>
              <w:t>31/03/2018</w:t>
            </w:r>
          </w:p>
        </w:tc>
        <w:tc>
          <w:tcPr>
            <w:tcW w:w="1701" w:type="dxa"/>
            <w:tcBorders>
              <w:top w:val="nil"/>
              <w:left w:val="nil"/>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2,550,075,123</w:t>
            </w:r>
          </w:p>
        </w:tc>
        <w:tc>
          <w:tcPr>
            <w:tcW w:w="1559"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0.2249</w:t>
            </w:r>
          </w:p>
        </w:tc>
        <w:tc>
          <w:tcPr>
            <w:tcW w:w="1418"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-0.0289</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22"/>
                <w:szCs w:val="22"/>
                <w:lang w:eastAsia="en-US"/>
              </w:rPr>
            </w:pPr>
            <w:r>
              <w:rPr>
                <w:noProof/>
                <w:color w:val="000000"/>
                <w:sz w:val="22"/>
                <w:szCs w:val="22"/>
                <w:lang w:eastAsia="en-US"/>
              </w:rPr>
              <w:t> </w:t>
            </w:r>
          </w:p>
        </w:tc>
        <w:tc>
          <w:tcPr>
            <w:tcW w:w="1701"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-0.116</w:t>
            </w:r>
          </w:p>
        </w:tc>
        <w:tc>
          <w:tcPr>
            <w:tcW w:w="1418" w:type="dxa"/>
            <w:tcBorders>
              <w:top w:val="nil"/>
              <w:left w:val="single" w:sz="8" w:space="0" w:color="auto"/>
              <w:bottom w:val="single" w:sz="8" w:space="0" w:color="000000"/>
              <w:right w:val="single" w:sz="8" w:space="0" w:color="auto"/>
            </w:tcBorders>
            <w:shd w:val="clear" w:color="auto" w:fill="auto"/>
            <w:hideMark/>
          </w:tcPr>
          <w:p>
            <w:pPr>
              <w:spacing w:before="120" w:after="120"/>
              <w:jc w:val="center"/>
              <w:rPr>
                <w:noProof/>
                <w:sz w:val="22"/>
                <w:szCs w:val="22"/>
                <w:lang w:eastAsia="en-US"/>
              </w:rPr>
            </w:pPr>
            <w:r>
              <w:rPr>
                <w:noProof/>
                <w:sz w:val="22"/>
                <w:szCs w:val="22"/>
                <w:lang w:eastAsia="en-US"/>
              </w:rPr>
              <w:t>-0.147</w:t>
            </w:r>
          </w:p>
        </w:tc>
      </w:tr>
      <w:tr>
        <w:trPr>
          <w:trHeight w:val="295"/>
        </w:trPr>
        <w:tc>
          <w:tcPr>
            <w:tcW w:w="1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120" w:after="120"/>
              <w:jc w:val="center"/>
              <w:rPr>
                <w:b/>
                <w:bCs/>
                <w:noProof/>
                <w:color w:val="000000"/>
                <w:sz w:val="22"/>
                <w:szCs w:val="22"/>
                <w:lang w:eastAsia="en-US"/>
              </w:rPr>
            </w:pPr>
            <w:r>
              <w:rPr>
                <w:b/>
                <w:bCs/>
                <w:noProof/>
                <w:color w:val="000000"/>
                <w:sz w:val="22"/>
                <w:szCs w:val="22"/>
                <w:lang w:eastAsia="en-US"/>
              </w:rPr>
              <w:t>30/04/2018</w:t>
            </w:r>
          </w:p>
        </w:tc>
        <w:tc>
          <w:tcPr>
            <w:tcW w:w="1701" w:type="dxa"/>
            <w:tcBorders>
              <w:top w:val="nil"/>
              <w:left w:val="nil"/>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2,548,274,171</w:t>
            </w:r>
          </w:p>
        </w:tc>
        <w:tc>
          <w:tcPr>
            <w:tcW w:w="1559"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-0.0704</w:t>
            </w:r>
          </w:p>
        </w:tc>
        <w:tc>
          <w:tcPr>
            <w:tcW w:w="1418"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-0.0994</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22"/>
                <w:szCs w:val="22"/>
                <w:lang w:eastAsia="en-US"/>
              </w:rPr>
            </w:pPr>
            <w:r>
              <w:rPr>
                <w:noProof/>
                <w:color w:val="000000"/>
                <w:sz w:val="22"/>
                <w:szCs w:val="22"/>
                <w:lang w:eastAsia="en-US"/>
              </w:rPr>
              <w:t> </w:t>
            </w:r>
          </w:p>
        </w:tc>
        <w:tc>
          <w:tcPr>
            <w:tcW w:w="1701"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0.025</w:t>
            </w:r>
          </w:p>
        </w:tc>
        <w:tc>
          <w:tcPr>
            <w:tcW w:w="1418" w:type="dxa"/>
            <w:tcBorders>
              <w:top w:val="nil"/>
              <w:left w:val="single" w:sz="8" w:space="0" w:color="auto"/>
              <w:bottom w:val="single" w:sz="8" w:space="0" w:color="000000"/>
              <w:right w:val="single" w:sz="8" w:space="0" w:color="auto"/>
            </w:tcBorders>
            <w:shd w:val="clear" w:color="auto" w:fill="auto"/>
            <w:hideMark/>
          </w:tcPr>
          <w:p>
            <w:pPr>
              <w:spacing w:before="120" w:after="120"/>
              <w:jc w:val="center"/>
              <w:rPr>
                <w:noProof/>
                <w:sz w:val="22"/>
                <w:szCs w:val="22"/>
                <w:lang w:eastAsia="en-US"/>
              </w:rPr>
            </w:pPr>
            <w:r>
              <w:rPr>
                <w:noProof/>
                <w:sz w:val="22"/>
                <w:szCs w:val="22"/>
                <w:lang w:eastAsia="en-US"/>
              </w:rPr>
              <w:t>-0.122</w:t>
            </w:r>
          </w:p>
        </w:tc>
      </w:tr>
      <w:tr>
        <w:trPr>
          <w:trHeight w:val="340"/>
        </w:trPr>
        <w:tc>
          <w:tcPr>
            <w:tcW w:w="1560" w:type="dxa"/>
            <w:tcBorders>
              <w:top w:val="nil"/>
              <w:left w:val="single" w:sz="8" w:space="0" w:color="auto"/>
              <w:bottom w:val="nil"/>
              <w:right w:val="single" w:sz="8" w:space="0" w:color="auto"/>
            </w:tcBorders>
            <w:shd w:val="clear" w:color="auto" w:fill="auto"/>
            <w:noWrap/>
            <w:vAlign w:val="center"/>
            <w:hideMark/>
          </w:tcPr>
          <w:p>
            <w:pPr>
              <w:spacing w:before="120" w:after="120"/>
              <w:jc w:val="center"/>
              <w:rPr>
                <w:b/>
                <w:bCs/>
                <w:noProof/>
                <w:color w:val="000000"/>
                <w:sz w:val="22"/>
                <w:szCs w:val="22"/>
                <w:lang w:eastAsia="en-US"/>
              </w:rPr>
            </w:pPr>
            <w:r>
              <w:rPr>
                <w:b/>
                <w:bCs/>
                <w:noProof/>
                <w:color w:val="000000"/>
                <w:sz w:val="22"/>
                <w:szCs w:val="22"/>
                <w:lang w:eastAsia="en-US"/>
              </w:rPr>
              <w:t>31/05/2018</w:t>
            </w:r>
          </w:p>
        </w:tc>
        <w:tc>
          <w:tcPr>
            <w:tcW w:w="1701" w:type="dxa"/>
            <w:tcBorders>
              <w:top w:val="nil"/>
              <w:left w:val="nil"/>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2,550,441,038</w:t>
            </w:r>
          </w:p>
        </w:tc>
        <w:tc>
          <w:tcPr>
            <w:tcW w:w="1559"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0.0853</w:t>
            </w:r>
          </w:p>
        </w:tc>
        <w:tc>
          <w:tcPr>
            <w:tcW w:w="1418"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-0.0141</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22"/>
                <w:szCs w:val="22"/>
                <w:lang w:eastAsia="en-US"/>
              </w:rPr>
            </w:pPr>
            <w:r>
              <w:rPr>
                <w:noProof/>
                <w:color w:val="000000"/>
                <w:sz w:val="22"/>
                <w:szCs w:val="22"/>
                <w:lang w:eastAsia="en-US"/>
              </w:rPr>
              <w:t> </w:t>
            </w:r>
          </w:p>
        </w:tc>
        <w:tc>
          <w:tcPr>
            <w:tcW w:w="1701"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0.496</w:t>
            </w:r>
          </w:p>
        </w:tc>
        <w:tc>
          <w:tcPr>
            <w:tcW w:w="1418" w:type="dxa"/>
            <w:tcBorders>
              <w:top w:val="nil"/>
              <w:left w:val="single" w:sz="8" w:space="0" w:color="auto"/>
              <w:bottom w:val="single" w:sz="8" w:space="0" w:color="000000"/>
              <w:right w:val="single" w:sz="8" w:space="0" w:color="auto"/>
            </w:tcBorders>
            <w:shd w:val="clear" w:color="auto" w:fill="auto"/>
            <w:hideMark/>
          </w:tcPr>
          <w:p>
            <w:pPr>
              <w:spacing w:before="120" w:after="120"/>
              <w:jc w:val="center"/>
              <w:rPr>
                <w:noProof/>
                <w:sz w:val="22"/>
                <w:szCs w:val="22"/>
                <w:lang w:eastAsia="en-US"/>
              </w:rPr>
            </w:pPr>
            <w:r>
              <w:rPr>
                <w:noProof/>
                <w:sz w:val="22"/>
                <w:szCs w:val="22"/>
                <w:lang w:eastAsia="en-US"/>
              </w:rPr>
              <w:t>0.374</w:t>
            </w:r>
          </w:p>
        </w:tc>
      </w:tr>
      <w:tr>
        <w:trPr>
          <w:trHeight w:val="340"/>
        </w:trPr>
        <w:tc>
          <w:tcPr>
            <w:tcW w:w="1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120" w:after="120"/>
              <w:jc w:val="center"/>
              <w:rPr>
                <w:b/>
                <w:bCs/>
                <w:noProof/>
                <w:color w:val="000000"/>
                <w:sz w:val="22"/>
                <w:szCs w:val="22"/>
                <w:lang w:eastAsia="en-US"/>
              </w:rPr>
            </w:pPr>
            <w:r>
              <w:rPr>
                <w:b/>
                <w:bCs/>
                <w:noProof/>
                <w:color w:val="000000"/>
                <w:sz w:val="22"/>
                <w:szCs w:val="22"/>
                <w:lang w:eastAsia="en-US"/>
              </w:rPr>
              <w:t>30/06/2018</w:t>
            </w:r>
          </w:p>
        </w:tc>
        <w:tc>
          <w:tcPr>
            <w:tcW w:w="1701" w:type="dxa"/>
            <w:tcBorders>
              <w:top w:val="nil"/>
              <w:left w:val="nil"/>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2,536,610,812</w:t>
            </w:r>
          </w:p>
        </w:tc>
        <w:tc>
          <w:tcPr>
            <w:tcW w:w="1559"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0.1347</w:t>
            </w:r>
          </w:p>
        </w:tc>
        <w:tc>
          <w:tcPr>
            <w:tcW w:w="1418"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0.1206</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22"/>
                <w:szCs w:val="22"/>
                <w:lang w:eastAsia="en-US"/>
              </w:rPr>
            </w:pPr>
            <w:r>
              <w:rPr>
                <w:noProof/>
                <w:color w:val="000000"/>
                <w:sz w:val="22"/>
                <w:szCs w:val="22"/>
                <w:lang w:eastAsia="en-US"/>
              </w:rPr>
              <w:t> </w:t>
            </w:r>
          </w:p>
        </w:tc>
        <w:tc>
          <w:tcPr>
            <w:tcW w:w="1701"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-0.128</w:t>
            </w:r>
          </w:p>
        </w:tc>
        <w:tc>
          <w:tcPr>
            <w:tcW w:w="1418" w:type="dxa"/>
            <w:tcBorders>
              <w:top w:val="nil"/>
              <w:left w:val="single" w:sz="8" w:space="0" w:color="auto"/>
              <w:bottom w:val="single" w:sz="8" w:space="0" w:color="000000"/>
              <w:right w:val="single" w:sz="8" w:space="0" w:color="auto"/>
            </w:tcBorders>
            <w:shd w:val="clear" w:color="auto" w:fill="auto"/>
            <w:hideMark/>
          </w:tcPr>
          <w:p>
            <w:pPr>
              <w:spacing w:before="120" w:after="120"/>
              <w:jc w:val="center"/>
              <w:rPr>
                <w:noProof/>
                <w:sz w:val="22"/>
                <w:szCs w:val="22"/>
                <w:lang w:eastAsia="en-US"/>
              </w:rPr>
            </w:pPr>
            <w:r>
              <w:rPr>
                <w:noProof/>
                <w:sz w:val="22"/>
                <w:szCs w:val="22"/>
                <w:lang w:eastAsia="en-US"/>
              </w:rPr>
              <w:t>0.247</w:t>
            </w:r>
          </w:p>
        </w:tc>
      </w:tr>
      <w:tr>
        <w:trPr>
          <w:trHeight w:val="340"/>
        </w:trPr>
        <w:tc>
          <w:tcPr>
            <w:tcW w:w="1560" w:type="dxa"/>
            <w:tcBorders>
              <w:top w:val="nil"/>
              <w:left w:val="single" w:sz="8" w:space="0" w:color="auto"/>
              <w:bottom w:val="nil"/>
              <w:right w:val="single" w:sz="8" w:space="0" w:color="auto"/>
            </w:tcBorders>
            <w:shd w:val="clear" w:color="auto" w:fill="auto"/>
            <w:noWrap/>
            <w:vAlign w:val="center"/>
            <w:hideMark/>
          </w:tcPr>
          <w:p>
            <w:pPr>
              <w:spacing w:before="120" w:after="120"/>
              <w:jc w:val="center"/>
              <w:rPr>
                <w:b/>
                <w:bCs/>
                <w:noProof/>
                <w:color w:val="000000"/>
                <w:sz w:val="22"/>
                <w:szCs w:val="22"/>
                <w:lang w:eastAsia="en-US"/>
              </w:rPr>
            </w:pPr>
            <w:r>
              <w:rPr>
                <w:b/>
                <w:bCs/>
                <w:noProof/>
                <w:color w:val="000000"/>
                <w:sz w:val="22"/>
                <w:szCs w:val="22"/>
                <w:lang w:eastAsia="en-US"/>
              </w:rPr>
              <w:t>31/07/2018</w:t>
            </w:r>
          </w:p>
        </w:tc>
        <w:tc>
          <w:tcPr>
            <w:tcW w:w="1701" w:type="dxa"/>
            <w:tcBorders>
              <w:top w:val="nil"/>
              <w:left w:val="nil"/>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2,534,109,894</w:t>
            </w:r>
          </w:p>
        </w:tc>
        <w:tc>
          <w:tcPr>
            <w:tcW w:w="1559"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-0.0987</w:t>
            </w:r>
          </w:p>
        </w:tc>
        <w:tc>
          <w:tcPr>
            <w:tcW w:w="1418"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0.0217</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22"/>
                <w:szCs w:val="22"/>
                <w:lang w:eastAsia="en-US"/>
              </w:rPr>
            </w:pPr>
            <w:r>
              <w:rPr>
                <w:noProof/>
                <w:color w:val="000000"/>
                <w:sz w:val="22"/>
                <w:szCs w:val="22"/>
                <w:lang w:eastAsia="en-US"/>
              </w:rPr>
              <w:t> </w:t>
            </w:r>
          </w:p>
        </w:tc>
        <w:tc>
          <w:tcPr>
            <w:tcW w:w="1701"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0.036</w:t>
            </w:r>
          </w:p>
        </w:tc>
        <w:tc>
          <w:tcPr>
            <w:tcW w:w="1418" w:type="dxa"/>
            <w:tcBorders>
              <w:top w:val="nil"/>
              <w:left w:val="single" w:sz="8" w:space="0" w:color="auto"/>
              <w:bottom w:val="single" w:sz="8" w:space="0" w:color="000000"/>
              <w:right w:val="single" w:sz="8" w:space="0" w:color="auto"/>
            </w:tcBorders>
            <w:shd w:val="clear" w:color="auto" w:fill="auto"/>
            <w:hideMark/>
          </w:tcPr>
          <w:p>
            <w:pPr>
              <w:spacing w:before="120" w:after="120"/>
              <w:jc w:val="center"/>
              <w:rPr>
                <w:noProof/>
                <w:sz w:val="22"/>
                <w:szCs w:val="22"/>
                <w:lang w:eastAsia="en-US"/>
              </w:rPr>
            </w:pPr>
            <w:r>
              <w:rPr>
                <w:noProof/>
                <w:sz w:val="22"/>
                <w:szCs w:val="22"/>
                <w:lang w:eastAsia="en-US"/>
              </w:rPr>
              <w:t>0.283</w:t>
            </w:r>
          </w:p>
        </w:tc>
      </w:tr>
      <w:tr>
        <w:trPr>
          <w:trHeight w:val="340"/>
        </w:trPr>
        <w:tc>
          <w:tcPr>
            <w:tcW w:w="1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120" w:after="120"/>
              <w:jc w:val="center"/>
              <w:rPr>
                <w:b/>
                <w:bCs/>
                <w:noProof/>
                <w:color w:val="000000"/>
                <w:sz w:val="22"/>
                <w:szCs w:val="22"/>
                <w:lang w:eastAsia="en-US"/>
              </w:rPr>
            </w:pPr>
            <w:r>
              <w:rPr>
                <w:b/>
                <w:bCs/>
                <w:noProof/>
                <w:color w:val="000000"/>
                <w:sz w:val="22"/>
                <w:szCs w:val="22"/>
                <w:lang w:eastAsia="en-US"/>
              </w:rPr>
              <w:t>31/08/2018</w:t>
            </w:r>
          </w:p>
        </w:tc>
        <w:tc>
          <w:tcPr>
            <w:tcW w:w="1701" w:type="dxa"/>
            <w:tcBorders>
              <w:top w:val="nil"/>
              <w:left w:val="nil"/>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2,533,049,581</w:t>
            </w:r>
          </w:p>
        </w:tc>
        <w:tc>
          <w:tcPr>
            <w:tcW w:w="1559"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0.0842</w:t>
            </w:r>
          </w:p>
        </w:tc>
        <w:tc>
          <w:tcPr>
            <w:tcW w:w="1418"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0.1059</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22"/>
                <w:szCs w:val="22"/>
                <w:lang w:eastAsia="en-US"/>
              </w:rPr>
            </w:pPr>
            <w:r>
              <w:rPr>
                <w:noProof/>
                <w:color w:val="000000"/>
                <w:sz w:val="22"/>
                <w:szCs w:val="22"/>
                <w:lang w:eastAsia="en-US"/>
              </w:rPr>
              <w:t> </w:t>
            </w:r>
          </w:p>
        </w:tc>
        <w:tc>
          <w:tcPr>
            <w:tcW w:w="1701"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0.244</w:t>
            </w:r>
          </w:p>
        </w:tc>
        <w:tc>
          <w:tcPr>
            <w:tcW w:w="1418" w:type="dxa"/>
            <w:tcBorders>
              <w:top w:val="nil"/>
              <w:left w:val="single" w:sz="8" w:space="0" w:color="auto"/>
              <w:bottom w:val="single" w:sz="8" w:space="0" w:color="000000"/>
              <w:right w:val="single" w:sz="8" w:space="0" w:color="auto"/>
            </w:tcBorders>
            <w:shd w:val="clear" w:color="auto" w:fill="auto"/>
            <w:hideMark/>
          </w:tcPr>
          <w:p>
            <w:pPr>
              <w:spacing w:before="120" w:after="120"/>
              <w:jc w:val="center"/>
              <w:rPr>
                <w:noProof/>
                <w:sz w:val="22"/>
                <w:szCs w:val="22"/>
                <w:lang w:eastAsia="en-US"/>
              </w:rPr>
            </w:pPr>
            <w:r>
              <w:rPr>
                <w:noProof/>
                <w:sz w:val="22"/>
                <w:szCs w:val="22"/>
                <w:lang w:eastAsia="en-US"/>
              </w:rPr>
              <w:t>0.526</w:t>
            </w:r>
          </w:p>
        </w:tc>
      </w:tr>
      <w:tr>
        <w:trPr>
          <w:trHeight w:val="340"/>
        </w:trPr>
        <w:tc>
          <w:tcPr>
            <w:tcW w:w="1560" w:type="dxa"/>
            <w:tcBorders>
              <w:top w:val="nil"/>
              <w:left w:val="single" w:sz="8" w:space="0" w:color="auto"/>
              <w:bottom w:val="nil"/>
              <w:right w:val="single" w:sz="8" w:space="0" w:color="auto"/>
            </w:tcBorders>
            <w:shd w:val="clear" w:color="auto" w:fill="auto"/>
            <w:noWrap/>
            <w:vAlign w:val="center"/>
            <w:hideMark/>
          </w:tcPr>
          <w:p>
            <w:pPr>
              <w:spacing w:before="120" w:after="120"/>
              <w:jc w:val="center"/>
              <w:rPr>
                <w:b/>
                <w:bCs/>
                <w:noProof/>
                <w:color w:val="000000"/>
                <w:sz w:val="22"/>
                <w:szCs w:val="22"/>
                <w:lang w:eastAsia="en-US"/>
              </w:rPr>
            </w:pPr>
            <w:r>
              <w:rPr>
                <w:b/>
                <w:bCs/>
                <w:noProof/>
                <w:color w:val="000000"/>
                <w:sz w:val="22"/>
                <w:szCs w:val="22"/>
                <w:lang w:eastAsia="en-US"/>
              </w:rPr>
              <w:t>30/09/2018</w:t>
            </w:r>
          </w:p>
        </w:tc>
        <w:tc>
          <w:tcPr>
            <w:tcW w:w="1701" w:type="dxa"/>
            <w:tcBorders>
              <w:top w:val="nil"/>
              <w:left w:val="nil"/>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2,519,374,083</w:t>
            </w:r>
          </w:p>
        </w:tc>
        <w:tc>
          <w:tcPr>
            <w:tcW w:w="1559"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-0.2090</w:t>
            </w:r>
          </w:p>
        </w:tc>
        <w:tc>
          <w:tcPr>
            <w:tcW w:w="1418"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-0.1033</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22"/>
                <w:szCs w:val="22"/>
                <w:lang w:eastAsia="en-US"/>
              </w:rPr>
            </w:pPr>
            <w:r>
              <w:rPr>
                <w:noProof/>
                <w:color w:val="000000"/>
                <w:sz w:val="22"/>
                <w:szCs w:val="22"/>
                <w:lang w:eastAsia="en-US"/>
              </w:rPr>
              <w:t> </w:t>
            </w:r>
          </w:p>
        </w:tc>
        <w:tc>
          <w:tcPr>
            <w:tcW w:w="1701"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-0.132</w:t>
            </w:r>
          </w:p>
        </w:tc>
        <w:tc>
          <w:tcPr>
            <w:tcW w:w="1418" w:type="dxa"/>
            <w:tcBorders>
              <w:top w:val="nil"/>
              <w:left w:val="single" w:sz="8" w:space="0" w:color="auto"/>
              <w:bottom w:val="single" w:sz="8" w:space="0" w:color="000000"/>
              <w:right w:val="single" w:sz="8" w:space="0" w:color="auto"/>
            </w:tcBorders>
            <w:shd w:val="clear" w:color="auto" w:fill="auto"/>
            <w:hideMark/>
          </w:tcPr>
          <w:p>
            <w:pPr>
              <w:spacing w:before="120" w:after="120"/>
              <w:jc w:val="center"/>
              <w:rPr>
                <w:noProof/>
                <w:sz w:val="22"/>
                <w:szCs w:val="22"/>
                <w:lang w:eastAsia="en-US"/>
              </w:rPr>
            </w:pPr>
            <w:r>
              <w:rPr>
                <w:noProof/>
                <w:sz w:val="22"/>
                <w:szCs w:val="22"/>
                <w:lang w:eastAsia="en-US"/>
              </w:rPr>
              <w:t>0.394</w:t>
            </w:r>
          </w:p>
        </w:tc>
      </w:tr>
      <w:tr>
        <w:trPr>
          <w:trHeight w:val="340"/>
        </w:trPr>
        <w:tc>
          <w:tcPr>
            <w:tcW w:w="1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120" w:after="120"/>
              <w:jc w:val="center"/>
              <w:rPr>
                <w:b/>
                <w:bCs/>
                <w:noProof/>
                <w:color w:val="000000"/>
                <w:sz w:val="22"/>
                <w:szCs w:val="22"/>
                <w:lang w:eastAsia="en-US"/>
              </w:rPr>
            </w:pPr>
            <w:r>
              <w:rPr>
                <w:b/>
                <w:bCs/>
                <w:noProof/>
                <w:color w:val="000000"/>
                <w:sz w:val="22"/>
                <w:szCs w:val="22"/>
                <w:lang w:eastAsia="en-US"/>
              </w:rPr>
              <w:t>31/10/2018</w:t>
            </w:r>
          </w:p>
        </w:tc>
        <w:tc>
          <w:tcPr>
            <w:tcW w:w="1701" w:type="dxa"/>
            <w:tcBorders>
              <w:top w:val="nil"/>
              <w:left w:val="nil"/>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2,522,045,115</w:t>
            </w:r>
          </w:p>
        </w:tc>
        <w:tc>
          <w:tcPr>
            <w:tcW w:w="1559"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0.1063</w:t>
            </w:r>
          </w:p>
        </w:tc>
        <w:tc>
          <w:tcPr>
            <w:tcW w:w="1418"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0.0029</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22"/>
                <w:szCs w:val="22"/>
                <w:lang w:eastAsia="en-US"/>
              </w:rPr>
            </w:pPr>
            <w:r>
              <w:rPr>
                <w:noProof/>
                <w:color w:val="000000"/>
                <w:sz w:val="22"/>
                <w:szCs w:val="22"/>
                <w:lang w:eastAsia="en-US"/>
              </w:rPr>
              <w:t> </w:t>
            </w:r>
          </w:p>
        </w:tc>
        <w:tc>
          <w:tcPr>
            <w:tcW w:w="1701"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0.055</w:t>
            </w:r>
          </w:p>
        </w:tc>
        <w:tc>
          <w:tcPr>
            <w:tcW w:w="1418" w:type="dxa"/>
            <w:tcBorders>
              <w:top w:val="nil"/>
              <w:left w:val="single" w:sz="8" w:space="0" w:color="auto"/>
              <w:bottom w:val="single" w:sz="8" w:space="0" w:color="000000"/>
              <w:right w:val="single" w:sz="8" w:space="0" w:color="auto"/>
            </w:tcBorders>
            <w:shd w:val="clear" w:color="auto" w:fill="auto"/>
            <w:hideMark/>
          </w:tcPr>
          <w:p>
            <w:pPr>
              <w:spacing w:before="120" w:after="120"/>
              <w:jc w:val="center"/>
              <w:rPr>
                <w:noProof/>
                <w:sz w:val="22"/>
                <w:szCs w:val="22"/>
                <w:lang w:eastAsia="en-US"/>
              </w:rPr>
            </w:pPr>
            <w:r>
              <w:rPr>
                <w:noProof/>
                <w:sz w:val="22"/>
                <w:szCs w:val="22"/>
                <w:lang w:eastAsia="en-US"/>
              </w:rPr>
              <w:t>0.449</w:t>
            </w:r>
          </w:p>
        </w:tc>
      </w:tr>
      <w:tr>
        <w:trPr>
          <w:trHeight w:val="313"/>
        </w:trPr>
        <w:tc>
          <w:tcPr>
            <w:tcW w:w="1560" w:type="dxa"/>
            <w:tcBorders>
              <w:top w:val="nil"/>
              <w:left w:val="single" w:sz="8" w:space="0" w:color="auto"/>
              <w:bottom w:val="nil"/>
              <w:right w:val="single" w:sz="8" w:space="0" w:color="auto"/>
            </w:tcBorders>
            <w:shd w:val="clear" w:color="auto" w:fill="auto"/>
            <w:noWrap/>
            <w:vAlign w:val="center"/>
            <w:hideMark/>
          </w:tcPr>
          <w:p>
            <w:pPr>
              <w:spacing w:before="120" w:after="120"/>
              <w:jc w:val="center"/>
              <w:rPr>
                <w:b/>
                <w:bCs/>
                <w:noProof/>
                <w:color w:val="000000"/>
                <w:sz w:val="22"/>
                <w:szCs w:val="22"/>
                <w:lang w:eastAsia="en-US"/>
              </w:rPr>
            </w:pPr>
            <w:r>
              <w:rPr>
                <w:b/>
                <w:bCs/>
                <w:noProof/>
                <w:color w:val="000000"/>
                <w:sz w:val="22"/>
                <w:szCs w:val="22"/>
                <w:lang w:eastAsia="en-US"/>
              </w:rPr>
              <w:t>30/11/2018</w:t>
            </w:r>
          </w:p>
        </w:tc>
        <w:tc>
          <w:tcPr>
            <w:tcW w:w="1701" w:type="dxa"/>
            <w:tcBorders>
              <w:top w:val="nil"/>
              <w:left w:val="nil"/>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2,518,132,850</w:t>
            </w:r>
          </w:p>
        </w:tc>
        <w:tc>
          <w:tcPr>
            <w:tcW w:w="1559"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-0.0078</w:t>
            </w:r>
          </w:p>
        </w:tc>
        <w:tc>
          <w:tcPr>
            <w:tcW w:w="1418"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-0.0049</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22"/>
                <w:szCs w:val="22"/>
                <w:lang w:eastAsia="en-US"/>
              </w:rPr>
            </w:pPr>
            <w:r>
              <w:rPr>
                <w:noProof/>
                <w:color w:val="000000"/>
                <w:sz w:val="22"/>
                <w:szCs w:val="22"/>
                <w:lang w:eastAsia="en-US"/>
              </w:rPr>
              <w:t> </w:t>
            </w:r>
          </w:p>
        </w:tc>
        <w:tc>
          <w:tcPr>
            <w:tcW w:w="1701"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-0.163</w:t>
            </w:r>
          </w:p>
        </w:tc>
        <w:tc>
          <w:tcPr>
            <w:tcW w:w="1418" w:type="dxa"/>
            <w:tcBorders>
              <w:top w:val="nil"/>
              <w:left w:val="single" w:sz="8" w:space="0" w:color="auto"/>
              <w:bottom w:val="single" w:sz="8" w:space="0" w:color="000000"/>
              <w:right w:val="single" w:sz="8" w:space="0" w:color="auto"/>
            </w:tcBorders>
            <w:shd w:val="clear" w:color="auto" w:fill="auto"/>
            <w:hideMark/>
          </w:tcPr>
          <w:p>
            <w:pPr>
              <w:spacing w:before="120" w:after="120"/>
              <w:jc w:val="center"/>
              <w:rPr>
                <w:noProof/>
                <w:sz w:val="22"/>
                <w:szCs w:val="22"/>
                <w:lang w:eastAsia="en-US"/>
              </w:rPr>
            </w:pPr>
            <w:r>
              <w:rPr>
                <w:noProof/>
                <w:sz w:val="22"/>
                <w:szCs w:val="22"/>
                <w:lang w:eastAsia="en-US"/>
              </w:rPr>
              <w:t>0.287</w:t>
            </w:r>
          </w:p>
        </w:tc>
      </w:tr>
      <w:tr>
        <w:trPr>
          <w:trHeight w:val="340"/>
        </w:trPr>
        <w:tc>
          <w:tcPr>
            <w:tcW w:w="1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120" w:after="120"/>
              <w:jc w:val="center"/>
              <w:rPr>
                <w:b/>
                <w:bCs/>
                <w:noProof/>
                <w:color w:val="000000"/>
                <w:sz w:val="22"/>
                <w:szCs w:val="22"/>
                <w:lang w:eastAsia="en-US"/>
              </w:rPr>
            </w:pPr>
            <w:r>
              <w:rPr>
                <w:b/>
                <w:bCs/>
                <w:noProof/>
                <w:color w:val="000000"/>
                <w:sz w:val="22"/>
                <w:szCs w:val="22"/>
                <w:lang w:eastAsia="en-US"/>
              </w:rPr>
              <w:t>31/12/2018</w:t>
            </w:r>
          </w:p>
        </w:tc>
        <w:tc>
          <w:tcPr>
            <w:tcW w:w="1701" w:type="dxa"/>
            <w:tcBorders>
              <w:top w:val="nil"/>
              <w:left w:val="nil"/>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2,505,404,235</w:t>
            </w:r>
          </w:p>
        </w:tc>
        <w:tc>
          <w:tcPr>
            <w:tcW w:w="1559"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0.1054</w:t>
            </w:r>
          </w:p>
        </w:tc>
        <w:tc>
          <w:tcPr>
            <w:tcW w:w="1418"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0.1005</w:t>
            </w:r>
          </w:p>
        </w:tc>
        <w:tc>
          <w:tcPr>
            <w:tcW w:w="283" w:type="dxa"/>
            <w:tcBorders>
              <w:top w:val="nil"/>
              <w:left w:val="single" w:sz="8" w:space="0" w:color="000000"/>
              <w:bottom w:val="nil"/>
              <w:right w:val="nil"/>
            </w:tcBorders>
            <w:shd w:val="clear" w:color="auto" w:fill="auto"/>
            <w:vAlign w:val="center"/>
            <w:hideMark/>
          </w:tcPr>
          <w:p>
            <w:pPr>
              <w:spacing w:before="120" w:after="120"/>
              <w:jc w:val="both"/>
              <w:rPr>
                <w:noProof/>
                <w:color w:val="000000"/>
                <w:sz w:val="22"/>
                <w:szCs w:val="22"/>
                <w:lang w:eastAsia="en-US"/>
              </w:rPr>
            </w:pPr>
            <w:r>
              <w:rPr>
                <w:noProof/>
                <w:color w:val="000000"/>
                <w:sz w:val="22"/>
                <w:szCs w:val="22"/>
                <w:lang w:eastAsia="en-US"/>
              </w:rPr>
              <w:t> </w:t>
            </w:r>
          </w:p>
        </w:tc>
        <w:tc>
          <w:tcPr>
            <w:tcW w:w="1701" w:type="dxa"/>
            <w:tcBorders>
              <w:top w:val="nil"/>
              <w:left w:val="single" w:sz="8" w:space="0" w:color="000000"/>
              <w:bottom w:val="single" w:sz="8" w:space="0" w:color="000000"/>
              <w:right w:val="nil"/>
            </w:tcBorders>
            <w:shd w:val="clear" w:color="auto" w:fill="auto"/>
            <w:hideMark/>
          </w:tcPr>
          <w:p>
            <w:pPr>
              <w:spacing w:before="120" w:after="120"/>
              <w:jc w:val="center"/>
              <w:rPr>
                <w:noProof/>
                <w:sz w:val="22"/>
                <w:szCs w:val="22"/>
                <w:lang w:eastAsia="en-US"/>
              </w:rPr>
            </w:pPr>
            <w:r>
              <w:rPr>
                <w:noProof/>
                <w:sz w:val="22"/>
                <w:szCs w:val="22"/>
                <w:lang w:eastAsia="en-US"/>
              </w:rPr>
              <w:t>-0.152</w:t>
            </w:r>
          </w:p>
        </w:tc>
        <w:tc>
          <w:tcPr>
            <w:tcW w:w="1418" w:type="dxa"/>
            <w:tcBorders>
              <w:top w:val="nil"/>
              <w:left w:val="single" w:sz="8" w:space="0" w:color="auto"/>
              <w:bottom w:val="single" w:sz="8" w:space="0" w:color="auto"/>
              <w:right w:val="single" w:sz="8" w:space="0" w:color="auto"/>
            </w:tcBorders>
            <w:shd w:val="clear" w:color="auto" w:fill="auto"/>
            <w:hideMark/>
          </w:tcPr>
          <w:p>
            <w:pPr>
              <w:spacing w:before="120" w:after="120"/>
              <w:jc w:val="center"/>
              <w:rPr>
                <w:noProof/>
                <w:sz w:val="22"/>
                <w:szCs w:val="22"/>
                <w:lang w:eastAsia="en-US"/>
              </w:rPr>
            </w:pPr>
            <w:r>
              <w:rPr>
                <w:noProof/>
                <w:sz w:val="22"/>
                <w:szCs w:val="22"/>
                <w:lang w:eastAsia="en-US"/>
              </w:rPr>
              <w:t>0.135</w:t>
            </w:r>
          </w:p>
        </w:tc>
      </w:tr>
    </w:tbl>
    <w:p>
      <w:pPr>
        <w:tabs>
          <w:tab w:val="left" w:pos="360"/>
          <w:tab w:val="left" w:pos="1418"/>
        </w:tabs>
        <w:ind w:left="1418" w:hanging="1418"/>
        <w:jc w:val="both"/>
        <w:rPr>
          <w:noProof/>
          <w:highlight w:val="green"/>
          <w:lang w:eastAsia="en-US"/>
        </w:rPr>
      </w:pPr>
    </w:p>
    <w:p>
      <w:pPr>
        <w:pStyle w:val="ManualHeading3"/>
        <w:rPr>
          <w:noProof/>
        </w:rPr>
      </w:pPr>
      <w:bookmarkStart w:id="57" w:name="_Toc6923118"/>
      <w:bookmarkStart w:id="58" w:name="_Toc449626280"/>
      <w:bookmarkStart w:id="59" w:name="_Toc6923119"/>
      <w:bookmarkEnd w:id="57"/>
      <w:r>
        <w:t>2.4.3.</w:t>
      </w:r>
      <w:r>
        <w:tab/>
      </w:r>
      <w:r>
        <w:rPr>
          <w:noProof/>
        </w:rPr>
        <w:t>Interest rate risk</w:t>
      </w:r>
      <w:bookmarkEnd w:id="58"/>
      <w:bookmarkEnd w:id="59"/>
    </w:p>
    <w:p>
      <w:pPr>
        <w:pStyle w:val="Text1"/>
        <w:rPr>
          <w:noProof/>
        </w:rPr>
      </w:pPr>
      <w:r>
        <w:rPr>
          <w:noProof/>
        </w:rPr>
        <w:t>The interest rate risk sensitivity of the MTM value of the portfolio mainly stems from its fixed rate exposure. A 1bp increase of interest rates reduces the value of the portfolio by EUR 646,571 of which EUR 626,227 is related to the fixed rate bond exposure. The global modified duration of the fund decreased during 2018 and stood at 2.58 years as of 31 December 2018, compared to 2.93 years as of 31 December 2017.</w:t>
      </w:r>
    </w:p>
    <w:p>
      <w:pPr>
        <w:rPr>
          <w:noProof/>
        </w:rPr>
      </w:pPr>
    </w:p>
    <w:tbl>
      <w:tblPr>
        <w:tblW w:w="9640" w:type="dxa"/>
        <w:tblInd w:w="-176" w:type="dxa"/>
        <w:tblLayout w:type="fixed"/>
        <w:tblLook w:val="04A0" w:firstRow="1" w:lastRow="0" w:firstColumn="1" w:lastColumn="0" w:noHBand="0" w:noVBand="1"/>
      </w:tblPr>
      <w:tblGrid>
        <w:gridCol w:w="2441"/>
        <w:gridCol w:w="2819"/>
        <w:gridCol w:w="1970"/>
        <w:gridCol w:w="2410"/>
      </w:tblGrid>
      <w:tr>
        <w:trPr>
          <w:trHeight w:val="630"/>
        </w:trPr>
        <w:tc>
          <w:tcPr>
            <w:tcW w:w="2441" w:type="dxa"/>
            <w:tcBorders>
              <w:top w:val="single" w:sz="8" w:space="0" w:color="000000"/>
              <w:left w:val="single" w:sz="8" w:space="0" w:color="000000"/>
              <w:bottom w:val="single" w:sz="8" w:space="0" w:color="000000"/>
              <w:right w:val="single" w:sz="8" w:space="0" w:color="000000"/>
            </w:tcBorders>
            <w:shd w:val="clear" w:color="000000" w:fill="auto"/>
            <w:vAlign w:val="center"/>
            <w:hideMark/>
          </w:tcPr>
          <w:p>
            <w:pPr>
              <w:jc w:val="center"/>
              <w:rPr>
                <w:b/>
                <w:bCs/>
                <w:noProof/>
                <w:color w:val="000000"/>
              </w:rPr>
            </w:pPr>
            <w:r>
              <w:rPr>
                <w:b/>
                <w:bCs/>
                <w:noProof/>
                <w:color w:val="000000"/>
              </w:rPr>
              <w:t>GF Sub- Portfolios</w:t>
            </w:r>
          </w:p>
        </w:tc>
        <w:tc>
          <w:tcPr>
            <w:tcW w:w="2819" w:type="dxa"/>
            <w:tcBorders>
              <w:top w:val="single" w:sz="8" w:space="0" w:color="000000"/>
              <w:left w:val="nil"/>
              <w:bottom w:val="single" w:sz="8" w:space="0" w:color="000000"/>
              <w:right w:val="single" w:sz="8" w:space="0" w:color="000000"/>
            </w:tcBorders>
            <w:shd w:val="clear" w:color="000000" w:fill="auto"/>
            <w:vAlign w:val="center"/>
            <w:hideMark/>
          </w:tcPr>
          <w:p>
            <w:pPr>
              <w:jc w:val="center"/>
              <w:rPr>
                <w:b/>
                <w:bCs/>
                <w:noProof/>
                <w:color w:val="000000"/>
              </w:rPr>
            </w:pPr>
            <w:r>
              <w:rPr>
                <w:b/>
                <w:bCs/>
                <w:noProof/>
                <w:color w:val="000000"/>
              </w:rPr>
              <w:t>Market Value (excluding accrued interest)</w:t>
            </w:r>
          </w:p>
        </w:tc>
        <w:tc>
          <w:tcPr>
            <w:tcW w:w="1970" w:type="dxa"/>
            <w:tcBorders>
              <w:top w:val="single" w:sz="8" w:space="0" w:color="000000"/>
              <w:left w:val="nil"/>
              <w:bottom w:val="single" w:sz="8" w:space="0" w:color="000000"/>
              <w:right w:val="single" w:sz="8" w:space="0" w:color="000000"/>
            </w:tcBorders>
            <w:shd w:val="clear" w:color="000000" w:fill="auto"/>
            <w:vAlign w:val="center"/>
            <w:hideMark/>
          </w:tcPr>
          <w:p>
            <w:pPr>
              <w:jc w:val="center"/>
              <w:rPr>
                <w:b/>
                <w:bCs/>
                <w:noProof/>
                <w:color w:val="000000"/>
              </w:rPr>
            </w:pPr>
            <w:r>
              <w:rPr>
                <w:b/>
                <w:bCs/>
                <w:noProof/>
                <w:color w:val="000000"/>
              </w:rPr>
              <w:t>Modified Duration (Years)</w:t>
            </w:r>
          </w:p>
        </w:tc>
        <w:tc>
          <w:tcPr>
            <w:tcW w:w="2410" w:type="dxa"/>
            <w:tcBorders>
              <w:top w:val="single" w:sz="8" w:space="0" w:color="000000"/>
              <w:left w:val="nil"/>
              <w:bottom w:val="single" w:sz="8" w:space="0" w:color="000000"/>
              <w:right w:val="single" w:sz="8" w:space="0" w:color="000000"/>
            </w:tcBorders>
            <w:shd w:val="clear" w:color="000000" w:fill="auto"/>
            <w:vAlign w:val="center"/>
            <w:hideMark/>
          </w:tcPr>
          <w:p>
            <w:pPr>
              <w:jc w:val="center"/>
              <w:rPr>
                <w:b/>
                <w:bCs/>
                <w:noProof/>
                <w:color w:val="000000"/>
              </w:rPr>
            </w:pPr>
            <w:r>
              <w:rPr>
                <w:b/>
                <w:bCs/>
                <w:noProof/>
                <w:color w:val="000000"/>
              </w:rPr>
              <w:t>Interest Rate Exposure (+/-1bp)</w:t>
            </w:r>
          </w:p>
        </w:tc>
      </w:tr>
      <w:tr>
        <w:trPr>
          <w:trHeight w:val="495"/>
        </w:trPr>
        <w:tc>
          <w:tcPr>
            <w:tcW w:w="2441" w:type="dxa"/>
            <w:tcBorders>
              <w:top w:val="single" w:sz="8" w:space="0" w:color="000000"/>
              <w:left w:val="single" w:sz="8" w:space="0" w:color="000000"/>
              <w:bottom w:val="single" w:sz="8" w:space="0" w:color="000000"/>
              <w:right w:val="nil"/>
            </w:tcBorders>
            <w:shd w:val="clear" w:color="auto" w:fill="auto"/>
            <w:vAlign w:val="center"/>
            <w:hideMark/>
          </w:tcPr>
          <w:p>
            <w:pPr>
              <w:ind w:left="177"/>
              <w:rPr>
                <w:bCs/>
                <w:noProof/>
                <w:color w:val="000000"/>
              </w:rPr>
            </w:pPr>
            <w:r>
              <w:rPr>
                <w:bCs/>
                <w:noProof/>
                <w:color w:val="000000"/>
              </w:rPr>
              <w:t>Floating Rate Notes</w:t>
            </w:r>
          </w:p>
        </w:tc>
        <w:tc>
          <w:tcPr>
            <w:tcW w:w="2819" w:type="dxa"/>
            <w:tcBorders>
              <w:top w:val="single" w:sz="8" w:space="0" w:color="000000"/>
              <w:left w:val="single" w:sz="8" w:space="0" w:color="000000"/>
              <w:bottom w:val="single" w:sz="8" w:space="0" w:color="000000"/>
              <w:right w:val="nil"/>
            </w:tcBorders>
            <w:shd w:val="clear" w:color="auto" w:fill="auto"/>
            <w:hideMark/>
          </w:tcPr>
          <w:p>
            <w:pPr>
              <w:ind w:right="184"/>
              <w:jc w:val="right"/>
              <w:rPr>
                <w:noProof/>
              </w:rPr>
            </w:pPr>
            <w:r>
              <w:rPr>
                <w:noProof/>
              </w:rPr>
              <w:t>302,709,477</w:t>
            </w:r>
          </w:p>
        </w:tc>
        <w:tc>
          <w:tcPr>
            <w:tcW w:w="1970" w:type="dxa"/>
            <w:tcBorders>
              <w:top w:val="single" w:sz="8" w:space="0" w:color="000000"/>
              <w:left w:val="single" w:sz="8" w:space="0" w:color="000000"/>
              <w:bottom w:val="single" w:sz="8" w:space="0" w:color="000000"/>
              <w:right w:val="nil"/>
            </w:tcBorders>
            <w:shd w:val="clear" w:color="auto" w:fill="auto"/>
            <w:hideMark/>
          </w:tcPr>
          <w:p>
            <w:pPr>
              <w:ind w:right="171"/>
              <w:jc w:val="right"/>
              <w:rPr>
                <w:noProof/>
              </w:rPr>
            </w:pPr>
            <w:r>
              <w:rPr>
                <w:noProof/>
              </w:rPr>
              <w:t>0.645</w:t>
            </w:r>
          </w:p>
        </w:tc>
        <w:tc>
          <w:tcPr>
            <w:tcW w:w="2410" w:type="dxa"/>
            <w:tcBorders>
              <w:top w:val="single" w:sz="8" w:space="0" w:color="000000"/>
              <w:left w:val="single" w:sz="8" w:space="0" w:color="000000"/>
              <w:bottom w:val="single" w:sz="8" w:space="0" w:color="000000"/>
              <w:right w:val="single" w:sz="8" w:space="0" w:color="000000"/>
            </w:tcBorders>
            <w:shd w:val="clear" w:color="auto" w:fill="auto"/>
            <w:hideMark/>
          </w:tcPr>
          <w:p>
            <w:pPr>
              <w:ind w:right="178"/>
              <w:jc w:val="right"/>
              <w:rPr>
                <w:noProof/>
              </w:rPr>
            </w:pPr>
            <w:r>
              <w:rPr>
                <w:noProof/>
              </w:rPr>
              <w:t>+/- 19,589</w:t>
            </w:r>
          </w:p>
        </w:tc>
      </w:tr>
      <w:tr>
        <w:trPr>
          <w:trHeight w:val="493"/>
        </w:trPr>
        <w:tc>
          <w:tcPr>
            <w:tcW w:w="2441" w:type="dxa"/>
            <w:tcBorders>
              <w:top w:val="nil"/>
              <w:left w:val="single" w:sz="8" w:space="0" w:color="000000"/>
              <w:bottom w:val="single" w:sz="8" w:space="0" w:color="000000"/>
              <w:right w:val="nil"/>
            </w:tcBorders>
            <w:shd w:val="clear" w:color="auto" w:fill="auto"/>
            <w:vAlign w:val="center"/>
            <w:hideMark/>
          </w:tcPr>
          <w:p>
            <w:pPr>
              <w:ind w:left="177"/>
              <w:rPr>
                <w:bCs/>
                <w:noProof/>
                <w:color w:val="000000"/>
              </w:rPr>
            </w:pPr>
            <w:r>
              <w:rPr>
                <w:bCs/>
                <w:noProof/>
                <w:color w:val="000000"/>
              </w:rPr>
              <w:t>Fixed Rate Bonds</w:t>
            </w:r>
          </w:p>
        </w:tc>
        <w:tc>
          <w:tcPr>
            <w:tcW w:w="2819" w:type="dxa"/>
            <w:tcBorders>
              <w:top w:val="nil"/>
              <w:left w:val="single" w:sz="8" w:space="0" w:color="000000"/>
              <w:bottom w:val="single" w:sz="8" w:space="0" w:color="000000"/>
              <w:right w:val="nil"/>
            </w:tcBorders>
            <w:shd w:val="clear" w:color="auto" w:fill="auto"/>
            <w:hideMark/>
          </w:tcPr>
          <w:p>
            <w:pPr>
              <w:ind w:right="184"/>
              <w:jc w:val="right"/>
              <w:rPr>
                <w:noProof/>
              </w:rPr>
            </w:pPr>
            <w:r>
              <w:rPr>
                <w:noProof/>
              </w:rPr>
              <w:t>2,132,631,411</w:t>
            </w:r>
          </w:p>
        </w:tc>
        <w:tc>
          <w:tcPr>
            <w:tcW w:w="1970" w:type="dxa"/>
            <w:tcBorders>
              <w:top w:val="nil"/>
              <w:left w:val="single" w:sz="8" w:space="0" w:color="000000"/>
              <w:bottom w:val="single" w:sz="8" w:space="0" w:color="000000"/>
              <w:right w:val="nil"/>
            </w:tcBorders>
            <w:shd w:val="clear" w:color="auto" w:fill="auto"/>
            <w:hideMark/>
          </w:tcPr>
          <w:p>
            <w:pPr>
              <w:ind w:right="171"/>
              <w:jc w:val="right"/>
              <w:rPr>
                <w:noProof/>
              </w:rPr>
            </w:pPr>
            <w:r>
              <w:rPr>
                <w:noProof/>
              </w:rPr>
              <w:t>2.918</w:t>
            </w:r>
          </w:p>
        </w:tc>
        <w:tc>
          <w:tcPr>
            <w:tcW w:w="2410" w:type="dxa"/>
            <w:tcBorders>
              <w:top w:val="nil"/>
              <w:left w:val="single" w:sz="8" w:space="0" w:color="000000"/>
              <w:bottom w:val="single" w:sz="8" w:space="0" w:color="000000"/>
              <w:right w:val="single" w:sz="8" w:space="0" w:color="000000"/>
            </w:tcBorders>
            <w:shd w:val="clear" w:color="auto" w:fill="auto"/>
            <w:hideMark/>
          </w:tcPr>
          <w:p>
            <w:pPr>
              <w:ind w:right="178"/>
              <w:jc w:val="right"/>
              <w:rPr>
                <w:noProof/>
              </w:rPr>
            </w:pPr>
            <w:r>
              <w:rPr>
                <w:noProof/>
              </w:rPr>
              <w:t>+/- 626,227</w:t>
            </w:r>
          </w:p>
        </w:tc>
      </w:tr>
      <w:tr>
        <w:trPr>
          <w:trHeight w:val="495"/>
        </w:trPr>
        <w:tc>
          <w:tcPr>
            <w:tcW w:w="2441" w:type="dxa"/>
            <w:tcBorders>
              <w:top w:val="nil"/>
              <w:left w:val="single" w:sz="8" w:space="0" w:color="000000"/>
              <w:bottom w:val="single" w:sz="8" w:space="0" w:color="000000"/>
              <w:right w:val="nil"/>
            </w:tcBorders>
            <w:shd w:val="clear" w:color="auto" w:fill="auto"/>
            <w:vAlign w:val="center"/>
            <w:hideMark/>
          </w:tcPr>
          <w:p>
            <w:pPr>
              <w:ind w:left="177"/>
              <w:rPr>
                <w:bCs/>
                <w:noProof/>
                <w:color w:val="000000"/>
              </w:rPr>
            </w:pPr>
            <w:r>
              <w:rPr>
                <w:bCs/>
                <w:noProof/>
                <w:color w:val="000000"/>
              </w:rPr>
              <w:t>Money Market Instruments</w:t>
            </w:r>
          </w:p>
        </w:tc>
        <w:tc>
          <w:tcPr>
            <w:tcW w:w="2819" w:type="dxa"/>
            <w:tcBorders>
              <w:top w:val="nil"/>
              <w:left w:val="single" w:sz="8" w:space="0" w:color="000000"/>
              <w:bottom w:val="single" w:sz="8" w:space="0" w:color="000000"/>
              <w:right w:val="nil"/>
            </w:tcBorders>
            <w:shd w:val="clear" w:color="auto" w:fill="auto"/>
            <w:hideMark/>
          </w:tcPr>
          <w:p>
            <w:pPr>
              <w:ind w:right="184"/>
              <w:jc w:val="right"/>
              <w:rPr>
                <w:noProof/>
              </w:rPr>
            </w:pPr>
            <w:r>
              <w:rPr>
                <w:noProof/>
              </w:rPr>
              <w:t>29,025,962</w:t>
            </w:r>
          </w:p>
        </w:tc>
        <w:tc>
          <w:tcPr>
            <w:tcW w:w="1970" w:type="dxa"/>
            <w:tcBorders>
              <w:top w:val="nil"/>
              <w:left w:val="single" w:sz="8" w:space="0" w:color="000000"/>
              <w:bottom w:val="single" w:sz="8" w:space="0" w:color="000000"/>
              <w:right w:val="nil"/>
            </w:tcBorders>
            <w:shd w:val="clear" w:color="auto" w:fill="auto"/>
            <w:hideMark/>
          </w:tcPr>
          <w:p>
            <w:pPr>
              <w:ind w:right="171"/>
              <w:jc w:val="right"/>
              <w:rPr>
                <w:noProof/>
              </w:rPr>
            </w:pPr>
            <w:r>
              <w:rPr>
                <w:noProof/>
              </w:rPr>
              <w:t>0.261</w:t>
            </w:r>
          </w:p>
        </w:tc>
        <w:tc>
          <w:tcPr>
            <w:tcW w:w="2410" w:type="dxa"/>
            <w:tcBorders>
              <w:top w:val="nil"/>
              <w:left w:val="single" w:sz="8" w:space="0" w:color="000000"/>
              <w:bottom w:val="single" w:sz="8" w:space="0" w:color="000000"/>
              <w:right w:val="single" w:sz="8" w:space="0" w:color="000000"/>
            </w:tcBorders>
            <w:shd w:val="clear" w:color="auto" w:fill="auto"/>
            <w:hideMark/>
          </w:tcPr>
          <w:p>
            <w:pPr>
              <w:ind w:right="178"/>
              <w:jc w:val="right"/>
              <w:rPr>
                <w:noProof/>
              </w:rPr>
            </w:pPr>
            <w:r>
              <w:rPr>
                <w:noProof/>
              </w:rPr>
              <w:t>+/- 755</w:t>
            </w:r>
          </w:p>
        </w:tc>
      </w:tr>
      <w:tr>
        <w:trPr>
          <w:trHeight w:val="493"/>
        </w:trPr>
        <w:tc>
          <w:tcPr>
            <w:tcW w:w="2441" w:type="dxa"/>
            <w:tcBorders>
              <w:top w:val="nil"/>
              <w:left w:val="single" w:sz="8" w:space="0" w:color="000000"/>
              <w:bottom w:val="single" w:sz="8" w:space="0" w:color="000000"/>
              <w:right w:val="nil"/>
            </w:tcBorders>
            <w:shd w:val="clear" w:color="auto" w:fill="auto"/>
            <w:vAlign w:val="center"/>
            <w:hideMark/>
          </w:tcPr>
          <w:p>
            <w:pPr>
              <w:ind w:left="177"/>
              <w:rPr>
                <w:bCs/>
                <w:noProof/>
                <w:color w:val="000000"/>
              </w:rPr>
            </w:pPr>
            <w:r>
              <w:rPr>
                <w:bCs/>
                <w:noProof/>
                <w:color w:val="000000"/>
              </w:rPr>
              <w:t>Cash account</w:t>
            </w:r>
          </w:p>
        </w:tc>
        <w:tc>
          <w:tcPr>
            <w:tcW w:w="2819" w:type="dxa"/>
            <w:tcBorders>
              <w:top w:val="nil"/>
              <w:left w:val="single" w:sz="8" w:space="0" w:color="000000"/>
              <w:bottom w:val="single" w:sz="8" w:space="0" w:color="000000"/>
              <w:right w:val="nil"/>
            </w:tcBorders>
            <w:shd w:val="clear" w:color="auto" w:fill="auto"/>
            <w:vAlign w:val="center"/>
            <w:hideMark/>
          </w:tcPr>
          <w:p>
            <w:pPr>
              <w:ind w:right="184"/>
              <w:jc w:val="right"/>
              <w:rPr>
                <w:noProof/>
              </w:rPr>
            </w:pPr>
            <w:r>
              <w:rPr>
                <w:noProof/>
              </w:rPr>
              <w:t>27,567,036</w:t>
            </w:r>
          </w:p>
        </w:tc>
        <w:tc>
          <w:tcPr>
            <w:tcW w:w="1970" w:type="dxa"/>
            <w:tcBorders>
              <w:top w:val="nil"/>
              <w:left w:val="single" w:sz="8" w:space="0" w:color="000000"/>
              <w:bottom w:val="single" w:sz="8" w:space="0" w:color="000000"/>
              <w:right w:val="nil"/>
            </w:tcBorders>
            <w:shd w:val="clear" w:color="auto" w:fill="auto"/>
            <w:vAlign w:val="center"/>
            <w:hideMark/>
          </w:tcPr>
          <w:p>
            <w:pPr>
              <w:ind w:right="171"/>
              <w:jc w:val="right"/>
              <w:rPr>
                <w:noProof/>
                <w:color w:val="000000"/>
              </w:rPr>
            </w:pPr>
          </w:p>
        </w:tc>
        <w:tc>
          <w:tcPr>
            <w:tcW w:w="2410" w:type="dxa"/>
            <w:tcBorders>
              <w:top w:val="nil"/>
              <w:left w:val="single" w:sz="8" w:space="0" w:color="000000"/>
              <w:bottom w:val="single" w:sz="8" w:space="0" w:color="000000"/>
              <w:right w:val="single" w:sz="8" w:space="0" w:color="000000"/>
            </w:tcBorders>
            <w:shd w:val="clear" w:color="auto" w:fill="auto"/>
            <w:vAlign w:val="center"/>
            <w:hideMark/>
          </w:tcPr>
          <w:p>
            <w:pPr>
              <w:ind w:right="178"/>
              <w:jc w:val="right"/>
              <w:rPr>
                <w:bCs/>
                <w:noProof/>
                <w:color w:val="000000"/>
              </w:rPr>
            </w:pPr>
          </w:p>
        </w:tc>
      </w:tr>
      <w:tr>
        <w:trPr>
          <w:trHeight w:val="444"/>
        </w:trPr>
        <w:tc>
          <w:tcPr>
            <w:tcW w:w="2441" w:type="dxa"/>
            <w:tcBorders>
              <w:top w:val="single" w:sz="8" w:space="0" w:color="000000"/>
              <w:left w:val="single" w:sz="8" w:space="0" w:color="000000"/>
              <w:bottom w:val="single" w:sz="8" w:space="0" w:color="000000"/>
              <w:right w:val="nil"/>
            </w:tcBorders>
            <w:shd w:val="clear" w:color="000000" w:fill="auto"/>
            <w:vAlign w:val="center"/>
            <w:hideMark/>
          </w:tcPr>
          <w:p>
            <w:pPr>
              <w:jc w:val="center"/>
              <w:rPr>
                <w:b/>
                <w:bCs/>
                <w:noProof/>
                <w:color w:val="000000"/>
              </w:rPr>
            </w:pPr>
            <w:r>
              <w:rPr>
                <w:b/>
                <w:bCs/>
                <w:noProof/>
                <w:color w:val="000000"/>
              </w:rPr>
              <w:t>Total GF</w:t>
            </w:r>
          </w:p>
        </w:tc>
        <w:tc>
          <w:tcPr>
            <w:tcW w:w="2819" w:type="dxa"/>
            <w:tcBorders>
              <w:top w:val="single" w:sz="8" w:space="0" w:color="000000"/>
              <w:left w:val="single" w:sz="8" w:space="0" w:color="000000"/>
              <w:bottom w:val="single" w:sz="8" w:space="0" w:color="000000"/>
              <w:right w:val="nil"/>
            </w:tcBorders>
            <w:shd w:val="clear" w:color="000000" w:fill="auto"/>
            <w:vAlign w:val="center"/>
            <w:hideMark/>
          </w:tcPr>
          <w:p>
            <w:pPr>
              <w:ind w:right="184"/>
              <w:jc w:val="right"/>
              <w:rPr>
                <w:noProof/>
              </w:rPr>
            </w:pPr>
            <w:r>
              <w:rPr>
                <w:noProof/>
              </w:rPr>
              <w:t>2,491,933,885</w:t>
            </w:r>
          </w:p>
        </w:tc>
        <w:tc>
          <w:tcPr>
            <w:tcW w:w="1970" w:type="dxa"/>
            <w:tcBorders>
              <w:top w:val="single" w:sz="8" w:space="0" w:color="000000"/>
              <w:left w:val="single" w:sz="8" w:space="0" w:color="000000"/>
              <w:bottom w:val="single" w:sz="8" w:space="0" w:color="000000"/>
              <w:right w:val="nil"/>
            </w:tcBorders>
            <w:shd w:val="clear" w:color="000000" w:fill="auto"/>
            <w:vAlign w:val="center"/>
            <w:hideMark/>
          </w:tcPr>
          <w:p>
            <w:pPr>
              <w:ind w:right="171"/>
              <w:jc w:val="right"/>
              <w:rPr>
                <w:noProof/>
              </w:rPr>
            </w:pPr>
            <w:r>
              <w:rPr>
                <w:noProof/>
              </w:rPr>
              <w:t>2.580</w:t>
            </w:r>
          </w:p>
        </w:tc>
        <w:tc>
          <w:tcPr>
            <w:tcW w:w="2410" w:type="dxa"/>
            <w:tcBorders>
              <w:top w:val="single" w:sz="8" w:space="0" w:color="000000"/>
              <w:left w:val="single" w:sz="8" w:space="0" w:color="000000"/>
              <w:bottom w:val="single" w:sz="8" w:space="0" w:color="000000"/>
              <w:right w:val="single" w:sz="8" w:space="0" w:color="000000"/>
            </w:tcBorders>
            <w:shd w:val="clear" w:color="000000" w:fill="auto"/>
            <w:vAlign w:val="center"/>
            <w:hideMark/>
          </w:tcPr>
          <w:p>
            <w:pPr>
              <w:ind w:right="178"/>
              <w:jc w:val="right"/>
              <w:rPr>
                <w:noProof/>
              </w:rPr>
            </w:pPr>
            <w:r>
              <w:rPr>
                <w:noProof/>
              </w:rPr>
              <w:t>+/- 646,571</w:t>
            </w:r>
          </w:p>
        </w:tc>
      </w:tr>
    </w:tbl>
    <w:p>
      <w:pPr>
        <w:rPr>
          <w:noProof/>
        </w:rPr>
      </w:pPr>
    </w:p>
    <w:p>
      <w:pPr>
        <w:pStyle w:val="ManualHeading3"/>
        <w:rPr>
          <w:bCs/>
          <w:noProof/>
        </w:rPr>
      </w:pPr>
      <w:r>
        <w:rPr>
          <w:noProof/>
        </w:rPr>
        <w:br w:type="page"/>
      </w:r>
      <w:r>
        <w:rPr>
          <w:noProof/>
        </w:rPr>
        <w:tab/>
      </w:r>
    </w:p>
    <w:p>
      <w:pPr>
        <w:pStyle w:val="ManualHeading1"/>
        <w:rPr>
          <w:noProof/>
        </w:rPr>
      </w:pPr>
      <w:bookmarkStart w:id="60" w:name="_Toc6923120"/>
      <w:r>
        <w:t>3.</w:t>
      </w:r>
      <w:r>
        <w:tab/>
      </w:r>
      <w:r>
        <w:rPr>
          <w:noProof/>
        </w:rPr>
        <w:t>Guarantee Fund Financial Statements as at 31 December 2018</w:t>
      </w:r>
      <w:bookmarkEnd w:id="60"/>
    </w:p>
    <w:p>
      <w:pPr>
        <w:rPr>
          <w:b/>
          <w:noProof/>
          <w:u w:val="single"/>
        </w:rPr>
      </w:pPr>
      <w:bookmarkStart w:id="61" w:name="_Toc448929176"/>
      <w:bookmarkEnd w:id="61"/>
    </w:p>
    <w:p>
      <w:pPr>
        <w:rPr>
          <w:noProof/>
        </w:rPr>
      </w:pPr>
    </w:p>
    <w:p>
      <w:pPr>
        <w:rPr>
          <w:noProof/>
        </w:rPr>
      </w:pPr>
    </w:p>
    <w:p>
      <w:pPr>
        <w:rPr>
          <w:noProof/>
        </w:rPr>
      </w:pPr>
    </w:p>
    <w:p>
      <w:pPr>
        <w:rPr>
          <w:noProof/>
        </w:rPr>
      </w:pPr>
    </w:p>
    <w:p>
      <w:pPr>
        <w:jc w:val="center"/>
        <w:rPr>
          <w:noProof/>
          <w:spacing w:val="80"/>
        </w:rPr>
      </w:pPr>
    </w:p>
    <w:p>
      <w:pPr>
        <w:jc w:val="center"/>
        <w:rPr>
          <w:noProof/>
          <w:spacing w:val="80"/>
        </w:rPr>
      </w:pPr>
    </w:p>
    <w:p>
      <w:pPr>
        <w:spacing w:before="240" w:after="120"/>
        <w:jc w:val="center"/>
        <w:rPr>
          <w:b/>
          <w:noProof/>
        </w:rPr>
      </w:pPr>
      <w:r>
        <w:rPr>
          <w:b/>
          <w:noProof/>
        </w:rPr>
        <w:t>GUARANTEE FUND</w:t>
      </w:r>
    </w:p>
    <w:p>
      <w:pPr>
        <w:spacing w:before="240" w:after="120"/>
        <w:jc w:val="center"/>
        <w:rPr>
          <w:b/>
          <w:noProof/>
        </w:rPr>
      </w:pPr>
      <w:r>
        <w:rPr>
          <w:b/>
          <w:noProof/>
        </w:rPr>
        <w:t>FINANCIAL STATEMENTS</w:t>
      </w:r>
    </w:p>
    <w:p>
      <w:pPr>
        <w:spacing w:before="240" w:after="120"/>
        <w:jc w:val="center"/>
        <w:rPr>
          <w:b/>
          <w:noProof/>
        </w:rPr>
      </w:pPr>
      <w:r>
        <w:rPr>
          <w:b/>
          <w:noProof/>
        </w:rPr>
        <w:t>AS AT 31 DECEMBER 2018</w:t>
      </w:r>
    </w:p>
    <w:p>
      <w:pPr>
        <w:rPr>
          <w:noProof/>
        </w:rPr>
      </w:pPr>
    </w:p>
    <w:p>
      <w:pPr>
        <w:jc w:val="center"/>
        <w:rPr>
          <w:noProof/>
        </w:rPr>
      </w:pPr>
      <w:r>
        <w:rPr>
          <w:noProof/>
          <w:u w:val="single"/>
        </w:rPr>
        <w:t>                                                                                </w:t>
      </w:r>
    </w:p>
    <w:p>
      <w:pPr>
        <w:rPr>
          <w:noProof/>
        </w:rPr>
      </w:pPr>
    </w:p>
    <w:p>
      <w:pPr>
        <w:rPr>
          <w:noProof/>
        </w:rPr>
      </w:pPr>
    </w:p>
    <w:p>
      <w:pPr>
        <w:ind w:left="2880"/>
        <w:rPr>
          <w:bCs/>
          <w:noProof/>
        </w:rPr>
      </w:pPr>
    </w:p>
    <w:p>
      <w:pPr>
        <w:numPr>
          <w:ilvl w:val="0"/>
          <w:numId w:val="30"/>
        </w:numPr>
        <w:tabs>
          <w:tab w:val="num" w:pos="3060"/>
        </w:tabs>
        <w:spacing w:before="120" w:after="120" w:line="240" w:lineRule="atLeast"/>
        <w:rPr>
          <w:bCs/>
          <w:noProof/>
        </w:rPr>
      </w:pPr>
      <w:r>
        <w:rPr>
          <w:bCs/>
          <w:noProof/>
        </w:rPr>
        <w:t>Balance sheet</w:t>
      </w:r>
    </w:p>
    <w:p>
      <w:pPr>
        <w:numPr>
          <w:ilvl w:val="0"/>
          <w:numId w:val="30"/>
        </w:numPr>
        <w:tabs>
          <w:tab w:val="num" w:pos="3060"/>
        </w:tabs>
        <w:spacing w:before="120" w:after="120" w:line="240" w:lineRule="atLeast"/>
        <w:rPr>
          <w:bCs/>
          <w:noProof/>
        </w:rPr>
      </w:pPr>
      <w:r>
        <w:rPr>
          <w:bCs/>
          <w:noProof/>
        </w:rPr>
        <w:t>Statement of financial performance</w:t>
      </w:r>
    </w:p>
    <w:p>
      <w:pPr>
        <w:numPr>
          <w:ilvl w:val="0"/>
          <w:numId w:val="30"/>
        </w:numPr>
        <w:tabs>
          <w:tab w:val="num" w:pos="3060"/>
        </w:tabs>
        <w:spacing w:before="120" w:after="120" w:line="240" w:lineRule="atLeast"/>
        <w:rPr>
          <w:bCs/>
          <w:noProof/>
        </w:rPr>
      </w:pPr>
      <w:r>
        <w:rPr>
          <w:bCs/>
          <w:noProof/>
        </w:rPr>
        <w:t>Statement of changes in net assets</w:t>
      </w:r>
    </w:p>
    <w:p>
      <w:pPr>
        <w:numPr>
          <w:ilvl w:val="0"/>
          <w:numId w:val="30"/>
        </w:numPr>
        <w:tabs>
          <w:tab w:val="num" w:pos="3060"/>
        </w:tabs>
        <w:spacing w:before="120" w:after="120" w:line="240" w:lineRule="atLeast"/>
        <w:rPr>
          <w:bCs/>
          <w:noProof/>
        </w:rPr>
      </w:pPr>
      <w:r>
        <w:rPr>
          <w:bCs/>
          <w:noProof/>
        </w:rPr>
        <w:t>Cash flow statement</w:t>
      </w:r>
    </w:p>
    <w:p>
      <w:pPr>
        <w:numPr>
          <w:ilvl w:val="0"/>
          <w:numId w:val="30"/>
        </w:numPr>
        <w:tabs>
          <w:tab w:val="num" w:pos="3060"/>
        </w:tabs>
        <w:spacing w:before="120" w:after="120" w:line="240" w:lineRule="atLeast"/>
        <w:rPr>
          <w:bCs/>
          <w:noProof/>
        </w:rPr>
      </w:pPr>
      <w:r>
        <w:rPr>
          <w:bCs/>
          <w:noProof/>
        </w:rPr>
        <w:t>Notes to the financial statements</w:t>
      </w:r>
    </w:p>
    <w:p>
      <w:pPr>
        <w:pStyle w:val="Normal0"/>
        <w:numPr>
          <w:ilvl w:val="0"/>
          <w:numId w:val="30"/>
        </w:numPr>
        <w:tabs>
          <w:tab w:val="num" w:pos="3060"/>
        </w:tabs>
        <w:rPr>
          <w:rFonts w:ascii="Times New Roman" w:hAnsi="Times New Roman"/>
          <w:bCs/>
          <w:noProof/>
          <w:sz w:val="24"/>
          <w:szCs w:val="24"/>
        </w:rPr>
      </w:pPr>
      <w:r>
        <w:rPr>
          <w:rFonts w:ascii="Times New Roman" w:hAnsi="Times New Roman"/>
          <w:bCs/>
          <w:noProof/>
          <w:sz w:val="24"/>
          <w:szCs w:val="24"/>
        </w:rPr>
        <w:t>Independent auditor’s report</w:t>
      </w:r>
    </w:p>
    <w:p>
      <w:pPr>
        <w:tabs>
          <w:tab w:val="num" w:pos="2127"/>
        </w:tabs>
        <w:ind w:left="2127"/>
        <w:rPr>
          <w:bCs/>
          <w:noProof/>
        </w:rPr>
      </w:pPr>
    </w:p>
    <w:p>
      <w:pPr>
        <w:tabs>
          <w:tab w:val="num" w:pos="2127"/>
        </w:tabs>
        <w:ind w:left="2127"/>
        <w:rPr>
          <w:bCs/>
          <w:noProof/>
        </w:rPr>
      </w:pPr>
    </w:p>
    <w:p>
      <w:pPr>
        <w:tabs>
          <w:tab w:val="num" w:pos="2127"/>
        </w:tabs>
        <w:ind w:left="2127"/>
        <w:rPr>
          <w:bCs/>
          <w:noProof/>
        </w:rPr>
      </w:pPr>
    </w:p>
    <w:p>
      <w:pPr>
        <w:tabs>
          <w:tab w:val="num" w:pos="2127"/>
        </w:tabs>
        <w:ind w:left="2127"/>
        <w:rPr>
          <w:bCs/>
          <w:noProof/>
        </w:rPr>
      </w:pPr>
    </w:p>
    <w:p>
      <w:pPr>
        <w:tabs>
          <w:tab w:val="num" w:pos="2127"/>
        </w:tabs>
        <w:ind w:left="2127"/>
        <w:rPr>
          <w:bCs/>
          <w:noProof/>
        </w:rPr>
      </w:pPr>
    </w:p>
    <w:p>
      <w:pPr>
        <w:tabs>
          <w:tab w:val="num" w:pos="2127"/>
        </w:tabs>
        <w:ind w:left="2127"/>
        <w:rPr>
          <w:bCs/>
          <w:noProof/>
        </w:rPr>
      </w:pPr>
    </w:p>
    <w:p>
      <w:pPr>
        <w:tabs>
          <w:tab w:val="num" w:pos="2127"/>
        </w:tabs>
        <w:ind w:left="2127"/>
        <w:rPr>
          <w:bCs/>
          <w:noProof/>
        </w:rPr>
      </w:pPr>
    </w:p>
    <w:p>
      <w:pPr>
        <w:tabs>
          <w:tab w:val="num" w:pos="2127"/>
        </w:tabs>
        <w:ind w:left="2127"/>
        <w:rPr>
          <w:bCs/>
          <w:noProof/>
        </w:rPr>
      </w:pPr>
    </w:p>
    <w:p>
      <w:pPr>
        <w:tabs>
          <w:tab w:val="num" w:pos="2127"/>
        </w:tabs>
        <w:ind w:left="2127"/>
        <w:rPr>
          <w:bCs/>
          <w:noProof/>
        </w:rPr>
      </w:pPr>
    </w:p>
    <w:p>
      <w:pPr>
        <w:tabs>
          <w:tab w:val="num" w:pos="2127"/>
        </w:tabs>
        <w:rPr>
          <w:bCs/>
          <w:noProof/>
        </w:rPr>
      </w:pPr>
    </w:p>
    <w:p>
      <w:pPr>
        <w:tabs>
          <w:tab w:val="num" w:pos="2127"/>
        </w:tabs>
        <w:ind w:left="2127"/>
        <w:rPr>
          <w:bCs/>
          <w:noProof/>
        </w:rPr>
      </w:pPr>
    </w:p>
    <w:p>
      <w:pPr>
        <w:tabs>
          <w:tab w:val="num" w:pos="2127"/>
        </w:tabs>
        <w:rPr>
          <w:bCs/>
          <w:noProof/>
        </w:rPr>
      </w:pPr>
    </w:p>
    <w:p>
      <w:pPr>
        <w:tabs>
          <w:tab w:val="num" w:pos="2127"/>
        </w:tabs>
        <w:rPr>
          <w:bCs/>
          <w:noProof/>
        </w:rPr>
      </w:pPr>
    </w:p>
    <w:p>
      <w:pPr>
        <w:tabs>
          <w:tab w:val="num" w:pos="2127"/>
        </w:tabs>
        <w:ind w:left="2127"/>
        <w:rPr>
          <w:bCs/>
          <w:noProof/>
        </w:rPr>
      </w:pPr>
    </w:p>
    <w:p>
      <w:pPr>
        <w:pageBreakBefore/>
        <w:pBdr>
          <w:top w:val="nil"/>
          <w:left w:val="nil"/>
          <w:bottom w:val="nil"/>
          <w:right w:val="nil"/>
          <w:between w:val="nil"/>
          <w:bar w:val="nil"/>
        </w:pBdr>
        <w:spacing w:line="240" w:lineRule="atLeast"/>
        <w:jc w:val="center"/>
        <w:rPr>
          <w:b/>
          <w:bCs/>
          <w:noProof/>
          <w:bdr w:val="nil"/>
          <w:lang w:eastAsia="en-US"/>
        </w:rPr>
      </w:pPr>
      <w:r>
        <w:rPr>
          <w:b/>
          <w:bCs/>
          <w:noProof/>
          <w:bdr w:val="nil"/>
          <w:lang w:eastAsia="en-US"/>
        </w:rPr>
        <w:t xml:space="preserve">Balance sheet </w:t>
      </w:r>
    </w:p>
    <w:p>
      <w:pPr>
        <w:pBdr>
          <w:top w:val="nil"/>
          <w:left w:val="nil"/>
          <w:bottom w:val="nil"/>
          <w:right w:val="nil"/>
          <w:between w:val="nil"/>
          <w:bar w:val="nil"/>
        </w:pBdr>
        <w:spacing w:line="240" w:lineRule="atLeast"/>
        <w:jc w:val="center"/>
        <w:rPr>
          <w:bCs/>
          <w:noProof/>
          <w:bdr w:val="nil"/>
          <w:lang w:eastAsia="en-US"/>
        </w:rPr>
      </w:pPr>
      <w:r>
        <w:rPr>
          <w:bCs/>
          <w:noProof/>
          <w:bdr w:val="nil"/>
          <w:lang w:eastAsia="en-US"/>
        </w:rPr>
        <w:t>as at 31 December 2018</w:t>
      </w:r>
    </w:p>
    <w:p>
      <w:pPr>
        <w:pBdr>
          <w:top w:val="nil"/>
          <w:left w:val="nil"/>
          <w:bottom w:val="nil"/>
          <w:right w:val="nil"/>
          <w:between w:val="nil"/>
          <w:bar w:val="nil"/>
        </w:pBdr>
        <w:spacing w:after="120" w:line="240" w:lineRule="atLeast"/>
        <w:jc w:val="center"/>
        <w:rPr>
          <w:bCs/>
          <w:noProof/>
          <w:bdr w:val="nil"/>
          <w:lang w:eastAsia="en-US"/>
        </w:rPr>
      </w:pPr>
      <w:r>
        <w:rPr>
          <w:bCs/>
          <w:noProof/>
          <w:bdr w:val="nil"/>
          <w:lang w:eastAsia="en-US"/>
        </w:rPr>
        <w:t>(in EUR)</w:t>
      </w:r>
    </w:p>
    <w:tbl>
      <w:tblPr>
        <w:tblStyle w:val="CDMRange1"/>
        <w:tblW w:w="9771" w:type="dxa"/>
        <w:tblLayout w:type="fixed"/>
        <w:tblLook w:val="0600" w:firstRow="0" w:lastRow="0" w:firstColumn="0" w:lastColumn="0" w:noHBand="1" w:noVBand="1"/>
      </w:tblPr>
      <w:tblGrid>
        <w:gridCol w:w="5002"/>
        <w:gridCol w:w="708"/>
        <w:gridCol w:w="1935"/>
        <w:gridCol w:w="2126"/>
      </w:tblGrid>
      <w:tr>
        <w:trPr>
          <w:trHeight w:val="240"/>
        </w:trPr>
        <w:tc>
          <w:tcPr>
            <w:tcW w:w="5002"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ASSETS</w:t>
            </w:r>
          </w:p>
        </w:tc>
        <w:tc>
          <w:tcPr>
            <w:tcW w:w="708" w:type="dxa"/>
            <w:tcBorders>
              <w:top w:val="nil"/>
              <w:left w:val="nil"/>
              <w:bottom w:val="nil"/>
              <w:right w:val="nil"/>
              <w:tl2br w:val="nil"/>
              <w:tr2bl w:val="nil"/>
            </w:tcBorders>
            <w:shd w:val="clear" w:color="auto" w:fill="auto"/>
            <w:noWrap/>
            <w:tcMar>
              <w:left w:w="40" w:type="dxa"/>
              <w:right w:w="40" w:type="dxa"/>
            </w:tcMar>
            <w:vAlign w:val="center"/>
          </w:tcPr>
          <w:p>
            <w:pPr>
              <w:jc w:val="center"/>
              <w:rPr>
                <w:b/>
                <w:noProof/>
                <w:color w:val="000000"/>
                <w:sz w:val="22"/>
                <w:szCs w:val="22"/>
              </w:rPr>
            </w:pPr>
            <w:r>
              <w:rPr>
                <w:b/>
                <w:noProof/>
                <w:color w:val="000000"/>
                <w:sz w:val="22"/>
                <w:szCs w:val="22"/>
              </w:rPr>
              <w:t>Notes</w:t>
            </w:r>
          </w:p>
        </w:tc>
        <w:tc>
          <w:tcPr>
            <w:tcW w:w="193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2"/>
                <w:szCs w:val="22"/>
              </w:rPr>
            </w:pPr>
            <w:r>
              <w:rPr>
                <w:b/>
                <w:noProof/>
                <w:color w:val="000000"/>
                <w:sz w:val="22"/>
                <w:szCs w:val="22"/>
              </w:rPr>
              <w:t>31.12.2018</w:t>
            </w:r>
          </w:p>
        </w:tc>
        <w:tc>
          <w:tcPr>
            <w:tcW w:w="2126"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2"/>
                <w:szCs w:val="22"/>
              </w:rPr>
            </w:pPr>
            <w:r>
              <w:rPr>
                <w:b/>
                <w:noProof/>
                <w:color w:val="000000"/>
                <w:sz w:val="22"/>
                <w:szCs w:val="22"/>
              </w:rPr>
              <w:t>31.12.2017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5002"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NON-CURRENT ASSETS</w:t>
            </w:r>
          </w:p>
        </w:tc>
        <w:tc>
          <w:tcPr>
            <w:tcW w:w="708"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935"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c>
          <w:tcPr>
            <w:tcW w:w="2126"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Available for Sale portfolio</w:t>
            </w:r>
          </w:p>
        </w:tc>
        <w:tc>
          <w:tcPr>
            <w:tcW w:w="708"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22"/>
                <w:szCs w:val="22"/>
              </w:rPr>
            </w:pPr>
            <w:r>
              <w:rPr>
                <w:noProof/>
                <w:color w:val="000000"/>
                <w:sz w:val="22"/>
                <w:szCs w:val="22"/>
              </w:rPr>
              <w:t>5</w:t>
            </w:r>
          </w:p>
        </w:tc>
        <w:tc>
          <w:tcPr>
            <w:tcW w:w="1935"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c>
          <w:tcPr>
            <w:tcW w:w="2126"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22"/>
                <w:szCs w:val="22"/>
              </w:rPr>
            </w:pPr>
            <w:r>
              <w:rPr>
                <w:noProof/>
                <w:color w:val="000000"/>
                <w:sz w:val="22"/>
                <w:szCs w:val="22"/>
              </w:rPr>
              <w:t>Bond portfolio – cost</w:t>
            </w:r>
          </w:p>
        </w:tc>
        <w:tc>
          <w:tcPr>
            <w:tcW w:w="708" w:type="dxa"/>
            <w:tcBorders>
              <w:top w:val="nil"/>
              <w:left w:val="nil"/>
              <w:bottom w:val="nil"/>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2,293,850,557.65</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2,082,107,277.55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22"/>
                <w:szCs w:val="22"/>
              </w:rPr>
            </w:pPr>
            <w:r>
              <w:rPr>
                <w:noProof/>
                <w:color w:val="000000"/>
                <w:sz w:val="22"/>
                <w:szCs w:val="22"/>
              </w:rPr>
              <w:t>Bond portfolio – actuarial difference</w:t>
            </w:r>
          </w:p>
        </w:tc>
        <w:tc>
          <w:tcPr>
            <w:tcW w:w="708" w:type="dxa"/>
            <w:tcBorders>
              <w:top w:val="nil"/>
              <w:left w:val="nil"/>
              <w:bottom w:val="nil"/>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-30,233,231.86</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-26,519,432.19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22"/>
                <w:szCs w:val="22"/>
              </w:rPr>
            </w:pPr>
            <w:r>
              <w:rPr>
                <w:noProof/>
                <w:color w:val="000000"/>
                <w:sz w:val="22"/>
                <w:szCs w:val="22"/>
              </w:rPr>
              <w:t>Bond portfolio – adjustment to fair value</w:t>
            </w:r>
          </w:p>
        </w:tc>
        <w:tc>
          <w:tcPr>
            <w:tcW w:w="708" w:type="dxa"/>
            <w:tcBorders>
              <w:top w:val="nil"/>
              <w:left w:val="nil"/>
              <w:bottom w:val="nil"/>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11,725,338.09</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22,382,639.48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Total Available for Sale Portfolio</w:t>
            </w:r>
          </w:p>
        </w:tc>
        <w:tc>
          <w:tcPr>
            <w:tcW w:w="708" w:type="dxa"/>
            <w:tcBorders>
              <w:top w:val="nil"/>
              <w:left w:val="nil"/>
              <w:bottom w:val="single" w:sz="4" w:space="0" w:color="000000"/>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193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2,275,342,663.88</w:t>
            </w:r>
          </w:p>
        </w:tc>
        <w:tc>
          <w:tcPr>
            <w:tcW w:w="2126"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2,077,970,484.84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TOTAL NON-CURRENT ASSETS</w:t>
            </w:r>
          </w:p>
        </w:tc>
        <w:tc>
          <w:tcPr>
            <w:tcW w:w="708"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19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2,275,342,663.88</w:t>
            </w:r>
          </w:p>
        </w:tc>
        <w:tc>
          <w:tcPr>
            <w:tcW w:w="21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2,077,970,484.84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CURRENT ASSETS</w:t>
            </w:r>
          </w:p>
        </w:tc>
        <w:tc>
          <w:tcPr>
            <w:tcW w:w="708" w:type="dxa"/>
            <w:tcBorders>
              <w:top w:val="single" w:sz="4" w:space="0" w:color="000000"/>
              <w:left w:val="nil"/>
              <w:bottom w:val="nil"/>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1935"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right"/>
              <w:rPr>
                <w:b/>
                <w:noProof/>
                <w:color w:val="000000"/>
                <w:sz w:val="22"/>
                <w:szCs w:val="22"/>
              </w:rPr>
            </w:pPr>
          </w:p>
        </w:tc>
        <w:tc>
          <w:tcPr>
            <w:tcW w:w="2126"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right"/>
              <w:rPr>
                <w:b/>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Available for Sale portfolio</w:t>
            </w:r>
          </w:p>
        </w:tc>
        <w:tc>
          <w:tcPr>
            <w:tcW w:w="708"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22"/>
                <w:szCs w:val="22"/>
              </w:rPr>
            </w:pPr>
            <w:r>
              <w:rPr>
                <w:noProof/>
                <w:color w:val="000000"/>
                <w:sz w:val="22"/>
                <w:szCs w:val="22"/>
              </w:rPr>
              <w:t>5</w:t>
            </w:r>
          </w:p>
        </w:tc>
        <w:tc>
          <w:tcPr>
            <w:tcW w:w="1935"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c>
          <w:tcPr>
            <w:tcW w:w="2126"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22"/>
                <w:szCs w:val="22"/>
              </w:rPr>
            </w:pPr>
            <w:r>
              <w:rPr>
                <w:noProof/>
                <w:color w:val="000000"/>
                <w:sz w:val="22"/>
                <w:szCs w:val="22"/>
              </w:rPr>
              <w:t>Bond portfolio – cost</w:t>
            </w:r>
          </w:p>
        </w:tc>
        <w:tc>
          <w:tcPr>
            <w:tcW w:w="708" w:type="dxa"/>
            <w:tcBorders>
              <w:top w:val="nil"/>
              <w:left w:val="nil"/>
              <w:bottom w:val="nil"/>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180,593,535.40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106,392,110.10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22"/>
                <w:szCs w:val="22"/>
              </w:rPr>
            </w:pPr>
            <w:r>
              <w:rPr>
                <w:noProof/>
                <w:color w:val="000000"/>
                <w:sz w:val="22"/>
                <w:szCs w:val="22"/>
              </w:rPr>
              <w:t>Bond portfolio – actuarial difference</w:t>
            </w:r>
          </w:p>
        </w:tc>
        <w:tc>
          <w:tcPr>
            <w:tcW w:w="708" w:type="dxa"/>
            <w:tcBorders>
              <w:top w:val="nil"/>
              <w:left w:val="nil"/>
              <w:bottom w:val="nil"/>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-4,523,470.02</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-201,075.31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22"/>
                <w:szCs w:val="22"/>
              </w:rPr>
            </w:pPr>
            <w:r>
              <w:rPr>
                <w:noProof/>
                <w:color w:val="000000"/>
                <w:sz w:val="22"/>
                <w:szCs w:val="22"/>
              </w:rPr>
              <w:t>Bond portfolio – adjustment to fair value</w:t>
            </w:r>
          </w:p>
        </w:tc>
        <w:tc>
          <w:tcPr>
            <w:tcW w:w="708" w:type="dxa"/>
            <w:tcBorders>
              <w:top w:val="nil"/>
              <w:left w:val="nil"/>
              <w:bottom w:val="nil"/>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501,853.62</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317,415.21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22"/>
                <w:szCs w:val="22"/>
              </w:rPr>
            </w:pPr>
            <w:r>
              <w:rPr>
                <w:noProof/>
                <w:color w:val="000000"/>
                <w:sz w:val="22"/>
                <w:szCs w:val="22"/>
              </w:rPr>
              <w:t>Bond portfolio – accrued interest</w:t>
            </w:r>
          </w:p>
        </w:tc>
        <w:tc>
          <w:tcPr>
            <w:tcW w:w="708" w:type="dxa"/>
            <w:tcBorders>
              <w:top w:val="nil"/>
              <w:left w:val="nil"/>
              <w:bottom w:val="nil"/>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13,186,177.35</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14,263,342.00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Total Available for Sale portfolio</w:t>
            </w:r>
          </w:p>
        </w:tc>
        <w:tc>
          <w:tcPr>
            <w:tcW w:w="708" w:type="dxa"/>
            <w:tcBorders>
              <w:top w:val="nil"/>
              <w:left w:val="nil"/>
              <w:bottom w:val="nil"/>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189,758,096.35</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120,771,792.00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Short-term receivables</w:t>
            </w:r>
          </w:p>
        </w:tc>
        <w:tc>
          <w:tcPr>
            <w:tcW w:w="708" w:type="dxa"/>
            <w:tcBorders>
              <w:top w:val="nil"/>
              <w:left w:val="nil"/>
              <w:bottom w:val="nil"/>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0" w:type="dxa"/>
              <w:right w:w="0" w:type="dxa"/>
            </w:tcMar>
            <w:vAlign w:val="center"/>
          </w:tcPr>
          <w:p>
            <w:pPr>
              <w:jc w:val="right"/>
              <w:rPr>
                <w:b/>
                <w:noProof/>
                <w:color w:val="000000"/>
                <w:sz w:val="22"/>
                <w:szCs w:val="22"/>
              </w:rPr>
            </w:pPr>
          </w:p>
        </w:tc>
        <w:tc>
          <w:tcPr>
            <w:tcW w:w="2126" w:type="dxa"/>
            <w:tcBorders>
              <w:top w:val="nil"/>
              <w:left w:val="nil"/>
              <w:bottom w:val="nil"/>
              <w:right w:val="nil"/>
              <w:tl2br w:val="nil"/>
              <w:tr2bl w:val="nil"/>
            </w:tcBorders>
            <w:shd w:val="clear" w:color="auto" w:fill="auto"/>
            <w:noWrap/>
            <w:tcMar>
              <w:left w:w="0" w:type="dxa"/>
              <w:right w:w="0" w:type="dxa"/>
            </w:tcMar>
            <w:vAlign w:val="center"/>
          </w:tcPr>
          <w:p>
            <w:pPr>
              <w:jc w:val="right"/>
              <w:rPr>
                <w:b/>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22"/>
                <w:szCs w:val="22"/>
              </w:rPr>
            </w:pPr>
            <w:r>
              <w:rPr>
                <w:noProof/>
                <w:color w:val="000000"/>
                <w:sz w:val="22"/>
                <w:szCs w:val="22"/>
              </w:rPr>
              <w:t>Contributions receivable</w:t>
            </w:r>
          </w:p>
        </w:tc>
        <w:tc>
          <w:tcPr>
            <w:tcW w:w="708"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22"/>
                <w:szCs w:val="22"/>
              </w:rPr>
            </w:pPr>
            <w:r>
              <w:rPr>
                <w:noProof/>
                <w:color w:val="000000"/>
                <w:sz w:val="22"/>
                <w:szCs w:val="22"/>
              </w:rPr>
              <w:t>8</w:t>
            </w:r>
          </w:p>
        </w:tc>
        <w:tc>
          <w:tcPr>
            <w:tcW w:w="193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103,222,935.00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137,800,722.00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22"/>
                <w:szCs w:val="22"/>
              </w:rPr>
            </w:pPr>
            <w:r>
              <w:rPr>
                <w:noProof/>
                <w:color w:val="000000"/>
                <w:sz w:val="22"/>
                <w:szCs w:val="22"/>
              </w:rPr>
              <w:t>Guarantee recoveries receivable</w:t>
            </w:r>
          </w:p>
        </w:tc>
        <w:tc>
          <w:tcPr>
            <w:tcW w:w="708"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22"/>
                <w:szCs w:val="22"/>
              </w:rPr>
            </w:pPr>
            <w:r>
              <w:rPr>
                <w:noProof/>
                <w:color w:val="000000"/>
                <w:sz w:val="22"/>
                <w:szCs w:val="22"/>
              </w:rPr>
              <w:t>8</w:t>
            </w:r>
          </w:p>
        </w:tc>
        <w:tc>
          <w:tcPr>
            <w:tcW w:w="193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0.00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136,092.88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Total short-term receivables</w:t>
            </w:r>
          </w:p>
        </w:tc>
        <w:tc>
          <w:tcPr>
            <w:tcW w:w="708" w:type="dxa"/>
            <w:tcBorders>
              <w:top w:val="nil"/>
              <w:left w:val="nil"/>
              <w:bottom w:val="nil"/>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103,222,935.00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137,936,814.88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tcMar>
              <w:left w:w="40" w:type="dxa"/>
              <w:right w:w="40" w:type="dxa"/>
            </w:tcMar>
            <w:vAlign w:val="center"/>
          </w:tcPr>
          <w:p>
            <w:pPr>
              <w:rPr>
                <w:b/>
                <w:noProof/>
                <w:color w:val="000000"/>
                <w:sz w:val="22"/>
                <w:szCs w:val="22"/>
              </w:rPr>
            </w:pPr>
            <w:r>
              <w:rPr>
                <w:b/>
                <w:noProof/>
                <w:color w:val="000000"/>
                <w:sz w:val="22"/>
                <w:szCs w:val="22"/>
              </w:rPr>
              <w:t>Cash and cash equivalents</w:t>
            </w:r>
          </w:p>
        </w:tc>
        <w:tc>
          <w:tcPr>
            <w:tcW w:w="708"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22"/>
                <w:szCs w:val="22"/>
              </w:rPr>
            </w:pPr>
            <w:r>
              <w:rPr>
                <w:noProof/>
                <w:color w:val="000000"/>
                <w:sz w:val="22"/>
                <w:szCs w:val="22"/>
              </w:rPr>
              <w:t>6</w:t>
            </w:r>
          </w:p>
        </w:tc>
        <w:tc>
          <w:tcPr>
            <w:tcW w:w="1935"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c>
          <w:tcPr>
            <w:tcW w:w="2126"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22"/>
                <w:szCs w:val="22"/>
              </w:rPr>
            </w:pPr>
            <w:r>
              <w:rPr>
                <w:noProof/>
                <w:color w:val="000000"/>
                <w:sz w:val="22"/>
                <w:szCs w:val="22"/>
              </w:rPr>
              <w:t>Current accounts</w:t>
            </w:r>
          </w:p>
        </w:tc>
        <w:tc>
          <w:tcPr>
            <w:tcW w:w="708" w:type="dxa"/>
            <w:tcBorders>
              <w:top w:val="nil"/>
              <w:left w:val="nil"/>
              <w:bottom w:val="nil"/>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27,567,035.62</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45,569,131.18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22"/>
                <w:szCs w:val="22"/>
              </w:rPr>
            </w:pPr>
            <w:r>
              <w:rPr>
                <w:noProof/>
                <w:color w:val="000000"/>
                <w:sz w:val="22"/>
                <w:szCs w:val="22"/>
              </w:rPr>
              <w:t xml:space="preserve">Short-term deposits – nominal </w:t>
            </w:r>
          </w:p>
        </w:tc>
        <w:tc>
          <w:tcPr>
            <w:tcW w:w="708" w:type="dxa"/>
            <w:tcBorders>
              <w:top w:val="nil"/>
              <w:left w:val="nil"/>
              <w:bottom w:val="nil"/>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14,000,000.00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178,600,000.00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22"/>
                <w:szCs w:val="22"/>
              </w:rPr>
            </w:pPr>
            <w:r>
              <w:rPr>
                <w:noProof/>
                <w:color w:val="000000"/>
                <w:sz w:val="22"/>
                <w:szCs w:val="22"/>
              </w:rPr>
              <w:t>Short-term deposits - accrued interest</w:t>
            </w:r>
          </w:p>
        </w:tc>
        <w:tc>
          <w:tcPr>
            <w:tcW w:w="708" w:type="dxa"/>
            <w:tcBorders>
              <w:top w:val="nil"/>
              <w:left w:val="nil"/>
              <w:bottom w:val="nil"/>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-8,983.34</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-86,378.27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Total cash and cash equivalents</w:t>
            </w:r>
          </w:p>
        </w:tc>
        <w:tc>
          <w:tcPr>
            <w:tcW w:w="708" w:type="dxa"/>
            <w:tcBorders>
              <w:top w:val="nil"/>
              <w:left w:val="nil"/>
              <w:bottom w:val="single" w:sz="4" w:space="0" w:color="000000"/>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193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41,558,052.28</w:t>
            </w:r>
          </w:p>
        </w:tc>
        <w:tc>
          <w:tcPr>
            <w:tcW w:w="2126"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224,082,752.91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5002"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TOTAL CURRENT ASSETS</w:t>
            </w:r>
          </w:p>
        </w:tc>
        <w:tc>
          <w:tcPr>
            <w:tcW w:w="708"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9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334,539,083.63</w:t>
            </w:r>
          </w:p>
        </w:tc>
        <w:tc>
          <w:tcPr>
            <w:tcW w:w="21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482,791,359.79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5002"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rPr>
                <w:b/>
                <w:noProof/>
                <w:color w:val="000000"/>
                <w:sz w:val="22"/>
                <w:szCs w:val="22"/>
              </w:rPr>
            </w:pPr>
            <w:r>
              <w:rPr>
                <w:b/>
                <w:noProof/>
                <w:color w:val="000000"/>
                <w:sz w:val="22"/>
                <w:szCs w:val="22"/>
              </w:rPr>
              <w:t>TOTAL ASSETS</w:t>
            </w:r>
          </w:p>
        </w:tc>
        <w:tc>
          <w:tcPr>
            <w:tcW w:w="708" w:type="dxa"/>
            <w:tcBorders>
              <w:top w:val="single" w:sz="4" w:space="0" w:color="000000"/>
              <w:left w:val="nil"/>
              <w:bottom w:val="single" w:sz="4" w:space="0" w:color="000000"/>
              <w:right w:val="nil"/>
              <w:tl2br w:val="nil"/>
              <w:tr2bl w:val="nil"/>
            </w:tcBorders>
            <w:shd w:val="clear" w:color="FFFFFF" w:fill="C0C0C0"/>
            <w:noWrap/>
            <w:tcMar>
              <w:left w:w="0" w:type="dxa"/>
              <w:right w:w="0" w:type="dxa"/>
            </w:tcMar>
            <w:vAlign w:val="center"/>
          </w:tcPr>
          <w:p>
            <w:pPr>
              <w:jc w:val="center"/>
              <w:rPr>
                <w:b/>
                <w:noProof/>
                <w:color w:val="000000"/>
                <w:sz w:val="22"/>
                <w:szCs w:val="22"/>
              </w:rPr>
            </w:pPr>
          </w:p>
        </w:tc>
        <w:tc>
          <w:tcPr>
            <w:tcW w:w="1935"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jc w:val="right"/>
              <w:rPr>
                <w:b/>
                <w:noProof/>
                <w:color w:val="000000"/>
                <w:sz w:val="22"/>
                <w:szCs w:val="22"/>
              </w:rPr>
            </w:pPr>
            <w:r>
              <w:rPr>
                <w:b/>
                <w:noProof/>
                <w:color w:val="000000"/>
                <w:sz w:val="22"/>
                <w:szCs w:val="22"/>
              </w:rPr>
              <w:t>2,609,881,747.51</w:t>
            </w:r>
          </w:p>
        </w:tc>
        <w:tc>
          <w:tcPr>
            <w:tcW w:w="2126"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jc w:val="right"/>
              <w:rPr>
                <w:b/>
                <w:noProof/>
                <w:color w:val="000000"/>
                <w:sz w:val="22"/>
                <w:szCs w:val="22"/>
              </w:rPr>
            </w:pPr>
            <w:r>
              <w:rPr>
                <w:b/>
                <w:noProof/>
                <w:color w:val="000000"/>
                <w:sz w:val="22"/>
                <w:szCs w:val="22"/>
              </w:rPr>
              <w:t>2,560,761,844.63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5002"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rPr>
                <w:noProof/>
                <w:color w:val="000000"/>
                <w:sz w:val="22"/>
                <w:szCs w:val="22"/>
              </w:rPr>
            </w:pPr>
          </w:p>
        </w:tc>
        <w:tc>
          <w:tcPr>
            <w:tcW w:w="708"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935"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c>
          <w:tcPr>
            <w:tcW w:w="2126"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NET ASSETS AND LIABILITIES</w:t>
            </w:r>
          </w:p>
        </w:tc>
        <w:tc>
          <w:tcPr>
            <w:tcW w:w="708" w:type="dxa"/>
            <w:tcBorders>
              <w:top w:val="nil"/>
              <w:left w:val="nil"/>
              <w:bottom w:val="nil"/>
              <w:right w:val="nil"/>
              <w:tl2br w:val="nil"/>
              <w:tr2bl w:val="nil"/>
            </w:tcBorders>
            <w:shd w:val="clear" w:color="auto" w:fill="auto"/>
            <w:noWrap/>
            <w:tcMar>
              <w:left w:w="40" w:type="dxa"/>
              <w:right w:w="40" w:type="dxa"/>
            </w:tcMar>
            <w:vAlign w:val="center"/>
          </w:tcPr>
          <w:p>
            <w:pPr>
              <w:jc w:val="center"/>
              <w:rPr>
                <w:b/>
                <w:noProof/>
                <w:color w:val="000000"/>
                <w:sz w:val="22"/>
                <w:szCs w:val="22"/>
              </w:rPr>
            </w:pPr>
            <w:r>
              <w:rPr>
                <w:b/>
                <w:noProof/>
                <w:color w:val="000000"/>
                <w:sz w:val="22"/>
                <w:szCs w:val="22"/>
              </w:rPr>
              <w:t>Notes</w:t>
            </w:r>
          </w:p>
        </w:tc>
        <w:tc>
          <w:tcPr>
            <w:tcW w:w="193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2"/>
                <w:szCs w:val="22"/>
              </w:rPr>
            </w:pPr>
            <w:r>
              <w:rPr>
                <w:b/>
                <w:noProof/>
                <w:color w:val="000000"/>
                <w:sz w:val="22"/>
                <w:szCs w:val="22"/>
              </w:rPr>
              <w:t>31.12.2018</w:t>
            </w:r>
          </w:p>
        </w:tc>
        <w:tc>
          <w:tcPr>
            <w:tcW w:w="2126"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2"/>
                <w:szCs w:val="22"/>
              </w:rPr>
            </w:pPr>
            <w:r>
              <w:rPr>
                <w:b/>
                <w:noProof/>
                <w:color w:val="000000"/>
                <w:sz w:val="22"/>
                <w:szCs w:val="22"/>
              </w:rPr>
              <w:t>31.12.2017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5002"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NET ASSETS</w:t>
            </w:r>
          </w:p>
        </w:tc>
        <w:tc>
          <w:tcPr>
            <w:tcW w:w="708"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935"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c>
          <w:tcPr>
            <w:tcW w:w="2126"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 xml:space="preserve">Contributions </w:t>
            </w:r>
          </w:p>
        </w:tc>
        <w:tc>
          <w:tcPr>
            <w:tcW w:w="708"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22"/>
                <w:szCs w:val="22"/>
              </w:rPr>
            </w:pPr>
            <w:r>
              <w:rPr>
                <w:noProof/>
                <w:color w:val="000000"/>
                <w:sz w:val="22"/>
                <w:szCs w:val="22"/>
              </w:rPr>
              <w:t>8</w:t>
            </w:r>
          </w:p>
        </w:tc>
        <w:tc>
          <w:tcPr>
            <w:tcW w:w="1935"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c>
          <w:tcPr>
            <w:tcW w:w="2126"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5002"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22"/>
                <w:szCs w:val="22"/>
              </w:rPr>
            </w:pPr>
            <w:r>
              <w:rPr>
                <w:noProof/>
                <w:color w:val="000000"/>
                <w:sz w:val="22"/>
                <w:szCs w:val="22"/>
              </w:rPr>
              <w:t>Net contributions paid in</w:t>
            </w:r>
          </w:p>
        </w:tc>
        <w:tc>
          <w:tcPr>
            <w:tcW w:w="708"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1,495,170,522.10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1,412,959,199.11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5002"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22"/>
                <w:szCs w:val="22"/>
              </w:rPr>
            </w:pPr>
            <w:r>
              <w:rPr>
                <w:noProof/>
                <w:color w:val="000000"/>
                <w:sz w:val="22"/>
                <w:szCs w:val="22"/>
              </w:rPr>
              <w:t>Contributions allocated but not yet paid in</w:t>
            </w:r>
          </w:p>
        </w:tc>
        <w:tc>
          <w:tcPr>
            <w:tcW w:w="708"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103,222,935.00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137,800,722.00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5002"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22"/>
                <w:szCs w:val="22"/>
              </w:rPr>
            </w:pPr>
            <w:r>
              <w:rPr>
                <w:noProof/>
                <w:color w:val="000000"/>
                <w:sz w:val="22"/>
                <w:szCs w:val="22"/>
              </w:rPr>
              <w:t>Recovery of historically called amount</w:t>
            </w:r>
          </w:p>
        </w:tc>
        <w:tc>
          <w:tcPr>
            <w:tcW w:w="708"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0.00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136,092.88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5002"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Reserves</w:t>
            </w:r>
          </w:p>
        </w:tc>
        <w:tc>
          <w:tcPr>
            <w:tcW w:w="708"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c>
          <w:tcPr>
            <w:tcW w:w="2126"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5002" w:type="dxa"/>
            <w:tcBorders>
              <w:top w:val="nil"/>
              <w:left w:val="nil"/>
              <w:bottom w:val="nil"/>
              <w:right w:val="nil"/>
              <w:tl2br w:val="nil"/>
              <w:tr2bl w:val="nil"/>
            </w:tcBorders>
            <w:shd w:val="clear" w:color="auto" w:fill="auto"/>
            <w:noWrap/>
            <w:tcMar>
              <w:left w:w="175" w:type="dxa"/>
              <w:right w:w="40" w:type="dxa"/>
            </w:tcMar>
            <w:vAlign w:val="center"/>
          </w:tcPr>
          <w:p>
            <w:pPr>
              <w:rPr>
                <w:noProof/>
                <w:color w:val="000000"/>
                <w:sz w:val="22"/>
                <w:szCs w:val="22"/>
              </w:rPr>
            </w:pPr>
            <w:r>
              <w:rPr>
                <w:noProof/>
                <w:color w:val="000000"/>
                <w:sz w:val="22"/>
                <w:szCs w:val="22"/>
              </w:rPr>
              <w:t>Fair value reserve</w:t>
            </w:r>
          </w:p>
        </w:tc>
        <w:tc>
          <w:tcPr>
            <w:tcW w:w="708"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12,227,191.71</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22,700,054.69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5002"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Accumulated surplus</w:t>
            </w:r>
          </w:p>
        </w:tc>
        <w:tc>
          <w:tcPr>
            <w:tcW w:w="708"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986,210,996.77</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970,244,126.84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5002"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Economic result of the year</w:t>
            </w:r>
          </w:p>
        </w:tc>
        <w:tc>
          <w:tcPr>
            <w:tcW w:w="708" w:type="dxa"/>
            <w:tcBorders>
              <w:top w:val="nil"/>
              <w:left w:val="nil"/>
              <w:bottom w:val="single" w:sz="4" w:space="0" w:color="000000"/>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93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12,036,762.67</w:t>
            </w:r>
          </w:p>
        </w:tc>
        <w:tc>
          <w:tcPr>
            <w:tcW w:w="2126"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15,966,869.93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5002"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TOTAL NET ASSETS</w:t>
            </w:r>
          </w:p>
        </w:tc>
        <w:tc>
          <w:tcPr>
            <w:tcW w:w="708"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9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2,608,868,408.25</w:t>
            </w:r>
          </w:p>
        </w:tc>
        <w:tc>
          <w:tcPr>
            <w:tcW w:w="21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2,559,807,065.45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5002"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LIABILITIES</w:t>
            </w:r>
          </w:p>
        </w:tc>
        <w:tc>
          <w:tcPr>
            <w:tcW w:w="708"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935"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right"/>
              <w:rPr>
                <w:b/>
                <w:noProof/>
                <w:color w:val="000000"/>
                <w:sz w:val="22"/>
                <w:szCs w:val="22"/>
              </w:rPr>
            </w:pPr>
          </w:p>
        </w:tc>
        <w:tc>
          <w:tcPr>
            <w:tcW w:w="2126"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right"/>
              <w:rPr>
                <w:b/>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2"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CURRENT LIABILITIES</w:t>
            </w:r>
          </w:p>
        </w:tc>
        <w:tc>
          <w:tcPr>
            <w:tcW w:w="708" w:type="dxa"/>
            <w:tcBorders>
              <w:top w:val="nil"/>
              <w:left w:val="nil"/>
              <w:bottom w:val="nil"/>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1935"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c>
          <w:tcPr>
            <w:tcW w:w="2126"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5002" w:type="dxa"/>
            <w:tcBorders>
              <w:top w:val="nil"/>
              <w:left w:val="nil"/>
              <w:bottom w:val="single" w:sz="4" w:space="0" w:color="000000"/>
              <w:right w:val="nil"/>
              <w:tl2br w:val="nil"/>
              <w:tr2bl w:val="nil"/>
            </w:tcBorders>
            <w:shd w:val="clear" w:color="auto" w:fill="auto"/>
            <w:noWrap/>
            <w:tcMar>
              <w:left w:w="175" w:type="dxa"/>
              <w:right w:w="40" w:type="dxa"/>
            </w:tcMar>
            <w:vAlign w:val="center"/>
          </w:tcPr>
          <w:p>
            <w:pPr>
              <w:rPr>
                <w:noProof/>
                <w:color w:val="000000"/>
                <w:sz w:val="22"/>
                <w:szCs w:val="22"/>
              </w:rPr>
            </w:pPr>
            <w:r>
              <w:rPr>
                <w:noProof/>
                <w:color w:val="000000"/>
                <w:sz w:val="22"/>
                <w:szCs w:val="22"/>
              </w:rPr>
              <w:t>Other payables</w:t>
            </w:r>
          </w:p>
        </w:tc>
        <w:tc>
          <w:tcPr>
            <w:tcW w:w="708"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center"/>
              <w:rPr>
                <w:noProof/>
                <w:color w:val="000000"/>
                <w:sz w:val="22"/>
                <w:szCs w:val="22"/>
              </w:rPr>
            </w:pPr>
            <w:r>
              <w:rPr>
                <w:noProof/>
                <w:color w:val="000000"/>
                <w:sz w:val="22"/>
                <w:szCs w:val="22"/>
              </w:rPr>
              <w:t>9</w:t>
            </w:r>
          </w:p>
        </w:tc>
        <w:tc>
          <w:tcPr>
            <w:tcW w:w="193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1,013,339.26</w:t>
            </w:r>
          </w:p>
        </w:tc>
        <w:tc>
          <w:tcPr>
            <w:tcW w:w="2126"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954,779.18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02"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TOTAL CURRENT LIABILITIES</w:t>
            </w:r>
          </w:p>
        </w:tc>
        <w:tc>
          <w:tcPr>
            <w:tcW w:w="708"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93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1,013,339.26</w:t>
            </w:r>
          </w:p>
        </w:tc>
        <w:tc>
          <w:tcPr>
            <w:tcW w:w="21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954,779.18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002"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rPr>
                <w:b/>
                <w:noProof/>
                <w:color w:val="000000"/>
                <w:sz w:val="22"/>
                <w:szCs w:val="22"/>
              </w:rPr>
            </w:pPr>
            <w:r>
              <w:rPr>
                <w:b/>
                <w:noProof/>
                <w:color w:val="000000"/>
                <w:sz w:val="22"/>
                <w:szCs w:val="22"/>
              </w:rPr>
              <w:t>TOTAL NET ASSETS AND LIABILITIES</w:t>
            </w:r>
          </w:p>
        </w:tc>
        <w:tc>
          <w:tcPr>
            <w:tcW w:w="708" w:type="dxa"/>
            <w:tcBorders>
              <w:top w:val="single" w:sz="4" w:space="0" w:color="000000"/>
              <w:left w:val="nil"/>
              <w:bottom w:val="single" w:sz="4" w:space="0" w:color="000000"/>
              <w:right w:val="nil"/>
              <w:tl2br w:val="nil"/>
              <w:tr2bl w:val="nil"/>
            </w:tcBorders>
            <w:shd w:val="clear" w:color="FFFFFF" w:fill="C0C0C0"/>
            <w:noWrap/>
            <w:tcMar>
              <w:left w:w="0" w:type="dxa"/>
              <w:right w:w="0" w:type="dxa"/>
            </w:tcMar>
            <w:vAlign w:val="center"/>
          </w:tcPr>
          <w:p>
            <w:pPr>
              <w:jc w:val="center"/>
              <w:rPr>
                <w:noProof/>
                <w:color w:val="000000"/>
                <w:sz w:val="22"/>
                <w:szCs w:val="22"/>
              </w:rPr>
            </w:pPr>
          </w:p>
        </w:tc>
        <w:tc>
          <w:tcPr>
            <w:tcW w:w="1935"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jc w:val="right"/>
              <w:rPr>
                <w:b/>
                <w:noProof/>
                <w:color w:val="000000"/>
                <w:sz w:val="22"/>
                <w:szCs w:val="22"/>
              </w:rPr>
            </w:pPr>
            <w:r>
              <w:rPr>
                <w:b/>
                <w:noProof/>
                <w:color w:val="000000"/>
                <w:sz w:val="22"/>
                <w:szCs w:val="22"/>
              </w:rPr>
              <w:t>2,609,881,747.51</w:t>
            </w:r>
          </w:p>
        </w:tc>
        <w:tc>
          <w:tcPr>
            <w:tcW w:w="2126"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jc w:val="right"/>
              <w:rPr>
                <w:b/>
                <w:noProof/>
                <w:color w:val="000000"/>
                <w:sz w:val="22"/>
                <w:szCs w:val="22"/>
              </w:rPr>
            </w:pPr>
            <w:r>
              <w:rPr>
                <w:b/>
                <w:noProof/>
                <w:color w:val="000000"/>
                <w:sz w:val="22"/>
                <w:szCs w:val="22"/>
              </w:rPr>
              <w:t>2,560,761,844.63</w:t>
            </w:r>
          </w:p>
          <w:p>
            <w:pPr>
              <w:spacing w:line="240" w:lineRule="atLeast"/>
              <w:rPr>
                <w:noProof/>
                <w:sz w:val="22"/>
                <w:szCs w:val="22"/>
              </w:rPr>
            </w:pPr>
          </w:p>
          <w:p>
            <w:pPr>
              <w:spacing w:line="240" w:lineRule="atLeast"/>
              <w:rPr>
                <w:noProof/>
                <w:sz w:val="22"/>
                <w:szCs w:val="22"/>
              </w:rPr>
            </w:pPr>
          </w:p>
          <w:p>
            <w:pPr>
              <w:spacing w:line="240" w:lineRule="atLeast"/>
              <w:rPr>
                <w:noProof/>
                <w:sz w:val="22"/>
                <w:szCs w:val="22"/>
              </w:rPr>
            </w:pPr>
          </w:p>
          <w:p>
            <w:pPr>
              <w:spacing w:line="240" w:lineRule="atLeast"/>
              <w:rPr>
                <w:noProof/>
                <w:sz w:val="22"/>
                <w:szCs w:val="22"/>
              </w:rPr>
            </w:pPr>
          </w:p>
        </w:tc>
      </w:tr>
    </w:tbl>
    <w:p>
      <w:pPr>
        <w:pageBreakBefore/>
        <w:pBdr>
          <w:top w:val="nil"/>
          <w:left w:val="nil"/>
          <w:bottom w:val="nil"/>
          <w:right w:val="nil"/>
          <w:between w:val="nil"/>
          <w:bar w:val="nil"/>
        </w:pBdr>
        <w:spacing w:line="240" w:lineRule="atLeast"/>
        <w:ind w:left="-284"/>
        <w:jc w:val="center"/>
        <w:rPr>
          <w:b/>
          <w:bCs/>
          <w:noProof/>
          <w:bdr w:val="nil"/>
          <w:lang w:eastAsia="en-US"/>
        </w:rPr>
      </w:pPr>
      <w:r>
        <w:rPr>
          <w:b/>
          <w:bCs/>
          <w:noProof/>
          <w:bdr w:val="nil"/>
          <w:lang w:eastAsia="en-US"/>
        </w:rPr>
        <w:t>Statement of financial performance</w:t>
      </w:r>
    </w:p>
    <w:p>
      <w:pPr>
        <w:pBdr>
          <w:top w:val="nil"/>
          <w:left w:val="nil"/>
          <w:bottom w:val="nil"/>
          <w:right w:val="nil"/>
          <w:between w:val="nil"/>
          <w:bar w:val="nil"/>
        </w:pBdr>
        <w:spacing w:line="240" w:lineRule="atLeast"/>
        <w:ind w:left="-284"/>
        <w:jc w:val="center"/>
        <w:rPr>
          <w:bCs/>
          <w:noProof/>
          <w:bdr w:val="nil"/>
          <w:lang w:eastAsia="en-US"/>
        </w:rPr>
      </w:pPr>
      <w:r>
        <w:rPr>
          <w:bCs/>
          <w:noProof/>
          <w:bdr w:val="nil"/>
          <w:lang w:eastAsia="en-US"/>
        </w:rPr>
        <w:t>For the year ended 31 December 2018</w:t>
      </w:r>
    </w:p>
    <w:p>
      <w:pPr>
        <w:pBdr>
          <w:top w:val="nil"/>
          <w:left w:val="nil"/>
          <w:bottom w:val="nil"/>
          <w:right w:val="nil"/>
          <w:between w:val="nil"/>
          <w:bar w:val="nil"/>
        </w:pBdr>
        <w:spacing w:after="120" w:line="240" w:lineRule="atLeast"/>
        <w:ind w:left="-284"/>
        <w:jc w:val="center"/>
        <w:rPr>
          <w:bCs/>
          <w:noProof/>
          <w:bdr w:val="nil"/>
          <w:lang w:eastAsia="en-US"/>
        </w:rPr>
      </w:pPr>
      <w:r>
        <w:rPr>
          <w:bCs/>
          <w:noProof/>
          <w:bdr w:val="nil"/>
          <w:lang w:eastAsia="en-US"/>
        </w:rPr>
        <w:t>(in EUR)</w:t>
      </w:r>
    </w:p>
    <w:tbl>
      <w:tblPr>
        <w:tblStyle w:val="CDMRange2"/>
        <w:tblW w:w="9975" w:type="dxa"/>
        <w:tblLayout w:type="fixed"/>
        <w:tblLook w:val="0600" w:firstRow="0" w:lastRow="0" w:firstColumn="0" w:lastColumn="0" w:noHBand="1" w:noVBand="1"/>
      </w:tblPr>
      <w:tblGrid>
        <w:gridCol w:w="5475"/>
        <w:gridCol w:w="900"/>
        <w:gridCol w:w="1800"/>
        <w:gridCol w:w="1800"/>
      </w:tblGrid>
      <w:tr>
        <w:trPr>
          <w:trHeight w:val="480"/>
        </w:trPr>
        <w:tc>
          <w:tcPr>
            <w:tcW w:w="5475" w:type="dxa"/>
            <w:tcBorders>
              <w:top w:val="nil"/>
              <w:left w:val="nil"/>
              <w:bottom w:val="nil"/>
              <w:right w:val="nil"/>
              <w:tl2br w:val="nil"/>
              <w:tr2bl w:val="nil"/>
            </w:tcBorders>
            <w:shd w:val="clear" w:color="auto" w:fill="auto"/>
            <w:noWrap/>
            <w:tcMar>
              <w:left w:w="0" w:type="dxa"/>
              <w:right w:w="0" w:type="dxa"/>
            </w:tcMar>
            <w:vAlign w:val="center"/>
          </w:tcPr>
          <w:p>
            <w:pPr>
              <w:rPr>
                <w:noProof/>
                <w:color w:val="000000"/>
                <w:sz w:val="22"/>
                <w:szCs w:val="22"/>
              </w:rPr>
            </w:pPr>
          </w:p>
        </w:tc>
        <w:tc>
          <w:tcPr>
            <w:tcW w:w="900" w:type="dxa"/>
            <w:tcBorders>
              <w:top w:val="nil"/>
              <w:left w:val="nil"/>
              <w:bottom w:val="nil"/>
              <w:right w:val="nil"/>
              <w:tl2br w:val="nil"/>
              <w:tr2bl w:val="nil"/>
            </w:tcBorders>
            <w:shd w:val="clear" w:color="auto" w:fill="auto"/>
            <w:tcMar>
              <w:left w:w="0" w:type="dxa"/>
              <w:right w:w="0" w:type="dxa"/>
            </w:tcMar>
            <w:vAlign w:val="center"/>
          </w:tcPr>
          <w:p>
            <w:pPr>
              <w:jc w:val="center"/>
              <w:rPr>
                <w:b/>
                <w:noProof/>
                <w:color w:val="000000"/>
                <w:sz w:val="22"/>
                <w:szCs w:val="22"/>
              </w:rPr>
            </w:pP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2"/>
                <w:szCs w:val="22"/>
              </w:rPr>
            </w:pPr>
            <w:r>
              <w:rPr>
                <w:b/>
                <w:noProof/>
                <w:color w:val="000000"/>
                <w:sz w:val="22"/>
                <w:szCs w:val="22"/>
              </w:rPr>
              <w:t>From 01.01.2018</w:t>
            </w:r>
          </w:p>
          <w:p>
            <w:pPr>
              <w:jc w:val="right"/>
              <w:rPr>
                <w:b/>
                <w:noProof/>
                <w:color w:val="000000"/>
                <w:sz w:val="22"/>
                <w:szCs w:val="22"/>
              </w:rPr>
            </w:pPr>
            <w:r>
              <w:rPr>
                <w:b/>
                <w:noProof/>
                <w:color w:val="000000"/>
                <w:sz w:val="22"/>
                <w:szCs w:val="22"/>
              </w:rPr>
              <w:t>to 31.12.2018</w:t>
            </w:r>
          </w:p>
        </w:tc>
        <w:tc>
          <w:tcPr>
            <w:tcW w:w="18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2"/>
                <w:szCs w:val="22"/>
              </w:rPr>
            </w:pPr>
            <w:r>
              <w:rPr>
                <w:b/>
                <w:noProof/>
                <w:color w:val="000000"/>
                <w:sz w:val="22"/>
                <w:szCs w:val="22"/>
              </w:rPr>
              <w:t>From 01.01.2017</w:t>
            </w:r>
          </w:p>
          <w:p>
            <w:pPr>
              <w:jc w:val="right"/>
              <w:rPr>
                <w:b/>
                <w:noProof/>
                <w:color w:val="000000"/>
                <w:sz w:val="22"/>
                <w:szCs w:val="22"/>
              </w:rPr>
            </w:pPr>
            <w:r>
              <w:rPr>
                <w:b/>
                <w:noProof/>
                <w:color w:val="000000"/>
                <w:sz w:val="22"/>
                <w:szCs w:val="22"/>
              </w:rPr>
              <w:t>to 31.12.2017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0" w:type="dxa"/>
              <w:right w:w="0" w:type="dxa"/>
            </w:tcMar>
            <w:vAlign w:val="center"/>
          </w:tcPr>
          <w:p>
            <w:pPr>
              <w:rPr>
                <w:b/>
                <w:noProof/>
                <w:color w:val="000000"/>
                <w:sz w:val="22"/>
                <w:szCs w:val="22"/>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pPr>
              <w:rPr>
                <w:noProof/>
                <w:color w:val="000000"/>
                <w:sz w:val="22"/>
                <w:szCs w:val="22"/>
              </w:rPr>
            </w:pPr>
          </w:p>
        </w:tc>
        <w:tc>
          <w:tcPr>
            <w:tcW w:w="1800"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c>
          <w:tcPr>
            <w:tcW w:w="1800"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0" w:type="dxa"/>
              <w:right w:w="0" w:type="dxa"/>
            </w:tcMar>
            <w:vAlign w:val="center"/>
          </w:tcPr>
          <w:p>
            <w:pPr>
              <w:rPr>
                <w:b/>
                <w:noProof/>
                <w:color w:val="000000"/>
                <w:sz w:val="22"/>
                <w:szCs w:val="22"/>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800"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c>
          <w:tcPr>
            <w:tcW w:w="1800"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Expenses from operating activities</w:t>
            </w:r>
          </w:p>
        </w:tc>
        <w:tc>
          <w:tcPr>
            <w:tcW w:w="900"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-2,978,737.26</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-1,103,635.38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i/>
                <w:noProof/>
                <w:color w:val="000000"/>
                <w:sz w:val="22"/>
                <w:szCs w:val="22"/>
              </w:rPr>
            </w:pPr>
            <w:r>
              <w:rPr>
                <w:i/>
                <w:noProof/>
                <w:color w:val="000000"/>
                <w:sz w:val="22"/>
                <w:szCs w:val="22"/>
              </w:rPr>
              <w:t xml:space="preserve">      Management fees</w:t>
            </w:r>
          </w:p>
        </w:tc>
        <w:tc>
          <w:tcPr>
            <w:tcW w:w="900"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22"/>
                <w:szCs w:val="22"/>
              </w:rPr>
            </w:pPr>
            <w:r>
              <w:rPr>
                <w:i/>
                <w:noProof/>
                <w:color w:val="000000"/>
                <w:sz w:val="22"/>
                <w:szCs w:val="22"/>
              </w:rPr>
              <w:t>-894,626.42</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22"/>
                <w:szCs w:val="22"/>
              </w:rPr>
            </w:pPr>
            <w:r>
              <w:rPr>
                <w:i/>
                <w:noProof/>
                <w:color w:val="000000"/>
                <w:sz w:val="22"/>
                <w:szCs w:val="22"/>
              </w:rPr>
              <w:t>-915,279.18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i/>
                <w:noProof/>
                <w:color w:val="000000"/>
                <w:sz w:val="22"/>
                <w:szCs w:val="22"/>
              </w:rPr>
            </w:pPr>
            <w:r>
              <w:rPr>
                <w:b/>
                <w:i/>
                <w:noProof/>
                <w:color w:val="000000"/>
                <w:sz w:val="22"/>
                <w:szCs w:val="22"/>
              </w:rPr>
              <w:t xml:space="preserve">      </w:t>
            </w:r>
            <w:r>
              <w:rPr>
                <w:i/>
                <w:noProof/>
                <w:color w:val="000000"/>
                <w:sz w:val="22"/>
                <w:szCs w:val="22"/>
              </w:rPr>
              <w:t>Audit fees</w:t>
            </w:r>
          </w:p>
        </w:tc>
        <w:tc>
          <w:tcPr>
            <w:tcW w:w="900"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22"/>
                <w:szCs w:val="22"/>
              </w:rPr>
            </w:pPr>
            <w:r>
              <w:rPr>
                <w:i/>
                <w:noProof/>
                <w:color w:val="000000"/>
                <w:sz w:val="22"/>
                <w:szCs w:val="22"/>
              </w:rPr>
              <w:t>-39,500.00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22"/>
                <w:szCs w:val="22"/>
              </w:rPr>
            </w:pPr>
            <w:r>
              <w:rPr>
                <w:i/>
                <w:noProof/>
                <w:color w:val="000000"/>
                <w:sz w:val="22"/>
                <w:szCs w:val="22"/>
              </w:rPr>
              <w:t>-39,500.00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i/>
                <w:noProof/>
                <w:color w:val="000000"/>
                <w:sz w:val="22"/>
                <w:szCs w:val="22"/>
              </w:rPr>
            </w:pPr>
            <w:r>
              <w:rPr>
                <w:i/>
                <w:noProof/>
                <w:color w:val="000000"/>
                <w:sz w:val="22"/>
                <w:szCs w:val="22"/>
              </w:rPr>
              <w:t xml:space="preserve">      Bank fees</w:t>
            </w:r>
          </w:p>
        </w:tc>
        <w:tc>
          <w:tcPr>
            <w:tcW w:w="900"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22"/>
                <w:szCs w:val="22"/>
              </w:rPr>
            </w:pPr>
            <w:r>
              <w:rPr>
                <w:i/>
                <w:noProof/>
                <w:color w:val="000000"/>
                <w:sz w:val="22"/>
                <w:szCs w:val="22"/>
              </w:rPr>
              <w:t>-143,460.81</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22"/>
                <w:szCs w:val="22"/>
              </w:rPr>
            </w:pPr>
            <w:r>
              <w:rPr>
                <w:i/>
                <w:noProof/>
                <w:color w:val="000000"/>
                <w:sz w:val="22"/>
                <w:szCs w:val="22"/>
              </w:rPr>
              <w:t>-148,856.20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i/>
                <w:noProof/>
                <w:color w:val="000000"/>
                <w:sz w:val="22"/>
                <w:szCs w:val="22"/>
              </w:rPr>
            </w:pPr>
            <w:r>
              <w:rPr>
                <w:i/>
                <w:noProof/>
                <w:color w:val="000000"/>
                <w:sz w:val="22"/>
                <w:szCs w:val="22"/>
              </w:rPr>
              <w:t xml:space="preserve">      Recovery fees</w:t>
            </w: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noProof/>
                <w:color w:val="000000"/>
                <w:sz w:val="22"/>
                <w:szCs w:val="22"/>
              </w:rPr>
            </w:pPr>
            <w:r>
              <w:rPr>
                <w:noProof/>
                <w:color w:val="000000"/>
                <w:sz w:val="22"/>
                <w:szCs w:val="22"/>
              </w:rPr>
              <w:t>7</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22"/>
                <w:szCs w:val="22"/>
              </w:rPr>
            </w:pPr>
            <w:r>
              <w:rPr>
                <w:i/>
                <w:noProof/>
                <w:color w:val="000000"/>
                <w:sz w:val="22"/>
                <w:szCs w:val="22"/>
              </w:rPr>
              <w:t>-1,901,150.03</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22"/>
                <w:szCs w:val="22"/>
              </w:rPr>
            </w:pPr>
            <w:r>
              <w:rPr>
                <w:i/>
                <w:noProof/>
                <w:color w:val="000000"/>
                <w:sz w:val="22"/>
                <w:szCs w:val="22"/>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single" w:sz="4" w:space="0" w:color="000000"/>
              <w:right w:val="nil"/>
              <w:tl2br w:val="nil"/>
              <w:tr2bl w:val="nil"/>
            </w:tcBorders>
            <w:shd w:val="clear" w:color="auto" w:fill="auto"/>
            <w:noWrap/>
            <w:tcMar>
              <w:left w:w="0" w:type="dxa"/>
              <w:right w:w="0" w:type="dxa"/>
            </w:tcMar>
            <w:vAlign w:val="center"/>
          </w:tcPr>
          <w:p>
            <w:pPr>
              <w:rPr>
                <w:b/>
                <w:noProof/>
                <w:color w:val="000000"/>
                <w:sz w:val="22"/>
                <w:szCs w:val="22"/>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800" w:type="dxa"/>
            <w:tcBorders>
              <w:top w:val="nil"/>
              <w:left w:val="nil"/>
              <w:bottom w:val="single" w:sz="4" w:space="0" w:color="000000"/>
              <w:right w:val="nil"/>
              <w:tl2br w:val="nil"/>
              <w:tr2bl w:val="nil"/>
            </w:tcBorders>
            <w:shd w:val="clear" w:color="auto" w:fill="auto"/>
            <w:noWrap/>
            <w:tcMar>
              <w:left w:w="0" w:type="dxa"/>
              <w:right w:w="0" w:type="dxa"/>
            </w:tcMar>
            <w:vAlign w:val="center"/>
          </w:tcPr>
          <w:p>
            <w:pPr>
              <w:jc w:val="right"/>
              <w:rPr>
                <w:noProof/>
                <w:color w:val="000000"/>
                <w:sz w:val="22"/>
                <w:szCs w:val="22"/>
              </w:rPr>
            </w:pPr>
          </w:p>
        </w:tc>
        <w:tc>
          <w:tcPr>
            <w:tcW w:w="1800" w:type="dxa"/>
            <w:tcBorders>
              <w:top w:val="nil"/>
              <w:left w:val="nil"/>
              <w:bottom w:val="single" w:sz="4" w:space="0" w:color="000000"/>
              <w:right w:val="nil"/>
              <w:tl2br w:val="nil"/>
              <w:tr2bl w:val="nil"/>
            </w:tcBorders>
            <w:shd w:val="clear" w:color="auto" w:fill="auto"/>
            <w:noWrap/>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Result from operating activities</w:t>
            </w: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-2,978,737.26</w:t>
            </w: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-1,103,635.38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rPr>
                <w:b/>
                <w:noProof/>
                <w:color w:val="000000"/>
                <w:sz w:val="22"/>
                <w:szCs w:val="22"/>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800"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c>
          <w:tcPr>
            <w:tcW w:w="1800"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Financial revenue</w:t>
            </w:r>
          </w:p>
        </w:tc>
        <w:tc>
          <w:tcPr>
            <w:tcW w:w="900"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800"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c>
          <w:tcPr>
            <w:tcW w:w="1800"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Interest income</w:t>
            </w:r>
          </w:p>
        </w:tc>
        <w:tc>
          <w:tcPr>
            <w:tcW w:w="900"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6,292,695.57</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8,763,127.37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i/>
                <w:noProof/>
                <w:color w:val="000000"/>
                <w:sz w:val="22"/>
                <w:szCs w:val="22"/>
              </w:rPr>
            </w:pPr>
            <w:r>
              <w:rPr>
                <w:i/>
                <w:noProof/>
                <w:color w:val="000000"/>
                <w:sz w:val="22"/>
                <w:szCs w:val="22"/>
              </w:rPr>
              <w:t xml:space="preserve">       Cash and cash equivalents</w:t>
            </w:r>
          </w:p>
        </w:tc>
        <w:tc>
          <w:tcPr>
            <w:tcW w:w="900"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22"/>
                <w:szCs w:val="22"/>
              </w:rPr>
            </w:pPr>
            <w:r>
              <w:rPr>
                <w:i/>
                <w:noProof/>
                <w:color w:val="000000"/>
                <w:sz w:val="22"/>
                <w:szCs w:val="22"/>
              </w:rPr>
              <w:t>1,182.91</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22"/>
                <w:szCs w:val="22"/>
              </w:rPr>
            </w:pPr>
            <w:r>
              <w:rPr>
                <w:i/>
                <w:noProof/>
                <w:color w:val="000000"/>
                <w:sz w:val="22"/>
                <w:szCs w:val="22"/>
              </w:rPr>
              <w:t>2,414.67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i/>
                <w:noProof/>
                <w:color w:val="000000"/>
                <w:sz w:val="22"/>
                <w:szCs w:val="22"/>
              </w:rPr>
            </w:pPr>
            <w:r>
              <w:rPr>
                <w:i/>
                <w:noProof/>
                <w:color w:val="000000"/>
                <w:sz w:val="22"/>
                <w:szCs w:val="22"/>
              </w:rPr>
              <w:t xml:space="preserve">      Bond portfolio</w:t>
            </w:r>
          </w:p>
        </w:tc>
        <w:tc>
          <w:tcPr>
            <w:tcW w:w="900"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22"/>
                <w:szCs w:val="22"/>
              </w:rPr>
            </w:pPr>
            <w:r>
              <w:rPr>
                <w:i/>
                <w:noProof/>
                <w:color w:val="000000"/>
                <w:sz w:val="22"/>
                <w:szCs w:val="22"/>
              </w:rPr>
              <w:t>6,291,512.66</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22"/>
                <w:szCs w:val="22"/>
              </w:rPr>
            </w:pPr>
            <w:r>
              <w:rPr>
                <w:i/>
                <w:noProof/>
                <w:color w:val="000000"/>
                <w:sz w:val="22"/>
                <w:szCs w:val="22"/>
              </w:rPr>
              <w:t>8,760,712.70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Realised gain on sale of Bond portfolio</w:t>
            </w:r>
          </w:p>
        </w:tc>
        <w:tc>
          <w:tcPr>
            <w:tcW w:w="900"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9,961,013.96</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9,195,734.53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Income from securities lending activity</w:t>
            </w:r>
          </w:p>
        </w:tc>
        <w:tc>
          <w:tcPr>
            <w:tcW w:w="900"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76,535.48</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100,034.32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0" w:type="dxa"/>
              <w:right w:w="0" w:type="dxa"/>
            </w:tcMar>
            <w:vAlign w:val="center"/>
          </w:tcPr>
          <w:p>
            <w:pPr>
              <w:rPr>
                <w:b/>
                <w:noProof/>
                <w:color w:val="000000"/>
                <w:sz w:val="22"/>
                <w:szCs w:val="22"/>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800"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c>
          <w:tcPr>
            <w:tcW w:w="1800"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Financial expenses</w:t>
            </w:r>
          </w:p>
        </w:tc>
        <w:tc>
          <w:tcPr>
            <w:tcW w:w="900" w:type="dxa"/>
            <w:tcBorders>
              <w:top w:val="nil"/>
              <w:left w:val="nil"/>
              <w:bottom w:val="nil"/>
              <w:right w:val="nil"/>
              <w:tl2br w:val="nil"/>
              <w:tr2bl w:val="nil"/>
            </w:tcBorders>
            <w:shd w:val="clear" w:color="auto" w:fill="auto"/>
            <w:noWrap/>
            <w:tcMar>
              <w:left w:w="0" w:type="dxa"/>
              <w:right w:w="0" w:type="dxa"/>
            </w:tcMar>
            <w:vAlign w:val="center"/>
          </w:tcPr>
          <w:p>
            <w:pPr>
              <w:rPr>
                <w:noProof/>
                <w:color w:val="000000"/>
                <w:sz w:val="22"/>
                <w:szCs w:val="22"/>
              </w:rPr>
            </w:pPr>
          </w:p>
        </w:tc>
        <w:tc>
          <w:tcPr>
            <w:tcW w:w="1800"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c>
          <w:tcPr>
            <w:tcW w:w="1800"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Interest expense</w:t>
            </w:r>
          </w:p>
        </w:tc>
        <w:tc>
          <w:tcPr>
            <w:tcW w:w="900" w:type="dxa"/>
            <w:tcBorders>
              <w:top w:val="nil"/>
              <w:left w:val="nil"/>
              <w:bottom w:val="nil"/>
              <w:right w:val="nil"/>
              <w:tl2br w:val="nil"/>
              <w:tr2bl w:val="nil"/>
            </w:tcBorders>
            <w:shd w:val="clear" w:color="auto" w:fill="auto"/>
            <w:noWrap/>
            <w:tcMar>
              <w:left w:w="0" w:type="dxa"/>
              <w:right w:w="0" w:type="dxa"/>
            </w:tcMar>
            <w:vAlign w:val="bottom"/>
          </w:tcPr>
          <w:p>
            <w:pPr>
              <w:rPr>
                <w:rFonts w:eastAsia="Calibri"/>
                <w:noProof/>
                <w:color w:val="000000"/>
                <w:sz w:val="22"/>
                <w:szCs w:val="22"/>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-865,166.98</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-961,138.17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i/>
                <w:noProof/>
                <w:color w:val="000000"/>
                <w:sz w:val="22"/>
                <w:szCs w:val="22"/>
              </w:rPr>
            </w:pPr>
            <w:r>
              <w:rPr>
                <w:i/>
                <w:noProof/>
                <w:color w:val="000000"/>
                <w:sz w:val="22"/>
                <w:szCs w:val="22"/>
              </w:rPr>
              <w:t xml:space="preserve">       Cash and cash equivalents</w:t>
            </w:r>
          </w:p>
        </w:tc>
        <w:tc>
          <w:tcPr>
            <w:tcW w:w="900" w:type="dxa"/>
            <w:tcBorders>
              <w:top w:val="nil"/>
              <w:left w:val="nil"/>
              <w:bottom w:val="nil"/>
              <w:right w:val="nil"/>
              <w:tl2br w:val="nil"/>
              <w:tr2bl w:val="nil"/>
            </w:tcBorders>
            <w:shd w:val="clear" w:color="auto" w:fill="auto"/>
            <w:noWrap/>
            <w:tcMar>
              <w:left w:w="0" w:type="dxa"/>
              <w:right w:w="0" w:type="dxa"/>
            </w:tcMar>
            <w:vAlign w:val="bottom"/>
          </w:tcPr>
          <w:p>
            <w:pPr>
              <w:rPr>
                <w:rFonts w:eastAsia="Calibri"/>
                <w:noProof/>
                <w:color w:val="000000"/>
                <w:sz w:val="22"/>
                <w:szCs w:val="22"/>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22"/>
                <w:szCs w:val="22"/>
              </w:rPr>
            </w:pPr>
            <w:r>
              <w:rPr>
                <w:i/>
                <w:noProof/>
                <w:color w:val="000000"/>
                <w:sz w:val="22"/>
                <w:szCs w:val="22"/>
              </w:rPr>
              <w:t>-865,166.98</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i/>
                <w:noProof/>
                <w:color w:val="000000"/>
                <w:sz w:val="22"/>
                <w:szCs w:val="22"/>
              </w:rPr>
            </w:pPr>
            <w:r>
              <w:rPr>
                <w:i/>
                <w:noProof/>
                <w:color w:val="000000"/>
                <w:sz w:val="22"/>
                <w:szCs w:val="22"/>
              </w:rPr>
              <w:t>-961,138.17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i/>
                <w:noProof/>
                <w:color w:val="000000"/>
                <w:sz w:val="22"/>
                <w:szCs w:val="22"/>
              </w:rPr>
            </w:pPr>
            <w:r>
              <w:rPr>
                <w:i/>
                <w:noProof/>
                <w:color w:val="000000"/>
                <w:sz w:val="22"/>
                <w:szCs w:val="22"/>
              </w:rPr>
              <w:t>Realised loss on sale of Bond portfolio</w:t>
            </w:r>
          </w:p>
        </w:tc>
        <w:tc>
          <w:tcPr>
            <w:tcW w:w="900"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-449,578.10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-27,252.74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single" w:sz="4" w:space="0" w:color="000000"/>
              <w:right w:val="nil"/>
              <w:tl2br w:val="nil"/>
              <w:tr2bl w:val="nil"/>
            </w:tcBorders>
            <w:shd w:val="clear" w:color="auto" w:fill="auto"/>
            <w:noWrap/>
            <w:tcMar>
              <w:left w:w="0" w:type="dxa"/>
              <w:right w:w="0" w:type="dxa"/>
            </w:tcMar>
            <w:vAlign w:val="center"/>
          </w:tcPr>
          <w:p>
            <w:pPr>
              <w:rPr>
                <w:b/>
                <w:noProof/>
                <w:color w:val="000000"/>
                <w:sz w:val="22"/>
                <w:szCs w:val="22"/>
              </w:rPr>
            </w:pP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center"/>
          </w:tcPr>
          <w:p>
            <w:pPr>
              <w:jc w:val="center"/>
              <w:rPr>
                <w:b/>
                <w:noProof/>
                <w:color w:val="000000"/>
                <w:sz w:val="22"/>
                <w:szCs w:val="22"/>
              </w:rPr>
            </w:pPr>
          </w:p>
        </w:tc>
        <w:tc>
          <w:tcPr>
            <w:tcW w:w="1800" w:type="dxa"/>
            <w:tcBorders>
              <w:top w:val="nil"/>
              <w:left w:val="nil"/>
              <w:bottom w:val="single" w:sz="4" w:space="0" w:color="000000"/>
              <w:right w:val="nil"/>
              <w:tl2br w:val="nil"/>
              <w:tr2bl w:val="nil"/>
            </w:tcBorders>
            <w:shd w:val="clear" w:color="auto" w:fill="auto"/>
            <w:noWrap/>
            <w:tcMar>
              <w:left w:w="0" w:type="dxa"/>
              <w:right w:w="0" w:type="dxa"/>
            </w:tcMar>
            <w:vAlign w:val="center"/>
          </w:tcPr>
          <w:p>
            <w:pPr>
              <w:jc w:val="right"/>
              <w:rPr>
                <w:b/>
                <w:noProof/>
                <w:color w:val="000000"/>
                <w:sz w:val="22"/>
                <w:szCs w:val="22"/>
              </w:rPr>
            </w:pPr>
          </w:p>
        </w:tc>
        <w:tc>
          <w:tcPr>
            <w:tcW w:w="1800" w:type="dxa"/>
            <w:tcBorders>
              <w:top w:val="nil"/>
              <w:left w:val="nil"/>
              <w:bottom w:val="single" w:sz="4" w:space="0" w:color="000000"/>
              <w:right w:val="nil"/>
              <w:tl2br w:val="nil"/>
              <w:tr2bl w:val="nil"/>
            </w:tcBorders>
            <w:shd w:val="clear" w:color="auto" w:fill="auto"/>
            <w:noWrap/>
            <w:tcMar>
              <w:left w:w="0" w:type="dxa"/>
              <w:right w:w="0" w:type="dxa"/>
            </w:tcMar>
            <w:vAlign w:val="center"/>
          </w:tcPr>
          <w:p>
            <w:pPr>
              <w:jc w:val="right"/>
              <w:rPr>
                <w:b/>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Result from non-operating activities</w:t>
            </w: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pPr>
              <w:jc w:val="center"/>
              <w:rPr>
                <w:b/>
                <w:noProof/>
                <w:color w:val="000000"/>
                <w:sz w:val="22"/>
                <w:szCs w:val="22"/>
              </w:rPr>
            </w:pP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15,015,499.93</w:t>
            </w: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17,070,505.31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pPr>
              <w:rPr>
                <w:b/>
                <w:noProof/>
                <w:color w:val="000000"/>
                <w:sz w:val="22"/>
                <w:szCs w:val="22"/>
              </w:rPr>
            </w:pP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pPr>
              <w:jc w:val="center"/>
              <w:rPr>
                <w:b/>
                <w:noProof/>
                <w:color w:val="000000"/>
                <w:sz w:val="22"/>
                <w:szCs w:val="22"/>
              </w:rPr>
            </w:pPr>
          </w:p>
        </w:tc>
        <w:tc>
          <w:tcPr>
            <w:tcW w:w="18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pPr>
              <w:jc w:val="right"/>
              <w:rPr>
                <w:b/>
                <w:noProof/>
                <w:color w:val="000000"/>
                <w:sz w:val="22"/>
                <w:szCs w:val="22"/>
              </w:rPr>
            </w:pPr>
          </w:p>
        </w:tc>
        <w:tc>
          <w:tcPr>
            <w:tcW w:w="18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pPr>
              <w:jc w:val="right"/>
              <w:rPr>
                <w:b/>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rPr>
                <w:b/>
                <w:noProof/>
                <w:color w:val="000000"/>
                <w:sz w:val="22"/>
                <w:szCs w:val="22"/>
              </w:rPr>
            </w:pPr>
            <w:r>
              <w:rPr>
                <w:b/>
                <w:noProof/>
                <w:color w:val="000000"/>
                <w:sz w:val="22"/>
                <w:szCs w:val="22"/>
              </w:rPr>
              <w:t>ECONOMIC RESULT OF THE YEAR </w:t>
            </w:r>
          </w:p>
        </w:tc>
        <w:tc>
          <w:tcPr>
            <w:tcW w:w="900" w:type="dxa"/>
            <w:tcBorders>
              <w:top w:val="single" w:sz="4" w:space="0" w:color="000000"/>
              <w:left w:val="nil"/>
              <w:bottom w:val="single" w:sz="4" w:space="0" w:color="000000"/>
              <w:right w:val="nil"/>
              <w:tl2br w:val="nil"/>
              <w:tr2bl w:val="nil"/>
            </w:tcBorders>
            <w:shd w:val="clear" w:color="FFFFFF" w:fill="C0C0C0"/>
            <w:noWrap/>
            <w:tcMar>
              <w:left w:w="0" w:type="dxa"/>
              <w:right w:w="0" w:type="dxa"/>
            </w:tcMar>
            <w:vAlign w:val="center"/>
          </w:tcPr>
          <w:p>
            <w:pPr>
              <w:jc w:val="center"/>
              <w:rPr>
                <w:b/>
                <w:noProof/>
                <w:color w:val="000000"/>
                <w:sz w:val="22"/>
                <w:szCs w:val="22"/>
              </w:rPr>
            </w:pPr>
          </w:p>
        </w:tc>
        <w:tc>
          <w:tcPr>
            <w:tcW w:w="1800"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jc w:val="right"/>
              <w:rPr>
                <w:b/>
                <w:noProof/>
                <w:color w:val="000000"/>
                <w:sz w:val="22"/>
                <w:szCs w:val="22"/>
              </w:rPr>
            </w:pPr>
            <w:r>
              <w:rPr>
                <w:b/>
                <w:noProof/>
                <w:color w:val="000000"/>
                <w:sz w:val="22"/>
                <w:szCs w:val="22"/>
              </w:rPr>
              <w:t>12,036,762.67</w:t>
            </w:r>
          </w:p>
        </w:tc>
        <w:tc>
          <w:tcPr>
            <w:tcW w:w="1800"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jc w:val="right"/>
              <w:rPr>
                <w:b/>
                <w:noProof/>
                <w:color w:val="000000"/>
                <w:sz w:val="22"/>
                <w:szCs w:val="22"/>
              </w:rPr>
            </w:pPr>
            <w:r>
              <w:rPr>
                <w:b/>
                <w:noProof/>
                <w:color w:val="000000"/>
                <w:sz w:val="22"/>
                <w:szCs w:val="22"/>
              </w:rPr>
              <w:t>15,966,869.93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rPr>
                <w:b/>
                <w:noProof/>
                <w:color w:val="000000"/>
                <w:sz w:val="22"/>
                <w:szCs w:val="22"/>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800"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c>
          <w:tcPr>
            <w:tcW w:w="1800"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Items directly recognised in net assets</w:t>
            </w:r>
          </w:p>
        </w:tc>
        <w:tc>
          <w:tcPr>
            <w:tcW w:w="900" w:type="dxa"/>
            <w:tcBorders>
              <w:top w:val="nil"/>
              <w:left w:val="nil"/>
              <w:bottom w:val="nil"/>
              <w:right w:val="nil"/>
              <w:tl2br w:val="nil"/>
              <w:tr2bl w:val="nil"/>
            </w:tcBorders>
            <w:shd w:val="clear" w:color="auto" w:fill="auto"/>
            <w:noWrap/>
            <w:tcMar>
              <w:left w:w="0" w:type="dxa"/>
              <w:right w:w="0" w:type="dxa"/>
            </w:tcMar>
            <w:vAlign w:val="center"/>
          </w:tcPr>
          <w:p>
            <w:pPr>
              <w:rPr>
                <w:noProof/>
                <w:color w:val="000000"/>
                <w:sz w:val="22"/>
                <w:szCs w:val="22"/>
              </w:rPr>
            </w:pPr>
          </w:p>
        </w:tc>
        <w:tc>
          <w:tcPr>
            <w:tcW w:w="1800"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c>
          <w:tcPr>
            <w:tcW w:w="1800" w:type="dxa"/>
            <w:tcBorders>
              <w:top w:val="nil"/>
              <w:left w:val="nil"/>
              <w:bottom w:val="nil"/>
              <w:right w:val="nil"/>
              <w:tl2br w:val="nil"/>
              <w:tr2bl w:val="nil"/>
            </w:tcBorders>
            <w:shd w:val="clear" w:color="auto" w:fill="auto"/>
            <w:noWrap/>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Net change in fair value of Bond portfolio</w:t>
            </w:r>
          </w:p>
        </w:tc>
        <w:tc>
          <w:tcPr>
            <w:tcW w:w="900" w:type="dxa"/>
            <w:tcBorders>
              <w:top w:val="nil"/>
              <w:left w:val="nil"/>
              <w:bottom w:val="nil"/>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-657,312.28</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-11,916,684.46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Net amount transferred to statement of financial performance</w:t>
            </w: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center"/>
          </w:tcPr>
          <w:p>
            <w:pPr>
              <w:jc w:val="center"/>
              <w:rPr>
                <w:noProof/>
                <w:color w:val="000000"/>
                <w:sz w:val="22"/>
                <w:szCs w:val="22"/>
              </w:rPr>
            </w:pPr>
          </w:p>
        </w:tc>
        <w:tc>
          <w:tcPr>
            <w:tcW w:w="1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-9,815,550.70</w:t>
            </w:r>
          </w:p>
        </w:tc>
        <w:tc>
          <w:tcPr>
            <w:tcW w:w="1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-876,907.33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54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NET RESULT RECOGNISED IN NET ASSETS</w:t>
            </w:r>
          </w:p>
        </w:tc>
        <w:tc>
          <w:tcPr>
            <w:tcW w:w="9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pPr>
              <w:jc w:val="center"/>
              <w:rPr>
                <w:b/>
                <w:noProof/>
                <w:color w:val="000000"/>
                <w:sz w:val="22"/>
                <w:szCs w:val="22"/>
              </w:rPr>
            </w:pP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-10,472,862.98</w:t>
            </w:r>
          </w:p>
        </w:tc>
        <w:tc>
          <w:tcPr>
            <w:tcW w:w="18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-12,793,591.79</w:t>
            </w:r>
          </w:p>
        </w:tc>
      </w:tr>
    </w:tbl>
    <w:p>
      <w:pPr>
        <w:spacing w:after="120" w:line="240" w:lineRule="atLeast"/>
        <w:rPr>
          <w:noProof/>
          <w:lang w:eastAsia="en-US"/>
        </w:rPr>
        <w:sectPr>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454" w:footer="170" w:gutter="0"/>
          <w:pgBorders>
            <w:top w:val="nil"/>
            <w:left w:val="nil"/>
            <w:bottom w:val="nil"/>
            <w:right w:val="nil"/>
          </w:pgBorders>
          <w:cols w:space="720"/>
          <w:docGrid w:linePitch="326"/>
        </w:sectPr>
      </w:pPr>
    </w:p>
    <w:p>
      <w:pPr>
        <w:pageBreakBefore/>
        <w:pBdr>
          <w:top w:val="nil"/>
          <w:left w:val="nil"/>
          <w:bottom w:val="nil"/>
          <w:right w:val="nil"/>
          <w:between w:val="nil"/>
          <w:bar w:val="nil"/>
        </w:pBdr>
        <w:spacing w:line="240" w:lineRule="atLeast"/>
        <w:jc w:val="center"/>
        <w:rPr>
          <w:b/>
          <w:bCs/>
          <w:noProof/>
          <w:bdr w:val="nil"/>
          <w:lang w:eastAsia="en-US"/>
        </w:rPr>
      </w:pPr>
      <w:r>
        <w:rPr>
          <w:b/>
          <w:bCs/>
          <w:noProof/>
          <w:bdr w:val="nil"/>
          <w:lang w:eastAsia="en-US"/>
        </w:rPr>
        <w:t>Statement of changes in net assets</w:t>
      </w:r>
    </w:p>
    <w:p>
      <w:pPr>
        <w:pBdr>
          <w:top w:val="nil"/>
          <w:left w:val="nil"/>
          <w:bottom w:val="nil"/>
          <w:right w:val="nil"/>
          <w:between w:val="nil"/>
          <w:bar w:val="nil"/>
        </w:pBdr>
        <w:spacing w:line="240" w:lineRule="atLeast"/>
        <w:jc w:val="center"/>
        <w:rPr>
          <w:noProof/>
          <w:bdr w:val="nil"/>
          <w:lang w:eastAsia="en-US"/>
        </w:rPr>
      </w:pPr>
      <w:r>
        <w:rPr>
          <w:noProof/>
          <w:bdr w:val="nil"/>
          <w:lang w:eastAsia="en-US"/>
        </w:rPr>
        <w:t>For the year ended 31 December 2018</w:t>
      </w:r>
    </w:p>
    <w:p>
      <w:pPr>
        <w:pBdr>
          <w:top w:val="nil"/>
          <w:left w:val="nil"/>
          <w:bottom w:val="nil"/>
          <w:right w:val="nil"/>
          <w:between w:val="nil"/>
          <w:bar w:val="nil"/>
        </w:pBdr>
        <w:spacing w:after="120" w:line="240" w:lineRule="atLeast"/>
        <w:jc w:val="center"/>
        <w:rPr>
          <w:noProof/>
          <w:bdr w:val="nil"/>
          <w:lang w:eastAsia="en-US"/>
        </w:rPr>
      </w:pPr>
      <w:r>
        <w:rPr>
          <w:noProof/>
          <w:bdr w:val="nil"/>
          <w:lang w:eastAsia="en-US"/>
        </w:rPr>
        <w:t>(in EUR)</w:t>
      </w:r>
    </w:p>
    <w:p>
      <w:pPr>
        <w:pBdr>
          <w:top w:val="nil"/>
          <w:left w:val="nil"/>
          <w:bottom w:val="nil"/>
          <w:right w:val="nil"/>
          <w:between w:val="nil"/>
          <w:bar w:val="nil"/>
        </w:pBdr>
        <w:spacing w:after="120" w:line="240" w:lineRule="atLeast"/>
        <w:jc w:val="center"/>
        <w:rPr>
          <w:noProof/>
          <w:bdr w:val="nil"/>
          <w:lang w:eastAsia="en-US"/>
        </w:rPr>
      </w:pPr>
    </w:p>
    <w:tbl>
      <w:tblPr>
        <w:tblStyle w:val="CDMRange10"/>
        <w:tblW w:w="15451" w:type="dxa"/>
        <w:tblInd w:w="-142" w:type="dxa"/>
        <w:tblLayout w:type="fixed"/>
        <w:tblLook w:val="0600" w:firstRow="0" w:lastRow="0" w:firstColumn="0" w:lastColumn="0" w:noHBand="1" w:noVBand="1"/>
      </w:tblPr>
      <w:tblGrid>
        <w:gridCol w:w="5104"/>
        <w:gridCol w:w="600"/>
        <w:gridCol w:w="2080"/>
        <w:gridCol w:w="1843"/>
        <w:gridCol w:w="1843"/>
        <w:gridCol w:w="1984"/>
        <w:gridCol w:w="1997"/>
      </w:tblGrid>
      <w:tr>
        <w:trPr>
          <w:trHeight w:val="690"/>
        </w:trPr>
        <w:tc>
          <w:tcPr>
            <w:tcW w:w="5104" w:type="dxa"/>
            <w:tcBorders>
              <w:top w:val="nil"/>
              <w:left w:val="nil"/>
              <w:bottom w:val="single" w:sz="4" w:space="0" w:color="000000"/>
              <w:right w:val="nil"/>
              <w:tl2br w:val="nil"/>
              <w:tr2bl w:val="nil"/>
            </w:tcBorders>
            <w:shd w:val="clear" w:color="auto" w:fill="auto"/>
            <w:tcMar>
              <w:left w:w="0" w:type="dxa"/>
              <w:right w:w="0" w:type="dxa"/>
            </w:tcMar>
            <w:vAlign w:val="center"/>
          </w:tcPr>
          <w:p>
            <w:pPr>
              <w:rPr>
                <w:b/>
                <w:noProof/>
                <w:color w:val="000000"/>
                <w:sz w:val="22"/>
                <w:szCs w:val="22"/>
              </w:rPr>
            </w:pPr>
            <w:r>
              <w:rPr>
                <w:noProof/>
                <w:sz w:val="22"/>
                <w:szCs w:val="22"/>
                <w:lang w:eastAsia="en-US"/>
              </w:rPr>
              <w:t xml:space="preserve"> </w:t>
            </w:r>
          </w:p>
        </w:tc>
        <w:tc>
          <w:tcPr>
            <w:tcW w:w="600" w:type="dxa"/>
            <w:tcBorders>
              <w:top w:val="nil"/>
              <w:left w:val="nil"/>
              <w:bottom w:val="single" w:sz="4" w:space="0" w:color="000000"/>
              <w:right w:val="nil"/>
              <w:tl2br w:val="nil"/>
              <w:tr2bl w:val="nil"/>
            </w:tcBorders>
            <w:shd w:val="clear" w:color="auto" w:fill="auto"/>
            <w:tcMar>
              <w:left w:w="0" w:type="dxa"/>
              <w:right w:w="0" w:type="dxa"/>
            </w:tcMar>
            <w:vAlign w:val="bottom"/>
          </w:tcPr>
          <w:p>
            <w:pPr>
              <w:jc w:val="center"/>
              <w:rPr>
                <w:b/>
                <w:noProof/>
                <w:color w:val="000000"/>
                <w:sz w:val="22"/>
                <w:szCs w:val="22"/>
              </w:rPr>
            </w:pPr>
          </w:p>
        </w:tc>
        <w:tc>
          <w:tcPr>
            <w:tcW w:w="2080" w:type="dxa"/>
            <w:tcBorders>
              <w:top w:val="nil"/>
              <w:left w:val="nil"/>
              <w:bottom w:val="single" w:sz="4" w:space="0" w:color="000000"/>
              <w:right w:val="nil"/>
              <w:tl2br w:val="nil"/>
              <w:tr2bl w:val="nil"/>
            </w:tcBorders>
            <w:shd w:val="clear" w:color="auto" w:fill="auto"/>
            <w:tcMar>
              <w:left w:w="40" w:type="dxa"/>
              <w:right w:w="40" w:type="dxa"/>
            </w:tcMar>
            <w:vAlign w:val="bottom"/>
          </w:tcPr>
          <w:p>
            <w:pPr>
              <w:jc w:val="right"/>
              <w:rPr>
                <w:b/>
                <w:noProof/>
                <w:color w:val="000000"/>
                <w:sz w:val="22"/>
                <w:szCs w:val="22"/>
              </w:rPr>
            </w:pPr>
            <w:r>
              <w:rPr>
                <w:b/>
                <w:noProof/>
                <w:color w:val="000000"/>
                <w:sz w:val="22"/>
                <w:szCs w:val="22"/>
              </w:rPr>
              <w:t>Contributions</w:t>
            </w:r>
          </w:p>
        </w:tc>
        <w:tc>
          <w:tcPr>
            <w:tcW w:w="1843" w:type="dxa"/>
            <w:tcBorders>
              <w:top w:val="nil"/>
              <w:left w:val="nil"/>
              <w:bottom w:val="single" w:sz="4" w:space="0" w:color="000000"/>
              <w:right w:val="nil"/>
              <w:tl2br w:val="nil"/>
              <w:tr2bl w:val="nil"/>
            </w:tcBorders>
            <w:shd w:val="clear" w:color="auto" w:fill="auto"/>
            <w:tcMar>
              <w:left w:w="40" w:type="dxa"/>
              <w:right w:w="40" w:type="dxa"/>
            </w:tcMar>
            <w:vAlign w:val="bottom"/>
          </w:tcPr>
          <w:p>
            <w:pPr>
              <w:jc w:val="right"/>
              <w:rPr>
                <w:b/>
                <w:noProof/>
                <w:color w:val="000000"/>
                <w:sz w:val="22"/>
                <w:szCs w:val="22"/>
              </w:rPr>
            </w:pPr>
            <w:r>
              <w:rPr>
                <w:b/>
                <w:noProof/>
                <w:color w:val="000000"/>
                <w:sz w:val="22"/>
                <w:szCs w:val="22"/>
              </w:rPr>
              <w:t>Fair value              reserve</w:t>
            </w:r>
          </w:p>
        </w:tc>
        <w:tc>
          <w:tcPr>
            <w:tcW w:w="1843" w:type="dxa"/>
            <w:tcBorders>
              <w:top w:val="nil"/>
              <w:left w:val="nil"/>
              <w:bottom w:val="single" w:sz="4" w:space="0" w:color="000000"/>
              <w:right w:val="nil"/>
              <w:tl2br w:val="nil"/>
              <w:tr2bl w:val="nil"/>
            </w:tcBorders>
            <w:shd w:val="clear" w:color="auto" w:fill="auto"/>
            <w:tcMar>
              <w:left w:w="40" w:type="dxa"/>
              <w:right w:w="40" w:type="dxa"/>
            </w:tcMar>
            <w:vAlign w:val="bottom"/>
          </w:tcPr>
          <w:p>
            <w:pPr>
              <w:jc w:val="right"/>
              <w:rPr>
                <w:b/>
                <w:noProof/>
                <w:color w:val="000000"/>
                <w:sz w:val="22"/>
                <w:szCs w:val="22"/>
              </w:rPr>
            </w:pPr>
            <w:r>
              <w:rPr>
                <w:b/>
                <w:noProof/>
                <w:color w:val="000000"/>
                <w:sz w:val="22"/>
                <w:szCs w:val="22"/>
              </w:rPr>
              <w:t>Accumulated surplus</w:t>
            </w:r>
          </w:p>
        </w:tc>
        <w:tc>
          <w:tcPr>
            <w:tcW w:w="1984" w:type="dxa"/>
            <w:tcBorders>
              <w:top w:val="nil"/>
              <w:left w:val="nil"/>
              <w:bottom w:val="single" w:sz="4" w:space="0" w:color="000000"/>
              <w:right w:val="nil"/>
              <w:tl2br w:val="nil"/>
              <w:tr2bl w:val="nil"/>
            </w:tcBorders>
            <w:shd w:val="clear" w:color="auto" w:fill="auto"/>
            <w:tcMar>
              <w:left w:w="40" w:type="dxa"/>
              <w:right w:w="40" w:type="dxa"/>
            </w:tcMar>
            <w:vAlign w:val="bottom"/>
          </w:tcPr>
          <w:p>
            <w:pPr>
              <w:jc w:val="right"/>
              <w:rPr>
                <w:b/>
                <w:noProof/>
                <w:color w:val="000000"/>
                <w:sz w:val="22"/>
                <w:szCs w:val="22"/>
              </w:rPr>
            </w:pPr>
            <w:r>
              <w:rPr>
                <w:b/>
                <w:noProof/>
                <w:color w:val="000000"/>
                <w:sz w:val="22"/>
                <w:szCs w:val="22"/>
              </w:rPr>
              <w:t>Economic result of the year</w:t>
            </w:r>
          </w:p>
        </w:tc>
        <w:tc>
          <w:tcPr>
            <w:tcW w:w="1997" w:type="dxa"/>
            <w:tcBorders>
              <w:top w:val="nil"/>
              <w:left w:val="nil"/>
              <w:bottom w:val="single" w:sz="4" w:space="0" w:color="000000"/>
              <w:right w:val="nil"/>
              <w:tl2br w:val="nil"/>
              <w:tr2bl w:val="nil"/>
            </w:tcBorders>
            <w:shd w:val="clear" w:color="auto" w:fill="auto"/>
            <w:tcMar>
              <w:left w:w="40" w:type="dxa"/>
              <w:right w:w="40" w:type="dxa"/>
            </w:tcMar>
            <w:vAlign w:val="bottom"/>
          </w:tcPr>
          <w:p>
            <w:pPr>
              <w:jc w:val="right"/>
              <w:rPr>
                <w:b/>
                <w:noProof/>
                <w:color w:val="000000"/>
                <w:sz w:val="22"/>
                <w:szCs w:val="22"/>
              </w:rPr>
            </w:pPr>
            <w:r>
              <w:rPr>
                <w:b/>
                <w:noProof/>
                <w:color w:val="000000"/>
                <w:sz w:val="22"/>
                <w:szCs w:val="22"/>
              </w:rPr>
              <w:t>Total net assets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104"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Balance as at 01.01.2017</w:t>
            </w:r>
          </w:p>
        </w:tc>
        <w:tc>
          <w:tcPr>
            <w:tcW w:w="6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pPr>
              <w:jc w:val="right"/>
              <w:rPr>
                <w:b/>
                <w:noProof/>
                <w:color w:val="000000"/>
                <w:sz w:val="22"/>
                <w:szCs w:val="22"/>
              </w:rPr>
            </w:pPr>
          </w:p>
        </w:tc>
        <w:tc>
          <w:tcPr>
            <w:tcW w:w="2080" w:type="dxa"/>
            <w:tcBorders>
              <w:top w:val="single" w:sz="4" w:space="0" w:color="000000"/>
              <w:left w:val="nil"/>
              <w:bottom w:val="single" w:sz="4" w:space="0" w:color="000000"/>
              <w:right w:val="nil"/>
              <w:tl2br w:val="nil"/>
              <w:tr2bl w:val="nil"/>
            </w:tcBorders>
            <w:shd w:val="clear" w:color="auto" w:fill="auto"/>
            <w:noWrap/>
            <w:tcMar>
              <w:left w:w="40" w:type="dxa"/>
              <w:right w:w="85" w:type="dxa"/>
            </w:tcMar>
            <w:vAlign w:val="center"/>
          </w:tcPr>
          <w:p>
            <w:pPr>
              <w:jc w:val="right"/>
              <w:rPr>
                <w:b/>
                <w:noProof/>
                <w:color w:val="000000"/>
                <w:sz w:val="22"/>
                <w:szCs w:val="22"/>
              </w:rPr>
            </w:pPr>
            <w:r>
              <w:rPr>
                <w:b/>
                <w:noProof/>
                <w:color w:val="000000"/>
                <w:sz w:val="22"/>
                <w:szCs w:val="22"/>
              </w:rPr>
              <w:t>1,499,383,804.67</w:t>
            </w:r>
          </w:p>
        </w:tc>
        <w:tc>
          <w:tcPr>
            <w:tcW w:w="1843" w:type="dxa"/>
            <w:tcBorders>
              <w:top w:val="single" w:sz="4" w:space="0" w:color="000000"/>
              <w:left w:val="nil"/>
              <w:bottom w:val="single" w:sz="4" w:space="0" w:color="000000"/>
              <w:right w:val="nil"/>
              <w:tl2br w:val="nil"/>
              <w:tr2bl w:val="nil"/>
            </w:tcBorders>
            <w:shd w:val="clear" w:color="auto" w:fill="auto"/>
            <w:noWrap/>
            <w:tcMar>
              <w:left w:w="40" w:type="dxa"/>
              <w:right w:w="85" w:type="dxa"/>
            </w:tcMar>
            <w:vAlign w:val="center"/>
          </w:tcPr>
          <w:p>
            <w:pPr>
              <w:jc w:val="right"/>
              <w:rPr>
                <w:b/>
                <w:noProof/>
                <w:color w:val="000000"/>
                <w:sz w:val="22"/>
                <w:szCs w:val="22"/>
              </w:rPr>
            </w:pPr>
            <w:r>
              <w:rPr>
                <w:b/>
                <w:noProof/>
                <w:color w:val="000000"/>
                <w:sz w:val="22"/>
                <w:szCs w:val="22"/>
              </w:rPr>
              <w:t>35,493,646.48</w:t>
            </w:r>
          </w:p>
        </w:tc>
        <w:tc>
          <w:tcPr>
            <w:tcW w:w="1843" w:type="dxa"/>
            <w:tcBorders>
              <w:top w:val="single" w:sz="4" w:space="0" w:color="000000"/>
              <w:left w:val="nil"/>
              <w:bottom w:val="single" w:sz="4" w:space="0" w:color="000000"/>
              <w:right w:val="nil"/>
              <w:tl2br w:val="nil"/>
              <w:tr2bl w:val="nil"/>
            </w:tcBorders>
            <w:shd w:val="clear" w:color="auto" w:fill="auto"/>
            <w:noWrap/>
            <w:tcMar>
              <w:left w:w="40" w:type="dxa"/>
              <w:right w:w="85" w:type="dxa"/>
            </w:tcMar>
            <w:vAlign w:val="center"/>
          </w:tcPr>
          <w:p>
            <w:pPr>
              <w:jc w:val="right"/>
              <w:rPr>
                <w:b/>
                <w:noProof/>
                <w:color w:val="000000"/>
                <w:sz w:val="22"/>
                <w:szCs w:val="22"/>
              </w:rPr>
            </w:pPr>
            <w:r>
              <w:rPr>
                <w:b/>
                <w:noProof/>
                <w:color w:val="000000"/>
                <w:sz w:val="22"/>
                <w:szCs w:val="22"/>
              </w:rPr>
              <w:t>940,394,573.31</w:t>
            </w:r>
          </w:p>
        </w:tc>
        <w:tc>
          <w:tcPr>
            <w:tcW w:w="1984" w:type="dxa"/>
            <w:tcBorders>
              <w:top w:val="single" w:sz="4" w:space="0" w:color="000000"/>
              <w:left w:val="nil"/>
              <w:bottom w:val="single" w:sz="4" w:space="0" w:color="000000"/>
              <w:right w:val="nil"/>
              <w:tl2br w:val="nil"/>
              <w:tr2bl w:val="nil"/>
            </w:tcBorders>
            <w:shd w:val="clear" w:color="auto" w:fill="auto"/>
            <w:noWrap/>
            <w:tcMar>
              <w:left w:w="40" w:type="dxa"/>
              <w:right w:w="85" w:type="dxa"/>
            </w:tcMar>
            <w:vAlign w:val="center"/>
          </w:tcPr>
          <w:p>
            <w:pPr>
              <w:jc w:val="right"/>
              <w:rPr>
                <w:b/>
                <w:noProof/>
                <w:color w:val="000000"/>
                <w:sz w:val="22"/>
                <w:szCs w:val="22"/>
              </w:rPr>
            </w:pPr>
            <w:r>
              <w:rPr>
                <w:b/>
                <w:noProof/>
                <w:color w:val="000000"/>
                <w:sz w:val="22"/>
                <w:szCs w:val="22"/>
              </w:rPr>
              <w:t>29,849,553.53</w:t>
            </w:r>
          </w:p>
        </w:tc>
        <w:tc>
          <w:tcPr>
            <w:tcW w:w="1997" w:type="dxa"/>
            <w:tcBorders>
              <w:top w:val="single" w:sz="4" w:space="0" w:color="000000"/>
              <w:left w:val="nil"/>
              <w:bottom w:val="single" w:sz="4" w:space="0" w:color="000000"/>
              <w:right w:val="nil"/>
              <w:tl2br w:val="nil"/>
              <w:tr2bl w:val="nil"/>
            </w:tcBorders>
            <w:shd w:val="clear" w:color="auto" w:fill="auto"/>
            <w:tcMar>
              <w:left w:w="40" w:type="dxa"/>
              <w:right w:w="85" w:type="dxa"/>
            </w:tcMar>
            <w:vAlign w:val="center"/>
          </w:tcPr>
          <w:p>
            <w:pPr>
              <w:jc w:val="right"/>
              <w:rPr>
                <w:b/>
                <w:noProof/>
                <w:color w:val="000000"/>
                <w:sz w:val="22"/>
                <w:szCs w:val="22"/>
              </w:rPr>
            </w:pPr>
            <w:r>
              <w:rPr>
                <w:b/>
                <w:noProof/>
                <w:color w:val="000000"/>
                <w:sz w:val="22"/>
                <w:szCs w:val="22"/>
              </w:rPr>
              <w:t>2,505,121,577.99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104"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Contributions from the European Commission allocated but not yet paid</w:t>
            </w:r>
          </w:p>
        </w:tc>
        <w:tc>
          <w:tcPr>
            <w:tcW w:w="60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center"/>
              <w:rPr>
                <w:noProof/>
                <w:color w:val="000000"/>
                <w:sz w:val="22"/>
                <w:szCs w:val="22"/>
              </w:rPr>
            </w:pPr>
            <w:r>
              <w:rPr>
                <w:noProof/>
                <w:color w:val="000000"/>
                <w:sz w:val="22"/>
                <w:szCs w:val="22"/>
              </w:rPr>
              <w:t>7</w:t>
            </w:r>
          </w:p>
        </w:tc>
        <w:tc>
          <w:tcPr>
            <w:tcW w:w="2080" w:type="dxa"/>
            <w:tcBorders>
              <w:top w:val="single" w:sz="4" w:space="0" w:color="000000"/>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137,800,722.00</w:t>
            </w:r>
          </w:p>
        </w:tc>
        <w:tc>
          <w:tcPr>
            <w:tcW w:w="1843" w:type="dxa"/>
            <w:tcBorders>
              <w:top w:val="single" w:sz="4" w:space="0" w:color="000000"/>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843" w:type="dxa"/>
            <w:tcBorders>
              <w:top w:val="single" w:sz="4" w:space="0" w:color="000000"/>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984" w:type="dxa"/>
            <w:tcBorders>
              <w:top w:val="single" w:sz="4" w:space="0" w:color="000000"/>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997" w:type="dxa"/>
            <w:tcBorders>
              <w:top w:val="single" w:sz="4" w:space="0" w:color="000000"/>
              <w:left w:val="nil"/>
              <w:bottom w:val="nil"/>
              <w:right w:val="nil"/>
              <w:tl2br w:val="nil"/>
              <w:tr2bl w:val="nil"/>
            </w:tcBorders>
            <w:shd w:val="clear" w:color="auto" w:fill="auto"/>
            <w:noWrap/>
            <w:tcMar>
              <w:left w:w="40" w:type="dxa"/>
              <w:right w:w="85" w:type="dxa"/>
            </w:tcMar>
            <w:vAlign w:val="center"/>
          </w:tcPr>
          <w:p>
            <w:pPr>
              <w:jc w:val="right"/>
              <w:rPr>
                <w:b/>
                <w:noProof/>
                <w:color w:val="000000"/>
                <w:sz w:val="22"/>
                <w:szCs w:val="22"/>
              </w:rPr>
            </w:pPr>
            <w:r>
              <w:rPr>
                <w:b/>
                <w:noProof/>
                <w:color w:val="000000"/>
                <w:sz w:val="22"/>
                <w:szCs w:val="22"/>
              </w:rPr>
              <w:t>137,800,722.00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104"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2"/>
                <w:szCs w:val="22"/>
              </w:rPr>
            </w:pPr>
            <w:r>
              <w:rPr>
                <w:noProof/>
                <w:color w:val="000000"/>
                <w:sz w:val="22"/>
                <w:szCs w:val="22"/>
              </w:rPr>
              <w:t>Contributions repaid to the European Commission</w:t>
            </w:r>
          </w:p>
        </w:tc>
        <w:tc>
          <w:tcPr>
            <w:tcW w:w="600" w:type="dxa"/>
            <w:tcBorders>
              <w:top w:val="nil"/>
              <w:left w:val="nil"/>
              <w:bottom w:val="nil"/>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2080"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136,092.88</w:t>
            </w:r>
          </w:p>
        </w:tc>
        <w:tc>
          <w:tcPr>
            <w:tcW w:w="1843"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843"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984"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997" w:type="dxa"/>
            <w:tcBorders>
              <w:top w:val="nil"/>
              <w:left w:val="nil"/>
              <w:bottom w:val="nil"/>
              <w:right w:val="nil"/>
              <w:tl2br w:val="nil"/>
              <w:tr2bl w:val="nil"/>
            </w:tcBorders>
            <w:shd w:val="clear" w:color="auto" w:fill="auto"/>
            <w:noWrap/>
            <w:tcMar>
              <w:left w:w="40" w:type="dxa"/>
              <w:right w:w="85" w:type="dxa"/>
            </w:tcMar>
            <w:vAlign w:val="center"/>
          </w:tcPr>
          <w:p>
            <w:pPr>
              <w:jc w:val="right"/>
              <w:rPr>
                <w:b/>
                <w:noProof/>
                <w:color w:val="000000"/>
                <w:sz w:val="22"/>
                <w:szCs w:val="22"/>
              </w:rPr>
            </w:pPr>
            <w:r>
              <w:rPr>
                <w:b/>
                <w:noProof/>
                <w:color w:val="000000"/>
                <w:sz w:val="22"/>
                <w:szCs w:val="22"/>
              </w:rPr>
              <w:t>136,092.88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104"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2"/>
                <w:szCs w:val="22"/>
              </w:rPr>
            </w:pPr>
            <w:r>
              <w:rPr>
                <w:noProof/>
                <w:color w:val="000000"/>
                <w:sz w:val="22"/>
                <w:szCs w:val="22"/>
              </w:rPr>
              <w:t>Contributions paid to the EIB as guarantee call</w:t>
            </w:r>
          </w:p>
        </w:tc>
        <w:tc>
          <w:tcPr>
            <w:tcW w:w="6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22"/>
                <w:szCs w:val="22"/>
              </w:rPr>
            </w:pPr>
            <w:r>
              <w:rPr>
                <w:noProof/>
                <w:color w:val="000000"/>
                <w:sz w:val="22"/>
                <w:szCs w:val="22"/>
              </w:rPr>
              <w:t>7</w:t>
            </w:r>
          </w:p>
        </w:tc>
        <w:tc>
          <w:tcPr>
            <w:tcW w:w="2080"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-86,424,605.56</w:t>
            </w:r>
          </w:p>
        </w:tc>
        <w:tc>
          <w:tcPr>
            <w:tcW w:w="1843"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843"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984"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997" w:type="dxa"/>
            <w:tcBorders>
              <w:top w:val="nil"/>
              <w:left w:val="nil"/>
              <w:bottom w:val="nil"/>
              <w:right w:val="nil"/>
              <w:tl2br w:val="nil"/>
              <w:tr2bl w:val="nil"/>
            </w:tcBorders>
            <w:shd w:val="clear" w:color="auto" w:fill="auto"/>
            <w:noWrap/>
            <w:tcMar>
              <w:left w:w="40" w:type="dxa"/>
              <w:right w:w="85" w:type="dxa"/>
            </w:tcMar>
            <w:vAlign w:val="center"/>
          </w:tcPr>
          <w:p>
            <w:pPr>
              <w:jc w:val="right"/>
              <w:rPr>
                <w:b/>
                <w:noProof/>
                <w:color w:val="000000"/>
                <w:sz w:val="22"/>
                <w:szCs w:val="22"/>
              </w:rPr>
            </w:pPr>
            <w:r>
              <w:rPr>
                <w:b/>
                <w:noProof/>
                <w:color w:val="000000"/>
                <w:sz w:val="22"/>
                <w:szCs w:val="22"/>
              </w:rPr>
              <w:t>-86,424,605.56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104"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2"/>
                <w:szCs w:val="22"/>
              </w:rPr>
            </w:pPr>
            <w:r>
              <w:rPr>
                <w:noProof/>
                <w:color w:val="000000"/>
                <w:sz w:val="22"/>
                <w:szCs w:val="22"/>
              </w:rPr>
              <w:t>Change of fair value reserve</w:t>
            </w:r>
          </w:p>
        </w:tc>
        <w:tc>
          <w:tcPr>
            <w:tcW w:w="6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22"/>
                <w:szCs w:val="22"/>
              </w:rPr>
            </w:pPr>
            <w:r>
              <w:rPr>
                <w:noProof/>
                <w:color w:val="000000"/>
                <w:sz w:val="22"/>
                <w:szCs w:val="22"/>
              </w:rPr>
              <w:t>5</w:t>
            </w:r>
          </w:p>
        </w:tc>
        <w:tc>
          <w:tcPr>
            <w:tcW w:w="2080"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843"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-12,793,591.79</w:t>
            </w:r>
          </w:p>
        </w:tc>
        <w:tc>
          <w:tcPr>
            <w:tcW w:w="1843"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984"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997" w:type="dxa"/>
            <w:tcBorders>
              <w:top w:val="nil"/>
              <w:left w:val="nil"/>
              <w:bottom w:val="nil"/>
              <w:right w:val="nil"/>
              <w:tl2br w:val="nil"/>
              <w:tr2bl w:val="nil"/>
            </w:tcBorders>
            <w:shd w:val="clear" w:color="auto" w:fill="auto"/>
            <w:noWrap/>
            <w:tcMar>
              <w:left w:w="40" w:type="dxa"/>
              <w:right w:w="85" w:type="dxa"/>
            </w:tcMar>
            <w:vAlign w:val="center"/>
          </w:tcPr>
          <w:p>
            <w:pPr>
              <w:jc w:val="right"/>
              <w:rPr>
                <w:b/>
                <w:noProof/>
                <w:color w:val="000000"/>
                <w:sz w:val="22"/>
                <w:szCs w:val="22"/>
              </w:rPr>
            </w:pPr>
            <w:r>
              <w:rPr>
                <w:b/>
                <w:noProof/>
                <w:color w:val="000000"/>
                <w:sz w:val="22"/>
                <w:szCs w:val="22"/>
              </w:rPr>
              <w:t>-12,793,591.79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104"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2"/>
                <w:szCs w:val="22"/>
              </w:rPr>
            </w:pPr>
            <w:r>
              <w:rPr>
                <w:noProof/>
                <w:color w:val="000000"/>
                <w:sz w:val="22"/>
                <w:szCs w:val="22"/>
              </w:rPr>
              <w:t>Allocation of the Economic result of the year 2016</w:t>
            </w:r>
          </w:p>
        </w:tc>
        <w:tc>
          <w:tcPr>
            <w:tcW w:w="600" w:type="dxa"/>
            <w:tcBorders>
              <w:top w:val="nil"/>
              <w:left w:val="nil"/>
              <w:bottom w:val="nil"/>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2080"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843"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843"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29,849,553.53</w:t>
            </w:r>
          </w:p>
        </w:tc>
        <w:tc>
          <w:tcPr>
            <w:tcW w:w="1984"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-29,849,553.53</w:t>
            </w:r>
          </w:p>
        </w:tc>
        <w:tc>
          <w:tcPr>
            <w:tcW w:w="1997" w:type="dxa"/>
            <w:tcBorders>
              <w:top w:val="nil"/>
              <w:left w:val="nil"/>
              <w:bottom w:val="nil"/>
              <w:right w:val="nil"/>
              <w:tl2br w:val="nil"/>
              <w:tr2bl w:val="nil"/>
            </w:tcBorders>
            <w:shd w:val="clear" w:color="auto" w:fill="auto"/>
            <w:noWrap/>
            <w:tcMar>
              <w:left w:w="40" w:type="dxa"/>
              <w:right w:w="85" w:type="dxa"/>
            </w:tcMar>
            <w:vAlign w:val="center"/>
          </w:tcPr>
          <w:p>
            <w:pPr>
              <w:jc w:val="right"/>
              <w:rPr>
                <w:b/>
                <w:noProof/>
                <w:color w:val="000000"/>
                <w:sz w:val="22"/>
                <w:szCs w:val="22"/>
              </w:rPr>
            </w:pPr>
            <w:r>
              <w:rPr>
                <w:b/>
                <w:noProof/>
                <w:color w:val="000000"/>
                <w:sz w:val="22"/>
                <w:szCs w:val="22"/>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104" w:type="dxa"/>
            <w:tcBorders>
              <w:top w:val="nil"/>
              <w:left w:val="nil"/>
              <w:bottom w:val="single" w:sz="4" w:space="0" w:color="000000"/>
              <w:right w:val="nil"/>
              <w:tl2br w:val="nil"/>
              <w:tr2bl w:val="nil"/>
            </w:tcBorders>
            <w:shd w:val="clear" w:color="auto" w:fill="auto"/>
            <w:tcMar>
              <w:left w:w="40" w:type="dxa"/>
              <w:right w:w="40" w:type="dxa"/>
            </w:tcMar>
            <w:vAlign w:val="center"/>
          </w:tcPr>
          <w:p>
            <w:pPr>
              <w:rPr>
                <w:noProof/>
                <w:color w:val="000000"/>
                <w:sz w:val="22"/>
                <w:szCs w:val="22"/>
              </w:rPr>
            </w:pPr>
            <w:r>
              <w:rPr>
                <w:noProof/>
                <w:color w:val="000000"/>
                <w:sz w:val="22"/>
                <w:szCs w:val="22"/>
              </w:rPr>
              <w:t>Economic result of the year 2017</w:t>
            </w:r>
          </w:p>
        </w:tc>
        <w:tc>
          <w:tcPr>
            <w:tcW w:w="600" w:type="dxa"/>
            <w:tcBorders>
              <w:top w:val="nil"/>
              <w:left w:val="nil"/>
              <w:bottom w:val="single" w:sz="4" w:space="0" w:color="000000"/>
              <w:right w:val="nil"/>
              <w:tl2br w:val="nil"/>
              <w:tr2bl w:val="nil"/>
            </w:tcBorders>
            <w:shd w:val="clear" w:color="auto" w:fill="auto"/>
            <w:tcMar>
              <w:left w:w="0" w:type="dxa"/>
              <w:right w:w="0" w:type="dxa"/>
            </w:tcMar>
            <w:vAlign w:val="center"/>
          </w:tcPr>
          <w:p>
            <w:pPr>
              <w:jc w:val="right"/>
              <w:rPr>
                <w:noProof/>
                <w:color w:val="000000"/>
                <w:sz w:val="22"/>
                <w:szCs w:val="22"/>
              </w:rPr>
            </w:pPr>
          </w:p>
        </w:tc>
        <w:tc>
          <w:tcPr>
            <w:tcW w:w="2080" w:type="dxa"/>
            <w:tcBorders>
              <w:top w:val="nil"/>
              <w:left w:val="nil"/>
              <w:bottom w:val="single" w:sz="4" w:space="0" w:color="000000"/>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843" w:type="dxa"/>
            <w:tcBorders>
              <w:top w:val="nil"/>
              <w:left w:val="nil"/>
              <w:bottom w:val="single" w:sz="4" w:space="0" w:color="000000"/>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843" w:type="dxa"/>
            <w:tcBorders>
              <w:top w:val="nil"/>
              <w:left w:val="nil"/>
              <w:bottom w:val="single" w:sz="4" w:space="0" w:color="000000"/>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984" w:type="dxa"/>
            <w:tcBorders>
              <w:top w:val="nil"/>
              <w:left w:val="nil"/>
              <w:bottom w:val="single" w:sz="4" w:space="0" w:color="000000"/>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15,966,869.93</w:t>
            </w:r>
          </w:p>
        </w:tc>
        <w:tc>
          <w:tcPr>
            <w:tcW w:w="1997" w:type="dxa"/>
            <w:tcBorders>
              <w:top w:val="nil"/>
              <w:left w:val="nil"/>
              <w:bottom w:val="single" w:sz="4" w:space="0" w:color="000000"/>
              <w:right w:val="nil"/>
              <w:tl2br w:val="nil"/>
              <w:tr2bl w:val="nil"/>
            </w:tcBorders>
            <w:shd w:val="clear" w:color="auto" w:fill="auto"/>
            <w:noWrap/>
            <w:tcMar>
              <w:left w:w="40" w:type="dxa"/>
              <w:right w:w="85" w:type="dxa"/>
            </w:tcMar>
            <w:vAlign w:val="center"/>
          </w:tcPr>
          <w:p>
            <w:pPr>
              <w:jc w:val="right"/>
              <w:rPr>
                <w:b/>
                <w:noProof/>
                <w:color w:val="000000"/>
                <w:sz w:val="22"/>
                <w:szCs w:val="22"/>
              </w:rPr>
            </w:pPr>
            <w:r>
              <w:rPr>
                <w:b/>
                <w:noProof/>
                <w:color w:val="000000"/>
                <w:sz w:val="22"/>
                <w:szCs w:val="22"/>
              </w:rPr>
              <w:t>15,966,869.93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104"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rPr>
                <w:b/>
                <w:noProof/>
                <w:color w:val="000000"/>
                <w:sz w:val="22"/>
                <w:szCs w:val="22"/>
              </w:rPr>
            </w:pPr>
            <w:r>
              <w:rPr>
                <w:b/>
                <w:noProof/>
                <w:color w:val="000000"/>
                <w:sz w:val="22"/>
                <w:szCs w:val="22"/>
              </w:rPr>
              <w:t>Balance as at 31.12.2017</w:t>
            </w:r>
          </w:p>
        </w:tc>
        <w:tc>
          <w:tcPr>
            <w:tcW w:w="600" w:type="dxa"/>
            <w:tcBorders>
              <w:top w:val="single" w:sz="4" w:space="0" w:color="000000"/>
              <w:left w:val="nil"/>
              <w:bottom w:val="single" w:sz="4" w:space="0" w:color="000000"/>
              <w:right w:val="nil"/>
              <w:tl2br w:val="nil"/>
              <w:tr2bl w:val="nil"/>
            </w:tcBorders>
            <w:shd w:val="clear" w:color="FFFFFF" w:fill="C0C0C0"/>
            <w:tcMar>
              <w:left w:w="0" w:type="dxa"/>
              <w:right w:w="0" w:type="dxa"/>
            </w:tcMar>
            <w:vAlign w:val="center"/>
          </w:tcPr>
          <w:p>
            <w:pPr>
              <w:jc w:val="right"/>
              <w:rPr>
                <w:b/>
                <w:noProof/>
                <w:color w:val="000000"/>
                <w:sz w:val="22"/>
                <w:szCs w:val="22"/>
              </w:rPr>
            </w:pPr>
          </w:p>
        </w:tc>
        <w:tc>
          <w:tcPr>
            <w:tcW w:w="2080"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jc w:val="right"/>
              <w:rPr>
                <w:b/>
                <w:noProof/>
                <w:color w:val="000000"/>
                <w:sz w:val="22"/>
                <w:szCs w:val="22"/>
              </w:rPr>
            </w:pPr>
            <w:r>
              <w:rPr>
                <w:b/>
                <w:noProof/>
                <w:color w:val="000000"/>
                <w:sz w:val="22"/>
                <w:szCs w:val="22"/>
              </w:rPr>
              <w:t>1,550,896,013.99</w:t>
            </w:r>
          </w:p>
        </w:tc>
        <w:tc>
          <w:tcPr>
            <w:tcW w:w="1843"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jc w:val="right"/>
              <w:rPr>
                <w:b/>
                <w:noProof/>
                <w:color w:val="000000"/>
                <w:sz w:val="22"/>
                <w:szCs w:val="22"/>
              </w:rPr>
            </w:pPr>
            <w:r>
              <w:rPr>
                <w:b/>
                <w:noProof/>
                <w:color w:val="000000"/>
                <w:sz w:val="22"/>
                <w:szCs w:val="22"/>
              </w:rPr>
              <w:t>22,700,054.69</w:t>
            </w:r>
          </w:p>
        </w:tc>
        <w:tc>
          <w:tcPr>
            <w:tcW w:w="1843"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jc w:val="right"/>
              <w:rPr>
                <w:b/>
                <w:noProof/>
                <w:color w:val="000000"/>
                <w:sz w:val="22"/>
                <w:szCs w:val="22"/>
              </w:rPr>
            </w:pPr>
            <w:r>
              <w:rPr>
                <w:b/>
                <w:noProof/>
                <w:color w:val="000000"/>
                <w:sz w:val="22"/>
                <w:szCs w:val="22"/>
              </w:rPr>
              <w:t>970,244,126.84</w:t>
            </w:r>
          </w:p>
        </w:tc>
        <w:tc>
          <w:tcPr>
            <w:tcW w:w="1984"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jc w:val="right"/>
              <w:rPr>
                <w:b/>
                <w:noProof/>
                <w:color w:val="000000"/>
                <w:sz w:val="22"/>
                <w:szCs w:val="22"/>
              </w:rPr>
            </w:pPr>
            <w:r>
              <w:rPr>
                <w:b/>
                <w:noProof/>
                <w:color w:val="000000"/>
                <w:sz w:val="22"/>
                <w:szCs w:val="22"/>
              </w:rPr>
              <w:t>15,966,869.93</w:t>
            </w:r>
          </w:p>
        </w:tc>
        <w:tc>
          <w:tcPr>
            <w:tcW w:w="1997"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jc w:val="right"/>
              <w:rPr>
                <w:b/>
                <w:noProof/>
                <w:color w:val="000000"/>
                <w:sz w:val="22"/>
                <w:szCs w:val="22"/>
              </w:rPr>
            </w:pPr>
            <w:r>
              <w:rPr>
                <w:b/>
                <w:noProof/>
                <w:color w:val="000000"/>
                <w:sz w:val="22"/>
                <w:szCs w:val="22"/>
              </w:rPr>
              <w:t>2,559,807,065.45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104"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Contributions from the European Commission allocated but not yet paid</w:t>
            </w:r>
          </w:p>
        </w:tc>
        <w:tc>
          <w:tcPr>
            <w:tcW w:w="60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center"/>
              <w:rPr>
                <w:noProof/>
                <w:color w:val="000000"/>
                <w:sz w:val="22"/>
                <w:szCs w:val="22"/>
              </w:rPr>
            </w:pPr>
            <w:r>
              <w:rPr>
                <w:noProof/>
                <w:color w:val="000000"/>
                <w:sz w:val="22"/>
                <w:szCs w:val="22"/>
              </w:rPr>
              <w:t>7</w:t>
            </w:r>
          </w:p>
        </w:tc>
        <w:tc>
          <w:tcPr>
            <w:tcW w:w="2080" w:type="dxa"/>
            <w:tcBorders>
              <w:top w:val="single" w:sz="4" w:space="0" w:color="000000"/>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103,222,935.00</w:t>
            </w:r>
          </w:p>
        </w:tc>
        <w:tc>
          <w:tcPr>
            <w:tcW w:w="1843" w:type="dxa"/>
            <w:tcBorders>
              <w:top w:val="single" w:sz="4" w:space="0" w:color="000000"/>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843" w:type="dxa"/>
            <w:tcBorders>
              <w:top w:val="single" w:sz="4" w:space="0" w:color="000000"/>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984" w:type="dxa"/>
            <w:tcBorders>
              <w:top w:val="single" w:sz="4" w:space="0" w:color="000000"/>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997" w:type="dxa"/>
            <w:tcBorders>
              <w:top w:val="single" w:sz="4" w:space="0" w:color="000000"/>
              <w:left w:val="nil"/>
              <w:bottom w:val="nil"/>
              <w:right w:val="nil"/>
              <w:tl2br w:val="nil"/>
              <w:tr2bl w:val="nil"/>
            </w:tcBorders>
            <w:shd w:val="clear" w:color="auto" w:fill="auto"/>
            <w:tcMar>
              <w:left w:w="40" w:type="dxa"/>
              <w:right w:w="85" w:type="dxa"/>
            </w:tcMar>
            <w:vAlign w:val="center"/>
          </w:tcPr>
          <w:p>
            <w:pPr>
              <w:jc w:val="right"/>
              <w:rPr>
                <w:b/>
                <w:noProof/>
                <w:color w:val="000000"/>
                <w:sz w:val="22"/>
                <w:szCs w:val="22"/>
              </w:rPr>
            </w:pPr>
            <w:r>
              <w:rPr>
                <w:b/>
                <w:noProof/>
                <w:color w:val="000000"/>
                <w:sz w:val="22"/>
                <w:szCs w:val="22"/>
              </w:rPr>
              <w:t>103,222,935.00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104"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2"/>
                <w:szCs w:val="22"/>
              </w:rPr>
            </w:pPr>
            <w:r>
              <w:rPr>
                <w:noProof/>
                <w:color w:val="000000"/>
                <w:sz w:val="22"/>
                <w:szCs w:val="22"/>
              </w:rPr>
              <w:t>Contributions paid to the EIB as guarantee call</w:t>
            </w:r>
          </w:p>
        </w:tc>
        <w:tc>
          <w:tcPr>
            <w:tcW w:w="6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22"/>
                <w:szCs w:val="22"/>
              </w:rPr>
            </w:pPr>
            <w:r>
              <w:rPr>
                <w:noProof/>
                <w:color w:val="000000"/>
                <w:sz w:val="22"/>
                <w:szCs w:val="22"/>
              </w:rPr>
              <w:t>7</w:t>
            </w:r>
          </w:p>
        </w:tc>
        <w:tc>
          <w:tcPr>
            <w:tcW w:w="2080"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-55,725,491.89</w:t>
            </w:r>
          </w:p>
        </w:tc>
        <w:tc>
          <w:tcPr>
            <w:tcW w:w="1843"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843"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984"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997" w:type="dxa"/>
            <w:tcBorders>
              <w:top w:val="nil"/>
              <w:left w:val="nil"/>
              <w:bottom w:val="nil"/>
              <w:right w:val="nil"/>
              <w:tl2br w:val="nil"/>
              <w:tr2bl w:val="nil"/>
            </w:tcBorders>
            <w:shd w:val="clear" w:color="auto" w:fill="auto"/>
            <w:tcMar>
              <w:left w:w="40" w:type="dxa"/>
              <w:right w:w="85" w:type="dxa"/>
            </w:tcMar>
            <w:vAlign w:val="center"/>
          </w:tcPr>
          <w:p>
            <w:pPr>
              <w:jc w:val="right"/>
              <w:rPr>
                <w:b/>
                <w:noProof/>
                <w:color w:val="000000"/>
                <w:sz w:val="22"/>
                <w:szCs w:val="22"/>
              </w:rPr>
            </w:pPr>
            <w:r>
              <w:rPr>
                <w:b/>
                <w:noProof/>
                <w:color w:val="000000"/>
                <w:sz w:val="22"/>
                <w:szCs w:val="22"/>
              </w:rPr>
              <w:t>-55,725,491.89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104"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2"/>
                <w:szCs w:val="22"/>
              </w:rPr>
            </w:pPr>
            <w:r>
              <w:rPr>
                <w:noProof/>
                <w:color w:val="000000"/>
                <w:sz w:val="22"/>
                <w:szCs w:val="22"/>
              </w:rPr>
              <w:t>Change of fair value reserve</w:t>
            </w:r>
          </w:p>
        </w:tc>
        <w:tc>
          <w:tcPr>
            <w:tcW w:w="6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22"/>
                <w:szCs w:val="22"/>
              </w:rPr>
            </w:pPr>
            <w:r>
              <w:rPr>
                <w:noProof/>
                <w:color w:val="000000"/>
                <w:sz w:val="22"/>
                <w:szCs w:val="22"/>
              </w:rPr>
              <w:t>5</w:t>
            </w:r>
          </w:p>
        </w:tc>
        <w:tc>
          <w:tcPr>
            <w:tcW w:w="2080"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843"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-10,472,862.98</w:t>
            </w:r>
          </w:p>
        </w:tc>
        <w:tc>
          <w:tcPr>
            <w:tcW w:w="1843"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984"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997" w:type="dxa"/>
            <w:tcBorders>
              <w:top w:val="nil"/>
              <w:left w:val="nil"/>
              <w:bottom w:val="nil"/>
              <w:right w:val="nil"/>
              <w:tl2br w:val="nil"/>
              <w:tr2bl w:val="nil"/>
            </w:tcBorders>
            <w:shd w:val="clear" w:color="auto" w:fill="auto"/>
            <w:tcMar>
              <w:left w:w="40" w:type="dxa"/>
              <w:right w:w="85" w:type="dxa"/>
            </w:tcMar>
            <w:vAlign w:val="center"/>
          </w:tcPr>
          <w:p>
            <w:pPr>
              <w:jc w:val="right"/>
              <w:rPr>
                <w:b/>
                <w:noProof/>
                <w:color w:val="000000"/>
                <w:sz w:val="22"/>
                <w:szCs w:val="22"/>
              </w:rPr>
            </w:pPr>
            <w:r>
              <w:rPr>
                <w:b/>
                <w:noProof/>
                <w:color w:val="000000"/>
                <w:sz w:val="22"/>
                <w:szCs w:val="22"/>
              </w:rPr>
              <w:t>-10,472,862.98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104"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2"/>
                <w:szCs w:val="22"/>
              </w:rPr>
            </w:pPr>
            <w:r>
              <w:rPr>
                <w:noProof/>
                <w:color w:val="000000"/>
                <w:sz w:val="22"/>
                <w:szCs w:val="22"/>
              </w:rPr>
              <w:t>Allocation of the Economic result of the year 2017</w:t>
            </w:r>
          </w:p>
        </w:tc>
        <w:tc>
          <w:tcPr>
            <w:tcW w:w="600" w:type="dxa"/>
            <w:tcBorders>
              <w:top w:val="nil"/>
              <w:left w:val="nil"/>
              <w:bottom w:val="nil"/>
              <w:right w:val="nil"/>
              <w:tl2br w:val="nil"/>
              <w:tr2bl w:val="nil"/>
            </w:tcBorders>
            <w:shd w:val="clear" w:color="auto" w:fill="auto"/>
            <w:tcMar>
              <w:left w:w="0" w:type="dxa"/>
              <w:right w:w="0" w:type="dxa"/>
            </w:tcMar>
            <w:vAlign w:val="center"/>
          </w:tcPr>
          <w:p>
            <w:pPr>
              <w:jc w:val="center"/>
              <w:rPr>
                <w:noProof/>
                <w:color w:val="000000"/>
                <w:sz w:val="22"/>
                <w:szCs w:val="22"/>
              </w:rPr>
            </w:pPr>
          </w:p>
        </w:tc>
        <w:tc>
          <w:tcPr>
            <w:tcW w:w="2080"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843"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843"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15,966,869.93</w:t>
            </w:r>
          </w:p>
        </w:tc>
        <w:tc>
          <w:tcPr>
            <w:tcW w:w="1984"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-15,966,869.93</w:t>
            </w:r>
          </w:p>
        </w:tc>
        <w:tc>
          <w:tcPr>
            <w:tcW w:w="1997" w:type="dxa"/>
            <w:tcBorders>
              <w:top w:val="nil"/>
              <w:left w:val="nil"/>
              <w:bottom w:val="nil"/>
              <w:right w:val="nil"/>
              <w:tl2br w:val="nil"/>
              <w:tr2bl w:val="nil"/>
            </w:tcBorders>
            <w:shd w:val="clear" w:color="auto" w:fill="auto"/>
            <w:tcMar>
              <w:left w:w="40" w:type="dxa"/>
              <w:right w:w="85" w:type="dxa"/>
            </w:tcMar>
            <w:vAlign w:val="center"/>
          </w:tcPr>
          <w:p>
            <w:pPr>
              <w:jc w:val="right"/>
              <w:rPr>
                <w:b/>
                <w:noProof/>
                <w:color w:val="000000"/>
                <w:sz w:val="22"/>
                <w:szCs w:val="22"/>
              </w:rPr>
            </w:pPr>
            <w:r>
              <w:rPr>
                <w:b/>
                <w:noProof/>
                <w:color w:val="000000"/>
                <w:sz w:val="22"/>
                <w:szCs w:val="22"/>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104" w:type="dxa"/>
            <w:tcBorders>
              <w:top w:val="nil"/>
              <w:left w:val="nil"/>
              <w:bottom w:val="single" w:sz="4" w:space="0" w:color="000000"/>
              <w:right w:val="nil"/>
              <w:tl2br w:val="nil"/>
              <w:tr2bl w:val="nil"/>
            </w:tcBorders>
            <w:shd w:val="clear" w:color="auto" w:fill="auto"/>
            <w:tcMar>
              <w:left w:w="40" w:type="dxa"/>
              <w:right w:w="40" w:type="dxa"/>
            </w:tcMar>
            <w:vAlign w:val="center"/>
          </w:tcPr>
          <w:p>
            <w:pPr>
              <w:rPr>
                <w:noProof/>
                <w:color w:val="000000"/>
                <w:sz w:val="22"/>
                <w:szCs w:val="22"/>
              </w:rPr>
            </w:pPr>
            <w:r>
              <w:rPr>
                <w:noProof/>
                <w:color w:val="000000"/>
                <w:sz w:val="22"/>
                <w:szCs w:val="22"/>
              </w:rPr>
              <w:t>Economic result of the year 2018</w:t>
            </w:r>
          </w:p>
        </w:tc>
        <w:tc>
          <w:tcPr>
            <w:tcW w:w="600" w:type="dxa"/>
            <w:tcBorders>
              <w:top w:val="nil"/>
              <w:left w:val="nil"/>
              <w:bottom w:val="single" w:sz="4" w:space="0" w:color="000000"/>
              <w:right w:val="nil"/>
              <w:tl2br w:val="nil"/>
              <w:tr2bl w:val="nil"/>
            </w:tcBorders>
            <w:shd w:val="clear" w:color="auto" w:fill="auto"/>
            <w:tcMar>
              <w:left w:w="0" w:type="dxa"/>
              <w:right w:w="0" w:type="dxa"/>
            </w:tcMar>
            <w:vAlign w:val="center"/>
          </w:tcPr>
          <w:p>
            <w:pPr>
              <w:rPr>
                <w:noProof/>
                <w:color w:val="000000"/>
                <w:sz w:val="22"/>
                <w:szCs w:val="22"/>
              </w:rPr>
            </w:pPr>
          </w:p>
        </w:tc>
        <w:tc>
          <w:tcPr>
            <w:tcW w:w="2080" w:type="dxa"/>
            <w:tcBorders>
              <w:top w:val="nil"/>
              <w:left w:val="nil"/>
              <w:bottom w:val="single" w:sz="4" w:space="0" w:color="000000"/>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843" w:type="dxa"/>
            <w:tcBorders>
              <w:top w:val="nil"/>
              <w:left w:val="nil"/>
              <w:bottom w:val="single" w:sz="4" w:space="0" w:color="000000"/>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843" w:type="dxa"/>
            <w:tcBorders>
              <w:top w:val="nil"/>
              <w:left w:val="nil"/>
              <w:bottom w:val="single" w:sz="4" w:space="0" w:color="000000"/>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1984" w:type="dxa"/>
            <w:tcBorders>
              <w:top w:val="nil"/>
              <w:left w:val="nil"/>
              <w:bottom w:val="single" w:sz="4" w:space="0" w:color="000000"/>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12,036,762.67</w:t>
            </w:r>
          </w:p>
        </w:tc>
        <w:tc>
          <w:tcPr>
            <w:tcW w:w="1997" w:type="dxa"/>
            <w:tcBorders>
              <w:top w:val="nil"/>
              <w:left w:val="nil"/>
              <w:bottom w:val="single" w:sz="4" w:space="0" w:color="000000"/>
              <w:right w:val="nil"/>
              <w:tl2br w:val="nil"/>
              <w:tr2bl w:val="nil"/>
            </w:tcBorders>
            <w:shd w:val="clear" w:color="auto" w:fill="auto"/>
            <w:tcMar>
              <w:left w:w="40" w:type="dxa"/>
              <w:right w:w="85" w:type="dxa"/>
            </w:tcMar>
            <w:vAlign w:val="center"/>
          </w:tcPr>
          <w:p>
            <w:pPr>
              <w:jc w:val="right"/>
              <w:rPr>
                <w:b/>
                <w:noProof/>
                <w:color w:val="000000"/>
                <w:sz w:val="22"/>
                <w:szCs w:val="22"/>
              </w:rPr>
            </w:pPr>
            <w:r>
              <w:rPr>
                <w:b/>
                <w:noProof/>
                <w:color w:val="000000"/>
                <w:sz w:val="22"/>
                <w:szCs w:val="22"/>
              </w:rPr>
              <w:t>12,036,762.67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104"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rPr>
                <w:b/>
                <w:noProof/>
                <w:color w:val="000000"/>
                <w:sz w:val="22"/>
                <w:szCs w:val="22"/>
              </w:rPr>
            </w:pPr>
            <w:r>
              <w:rPr>
                <w:b/>
                <w:noProof/>
                <w:color w:val="000000"/>
                <w:sz w:val="22"/>
                <w:szCs w:val="22"/>
              </w:rPr>
              <w:t>Balance as at 31.12.2018</w:t>
            </w:r>
          </w:p>
        </w:tc>
        <w:tc>
          <w:tcPr>
            <w:tcW w:w="600" w:type="dxa"/>
            <w:tcBorders>
              <w:top w:val="single" w:sz="4" w:space="0" w:color="000000"/>
              <w:left w:val="nil"/>
              <w:bottom w:val="single" w:sz="4" w:space="0" w:color="000000"/>
              <w:right w:val="nil"/>
              <w:tl2br w:val="nil"/>
              <w:tr2bl w:val="nil"/>
            </w:tcBorders>
            <w:shd w:val="clear" w:color="FFFFFF" w:fill="C0C0C0"/>
            <w:tcMar>
              <w:left w:w="0" w:type="dxa"/>
              <w:right w:w="0" w:type="dxa"/>
            </w:tcMar>
            <w:vAlign w:val="center"/>
          </w:tcPr>
          <w:p>
            <w:pPr>
              <w:jc w:val="right"/>
              <w:rPr>
                <w:b/>
                <w:noProof/>
                <w:color w:val="000000"/>
                <w:sz w:val="22"/>
                <w:szCs w:val="22"/>
              </w:rPr>
            </w:pPr>
          </w:p>
        </w:tc>
        <w:tc>
          <w:tcPr>
            <w:tcW w:w="2080"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jc w:val="right"/>
              <w:rPr>
                <w:b/>
                <w:noProof/>
                <w:color w:val="000000"/>
                <w:sz w:val="22"/>
                <w:szCs w:val="22"/>
              </w:rPr>
            </w:pPr>
            <w:r>
              <w:rPr>
                <w:b/>
                <w:noProof/>
                <w:color w:val="000000"/>
                <w:sz w:val="22"/>
                <w:szCs w:val="22"/>
              </w:rPr>
              <w:t>1,598,393,457.10</w:t>
            </w:r>
          </w:p>
        </w:tc>
        <w:tc>
          <w:tcPr>
            <w:tcW w:w="1843"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jc w:val="right"/>
              <w:rPr>
                <w:b/>
                <w:noProof/>
                <w:color w:val="000000"/>
                <w:sz w:val="22"/>
                <w:szCs w:val="22"/>
              </w:rPr>
            </w:pPr>
            <w:r>
              <w:rPr>
                <w:b/>
                <w:noProof/>
                <w:color w:val="000000"/>
                <w:sz w:val="22"/>
                <w:szCs w:val="22"/>
              </w:rPr>
              <w:t>12,227,191.71</w:t>
            </w:r>
          </w:p>
        </w:tc>
        <w:tc>
          <w:tcPr>
            <w:tcW w:w="1843"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jc w:val="right"/>
              <w:rPr>
                <w:b/>
                <w:noProof/>
                <w:color w:val="000000"/>
                <w:sz w:val="22"/>
                <w:szCs w:val="22"/>
              </w:rPr>
            </w:pPr>
            <w:r>
              <w:rPr>
                <w:b/>
                <w:noProof/>
                <w:color w:val="000000"/>
                <w:sz w:val="22"/>
                <w:szCs w:val="22"/>
              </w:rPr>
              <w:t>986,210,996.77</w:t>
            </w:r>
          </w:p>
        </w:tc>
        <w:tc>
          <w:tcPr>
            <w:tcW w:w="1984"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jc w:val="right"/>
              <w:rPr>
                <w:b/>
                <w:noProof/>
                <w:color w:val="000000"/>
                <w:sz w:val="22"/>
                <w:szCs w:val="22"/>
              </w:rPr>
            </w:pPr>
            <w:r>
              <w:rPr>
                <w:b/>
                <w:noProof/>
                <w:color w:val="000000"/>
                <w:sz w:val="22"/>
                <w:szCs w:val="22"/>
              </w:rPr>
              <w:t>12,036,762.67</w:t>
            </w:r>
          </w:p>
        </w:tc>
        <w:tc>
          <w:tcPr>
            <w:tcW w:w="1997"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jc w:val="right"/>
              <w:rPr>
                <w:b/>
                <w:noProof/>
                <w:color w:val="000000"/>
                <w:sz w:val="22"/>
                <w:szCs w:val="22"/>
              </w:rPr>
            </w:pPr>
            <w:r>
              <w:rPr>
                <w:b/>
                <w:noProof/>
                <w:color w:val="000000"/>
                <w:sz w:val="22"/>
                <w:szCs w:val="22"/>
              </w:rPr>
              <w:t>2,608,868,408.25</w:t>
            </w:r>
          </w:p>
        </w:tc>
      </w:tr>
    </w:tbl>
    <w:p>
      <w:pPr>
        <w:spacing w:after="120" w:line="240" w:lineRule="atLeast"/>
        <w:rPr>
          <w:noProof/>
          <w:lang w:eastAsia="en-US"/>
        </w:rPr>
        <w:sectPr>
          <w:headerReference w:type="even" r:id="rId36"/>
          <w:headerReference w:type="default" r:id="rId37"/>
          <w:footerReference w:type="even" r:id="rId38"/>
          <w:footerReference w:type="default" r:id="rId39"/>
          <w:headerReference w:type="first" r:id="rId40"/>
          <w:footerReference w:type="first" r:id="rId41"/>
          <w:pgSz w:w="16838" w:h="11906" w:orient="landscape"/>
          <w:pgMar w:top="1418" w:right="765" w:bottom="1418" w:left="765" w:header="765" w:footer="425" w:gutter="0"/>
          <w:pgBorders>
            <w:top w:val="nil"/>
            <w:left w:val="nil"/>
            <w:bottom w:val="nil"/>
            <w:right w:val="nil"/>
          </w:pgBorders>
          <w:cols w:space="720"/>
          <w:docGrid w:linePitch="360"/>
        </w:sectPr>
      </w:pPr>
    </w:p>
    <w:p>
      <w:pPr>
        <w:pageBreakBefore/>
        <w:pBdr>
          <w:top w:val="nil"/>
          <w:left w:val="nil"/>
          <w:bottom w:val="nil"/>
          <w:right w:val="nil"/>
          <w:between w:val="nil"/>
          <w:bar w:val="nil"/>
        </w:pBdr>
        <w:spacing w:before="240" w:line="240" w:lineRule="atLeast"/>
        <w:ind w:left="142"/>
        <w:jc w:val="center"/>
        <w:rPr>
          <w:b/>
          <w:bCs/>
          <w:noProof/>
          <w:bdr w:val="nil"/>
          <w:lang w:eastAsia="en-US"/>
        </w:rPr>
      </w:pPr>
      <w:r>
        <w:rPr>
          <w:b/>
          <w:bCs/>
          <w:noProof/>
          <w:bdr w:val="nil"/>
          <w:lang w:eastAsia="en-US"/>
        </w:rPr>
        <w:t xml:space="preserve">Cash flow statement </w:t>
      </w:r>
    </w:p>
    <w:p>
      <w:pPr>
        <w:pBdr>
          <w:top w:val="nil"/>
          <w:left w:val="nil"/>
          <w:bottom w:val="nil"/>
          <w:right w:val="nil"/>
          <w:between w:val="nil"/>
          <w:bar w:val="nil"/>
        </w:pBdr>
        <w:spacing w:line="240" w:lineRule="atLeast"/>
        <w:ind w:left="142"/>
        <w:jc w:val="center"/>
        <w:rPr>
          <w:bCs/>
          <w:noProof/>
          <w:bdr w:val="nil"/>
          <w:lang w:eastAsia="en-US"/>
        </w:rPr>
      </w:pPr>
      <w:r>
        <w:rPr>
          <w:bCs/>
          <w:noProof/>
          <w:bdr w:val="nil"/>
          <w:lang w:eastAsia="en-US"/>
        </w:rPr>
        <w:t>For the year ended 31 December 2018</w:t>
      </w:r>
    </w:p>
    <w:p>
      <w:pPr>
        <w:pBdr>
          <w:top w:val="nil"/>
          <w:left w:val="nil"/>
          <w:bottom w:val="nil"/>
          <w:right w:val="nil"/>
          <w:between w:val="nil"/>
          <w:bar w:val="nil"/>
        </w:pBdr>
        <w:spacing w:after="120" w:line="240" w:lineRule="atLeast"/>
        <w:ind w:left="142"/>
        <w:jc w:val="center"/>
        <w:rPr>
          <w:bCs/>
          <w:noProof/>
          <w:bdr w:val="nil"/>
          <w:lang w:eastAsia="en-US"/>
        </w:rPr>
      </w:pPr>
      <w:r>
        <w:rPr>
          <w:bCs/>
          <w:noProof/>
          <w:bdr w:val="nil"/>
          <w:lang w:eastAsia="en-US"/>
        </w:rPr>
        <w:t>(in EUR)</w:t>
      </w:r>
    </w:p>
    <w:p>
      <w:pPr>
        <w:pBdr>
          <w:top w:val="nil"/>
          <w:left w:val="nil"/>
          <w:bottom w:val="nil"/>
          <w:right w:val="nil"/>
          <w:between w:val="nil"/>
          <w:bar w:val="nil"/>
        </w:pBdr>
        <w:spacing w:after="120" w:line="240" w:lineRule="atLeast"/>
        <w:ind w:left="142"/>
        <w:jc w:val="center"/>
        <w:rPr>
          <w:b/>
          <w:bCs/>
          <w:noProof/>
          <w:bdr w:val="nil"/>
          <w:lang w:eastAsia="en-US"/>
        </w:rPr>
      </w:pPr>
      <w:r>
        <w:rPr>
          <w:noProof/>
          <w:lang w:eastAsia="en-US"/>
        </w:rPr>
        <w:t xml:space="preserve"> </w:t>
      </w:r>
    </w:p>
    <w:tbl>
      <w:tblPr>
        <w:tblStyle w:val="CDMRange20"/>
        <w:tblW w:w="10395" w:type="dxa"/>
        <w:tblLayout w:type="fixed"/>
        <w:tblLook w:val="0600" w:firstRow="0" w:lastRow="0" w:firstColumn="0" w:lastColumn="0" w:noHBand="1" w:noVBand="1"/>
      </w:tblPr>
      <w:tblGrid>
        <w:gridCol w:w="5475"/>
        <w:gridCol w:w="900"/>
        <w:gridCol w:w="1989"/>
        <w:gridCol w:w="2031"/>
      </w:tblGrid>
      <w:tr>
        <w:trPr>
          <w:trHeight w:val="480"/>
        </w:trPr>
        <w:tc>
          <w:tcPr>
            <w:tcW w:w="5475" w:type="dxa"/>
            <w:tcBorders>
              <w:top w:val="nil"/>
              <w:left w:val="nil"/>
              <w:bottom w:val="nil"/>
              <w:right w:val="nil"/>
              <w:tl2br w:val="nil"/>
              <w:tr2bl w:val="nil"/>
            </w:tcBorders>
            <w:shd w:val="clear" w:color="auto" w:fill="auto"/>
            <w:noWrap/>
            <w:tcMar>
              <w:left w:w="0" w:type="dxa"/>
              <w:right w:w="0" w:type="dxa"/>
            </w:tcMar>
            <w:vAlign w:val="center"/>
          </w:tcPr>
          <w:p>
            <w:pPr>
              <w:rPr>
                <w:noProof/>
                <w:color w:val="000000"/>
                <w:sz w:val="22"/>
                <w:szCs w:val="22"/>
              </w:rPr>
            </w:pPr>
          </w:p>
          <w:p>
            <w:pPr>
              <w:rPr>
                <w:noProof/>
                <w:color w:val="000000"/>
                <w:sz w:val="22"/>
                <w:szCs w:val="22"/>
              </w:rPr>
            </w:pPr>
          </w:p>
        </w:tc>
        <w:tc>
          <w:tcPr>
            <w:tcW w:w="900" w:type="dxa"/>
            <w:tcBorders>
              <w:top w:val="nil"/>
              <w:left w:val="nil"/>
              <w:bottom w:val="nil"/>
              <w:right w:val="nil"/>
              <w:tl2br w:val="nil"/>
              <w:tr2bl w:val="nil"/>
            </w:tcBorders>
            <w:shd w:val="clear" w:color="auto" w:fill="auto"/>
            <w:noWrap/>
            <w:tcMar>
              <w:left w:w="40" w:type="dxa"/>
              <w:right w:w="40" w:type="dxa"/>
            </w:tcMar>
            <w:vAlign w:val="center"/>
          </w:tcPr>
          <w:p>
            <w:pPr>
              <w:jc w:val="center"/>
              <w:rPr>
                <w:b/>
                <w:noProof/>
                <w:color w:val="000000"/>
                <w:sz w:val="22"/>
                <w:szCs w:val="22"/>
              </w:rPr>
            </w:pPr>
            <w:r>
              <w:rPr>
                <w:b/>
                <w:noProof/>
                <w:color w:val="000000"/>
                <w:sz w:val="22"/>
                <w:szCs w:val="22"/>
              </w:rPr>
              <w:t>Notes</w:t>
            </w:r>
          </w:p>
        </w:tc>
        <w:tc>
          <w:tcPr>
            <w:tcW w:w="1989"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2"/>
                <w:szCs w:val="22"/>
              </w:rPr>
            </w:pPr>
            <w:r>
              <w:rPr>
                <w:b/>
                <w:noProof/>
                <w:color w:val="000000"/>
                <w:sz w:val="22"/>
                <w:szCs w:val="22"/>
              </w:rPr>
              <w:t>From 01.01.2018</w:t>
            </w:r>
          </w:p>
          <w:p>
            <w:pPr>
              <w:jc w:val="right"/>
              <w:rPr>
                <w:b/>
                <w:noProof/>
                <w:color w:val="000000"/>
                <w:sz w:val="22"/>
                <w:szCs w:val="22"/>
              </w:rPr>
            </w:pPr>
            <w:r>
              <w:rPr>
                <w:b/>
                <w:noProof/>
                <w:color w:val="000000"/>
                <w:sz w:val="22"/>
                <w:szCs w:val="22"/>
              </w:rPr>
              <w:t>to 31.12.2018</w:t>
            </w:r>
          </w:p>
        </w:tc>
        <w:tc>
          <w:tcPr>
            <w:tcW w:w="2031"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2"/>
                <w:szCs w:val="22"/>
              </w:rPr>
            </w:pPr>
            <w:r>
              <w:rPr>
                <w:b/>
                <w:noProof/>
                <w:color w:val="000000"/>
                <w:sz w:val="22"/>
                <w:szCs w:val="22"/>
              </w:rPr>
              <w:t>From 01.01.2017</w:t>
            </w:r>
          </w:p>
          <w:p>
            <w:pPr>
              <w:jc w:val="right"/>
              <w:rPr>
                <w:b/>
                <w:noProof/>
                <w:color w:val="000000"/>
                <w:sz w:val="22"/>
                <w:szCs w:val="22"/>
              </w:rPr>
            </w:pPr>
            <w:r>
              <w:rPr>
                <w:b/>
                <w:noProof/>
                <w:color w:val="000000"/>
                <w:sz w:val="22"/>
                <w:szCs w:val="22"/>
              </w:rPr>
              <w:t>to 31.12.2017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22"/>
                <w:szCs w:val="22"/>
              </w:rPr>
            </w:pPr>
            <w:r>
              <w:rPr>
                <w:b/>
                <w:noProof/>
                <w:color w:val="000000"/>
                <w:sz w:val="22"/>
                <w:szCs w:val="22"/>
              </w:rPr>
              <w:t>Operating activities</w:t>
            </w:r>
          </w:p>
        </w:tc>
        <w:tc>
          <w:tcPr>
            <w:tcW w:w="900" w:type="dxa"/>
            <w:tcBorders>
              <w:top w:val="nil"/>
              <w:left w:val="nil"/>
              <w:bottom w:val="single" w:sz="4" w:space="0" w:color="000000"/>
              <w:right w:val="nil"/>
              <w:tl2br w:val="nil"/>
              <w:tr2bl w:val="nil"/>
            </w:tcBorders>
            <w:shd w:val="clear" w:color="auto" w:fill="auto"/>
            <w:tcMar>
              <w:left w:w="0" w:type="dxa"/>
              <w:right w:w="0" w:type="dxa"/>
            </w:tcMar>
            <w:vAlign w:val="center"/>
          </w:tcPr>
          <w:p>
            <w:pPr>
              <w:rPr>
                <w:b/>
                <w:noProof/>
                <w:color w:val="000000"/>
                <w:sz w:val="22"/>
                <w:szCs w:val="22"/>
              </w:rPr>
            </w:pPr>
          </w:p>
        </w:tc>
        <w:tc>
          <w:tcPr>
            <w:tcW w:w="1989"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pPr>
              <w:rPr>
                <w:noProof/>
                <w:color w:val="000000"/>
                <w:sz w:val="22"/>
                <w:szCs w:val="22"/>
              </w:rPr>
            </w:pPr>
          </w:p>
        </w:tc>
        <w:tc>
          <w:tcPr>
            <w:tcW w:w="2031"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pPr>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single" w:sz="4" w:space="0" w:color="000000"/>
              <w:left w:val="nil"/>
              <w:bottom w:val="nil"/>
              <w:right w:val="nil"/>
              <w:tl2br w:val="nil"/>
              <w:tr2bl w:val="nil"/>
            </w:tcBorders>
            <w:shd w:val="clear" w:color="auto" w:fill="auto"/>
            <w:tcMar>
              <w:left w:w="40" w:type="dxa"/>
              <w:right w:w="40" w:type="dxa"/>
            </w:tcMar>
            <w:vAlign w:val="center"/>
          </w:tcPr>
          <w:p>
            <w:pPr>
              <w:rPr>
                <w:noProof/>
                <w:color w:val="000000"/>
                <w:sz w:val="22"/>
                <w:szCs w:val="22"/>
              </w:rPr>
            </w:pPr>
            <w:r>
              <w:rPr>
                <w:noProof/>
                <w:color w:val="000000"/>
                <w:sz w:val="22"/>
                <w:szCs w:val="22"/>
              </w:rPr>
              <w:t xml:space="preserve">     Treasury management fee paid during the year</w:t>
            </w:r>
          </w:p>
        </w:tc>
        <w:tc>
          <w:tcPr>
            <w:tcW w:w="900" w:type="dxa"/>
            <w:tcBorders>
              <w:top w:val="single" w:sz="4" w:space="0" w:color="000000"/>
              <w:left w:val="nil"/>
              <w:bottom w:val="nil"/>
              <w:right w:val="nil"/>
              <w:tl2br w:val="nil"/>
              <w:tr2bl w:val="nil"/>
            </w:tcBorders>
            <w:shd w:val="clear" w:color="auto" w:fill="auto"/>
            <w:tcMar>
              <w:left w:w="0" w:type="dxa"/>
              <w:right w:w="0" w:type="dxa"/>
            </w:tcMar>
            <w:vAlign w:val="center"/>
          </w:tcPr>
          <w:p>
            <w:pPr>
              <w:rPr>
                <w:noProof/>
                <w:color w:val="000000"/>
                <w:sz w:val="22"/>
                <w:szCs w:val="22"/>
              </w:rPr>
            </w:pPr>
          </w:p>
        </w:tc>
        <w:tc>
          <w:tcPr>
            <w:tcW w:w="1989"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-915,279.18</w:t>
            </w:r>
          </w:p>
        </w:tc>
        <w:tc>
          <w:tcPr>
            <w:tcW w:w="2031"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-891,975.15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2"/>
                <w:szCs w:val="22"/>
              </w:rPr>
            </w:pPr>
            <w:r>
              <w:rPr>
                <w:noProof/>
                <w:color w:val="000000"/>
                <w:sz w:val="22"/>
                <w:szCs w:val="22"/>
              </w:rPr>
              <w:t xml:space="preserve">     Recovery fees paid during the year</w:t>
            </w:r>
          </w:p>
        </w:tc>
        <w:tc>
          <w:tcPr>
            <w:tcW w:w="900" w:type="dxa"/>
            <w:tcBorders>
              <w:top w:val="nil"/>
              <w:left w:val="nil"/>
              <w:bottom w:val="nil"/>
              <w:right w:val="nil"/>
              <w:tl2br w:val="nil"/>
              <w:tr2bl w:val="nil"/>
            </w:tcBorders>
            <w:shd w:val="clear" w:color="auto" w:fill="auto"/>
            <w:tcMar>
              <w:left w:w="0" w:type="dxa"/>
              <w:right w:w="0" w:type="dxa"/>
            </w:tcMar>
            <w:vAlign w:val="center"/>
          </w:tcPr>
          <w:p>
            <w:pPr>
              <w:rPr>
                <w:noProof/>
                <w:color w:val="000000"/>
                <w:sz w:val="22"/>
                <w:szCs w:val="22"/>
              </w:rPr>
            </w:pPr>
          </w:p>
        </w:tc>
        <w:tc>
          <w:tcPr>
            <w:tcW w:w="1989"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-1,821,937.19</w:t>
            </w:r>
          </w:p>
        </w:tc>
        <w:tc>
          <w:tcPr>
            <w:tcW w:w="2031"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2"/>
                <w:szCs w:val="22"/>
              </w:rPr>
            </w:pPr>
            <w:r>
              <w:rPr>
                <w:noProof/>
                <w:color w:val="000000"/>
                <w:sz w:val="22"/>
                <w:szCs w:val="22"/>
              </w:rPr>
              <w:t xml:space="preserve">     Bank fees / audit fees paid during the year</w:t>
            </w:r>
          </w:p>
        </w:tc>
        <w:tc>
          <w:tcPr>
            <w:tcW w:w="900" w:type="dxa"/>
            <w:tcBorders>
              <w:top w:val="nil"/>
              <w:left w:val="nil"/>
              <w:bottom w:val="nil"/>
              <w:right w:val="nil"/>
              <w:tl2br w:val="nil"/>
              <w:tr2bl w:val="nil"/>
            </w:tcBorders>
            <w:shd w:val="clear" w:color="auto" w:fill="auto"/>
            <w:tcMar>
              <w:left w:w="0" w:type="dxa"/>
              <w:right w:w="0" w:type="dxa"/>
            </w:tcMar>
            <w:vAlign w:val="center"/>
          </w:tcPr>
          <w:p>
            <w:pPr>
              <w:rPr>
                <w:noProof/>
                <w:color w:val="000000"/>
                <w:sz w:val="22"/>
                <w:szCs w:val="22"/>
              </w:rPr>
            </w:pPr>
          </w:p>
        </w:tc>
        <w:tc>
          <w:tcPr>
            <w:tcW w:w="1989"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-180,770.99</w:t>
            </w:r>
          </w:p>
        </w:tc>
        <w:tc>
          <w:tcPr>
            <w:tcW w:w="2031"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-183,608.61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2"/>
                <w:szCs w:val="22"/>
              </w:rPr>
            </w:pPr>
            <w:r>
              <w:rPr>
                <w:noProof/>
                <w:color w:val="000000"/>
                <w:sz w:val="22"/>
                <w:szCs w:val="22"/>
              </w:rPr>
              <w:t xml:space="preserve">     Contributions paid  as guarantee call</w:t>
            </w:r>
          </w:p>
        </w:tc>
        <w:tc>
          <w:tcPr>
            <w:tcW w:w="900" w:type="dxa"/>
            <w:tcBorders>
              <w:top w:val="nil"/>
              <w:left w:val="nil"/>
              <w:bottom w:val="nil"/>
              <w:right w:val="nil"/>
              <w:tl2br w:val="nil"/>
              <w:tr2bl w:val="nil"/>
            </w:tcBorders>
            <w:shd w:val="clear" w:color="auto" w:fill="auto"/>
            <w:tcMar>
              <w:left w:w="0" w:type="dxa"/>
              <w:right w:w="0" w:type="dxa"/>
            </w:tcMar>
            <w:vAlign w:val="center"/>
          </w:tcPr>
          <w:p>
            <w:pPr>
              <w:rPr>
                <w:noProof/>
                <w:color w:val="000000"/>
                <w:sz w:val="22"/>
                <w:szCs w:val="22"/>
              </w:rPr>
            </w:pPr>
          </w:p>
        </w:tc>
        <w:tc>
          <w:tcPr>
            <w:tcW w:w="1989"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-55,725,491.89</w:t>
            </w:r>
          </w:p>
        </w:tc>
        <w:tc>
          <w:tcPr>
            <w:tcW w:w="2031"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-86,424,605.56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2"/>
                <w:szCs w:val="22"/>
              </w:rPr>
            </w:pPr>
            <w:r>
              <w:rPr>
                <w:noProof/>
                <w:color w:val="000000"/>
                <w:sz w:val="22"/>
                <w:szCs w:val="22"/>
              </w:rPr>
              <w:t xml:space="preserve">     Guarantee recoveries received from EIB</w:t>
            </w:r>
          </w:p>
        </w:tc>
        <w:tc>
          <w:tcPr>
            <w:tcW w:w="900" w:type="dxa"/>
            <w:tcBorders>
              <w:top w:val="nil"/>
              <w:left w:val="nil"/>
              <w:bottom w:val="nil"/>
              <w:right w:val="nil"/>
              <w:tl2br w:val="nil"/>
              <w:tr2bl w:val="nil"/>
            </w:tcBorders>
            <w:shd w:val="clear" w:color="auto" w:fill="auto"/>
            <w:tcMar>
              <w:left w:w="0" w:type="dxa"/>
              <w:right w:w="0" w:type="dxa"/>
            </w:tcMar>
            <w:vAlign w:val="center"/>
          </w:tcPr>
          <w:p>
            <w:pPr>
              <w:rPr>
                <w:noProof/>
                <w:color w:val="000000"/>
                <w:sz w:val="22"/>
                <w:szCs w:val="22"/>
              </w:rPr>
            </w:pPr>
          </w:p>
        </w:tc>
        <w:tc>
          <w:tcPr>
            <w:tcW w:w="1989"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136,092.88</w:t>
            </w:r>
          </w:p>
        </w:tc>
        <w:tc>
          <w:tcPr>
            <w:tcW w:w="2031"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i/>
                <w:noProof/>
                <w:color w:val="000000"/>
                <w:sz w:val="22"/>
                <w:szCs w:val="22"/>
              </w:rPr>
            </w:pPr>
            <w:r>
              <w:rPr>
                <w:b/>
                <w:i/>
                <w:noProof/>
                <w:color w:val="000000"/>
                <w:sz w:val="22"/>
                <w:szCs w:val="22"/>
              </w:rPr>
              <w:t>Net cash flows used in operating activities</w:t>
            </w:r>
          </w:p>
        </w:tc>
        <w:tc>
          <w:tcPr>
            <w:tcW w:w="900" w:type="dxa"/>
            <w:tcBorders>
              <w:top w:val="nil"/>
              <w:left w:val="nil"/>
              <w:bottom w:val="single" w:sz="4" w:space="0" w:color="000000"/>
              <w:right w:val="nil"/>
              <w:tl2br w:val="nil"/>
              <w:tr2bl w:val="nil"/>
            </w:tcBorders>
            <w:shd w:val="clear" w:color="auto" w:fill="auto"/>
            <w:tcMar>
              <w:left w:w="0" w:type="dxa"/>
              <w:right w:w="0" w:type="dxa"/>
            </w:tcMar>
            <w:vAlign w:val="center"/>
          </w:tcPr>
          <w:p>
            <w:pPr>
              <w:rPr>
                <w:b/>
                <w:i/>
                <w:noProof/>
                <w:color w:val="000000"/>
                <w:sz w:val="22"/>
                <w:szCs w:val="22"/>
              </w:rPr>
            </w:pPr>
          </w:p>
        </w:tc>
        <w:tc>
          <w:tcPr>
            <w:tcW w:w="1989"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i/>
                <w:noProof/>
                <w:color w:val="000000"/>
                <w:sz w:val="22"/>
                <w:szCs w:val="22"/>
              </w:rPr>
            </w:pPr>
            <w:r>
              <w:rPr>
                <w:b/>
                <w:i/>
                <w:noProof/>
                <w:color w:val="000000"/>
                <w:sz w:val="22"/>
                <w:szCs w:val="22"/>
              </w:rPr>
              <w:t>-58,507,386.37</w:t>
            </w:r>
          </w:p>
        </w:tc>
        <w:tc>
          <w:tcPr>
            <w:tcW w:w="2031"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i/>
                <w:noProof/>
                <w:color w:val="000000"/>
                <w:sz w:val="22"/>
                <w:szCs w:val="22"/>
              </w:rPr>
            </w:pPr>
            <w:r>
              <w:rPr>
                <w:b/>
                <w:i/>
                <w:noProof/>
                <w:color w:val="000000"/>
                <w:sz w:val="22"/>
                <w:szCs w:val="22"/>
              </w:rPr>
              <w:t>-87,500,189.32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22"/>
                <w:szCs w:val="22"/>
              </w:rPr>
            </w:pPr>
            <w:r>
              <w:rPr>
                <w:b/>
                <w:noProof/>
                <w:color w:val="000000"/>
                <w:sz w:val="22"/>
                <w:szCs w:val="22"/>
              </w:rPr>
              <w:t>Investing activities</w:t>
            </w: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pPr>
              <w:rPr>
                <w:b/>
                <w:noProof/>
                <w:color w:val="000000"/>
                <w:sz w:val="22"/>
                <w:szCs w:val="22"/>
              </w:rPr>
            </w:pPr>
          </w:p>
        </w:tc>
        <w:tc>
          <w:tcPr>
            <w:tcW w:w="1989"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pPr>
              <w:rPr>
                <w:noProof/>
                <w:color w:val="000000"/>
                <w:sz w:val="22"/>
                <w:szCs w:val="22"/>
              </w:rPr>
            </w:pPr>
          </w:p>
        </w:tc>
        <w:tc>
          <w:tcPr>
            <w:tcW w:w="2031"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pPr>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 xml:space="preserve">     Net interest paid on cash and cash equivalents</w:t>
            </w: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rPr>
                <w:noProof/>
                <w:color w:val="000000"/>
                <w:sz w:val="22"/>
                <w:szCs w:val="22"/>
              </w:rPr>
            </w:pPr>
          </w:p>
        </w:tc>
        <w:tc>
          <w:tcPr>
            <w:tcW w:w="1989"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-943,568.82</w:t>
            </w:r>
          </w:p>
        </w:tc>
        <w:tc>
          <w:tcPr>
            <w:tcW w:w="2031"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-946,897.88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 xml:space="preserve">     Purchase of investments - Bond portfolio</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center"/>
              <w:rPr>
                <w:noProof/>
                <w:color w:val="000000"/>
                <w:sz w:val="22"/>
                <w:szCs w:val="22"/>
              </w:rPr>
            </w:pPr>
            <w:r>
              <w:rPr>
                <w:noProof/>
                <w:color w:val="000000"/>
                <w:sz w:val="22"/>
                <w:szCs w:val="22"/>
              </w:rPr>
              <w:t>5</w:t>
            </w:r>
          </w:p>
        </w:tc>
        <w:tc>
          <w:tcPr>
            <w:tcW w:w="1989"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-1,067,048,346.00</w:t>
            </w:r>
          </w:p>
        </w:tc>
        <w:tc>
          <w:tcPr>
            <w:tcW w:w="2031"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-831,402,720.51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 xml:space="preserve">     Proceeds of investments - Bond portfolio</w:t>
            </w:r>
          </w:p>
        </w:tc>
        <w:tc>
          <w:tcPr>
            <w:tcW w:w="900" w:type="dxa"/>
            <w:tcBorders>
              <w:top w:val="nil"/>
              <w:left w:val="nil"/>
              <w:bottom w:val="nil"/>
              <w:right w:val="nil"/>
              <w:tl2br w:val="nil"/>
              <w:tr2bl w:val="nil"/>
            </w:tcBorders>
            <w:shd w:val="clear" w:color="auto" w:fill="auto"/>
            <w:tcMar>
              <w:left w:w="0" w:type="dxa"/>
              <w:right w:w="0" w:type="dxa"/>
            </w:tcMar>
            <w:vAlign w:val="center"/>
          </w:tcPr>
          <w:p>
            <w:pPr>
              <w:rPr>
                <w:noProof/>
                <w:color w:val="000000"/>
                <w:sz w:val="22"/>
                <w:szCs w:val="22"/>
              </w:rPr>
            </w:pPr>
          </w:p>
        </w:tc>
        <w:tc>
          <w:tcPr>
            <w:tcW w:w="1989"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781,731,604.17</w:t>
            </w:r>
          </w:p>
        </w:tc>
        <w:tc>
          <w:tcPr>
            <w:tcW w:w="2031"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678,490,886.73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 xml:space="preserve">     Interest received - Bond portfolio</w:t>
            </w:r>
          </w:p>
        </w:tc>
        <w:tc>
          <w:tcPr>
            <w:tcW w:w="900" w:type="dxa"/>
            <w:tcBorders>
              <w:top w:val="nil"/>
              <w:left w:val="nil"/>
              <w:bottom w:val="nil"/>
              <w:right w:val="nil"/>
              <w:tl2br w:val="nil"/>
              <w:tr2bl w:val="nil"/>
            </w:tcBorders>
            <w:shd w:val="clear" w:color="auto" w:fill="auto"/>
            <w:tcMar>
              <w:left w:w="0" w:type="dxa"/>
              <w:right w:w="0" w:type="dxa"/>
            </w:tcMar>
            <w:vAlign w:val="center"/>
          </w:tcPr>
          <w:p>
            <w:pPr>
              <w:rPr>
                <w:noProof/>
                <w:color w:val="000000"/>
                <w:sz w:val="22"/>
                <w:szCs w:val="22"/>
              </w:rPr>
            </w:pPr>
          </w:p>
        </w:tc>
        <w:tc>
          <w:tcPr>
            <w:tcW w:w="1989"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24,288,343.98</w:t>
            </w:r>
          </w:p>
        </w:tc>
        <w:tc>
          <w:tcPr>
            <w:tcW w:w="2031"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27,956,264.34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 xml:space="preserve">     Income from securities lending activity</w:t>
            </w:r>
          </w:p>
        </w:tc>
        <w:tc>
          <w:tcPr>
            <w:tcW w:w="900" w:type="dxa"/>
            <w:tcBorders>
              <w:top w:val="nil"/>
              <w:left w:val="nil"/>
              <w:bottom w:val="nil"/>
              <w:right w:val="nil"/>
              <w:tl2br w:val="nil"/>
              <w:tr2bl w:val="nil"/>
            </w:tcBorders>
            <w:shd w:val="clear" w:color="auto" w:fill="auto"/>
            <w:tcMar>
              <w:left w:w="0" w:type="dxa"/>
              <w:right w:w="0" w:type="dxa"/>
            </w:tcMar>
            <w:vAlign w:val="center"/>
          </w:tcPr>
          <w:p>
            <w:pPr>
              <w:rPr>
                <w:noProof/>
                <w:color w:val="000000"/>
                <w:sz w:val="22"/>
                <w:szCs w:val="22"/>
              </w:rPr>
            </w:pPr>
          </w:p>
        </w:tc>
        <w:tc>
          <w:tcPr>
            <w:tcW w:w="1989"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76,535.48</w:t>
            </w:r>
          </w:p>
        </w:tc>
        <w:tc>
          <w:tcPr>
            <w:tcW w:w="2031"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100,034.32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i/>
                <w:noProof/>
                <w:color w:val="000000"/>
                <w:sz w:val="22"/>
                <w:szCs w:val="22"/>
              </w:rPr>
            </w:pPr>
            <w:r>
              <w:rPr>
                <w:b/>
                <w:i/>
                <w:noProof/>
                <w:color w:val="000000"/>
                <w:sz w:val="22"/>
                <w:szCs w:val="22"/>
              </w:rPr>
              <w:t>Net cash flows used in investing activities</w:t>
            </w:r>
          </w:p>
        </w:tc>
        <w:tc>
          <w:tcPr>
            <w:tcW w:w="900" w:type="dxa"/>
            <w:tcBorders>
              <w:top w:val="nil"/>
              <w:left w:val="nil"/>
              <w:bottom w:val="single" w:sz="4" w:space="0" w:color="000000"/>
              <w:right w:val="nil"/>
              <w:tl2br w:val="nil"/>
              <w:tr2bl w:val="nil"/>
            </w:tcBorders>
            <w:shd w:val="clear" w:color="auto" w:fill="auto"/>
            <w:tcMar>
              <w:left w:w="0" w:type="dxa"/>
              <w:right w:w="0" w:type="dxa"/>
            </w:tcMar>
            <w:vAlign w:val="center"/>
          </w:tcPr>
          <w:p>
            <w:pPr>
              <w:rPr>
                <w:b/>
                <w:i/>
                <w:noProof/>
                <w:color w:val="000000"/>
                <w:sz w:val="22"/>
                <w:szCs w:val="22"/>
              </w:rPr>
            </w:pPr>
          </w:p>
        </w:tc>
        <w:tc>
          <w:tcPr>
            <w:tcW w:w="1989"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i/>
                <w:noProof/>
                <w:color w:val="000000"/>
                <w:sz w:val="22"/>
                <w:szCs w:val="22"/>
              </w:rPr>
            </w:pPr>
            <w:r>
              <w:rPr>
                <w:b/>
                <w:i/>
                <w:noProof/>
                <w:color w:val="000000"/>
                <w:sz w:val="22"/>
                <w:szCs w:val="22"/>
              </w:rPr>
              <w:t>-261,895,431.19</w:t>
            </w:r>
          </w:p>
        </w:tc>
        <w:tc>
          <w:tcPr>
            <w:tcW w:w="2031"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i/>
                <w:noProof/>
                <w:color w:val="000000"/>
                <w:sz w:val="22"/>
                <w:szCs w:val="22"/>
              </w:rPr>
            </w:pPr>
            <w:r>
              <w:rPr>
                <w:b/>
                <w:i/>
                <w:noProof/>
                <w:color w:val="000000"/>
                <w:sz w:val="22"/>
                <w:szCs w:val="22"/>
              </w:rPr>
              <w:t>-125,802,433.00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22"/>
                <w:szCs w:val="22"/>
              </w:rPr>
            </w:pPr>
            <w:r>
              <w:rPr>
                <w:b/>
                <w:noProof/>
                <w:color w:val="000000"/>
                <w:sz w:val="22"/>
                <w:szCs w:val="22"/>
              </w:rPr>
              <w:t>Financing activities</w:t>
            </w: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pPr>
              <w:rPr>
                <w:b/>
                <w:noProof/>
                <w:color w:val="000000"/>
                <w:sz w:val="22"/>
                <w:szCs w:val="22"/>
              </w:rPr>
            </w:pPr>
          </w:p>
        </w:tc>
        <w:tc>
          <w:tcPr>
            <w:tcW w:w="1989"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pPr>
              <w:rPr>
                <w:i/>
                <w:noProof/>
                <w:color w:val="000000"/>
                <w:sz w:val="22"/>
                <w:szCs w:val="22"/>
              </w:rPr>
            </w:pPr>
          </w:p>
        </w:tc>
        <w:tc>
          <w:tcPr>
            <w:tcW w:w="2031"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pPr>
              <w:rPr>
                <w:i/>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single" w:sz="4" w:space="0" w:color="000000"/>
              <w:left w:val="nil"/>
              <w:bottom w:val="nil"/>
              <w:right w:val="nil"/>
              <w:tl2br w:val="nil"/>
              <w:tr2bl w:val="nil"/>
            </w:tcBorders>
            <w:shd w:val="clear" w:color="auto" w:fill="auto"/>
            <w:tcMar>
              <w:left w:w="40" w:type="dxa"/>
              <w:right w:w="40" w:type="dxa"/>
            </w:tcMar>
            <w:vAlign w:val="center"/>
          </w:tcPr>
          <w:p>
            <w:pPr>
              <w:rPr>
                <w:noProof/>
                <w:color w:val="000000"/>
                <w:sz w:val="22"/>
                <w:szCs w:val="22"/>
              </w:rPr>
            </w:pPr>
            <w:r>
              <w:rPr>
                <w:noProof/>
                <w:color w:val="000000"/>
                <w:sz w:val="22"/>
                <w:szCs w:val="22"/>
              </w:rPr>
              <w:t xml:space="preserve">      Contributions received from the European Commission </w:t>
            </w:r>
          </w:p>
        </w:tc>
        <w:tc>
          <w:tcPr>
            <w:tcW w:w="90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center"/>
              <w:rPr>
                <w:noProof/>
                <w:color w:val="000000"/>
                <w:sz w:val="22"/>
                <w:szCs w:val="22"/>
              </w:rPr>
            </w:pPr>
            <w:r>
              <w:rPr>
                <w:noProof/>
                <w:color w:val="000000"/>
                <w:sz w:val="22"/>
                <w:szCs w:val="22"/>
              </w:rPr>
              <w:t>7</w:t>
            </w:r>
          </w:p>
        </w:tc>
        <w:tc>
          <w:tcPr>
            <w:tcW w:w="1989"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137,800,722.00</w:t>
            </w:r>
          </w:p>
        </w:tc>
        <w:tc>
          <w:tcPr>
            <w:tcW w:w="2031"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240,540,250.00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i/>
                <w:noProof/>
                <w:color w:val="000000"/>
                <w:sz w:val="22"/>
                <w:szCs w:val="22"/>
              </w:rPr>
            </w:pPr>
            <w:r>
              <w:rPr>
                <w:b/>
                <w:i/>
                <w:noProof/>
                <w:color w:val="000000"/>
                <w:sz w:val="22"/>
                <w:szCs w:val="22"/>
              </w:rPr>
              <w:t> Net cash flows from financing activities</w:t>
            </w:r>
          </w:p>
        </w:tc>
        <w:tc>
          <w:tcPr>
            <w:tcW w:w="900" w:type="dxa"/>
            <w:tcBorders>
              <w:top w:val="nil"/>
              <w:left w:val="nil"/>
              <w:bottom w:val="single" w:sz="4" w:space="0" w:color="000000"/>
              <w:right w:val="nil"/>
              <w:tl2br w:val="nil"/>
              <w:tr2bl w:val="nil"/>
            </w:tcBorders>
            <w:shd w:val="clear" w:color="auto" w:fill="auto"/>
            <w:tcMar>
              <w:left w:w="0" w:type="dxa"/>
              <w:right w:w="0" w:type="dxa"/>
            </w:tcMar>
            <w:vAlign w:val="center"/>
          </w:tcPr>
          <w:p>
            <w:pPr>
              <w:rPr>
                <w:b/>
                <w:i/>
                <w:noProof/>
                <w:color w:val="000000"/>
                <w:sz w:val="22"/>
                <w:szCs w:val="22"/>
              </w:rPr>
            </w:pPr>
          </w:p>
        </w:tc>
        <w:tc>
          <w:tcPr>
            <w:tcW w:w="1989"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i/>
                <w:noProof/>
                <w:color w:val="000000"/>
                <w:sz w:val="22"/>
                <w:szCs w:val="22"/>
              </w:rPr>
            </w:pPr>
            <w:r>
              <w:rPr>
                <w:b/>
                <w:i/>
                <w:noProof/>
                <w:color w:val="000000"/>
                <w:sz w:val="22"/>
                <w:szCs w:val="22"/>
              </w:rPr>
              <w:t>137,800,722.00</w:t>
            </w:r>
          </w:p>
        </w:tc>
        <w:tc>
          <w:tcPr>
            <w:tcW w:w="2031"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i/>
                <w:noProof/>
                <w:color w:val="000000"/>
                <w:sz w:val="22"/>
                <w:szCs w:val="22"/>
              </w:rPr>
            </w:pPr>
            <w:r>
              <w:rPr>
                <w:b/>
                <w:i/>
                <w:noProof/>
                <w:color w:val="000000"/>
                <w:sz w:val="22"/>
                <w:szCs w:val="22"/>
              </w:rPr>
              <w:t>240,540,250.00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single" w:sz="4" w:space="0" w:color="000000"/>
              <w:left w:val="nil"/>
              <w:bottom w:val="single" w:sz="4" w:space="0" w:color="000000"/>
              <w:right w:val="nil"/>
              <w:tl2br w:val="nil"/>
              <w:tr2bl w:val="nil"/>
            </w:tcBorders>
            <w:shd w:val="clear" w:color="FFFFFF" w:fill="C0C0C0"/>
            <w:tcMar>
              <w:left w:w="40" w:type="dxa"/>
              <w:right w:w="40" w:type="dxa"/>
            </w:tcMar>
            <w:vAlign w:val="center"/>
          </w:tcPr>
          <w:p>
            <w:pPr>
              <w:rPr>
                <w:noProof/>
                <w:color w:val="000000"/>
                <w:sz w:val="22"/>
                <w:szCs w:val="22"/>
              </w:rPr>
            </w:pPr>
            <w:r>
              <w:rPr>
                <w:noProof/>
                <w:color w:val="000000"/>
                <w:sz w:val="22"/>
                <w:szCs w:val="22"/>
              </w:rPr>
              <w:t>Net (decrease)/increase in cash and cash equivalents</w:t>
            </w:r>
          </w:p>
        </w:tc>
        <w:tc>
          <w:tcPr>
            <w:tcW w:w="900" w:type="dxa"/>
            <w:tcBorders>
              <w:top w:val="single" w:sz="4" w:space="0" w:color="000000"/>
              <w:left w:val="nil"/>
              <w:bottom w:val="single" w:sz="4" w:space="0" w:color="000000"/>
              <w:right w:val="nil"/>
              <w:tl2br w:val="nil"/>
              <w:tr2bl w:val="nil"/>
            </w:tcBorders>
            <w:shd w:val="clear" w:color="FFFFFF" w:fill="C0C0C0"/>
            <w:tcMar>
              <w:left w:w="0" w:type="dxa"/>
              <w:right w:w="0" w:type="dxa"/>
            </w:tcMar>
            <w:vAlign w:val="center"/>
          </w:tcPr>
          <w:p>
            <w:pPr>
              <w:rPr>
                <w:noProof/>
                <w:color w:val="000000"/>
                <w:sz w:val="22"/>
                <w:szCs w:val="22"/>
              </w:rPr>
            </w:pPr>
          </w:p>
        </w:tc>
        <w:tc>
          <w:tcPr>
            <w:tcW w:w="1989" w:type="dxa"/>
            <w:tcBorders>
              <w:top w:val="single" w:sz="4" w:space="0" w:color="000000"/>
              <w:left w:val="nil"/>
              <w:bottom w:val="single" w:sz="4" w:space="0" w:color="000000"/>
              <w:right w:val="nil"/>
              <w:tl2br w:val="nil"/>
              <w:tr2bl w:val="nil"/>
            </w:tcBorders>
            <w:shd w:val="clear" w:color="FFFFFF" w:fill="C0C0C0"/>
            <w:tcMar>
              <w:left w:w="40" w:type="dxa"/>
              <w:right w:w="40" w:type="dxa"/>
            </w:tcMar>
            <w:vAlign w:val="center"/>
          </w:tcPr>
          <w:p>
            <w:pPr>
              <w:jc w:val="right"/>
              <w:rPr>
                <w:noProof/>
                <w:color w:val="000000"/>
                <w:sz w:val="22"/>
                <w:szCs w:val="22"/>
              </w:rPr>
            </w:pPr>
            <w:r>
              <w:rPr>
                <w:noProof/>
                <w:color w:val="000000"/>
                <w:sz w:val="22"/>
                <w:szCs w:val="22"/>
              </w:rPr>
              <w:t>-182,602,095.56</w:t>
            </w:r>
          </w:p>
        </w:tc>
        <w:tc>
          <w:tcPr>
            <w:tcW w:w="2031" w:type="dxa"/>
            <w:tcBorders>
              <w:top w:val="single" w:sz="4" w:space="0" w:color="000000"/>
              <w:left w:val="nil"/>
              <w:bottom w:val="single" w:sz="4" w:space="0" w:color="000000"/>
              <w:right w:val="nil"/>
              <w:tl2br w:val="nil"/>
              <w:tr2bl w:val="nil"/>
            </w:tcBorders>
            <w:shd w:val="clear" w:color="FFFFFF" w:fill="C0C0C0"/>
            <w:tcMar>
              <w:left w:w="40" w:type="dxa"/>
              <w:right w:w="40" w:type="dxa"/>
            </w:tcMar>
            <w:vAlign w:val="center"/>
          </w:tcPr>
          <w:p>
            <w:pPr>
              <w:jc w:val="right"/>
              <w:rPr>
                <w:noProof/>
                <w:color w:val="000000"/>
                <w:sz w:val="22"/>
                <w:szCs w:val="22"/>
              </w:rPr>
            </w:pPr>
            <w:r>
              <w:rPr>
                <w:noProof/>
                <w:color w:val="000000"/>
                <w:sz w:val="22"/>
                <w:szCs w:val="22"/>
              </w:rPr>
              <w:t>27,237,627.68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single" w:sz="4" w:space="0" w:color="000000"/>
              <w:left w:val="nil"/>
              <w:bottom w:val="nil"/>
              <w:right w:val="nil"/>
              <w:tl2br w:val="nil"/>
              <w:tr2bl w:val="nil"/>
            </w:tcBorders>
            <w:shd w:val="clear" w:color="auto" w:fill="auto"/>
            <w:tcMar>
              <w:left w:w="0" w:type="dxa"/>
              <w:right w:w="0" w:type="dxa"/>
            </w:tcMar>
            <w:vAlign w:val="center"/>
          </w:tcPr>
          <w:p>
            <w:pPr>
              <w:rPr>
                <w:noProof/>
                <w:color w:val="000000"/>
                <w:sz w:val="22"/>
                <w:szCs w:val="22"/>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center"/>
          </w:tcPr>
          <w:p>
            <w:pPr>
              <w:rPr>
                <w:noProof/>
                <w:color w:val="000000"/>
                <w:sz w:val="22"/>
                <w:szCs w:val="22"/>
              </w:rPr>
            </w:pPr>
          </w:p>
        </w:tc>
        <w:tc>
          <w:tcPr>
            <w:tcW w:w="1989" w:type="dxa"/>
            <w:tcBorders>
              <w:top w:val="single" w:sz="4" w:space="0" w:color="000000"/>
              <w:left w:val="nil"/>
              <w:bottom w:val="nil"/>
              <w:right w:val="nil"/>
              <w:tl2br w:val="nil"/>
              <w:tr2bl w:val="nil"/>
            </w:tcBorders>
            <w:shd w:val="clear" w:color="auto" w:fill="auto"/>
            <w:tcMar>
              <w:left w:w="0" w:type="dxa"/>
              <w:right w:w="0" w:type="dxa"/>
            </w:tcMar>
            <w:vAlign w:val="center"/>
          </w:tcPr>
          <w:p>
            <w:pPr>
              <w:jc w:val="right"/>
              <w:rPr>
                <w:noProof/>
                <w:color w:val="000000"/>
                <w:sz w:val="22"/>
                <w:szCs w:val="22"/>
              </w:rPr>
            </w:pPr>
          </w:p>
        </w:tc>
        <w:tc>
          <w:tcPr>
            <w:tcW w:w="2031" w:type="dxa"/>
            <w:tcBorders>
              <w:top w:val="single" w:sz="4" w:space="0" w:color="000000"/>
              <w:left w:val="nil"/>
              <w:bottom w:val="nil"/>
              <w:right w:val="nil"/>
              <w:tl2br w:val="nil"/>
              <w:tr2bl w:val="nil"/>
            </w:tcBorders>
            <w:shd w:val="clear" w:color="auto" w:fill="auto"/>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i/>
                <w:noProof/>
                <w:color w:val="000000"/>
                <w:sz w:val="22"/>
                <w:szCs w:val="22"/>
              </w:rPr>
            </w:pPr>
            <w:r>
              <w:rPr>
                <w:b/>
                <w:i/>
                <w:noProof/>
                <w:color w:val="000000"/>
                <w:sz w:val="22"/>
                <w:szCs w:val="22"/>
              </w:rPr>
              <w:t>Cash and cash equivalents at the beginning of the financial year</w:t>
            </w:r>
          </w:p>
        </w:tc>
        <w:tc>
          <w:tcPr>
            <w:tcW w:w="900" w:type="dxa"/>
            <w:tcBorders>
              <w:top w:val="nil"/>
              <w:left w:val="nil"/>
              <w:bottom w:val="single" w:sz="4" w:space="0" w:color="000000"/>
              <w:right w:val="nil"/>
              <w:tl2br w:val="nil"/>
              <w:tr2bl w:val="nil"/>
            </w:tcBorders>
            <w:shd w:val="clear" w:color="auto" w:fill="auto"/>
            <w:tcMar>
              <w:left w:w="0" w:type="dxa"/>
              <w:right w:w="0" w:type="dxa"/>
            </w:tcMar>
            <w:vAlign w:val="center"/>
          </w:tcPr>
          <w:p>
            <w:pPr>
              <w:rPr>
                <w:b/>
                <w:i/>
                <w:noProof/>
                <w:color w:val="000000"/>
                <w:sz w:val="22"/>
                <w:szCs w:val="22"/>
              </w:rPr>
            </w:pPr>
          </w:p>
        </w:tc>
        <w:tc>
          <w:tcPr>
            <w:tcW w:w="1989"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i/>
                <w:noProof/>
                <w:color w:val="000000"/>
                <w:sz w:val="22"/>
                <w:szCs w:val="22"/>
              </w:rPr>
            </w:pPr>
            <w:r>
              <w:rPr>
                <w:b/>
                <w:i/>
                <w:noProof/>
                <w:color w:val="000000"/>
                <w:sz w:val="22"/>
                <w:szCs w:val="22"/>
              </w:rPr>
              <w:t>224,169,131.18</w:t>
            </w:r>
          </w:p>
        </w:tc>
        <w:tc>
          <w:tcPr>
            <w:tcW w:w="2031"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i/>
                <w:noProof/>
                <w:color w:val="000000"/>
                <w:sz w:val="22"/>
                <w:szCs w:val="22"/>
              </w:rPr>
            </w:pPr>
            <w:r>
              <w:rPr>
                <w:b/>
                <w:i/>
                <w:noProof/>
                <w:color w:val="000000"/>
                <w:sz w:val="22"/>
                <w:szCs w:val="22"/>
              </w:rPr>
              <w:t>196,931,503.50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single" w:sz="4" w:space="0" w:color="000000"/>
              <w:left w:val="nil"/>
              <w:bottom w:val="single" w:sz="4" w:space="0" w:color="000000"/>
              <w:right w:val="nil"/>
              <w:tl2br w:val="nil"/>
              <w:tr2bl w:val="nil"/>
            </w:tcBorders>
            <w:shd w:val="clear" w:color="FFFFFF" w:fill="C0C0C0"/>
            <w:tcMar>
              <w:left w:w="40" w:type="dxa"/>
              <w:right w:w="40" w:type="dxa"/>
            </w:tcMar>
            <w:vAlign w:val="center"/>
          </w:tcPr>
          <w:p>
            <w:pPr>
              <w:rPr>
                <w:b/>
                <w:i/>
                <w:noProof/>
                <w:color w:val="000000"/>
                <w:sz w:val="22"/>
                <w:szCs w:val="22"/>
              </w:rPr>
            </w:pPr>
            <w:r>
              <w:rPr>
                <w:b/>
                <w:i/>
                <w:noProof/>
                <w:color w:val="000000"/>
                <w:sz w:val="22"/>
                <w:szCs w:val="22"/>
              </w:rPr>
              <w:t>Cash and cash equivalents at the end of the financial year</w:t>
            </w:r>
          </w:p>
        </w:tc>
        <w:tc>
          <w:tcPr>
            <w:tcW w:w="900" w:type="dxa"/>
            <w:tcBorders>
              <w:top w:val="single" w:sz="4" w:space="0" w:color="000000"/>
              <w:left w:val="nil"/>
              <w:bottom w:val="single" w:sz="4" w:space="0" w:color="000000"/>
              <w:right w:val="nil"/>
              <w:tl2br w:val="nil"/>
              <w:tr2bl w:val="nil"/>
            </w:tcBorders>
            <w:shd w:val="clear" w:color="FFFFFF" w:fill="C0C0C0"/>
            <w:tcMar>
              <w:left w:w="0" w:type="dxa"/>
              <w:right w:w="0" w:type="dxa"/>
            </w:tcMar>
            <w:vAlign w:val="center"/>
          </w:tcPr>
          <w:p>
            <w:pPr>
              <w:rPr>
                <w:b/>
                <w:i/>
                <w:noProof/>
                <w:color w:val="000000"/>
                <w:sz w:val="22"/>
                <w:szCs w:val="22"/>
              </w:rPr>
            </w:pPr>
          </w:p>
        </w:tc>
        <w:tc>
          <w:tcPr>
            <w:tcW w:w="1989" w:type="dxa"/>
            <w:tcBorders>
              <w:top w:val="single" w:sz="4" w:space="0" w:color="000000"/>
              <w:left w:val="nil"/>
              <w:bottom w:val="single" w:sz="4" w:space="0" w:color="000000"/>
              <w:right w:val="nil"/>
              <w:tl2br w:val="nil"/>
              <w:tr2bl w:val="nil"/>
            </w:tcBorders>
            <w:shd w:val="clear" w:color="FFFFFF" w:fill="C0C0C0"/>
            <w:tcMar>
              <w:left w:w="40" w:type="dxa"/>
              <w:right w:w="40" w:type="dxa"/>
            </w:tcMar>
            <w:vAlign w:val="center"/>
          </w:tcPr>
          <w:p>
            <w:pPr>
              <w:jc w:val="right"/>
              <w:rPr>
                <w:b/>
                <w:i/>
                <w:noProof/>
                <w:color w:val="000000"/>
                <w:sz w:val="22"/>
                <w:szCs w:val="22"/>
              </w:rPr>
            </w:pPr>
            <w:r>
              <w:rPr>
                <w:b/>
                <w:i/>
                <w:noProof/>
                <w:color w:val="000000"/>
                <w:sz w:val="22"/>
                <w:szCs w:val="22"/>
              </w:rPr>
              <w:t>41,567,035.62</w:t>
            </w:r>
          </w:p>
        </w:tc>
        <w:tc>
          <w:tcPr>
            <w:tcW w:w="2031" w:type="dxa"/>
            <w:tcBorders>
              <w:top w:val="single" w:sz="4" w:space="0" w:color="000000"/>
              <w:left w:val="nil"/>
              <w:bottom w:val="single" w:sz="4" w:space="0" w:color="000000"/>
              <w:right w:val="nil"/>
              <w:tl2br w:val="nil"/>
              <w:tr2bl w:val="nil"/>
            </w:tcBorders>
            <w:shd w:val="clear" w:color="FFFFFF" w:fill="C0C0C0"/>
            <w:tcMar>
              <w:left w:w="40" w:type="dxa"/>
              <w:right w:w="40" w:type="dxa"/>
            </w:tcMar>
            <w:vAlign w:val="center"/>
          </w:tcPr>
          <w:p>
            <w:pPr>
              <w:jc w:val="right"/>
              <w:rPr>
                <w:b/>
                <w:i/>
                <w:noProof/>
                <w:color w:val="000000"/>
                <w:sz w:val="22"/>
                <w:szCs w:val="22"/>
              </w:rPr>
            </w:pPr>
            <w:r>
              <w:rPr>
                <w:b/>
                <w:i/>
                <w:noProof/>
                <w:color w:val="000000"/>
                <w:sz w:val="22"/>
                <w:szCs w:val="22"/>
              </w:rPr>
              <w:t>224,169,131.18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75" w:type="dxa"/>
            <w:tcBorders>
              <w:top w:val="single" w:sz="4" w:space="0" w:color="000000"/>
              <w:left w:val="nil"/>
              <w:bottom w:val="nil"/>
              <w:right w:val="nil"/>
              <w:tl2br w:val="nil"/>
              <w:tr2bl w:val="nil"/>
            </w:tcBorders>
            <w:shd w:val="clear" w:color="auto" w:fill="auto"/>
            <w:tcMar>
              <w:left w:w="0" w:type="dxa"/>
              <w:right w:w="0" w:type="dxa"/>
            </w:tcMar>
            <w:vAlign w:val="center"/>
          </w:tcPr>
          <w:p>
            <w:pPr>
              <w:rPr>
                <w:b/>
                <w:i/>
                <w:noProof/>
                <w:color w:val="000000"/>
                <w:sz w:val="22"/>
                <w:szCs w:val="22"/>
              </w:rPr>
            </w:pPr>
          </w:p>
        </w:tc>
        <w:tc>
          <w:tcPr>
            <w:tcW w:w="900" w:type="dxa"/>
            <w:tcBorders>
              <w:top w:val="single" w:sz="4" w:space="0" w:color="000000"/>
              <w:left w:val="nil"/>
              <w:bottom w:val="nil"/>
              <w:right w:val="nil"/>
              <w:tl2br w:val="nil"/>
              <w:tr2bl w:val="nil"/>
            </w:tcBorders>
            <w:shd w:val="clear" w:color="auto" w:fill="auto"/>
            <w:tcMar>
              <w:left w:w="0" w:type="dxa"/>
              <w:right w:w="0" w:type="dxa"/>
            </w:tcMar>
            <w:vAlign w:val="center"/>
          </w:tcPr>
          <w:p>
            <w:pPr>
              <w:rPr>
                <w:b/>
                <w:i/>
                <w:noProof/>
                <w:color w:val="000000"/>
                <w:sz w:val="22"/>
                <w:szCs w:val="22"/>
              </w:rPr>
            </w:pPr>
          </w:p>
        </w:tc>
        <w:tc>
          <w:tcPr>
            <w:tcW w:w="1989" w:type="dxa"/>
            <w:tcBorders>
              <w:top w:val="single" w:sz="4" w:space="0" w:color="000000"/>
              <w:left w:val="nil"/>
              <w:bottom w:val="nil"/>
              <w:right w:val="nil"/>
              <w:tl2br w:val="nil"/>
              <w:tr2bl w:val="nil"/>
            </w:tcBorders>
            <w:shd w:val="clear" w:color="auto" w:fill="auto"/>
            <w:tcMar>
              <w:left w:w="0" w:type="dxa"/>
              <w:right w:w="0" w:type="dxa"/>
            </w:tcMar>
            <w:vAlign w:val="center"/>
          </w:tcPr>
          <w:p>
            <w:pPr>
              <w:jc w:val="right"/>
              <w:rPr>
                <w:b/>
                <w:i/>
                <w:noProof/>
                <w:color w:val="000000"/>
                <w:sz w:val="22"/>
                <w:szCs w:val="22"/>
              </w:rPr>
            </w:pPr>
          </w:p>
        </w:tc>
        <w:tc>
          <w:tcPr>
            <w:tcW w:w="2031" w:type="dxa"/>
            <w:tcBorders>
              <w:top w:val="single" w:sz="4" w:space="0" w:color="000000"/>
              <w:left w:val="nil"/>
              <w:bottom w:val="nil"/>
              <w:right w:val="nil"/>
              <w:tl2br w:val="nil"/>
              <w:tr2bl w:val="nil"/>
            </w:tcBorders>
            <w:shd w:val="clear" w:color="auto" w:fill="auto"/>
            <w:tcMar>
              <w:left w:w="0" w:type="dxa"/>
              <w:right w:w="0" w:type="dxa"/>
            </w:tcMar>
            <w:vAlign w:val="center"/>
          </w:tcPr>
          <w:p>
            <w:pPr>
              <w:jc w:val="right"/>
              <w:rPr>
                <w:b/>
                <w:i/>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nil"/>
              <w:left w:val="nil"/>
              <w:bottom w:val="nil"/>
              <w:right w:val="nil"/>
              <w:tl2br w:val="nil"/>
              <w:tr2bl w:val="nil"/>
            </w:tcBorders>
            <w:shd w:val="clear" w:color="auto" w:fill="auto"/>
            <w:tcMar>
              <w:left w:w="0" w:type="dxa"/>
              <w:right w:w="0" w:type="dxa"/>
            </w:tcMar>
            <w:vAlign w:val="center"/>
          </w:tcPr>
          <w:p>
            <w:pPr>
              <w:rPr>
                <w:b/>
                <w:i/>
                <w:noProof/>
                <w:color w:val="000000"/>
                <w:sz w:val="22"/>
                <w:szCs w:val="22"/>
              </w:rPr>
            </w:pPr>
          </w:p>
        </w:tc>
        <w:tc>
          <w:tcPr>
            <w:tcW w:w="900" w:type="dxa"/>
            <w:tcBorders>
              <w:top w:val="nil"/>
              <w:left w:val="nil"/>
              <w:bottom w:val="nil"/>
              <w:right w:val="nil"/>
              <w:tl2br w:val="nil"/>
              <w:tr2bl w:val="nil"/>
            </w:tcBorders>
            <w:shd w:val="clear" w:color="auto" w:fill="auto"/>
            <w:tcMar>
              <w:left w:w="0" w:type="dxa"/>
              <w:right w:w="0" w:type="dxa"/>
            </w:tcMar>
            <w:vAlign w:val="center"/>
          </w:tcPr>
          <w:p>
            <w:pPr>
              <w:rPr>
                <w:b/>
                <w:i/>
                <w:noProof/>
                <w:color w:val="000000"/>
                <w:sz w:val="22"/>
                <w:szCs w:val="22"/>
              </w:rPr>
            </w:pPr>
          </w:p>
        </w:tc>
        <w:tc>
          <w:tcPr>
            <w:tcW w:w="1989" w:type="dxa"/>
            <w:tcBorders>
              <w:top w:val="nil"/>
              <w:left w:val="nil"/>
              <w:bottom w:val="nil"/>
              <w:right w:val="nil"/>
              <w:tl2br w:val="nil"/>
              <w:tr2bl w:val="nil"/>
            </w:tcBorders>
            <w:shd w:val="clear" w:color="auto" w:fill="auto"/>
            <w:tcMar>
              <w:left w:w="0" w:type="dxa"/>
              <w:right w:w="0" w:type="dxa"/>
            </w:tcMar>
            <w:vAlign w:val="center"/>
          </w:tcPr>
          <w:p>
            <w:pPr>
              <w:jc w:val="right"/>
              <w:rPr>
                <w:b/>
                <w:i/>
                <w:noProof/>
                <w:color w:val="000000"/>
                <w:sz w:val="22"/>
                <w:szCs w:val="22"/>
              </w:rPr>
            </w:pPr>
          </w:p>
        </w:tc>
        <w:tc>
          <w:tcPr>
            <w:tcW w:w="2031" w:type="dxa"/>
            <w:tcBorders>
              <w:top w:val="nil"/>
              <w:left w:val="nil"/>
              <w:bottom w:val="nil"/>
              <w:right w:val="nil"/>
              <w:tl2br w:val="nil"/>
              <w:tr2bl w:val="nil"/>
            </w:tcBorders>
            <w:shd w:val="clear" w:color="auto" w:fill="auto"/>
            <w:tcMar>
              <w:left w:w="0" w:type="dxa"/>
              <w:right w:w="0" w:type="dxa"/>
            </w:tcMar>
            <w:vAlign w:val="center"/>
          </w:tcPr>
          <w:p>
            <w:pPr>
              <w:jc w:val="right"/>
              <w:rPr>
                <w:b/>
                <w:i/>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5475" w:type="dxa"/>
            <w:tcBorders>
              <w:top w:val="nil"/>
              <w:left w:val="nil"/>
              <w:bottom w:val="nil"/>
              <w:right w:val="nil"/>
              <w:tl2br w:val="nil"/>
              <w:tr2bl w:val="nil"/>
            </w:tcBorders>
            <w:shd w:val="clear" w:color="auto" w:fill="auto"/>
            <w:tcMar>
              <w:left w:w="40" w:type="dxa"/>
              <w:right w:w="40" w:type="dxa"/>
            </w:tcMar>
            <w:vAlign w:val="center"/>
          </w:tcPr>
          <w:p>
            <w:pPr>
              <w:rPr>
                <w:b/>
                <w:noProof/>
                <w:color w:val="000000"/>
                <w:sz w:val="22"/>
                <w:szCs w:val="22"/>
              </w:rPr>
            </w:pPr>
            <w:r>
              <w:rPr>
                <w:b/>
                <w:noProof/>
                <w:color w:val="000000"/>
                <w:sz w:val="22"/>
                <w:szCs w:val="22"/>
              </w:rPr>
              <w:t>Cash and cash equivalents are composed of</w:t>
            </w:r>
          </w:p>
          <w:p>
            <w:pPr>
              <w:rPr>
                <w:b/>
                <w:noProof/>
                <w:color w:val="000000"/>
                <w:sz w:val="22"/>
                <w:szCs w:val="22"/>
              </w:rPr>
            </w:pPr>
            <w:r>
              <w:rPr>
                <w:b/>
                <w:noProof/>
                <w:color w:val="000000"/>
                <w:sz w:val="22"/>
                <w:szCs w:val="22"/>
              </w:rPr>
              <w:t>(excluding accrued interest):</w:t>
            </w:r>
          </w:p>
        </w:tc>
        <w:tc>
          <w:tcPr>
            <w:tcW w:w="900" w:type="dxa"/>
            <w:tcBorders>
              <w:top w:val="nil"/>
              <w:left w:val="nil"/>
              <w:bottom w:val="nil"/>
              <w:right w:val="nil"/>
              <w:tl2br w:val="nil"/>
              <w:tr2bl w:val="nil"/>
            </w:tcBorders>
            <w:shd w:val="clear" w:color="auto" w:fill="auto"/>
            <w:tcMar>
              <w:left w:w="0" w:type="dxa"/>
              <w:right w:w="0" w:type="dxa"/>
            </w:tcMar>
            <w:vAlign w:val="center"/>
          </w:tcPr>
          <w:p>
            <w:pPr>
              <w:rPr>
                <w:b/>
                <w:noProof/>
                <w:color w:val="000000"/>
                <w:sz w:val="22"/>
                <w:szCs w:val="22"/>
              </w:rPr>
            </w:pPr>
          </w:p>
        </w:tc>
        <w:tc>
          <w:tcPr>
            <w:tcW w:w="1989" w:type="dxa"/>
            <w:tcBorders>
              <w:top w:val="nil"/>
              <w:left w:val="nil"/>
              <w:bottom w:val="nil"/>
              <w:right w:val="nil"/>
              <w:tl2br w:val="nil"/>
              <w:tr2bl w:val="nil"/>
            </w:tcBorders>
            <w:shd w:val="clear" w:color="auto" w:fill="auto"/>
            <w:tcMar>
              <w:left w:w="0" w:type="dxa"/>
              <w:right w:w="0" w:type="dxa"/>
            </w:tcMar>
            <w:vAlign w:val="center"/>
          </w:tcPr>
          <w:p>
            <w:pPr>
              <w:jc w:val="right"/>
              <w:rPr>
                <w:b/>
                <w:i/>
                <w:noProof/>
                <w:color w:val="000000"/>
                <w:sz w:val="22"/>
                <w:szCs w:val="22"/>
              </w:rPr>
            </w:pPr>
          </w:p>
        </w:tc>
        <w:tc>
          <w:tcPr>
            <w:tcW w:w="2031" w:type="dxa"/>
            <w:tcBorders>
              <w:top w:val="nil"/>
              <w:left w:val="nil"/>
              <w:bottom w:val="nil"/>
              <w:right w:val="nil"/>
              <w:tl2br w:val="nil"/>
              <w:tr2bl w:val="nil"/>
            </w:tcBorders>
            <w:shd w:val="clear" w:color="auto" w:fill="auto"/>
            <w:tcMar>
              <w:left w:w="0" w:type="dxa"/>
              <w:right w:w="0" w:type="dxa"/>
            </w:tcMar>
            <w:vAlign w:val="center"/>
          </w:tcPr>
          <w:p>
            <w:pPr>
              <w:jc w:val="right"/>
              <w:rPr>
                <w:b/>
                <w:i/>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nil"/>
              <w:left w:val="nil"/>
              <w:bottom w:val="nil"/>
              <w:right w:val="nil"/>
              <w:tl2br w:val="nil"/>
              <w:tr2bl w:val="nil"/>
            </w:tcBorders>
            <w:shd w:val="clear" w:color="auto" w:fill="auto"/>
            <w:tcMar>
              <w:left w:w="0" w:type="dxa"/>
              <w:right w:w="0" w:type="dxa"/>
            </w:tcMar>
            <w:vAlign w:val="center"/>
          </w:tcPr>
          <w:p>
            <w:pPr>
              <w:rPr>
                <w:b/>
                <w:noProof/>
                <w:color w:val="000000"/>
                <w:sz w:val="22"/>
                <w:szCs w:val="22"/>
              </w:rPr>
            </w:pPr>
          </w:p>
        </w:tc>
        <w:tc>
          <w:tcPr>
            <w:tcW w:w="900" w:type="dxa"/>
            <w:tcBorders>
              <w:top w:val="nil"/>
              <w:left w:val="nil"/>
              <w:bottom w:val="nil"/>
              <w:right w:val="nil"/>
              <w:tl2br w:val="nil"/>
              <w:tr2bl w:val="nil"/>
            </w:tcBorders>
            <w:shd w:val="clear" w:color="auto" w:fill="auto"/>
            <w:tcMar>
              <w:left w:w="0" w:type="dxa"/>
              <w:right w:w="0" w:type="dxa"/>
            </w:tcMar>
            <w:vAlign w:val="center"/>
          </w:tcPr>
          <w:p>
            <w:pPr>
              <w:rPr>
                <w:b/>
                <w:noProof/>
                <w:color w:val="000000"/>
                <w:sz w:val="22"/>
                <w:szCs w:val="22"/>
              </w:rPr>
            </w:pPr>
          </w:p>
        </w:tc>
        <w:tc>
          <w:tcPr>
            <w:tcW w:w="1989" w:type="dxa"/>
            <w:tcBorders>
              <w:top w:val="nil"/>
              <w:left w:val="nil"/>
              <w:bottom w:val="nil"/>
              <w:right w:val="nil"/>
              <w:tl2br w:val="nil"/>
              <w:tr2bl w:val="nil"/>
            </w:tcBorders>
            <w:shd w:val="clear" w:color="auto" w:fill="auto"/>
            <w:tcMar>
              <w:left w:w="0" w:type="dxa"/>
              <w:right w:w="0" w:type="dxa"/>
            </w:tcMar>
            <w:vAlign w:val="center"/>
          </w:tcPr>
          <w:p>
            <w:pPr>
              <w:jc w:val="right"/>
              <w:rPr>
                <w:b/>
                <w:i/>
                <w:noProof/>
                <w:color w:val="000000"/>
                <w:sz w:val="22"/>
                <w:szCs w:val="22"/>
              </w:rPr>
            </w:pPr>
          </w:p>
        </w:tc>
        <w:tc>
          <w:tcPr>
            <w:tcW w:w="2031" w:type="dxa"/>
            <w:tcBorders>
              <w:top w:val="nil"/>
              <w:left w:val="nil"/>
              <w:bottom w:val="nil"/>
              <w:right w:val="nil"/>
              <w:tl2br w:val="nil"/>
              <w:tr2bl w:val="nil"/>
            </w:tcBorders>
            <w:shd w:val="clear" w:color="auto" w:fill="auto"/>
            <w:tcMar>
              <w:left w:w="0" w:type="dxa"/>
              <w:right w:w="0" w:type="dxa"/>
            </w:tcMar>
            <w:vAlign w:val="center"/>
          </w:tcPr>
          <w:p>
            <w:pPr>
              <w:jc w:val="right"/>
              <w:rPr>
                <w:b/>
                <w:i/>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2"/>
                <w:szCs w:val="22"/>
              </w:rPr>
            </w:pPr>
            <w:r>
              <w:rPr>
                <w:noProof/>
                <w:color w:val="000000"/>
                <w:sz w:val="22"/>
                <w:szCs w:val="22"/>
              </w:rPr>
              <w:t>Current accounts</w:t>
            </w:r>
          </w:p>
        </w:tc>
        <w:tc>
          <w:tcPr>
            <w:tcW w:w="900" w:type="dxa"/>
            <w:tcBorders>
              <w:top w:val="nil"/>
              <w:left w:val="nil"/>
              <w:bottom w:val="nil"/>
              <w:right w:val="nil"/>
              <w:tl2br w:val="nil"/>
              <w:tr2bl w:val="nil"/>
            </w:tcBorders>
            <w:shd w:val="clear" w:color="auto" w:fill="auto"/>
            <w:tcMar>
              <w:left w:w="0" w:type="dxa"/>
              <w:right w:w="0" w:type="dxa"/>
            </w:tcMar>
            <w:vAlign w:val="center"/>
          </w:tcPr>
          <w:p>
            <w:pPr>
              <w:rPr>
                <w:noProof/>
                <w:color w:val="000000"/>
                <w:sz w:val="22"/>
                <w:szCs w:val="22"/>
              </w:rPr>
            </w:pPr>
          </w:p>
        </w:tc>
        <w:tc>
          <w:tcPr>
            <w:tcW w:w="1989"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27,567,035.62</w:t>
            </w:r>
          </w:p>
        </w:tc>
        <w:tc>
          <w:tcPr>
            <w:tcW w:w="2031"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45,569,131.18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4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2"/>
                <w:szCs w:val="22"/>
              </w:rPr>
            </w:pPr>
            <w:r>
              <w:rPr>
                <w:noProof/>
                <w:color w:val="000000"/>
                <w:sz w:val="22"/>
                <w:szCs w:val="22"/>
              </w:rPr>
              <w:t xml:space="preserve">Short-term deposits </w:t>
            </w:r>
          </w:p>
        </w:tc>
        <w:tc>
          <w:tcPr>
            <w:tcW w:w="900" w:type="dxa"/>
            <w:tcBorders>
              <w:top w:val="nil"/>
              <w:left w:val="nil"/>
              <w:bottom w:val="nil"/>
              <w:right w:val="nil"/>
              <w:tl2br w:val="nil"/>
              <w:tr2bl w:val="nil"/>
            </w:tcBorders>
            <w:shd w:val="clear" w:color="auto" w:fill="auto"/>
            <w:tcMar>
              <w:left w:w="0" w:type="dxa"/>
              <w:right w:w="0" w:type="dxa"/>
            </w:tcMar>
            <w:vAlign w:val="center"/>
          </w:tcPr>
          <w:p>
            <w:pPr>
              <w:rPr>
                <w:noProof/>
                <w:color w:val="000000"/>
                <w:sz w:val="22"/>
                <w:szCs w:val="22"/>
              </w:rPr>
            </w:pPr>
          </w:p>
        </w:tc>
        <w:tc>
          <w:tcPr>
            <w:tcW w:w="1989"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14,000,000.00</w:t>
            </w:r>
          </w:p>
        </w:tc>
        <w:tc>
          <w:tcPr>
            <w:tcW w:w="2031"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178,600,000.00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4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22"/>
                <w:szCs w:val="22"/>
              </w:rPr>
            </w:pPr>
            <w:r>
              <w:rPr>
                <w:b/>
                <w:noProof/>
                <w:color w:val="000000"/>
                <w:sz w:val="22"/>
                <w:szCs w:val="22"/>
              </w:rPr>
              <w:t>Total cash and cash equivalents</w:t>
            </w:r>
          </w:p>
        </w:tc>
        <w:tc>
          <w:tcPr>
            <w:tcW w:w="9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pPr>
              <w:rPr>
                <w:b/>
                <w:noProof/>
                <w:color w:val="000000"/>
                <w:sz w:val="22"/>
                <w:szCs w:val="22"/>
              </w:rPr>
            </w:pPr>
          </w:p>
        </w:tc>
        <w:tc>
          <w:tcPr>
            <w:tcW w:w="1989"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2"/>
                <w:szCs w:val="22"/>
              </w:rPr>
            </w:pPr>
            <w:r>
              <w:rPr>
                <w:b/>
                <w:noProof/>
                <w:color w:val="000000"/>
                <w:sz w:val="22"/>
                <w:szCs w:val="22"/>
              </w:rPr>
              <w:t>41,567,035.62</w:t>
            </w:r>
          </w:p>
        </w:tc>
        <w:tc>
          <w:tcPr>
            <w:tcW w:w="203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2"/>
                <w:szCs w:val="22"/>
              </w:rPr>
            </w:pPr>
            <w:r>
              <w:rPr>
                <w:b/>
                <w:noProof/>
                <w:color w:val="000000"/>
                <w:sz w:val="22"/>
                <w:szCs w:val="22"/>
              </w:rPr>
              <w:t>224,169,131.18</w:t>
            </w:r>
          </w:p>
        </w:tc>
      </w:tr>
    </w:tbl>
    <w:p>
      <w:pPr>
        <w:rPr>
          <w:noProof/>
        </w:rPr>
        <w:sectPr>
          <w:headerReference w:type="even" r:id="rId42"/>
          <w:headerReference w:type="default" r:id="rId43"/>
          <w:footerReference w:type="even" r:id="rId44"/>
          <w:footerReference w:type="default" r:id="rId45"/>
          <w:headerReference w:type="first" r:id="rId46"/>
          <w:footerReference w:type="first" r:id="rId47"/>
          <w:type w:val="continuous"/>
          <w:pgSz w:w="12240" w:h="15840"/>
          <w:pgMar w:top="765" w:right="1134" w:bottom="765" w:left="1134" w:header="709" w:footer="170" w:gutter="0"/>
          <w:pgBorders>
            <w:top w:val="nil"/>
            <w:left w:val="nil"/>
            <w:bottom w:val="nil"/>
            <w:right w:val="nil"/>
          </w:pgBorders>
          <w:cols w:space="720"/>
          <w:docGrid w:linePitch="360"/>
        </w:sectPr>
      </w:pPr>
    </w:p>
    <w:p>
      <w:pPr>
        <w:pStyle w:val="Normal0"/>
        <w:pageBreakBefore/>
        <w:jc w:val="center"/>
        <w:rPr>
          <w:rFonts w:ascii="Times New Roman" w:hAnsi="Times New Roman"/>
          <w:b/>
          <w:bCs/>
          <w:caps/>
          <w:noProof/>
          <w:sz w:val="24"/>
          <w:szCs w:val="24"/>
        </w:rPr>
      </w:pPr>
      <w:r>
        <w:rPr>
          <w:rFonts w:ascii="Times New Roman" w:hAnsi="Times New Roman"/>
          <w:b/>
          <w:bCs/>
          <w:caps/>
          <w:noProof/>
          <w:sz w:val="24"/>
          <w:szCs w:val="24"/>
        </w:rPr>
        <w:t>Notes to the financial statements as at 31 December 2018</w:t>
      </w:r>
    </w:p>
    <w:p>
      <w:pPr>
        <w:pStyle w:val="Normal0"/>
        <w:jc w:val="center"/>
        <w:rPr>
          <w:rFonts w:ascii="Times New Roman" w:hAnsi="Times New Roman"/>
          <w:b/>
          <w:bCs/>
          <w:caps/>
          <w:noProof/>
          <w:sz w:val="24"/>
          <w:szCs w:val="24"/>
        </w:rPr>
      </w:pPr>
    </w:p>
    <w:p>
      <w:pPr>
        <w:pStyle w:val="ManualHeading2"/>
        <w:rPr>
          <w:noProof/>
        </w:rPr>
      </w:pPr>
      <w:bookmarkStart w:id="62" w:name="_Toc6923121"/>
      <w:r>
        <w:t>3.1.</w:t>
      </w:r>
      <w:r>
        <w:tab/>
      </w:r>
      <w:r>
        <w:rPr>
          <w:noProof/>
        </w:rPr>
        <w:t>General disclosures</w:t>
      </w:r>
      <w:bookmarkEnd w:id="62"/>
    </w:p>
    <w:p>
      <w:pPr>
        <w:pStyle w:val="Text1"/>
        <w:rPr>
          <w:noProof/>
        </w:rPr>
      </w:pPr>
      <w:r>
        <w:rPr>
          <w:noProof/>
        </w:rPr>
        <w:t>The rules and principles for the management of the Guarantee Fund (the “Fund”) are laid out in the Agreement between the European Commission (the “EC”) and the European Investment Bank (the “EIB”) dated 25 November 1994 and the subsequent amendments to the Agreement dated 23 September 1996, 8 May 2002, 5 June 2002, 25 February 2008, 9 November 2010 and 28 September 2018</w:t>
      </w:r>
      <w:r>
        <w:rPr>
          <w:noProof/>
          <w:vertAlign w:val="superscript"/>
        </w:rPr>
        <w:footnoteReference w:id="9"/>
      </w:r>
      <w:r>
        <w:rPr>
          <w:noProof/>
        </w:rPr>
        <w:t xml:space="preserve"> (‘the Agreement’). </w:t>
      </w:r>
    </w:p>
    <w:p>
      <w:pPr>
        <w:pStyle w:val="Text1"/>
        <w:rPr>
          <w:noProof/>
        </w:rPr>
      </w:pPr>
      <w:r>
        <w:rPr>
          <w:noProof/>
        </w:rPr>
        <w:t>The main principles of the Fund, as extracted directly from the Convention, are as follows:</w:t>
      </w:r>
    </w:p>
    <w:p>
      <w:pPr>
        <w:pStyle w:val="Text1"/>
        <w:rPr>
          <w:noProof/>
        </w:rPr>
      </w:pPr>
      <w:r>
        <w:rPr>
          <w:noProof/>
        </w:rPr>
        <w:t>The Fund will operate in one single currency being Euro (EUR). It will exclusively invest in this currency in order to avoid any exchange rate risk.</w:t>
      </w:r>
    </w:p>
    <w:p>
      <w:pPr>
        <w:pStyle w:val="Text1"/>
        <w:rPr>
          <w:noProof/>
        </w:rPr>
      </w:pPr>
      <w:r>
        <w:rPr>
          <w:noProof/>
        </w:rPr>
        <w:t xml:space="preserve">The management of the Fund will be based upon the traditional rules of prudence relating to financial activities. Attention is given to control the risks and to ensure that the managed assets have a sufficient degree of liquidity and transferability while considering the Fund’s commitments. </w:t>
      </w:r>
    </w:p>
    <w:p>
      <w:pPr>
        <w:pStyle w:val="Text1"/>
        <w:rPr>
          <w:noProof/>
        </w:rPr>
      </w:pPr>
      <w:r>
        <w:rPr>
          <w:noProof/>
        </w:rPr>
        <w:t>In accordance with the Amendment Guarantee Agreement dated 3 October 2018, an Economic Resilience Initiative Private Mandate (ERI Private Mandate) and an Economic Resilience Initiative Public Mandate (ERI Public Mandate) were set up to grant guarantees to the bank against losses under financing operations supporting investments in private and public projects directed to the long-term economic resilience of refugees, migrants, host and transit communities and communities of origin as a strategic response to addressing root causes of migration. The risk to the Union budget associated with granted guarantees to the EIB Financing Operations under the ERI Private Mandate should be priced and the revenues generated from the commercial risk pricing should be paid into the Guarantee Fund.</w:t>
      </w:r>
    </w:p>
    <w:p>
      <w:pPr>
        <w:pStyle w:val="Text1"/>
        <w:rPr>
          <w:noProof/>
        </w:rPr>
      </w:pPr>
      <w:r>
        <w:rPr>
          <w:noProof/>
        </w:rPr>
        <w:t>The present financial statements cover the period from 1 January 2018 to 31 December 2018.</w:t>
      </w:r>
    </w:p>
    <w:p>
      <w:pPr>
        <w:pStyle w:val="Text1"/>
        <w:rPr>
          <w:noProof/>
        </w:rPr>
      </w:pPr>
      <w:r>
        <w:rPr>
          <w:noProof/>
        </w:rPr>
        <w:t>EIB’s management has authorized the financial statements for issue on 27 March 2019.</w:t>
      </w:r>
    </w:p>
    <w:p>
      <w:pPr>
        <w:pStyle w:val="ManualHeading2"/>
        <w:rPr>
          <w:noProof/>
        </w:rPr>
      </w:pPr>
      <w:bookmarkStart w:id="63" w:name="_Toc6923122"/>
      <w:r>
        <w:t>3.2.</w:t>
      </w:r>
      <w:r>
        <w:tab/>
      </w:r>
      <w:r>
        <w:rPr>
          <w:noProof/>
        </w:rPr>
        <w:t>Significant accounting policies</w:t>
      </w:r>
      <w:bookmarkEnd w:id="63"/>
    </w:p>
    <w:p>
      <w:pPr>
        <w:pStyle w:val="ManualHeading3"/>
        <w:rPr>
          <w:noProof/>
        </w:rPr>
      </w:pPr>
      <w:bookmarkStart w:id="64" w:name="_Toc478663485"/>
      <w:bookmarkStart w:id="65" w:name="_Toc6923123"/>
      <w:r>
        <w:t>3.2.1.</w:t>
      </w:r>
      <w:r>
        <w:tab/>
      </w:r>
      <w:r>
        <w:rPr>
          <w:noProof/>
        </w:rPr>
        <w:t>Basis of preparation</w:t>
      </w:r>
      <w:bookmarkEnd w:id="64"/>
      <w:bookmarkEnd w:id="65"/>
    </w:p>
    <w:p>
      <w:pPr>
        <w:pStyle w:val="Text1"/>
        <w:rPr>
          <w:noProof/>
        </w:rPr>
      </w:pPr>
      <w:r>
        <w:rPr>
          <w:noProof/>
        </w:rPr>
        <w:t xml:space="preserve">The Fund’s financial statements have been prepared in accordance with the accounting rules adopted by the Accounting Officer of the European Commission, in particular “Accounting rule 11 – Financial assets and liabilities” dated December 2004 and updated in October 2006, December 2009  and December 20112. </w:t>
      </w:r>
    </w:p>
    <w:p>
      <w:pPr>
        <w:pStyle w:val="Text1"/>
        <w:rPr>
          <w:noProof/>
        </w:rPr>
      </w:pPr>
      <w:r>
        <w:rPr>
          <w:noProof/>
        </w:rPr>
        <w:t xml:space="preserve">The financial statements have been prepared on a going concern basis, which assumes that the Fund will be able to meet the mandatory payments of the guarantees. </w:t>
      </w:r>
    </w:p>
    <w:p>
      <w:pPr>
        <w:pStyle w:val="Text1"/>
        <w:rPr>
          <w:noProof/>
        </w:rPr>
      </w:pPr>
      <w:r>
        <w:rPr>
          <w:noProof/>
        </w:rPr>
        <w:t xml:space="preserve">According to articles 3, 5 and 6 of Council Regulation (EC, Euratom) No 480/2009 of 25 May 2009 if, as a result of the activation of guarantees following one or more defaults, resources in the Fund fall below the set target amount of 9% of total outstanding capital liabilities arising from each operation, plus any unpaid interest, then the European Commission transfers to the Fund the difference between the target amount and the value of the Fund’s net assets at the previous year-end balance sheet date. </w:t>
      </w:r>
    </w:p>
    <w:p>
      <w:pPr>
        <w:pStyle w:val="Text1"/>
        <w:rPr>
          <w:noProof/>
        </w:rPr>
      </w:pPr>
      <w:r>
        <w:rPr>
          <w:noProof/>
        </w:rPr>
        <w:t xml:space="preserve">The amounts in the financial statements are not rounded except in the section financial risk management where the amounts are rounded to the nearest thousand EUR. </w:t>
      </w:r>
    </w:p>
    <w:p>
      <w:pPr>
        <w:pStyle w:val="ManualHeading3"/>
        <w:rPr>
          <w:noProof/>
        </w:rPr>
      </w:pPr>
      <w:bookmarkStart w:id="66" w:name="_Toc478663486"/>
      <w:bookmarkStart w:id="67" w:name="_Toc6923124"/>
      <w:r>
        <w:t>3.2.2.</w:t>
      </w:r>
      <w:r>
        <w:tab/>
      </w:r>
      <w:r>
        <w:rPr>
          <w:noProof/>
        </w:rPr>
        <w:t>Changes in accounting policies</w:t>
      </w:r>
      <w:bookmarkEnd w:id="66"/>
      <w:bookmarkEnd w:id="67"/>
    </w:p>
    <w:p>
      <w:pPr>
        <w:pStyle w:val="Text1"/>
        <w:rPr>
          <w:noProof/>
        </w:rPr>
      </w:pPr>
      <w:r>
        <w:rPr>
          <w:noProof/>
        </w:rPr>
        <w:t>The Fund has consistently applied to all periods the accounting policies set out in Note 2.4 presented in these financial statements.</w:t>
      </w:r>
    </w:p>
    <w:p>
      <w:pPr>
        <w:pStyle w:val="ManualHeading3"/>
        <w:rPr>
          <w:noProof/>
        </w:rPr>
      </w:pPr>
      <w:bookmarkStart w:id="68" w:name="_Toc478663487"/>
      <w:bookmarkStart w:id="69" w:name="_Toc6923125"/>
      <w:r>
        <w:t>3.2.3.</w:t>
      </w:r>
      <w:r>
        <w:tab/>
      </w:r>
      <w:r>
        <w:rPr>
          <w:noProof/>
        </w:rPr>
        <w:t>Significant accounting judgments and estimates</w:t>
      </w:r>
      <w:bookmarkEnd w:id="68"/>
      <w:bookmarkEnd w:id="69"/>
    </w:p>
    <w:p>
      <w:pPr>
        <w:pStyle w:val="Text1"/>
        <w:rPr>
          <w:noProof/>
        </w:rPr>
      </w:pPr>
      <w:r>
        <w:rPr>
          <w:noProof/>
        </w:rPr>
        <w:t>The preparation of financial statements in conformity with the accounting rules adopted by the Accounting Officer of the European Commission requires the use of certain critical accounting estimates. It also requires the EIB Management to exercise its judgment in the process of applying the Fund’s accounting policies. The areas involving a higher degree of judgment or complexity, or areas where assumptions and estimates are significant to the financial statements are disclosed hereafter.</w:t>
      </w:r>
    </w:p>
    <w:p>
      <w:pPr>
        <w:pStyle w:val="Text1"/>
        <w:rPr>
          <w:noProof/>
        </w:rPr>
      </w:pPr>
      <w:r>
        <w:rPr>
          <w:noProof/>
        </w:rPr>
        <w:t>The most significant use of judgments and estimates are as follows:</w:t>
      </w:r>
    </w:p>
    <w:p>
      <w:pPr>
        <w:pStyle w:val="Normal1"/>
        <w:widowControl w:val="0"/>
        <w:numPr>
          <w:ilvl w:val="0"/>
          <w:numId w:val="52"/>
        </w:numPr>
        <w:autoSpaceDE w:val="0"/>
        <w:autoSpaceDN w:val="0"/>
        <w:adjustRightInd w:val="0"/>
        <w:spacing w:line="10" w:lineRule="atLeast"/>
        <w:ind w:left="426" w:hanging="426"/>
        <w:jc w:val="both"/>
        <w:rPr>
          <w:rFonts w:ascii="Times New Roman" w:hAnsi="Times New Roman"/>
          <w:b/>
          <w:noProof/>
          <w:sz w:val="24"/>
          <w:szCs w:val="24"/>
        </w:rPr>
      </w:pPr>
      <w:r>
        <w:rPr>
          <w:rFonts w:ascii="Times New Roman" w:hAnsi="Times New Roman"/>
          <w:b/>
          <w:noProof/>
          <w:sz w:val="24"/>
          <w:szCs w:val="24"/>
        </w:rPr>
        <w:t xml:space="preserve">Measurement of fair value of financial instruments </w:t>
      </w:r>
    </w:p>
    <w:p>
      <w:pPr>
        <w:pStyle w:val="Text1"/>
        <w:ind w:left="426"/>
        <w:rPr>
          <w:noProof/>
        </w:rPr>
      </w:pPr>
      <w:r>
        <w:rPr>
          <w:noProof/>
        </w:rPr>
        <w:t xml:space="preserve">The fair value of financial assets and financial liabilities that are traded in active markets is based on quoted market prices or broker price quotations. Where the fair values of financial assets and financial liabilities recorded on the balance sheet cannot be derived from active markets, they are determined using a variety of valuation techniques that include the use of mathematical models. The input to these models is taken from observable markets where possible, but where this is not feasible, a degree of judgment is required in establishing fair values. </w:t>
      </w:r>
    </w:p>
    <w:p>
      <w:pPr>
        <w:pStyle w:val="Normal1"/>
        <w:widowControl w:val="0"/>
        <w:numPr>
          <w:ilvl w:val="0"/>
          <w:numId w:val="52"/>
        </w:numPr>
        <w:autoSpaceDE w:val="0"/>
        <w:autoSpaceDN w:val="0"/>
        <w:adjustRightInd w:val="0"/>
        <w:ind w:left="426" w:hanging="426"/>
        <w:jc w:val="both"/>
        <w:rPr>
          <w:rFonts w:ascii="Times New Roman" w:hAnsi="Times New Roman"/>
          <w:b/>
          <w:noProof/>
          <w:sz w:val="24"/>
          <w:szCs w:val="24"/>
        </w:rPr>
      </w:pPr>
      <w:r>
        <w:rPr>
          <w:rFonts w:ascii="Times New Roman" w:hAnsi="Times New Roman"/>
          <w:b/>
          <w:noProof/>
          <w:sz w:val="24"/>
          <w:szCs w:val="24"/>
        </w:rPr>
        <w:t xml:space="preserve">Impairment losses on financial instruments </w:t>
      </w:r>
    </w:p>
    <w:p>
      <w:pPr>
        <w:pStyle w:val="Text1"/>
        <w:ind w:left="426"/>
        <w:rPr>
          <w:noProof/>
          <w:lang w:eastAsia="en-US"/>
        </w:rPr>
      </w:pPr>
      <w:r>
        <w:rPr>
          <w:noProof/>
          <w:lang w:eastAsia="en-US"/>
        </w:rPr>
        <w:t xml:space="preserve">The Fund reviews its financial instruments at each reporting date to assess whether an allowance for impairment </w:t>
      </w:r>
      <w:r>
        <w:rPr>
          <w:noProof/>
        </w:rPr>
        <w:t>should</w:t>
      </w:r>
      <w:r>
        <w:rPr>
          <w:noProof/>
          <w:lang w:eastAsia="en-US"/>
        </w:rPr>
        <w:t xml:space="preserve"> be </w:t>
      </w:r>
      <w:r>
        <w:rPr>
          <w:noProof/>
        </w:rPr>
        <w:t>recorded</w:t>
      </w:r>
      <w:r>
        <w:rPr>
          <w:noProof/>
          <w:lang w:eastAsia="en-US"/>
        </w:rPr>
        <w:t xml:space="preserve"> </w:t>
      </w:r>
      <w:r>
        <w:rPr>
          <w:noProof/>
        </w:rPr>
        <w:t>in</w:t>
      </w:r>
      <w:r>
        <w:rPr>
          <w:noProof/>
          <w:lang w:eastAsia="en-US"/>
        </w:rPr>
        <w:t xml:space="preserve"> the statement of financial performance. In particular, judgment by EIB Management is required in the estimation of the amount and timing of future cash flows when determining the level of allowance required</w:t>
      </w:r>
      <w:r>
        <w:rPr>
          <w:noProof/>
        </w:rPr>
        <w:t>.</w:t>
      </w:r>
    </w:p>
    <w:p>
      <w:pPr>
        <w:pStyle w:val="ManualHeading3"/>
        <w:rPr>
          <w:noProof/>
        </w:rPr>
      </w:pPr>
      <w:bookmarkStart w:id="70" w:name="_Toc478663488"/>
      <w:bookmarkStart w:id="71" w:name="_Toc6923126"/>
      <w:r>
        <w:t>3.2.4.</w:t>
      </w:r>
      <w:r>
        <w:tab/>
      </w:r>
      <w:r>
        <w:rPr>
          <w:noProof/>
        </w:rPr>
        <w:t>Summary of significant accounting policies</w:t>
      </w:r>
      <w:bookmarkEnd w:id="70"/>
      <w:bookmarkEnd w:id="71"/>
    </w:p>
    <w:p>
      <w:pPr>
        <w:pStyle w:val="ManualHeading4"/>
        <w:rPr>
          <w:noProof/>
        </w:rPr>
      </w:pPr>
      <w:r>
        <w:t>3.2.4.1.</w:t>
      </w:r>
      <w:r>
        <w:tab/>
      </w:r>
      <w:r>
        <w:rPr>
          <w:noProof/>
        </w:rPr>
        <w:t>Foreign currency translation</w:t>
      </w:r>
    </w:p>
    <w:p>
      <w:pPr>
        <w:pStyle w:val="Text1"/>
        <w:rPr>
          <w:noProof/>
        </w:rPr>
      </w:pPr>
      <w:r>
        <w:rPr>
          <w:noProof/>
        </w:rPr>
        <w:t>The Fund uses the Euro (EUR) for presenting its financial statements, which is also the functional currency.</w:t>
      </w:r>
    </w:p>
    <w:p>
      <w:pPr>
        <w:pStyle w:val="Text1"/>
        <w:rPr>
          <w:noProof/>
        </w:rPr>
      </w:pPr>
      <w:r>
        <w:rPr>
          <w:noProof/>
        </w:rPr>
        <w:t>Foreign currency transactions are translated at the exchange rate prevailing on the date of the transaction.</w:t>
      </w:r>
    </w:p>
    <w:p>
      <w:pPr>
        <w:pStyle w:val="Text1"/>
        <w:rPr>
          <w:noProof/>
        </w:rPr>
      </w:pPr>
      <w:r>
        <w:rPr>
          <w:noProof/>
        </w:rPr>
        <w:t>Monetary assets and liabilities denominated in currencies other than Euro are translated into Euro at the exchange rate prevailing at the balance sheet date. The gain or loss arising from such translation is recorded in the statement of financial performance.</w:t>
      </w:r>
    </w:p>
    <w:p>
      <w:pPr>
        <w:pStyle w:val="Text1"/>
        <w:rPr>
          <w:noProof/>
        </w:rPr>
      </w:pPr>
      <w:r>
        <w:rPr>
          <w:noProof/>
        </w:rPr>
        <w:t>Non-monetary items that are measured in terms of historical cost in a foreign currency are translated using the exchange rates at the dates of the initial transactions. Non-monetary items measured at fair value in a foreign currency are translated using the exchange rates at the date when the fair value was determined.</w:t>
      </w:r>
    </w:p>
    <w:p>
      <w:pPr>
        <w:pStyle w:val="Text1"/>
        <w:rPr>
          <w:noProof/>
        </w:rPr>
      </w:pPr>
      <w:r>
        <w:rPr>
          <w:noProof/>
        </w:rPr>
        <w:t>Exchange differences on non-monetary assets are a component of the change in their fair value. Depending on the classification of a non-monetary financial asset, exchange differences are either recognised in the statement of financial performance or within the reserves.</w:t>
      </w:r>
    </w:p>
    <w:p>
      <w:pPr>
        <w:pStyle w:val="Text1"/>
        <w:spacing w:after="240"/>
        <w:rPr>
          <w:noProof/>
        </w:rPr>
      </w:pPr>
      <w:r>
        <w:rPr>
          <w:noProof/>
        </w:rPr>
        <w:t>Exchange differences arising on the settlement of transactions at rates different from those at the date of the transaction, and unrealised foreign exchange differences on unsettled foreign currency monetary assets and liabilities, are recognised in the statement of financial performance.</w:t>
      </w:r>
    </w:p>
    <w:p>
      <w:pPr>
        <w:pStyle w:val="ManualHeading4"/>
        <w:rPr>
          <w:noProof/>
        </w:rPr>
      </w:pPr>
      <w:r>
        <w:t>3.2.4.2.</w:t>
      </w:r>
      <w:r>
        <w:tab/>
      </w:r>
      <w:r>
        <w:rPr>
          <w:noProof/>
        </w:rPr>
        <w:t>Financial instruments</w:t>
      </w:r>
    </w:p>
    <w:p>
      <w:pPr>
        <w:pStyle w:val="Text1"/>
        <w:rPr>
          <w:noProof/>
        </w:rPr>
      </w:pPr>
      <w:r>
        <w:rPr>
          <w:noProof/>
        </w:rPr>
        <w:t>All financial assets are recognised in the balance sheet on trade date basis and measured according to their assigned category.</w:t>
      </w:r>
    </w:p>
    <w:p>
      <w:pPr>
        <w:pStyle w:val="Text1"/>
        <w:numPr>
          <w:ilvl w:val="4"/>
          <w:numId w:val="51"/>
        </w:numPr>
        <w:spacing w:before="240"/>
        <w:ind w:left="567" w:hanging="567"/>
        <w:rPr>
          <w:i/>
          <w:noProof/>
        </w:rPr>
      </w:pPr>
      <w:r>
        <w:rPr>
          <w:i/>
          <w:noProof/>
        </w:rPr>
        <w:t>Cash and cash equivalents</w:t>
      </w:r>
    </w:p>
    <w:p>
      <w:pPr>
        <w:pStyle w:val="Text1"/>
        <w:rPr>
          <w:noProof/>
        </w:rPr>
      </w:pPr>
      <w:r>
        <w:rPr>
          <w:noProof/>
        </w:rPr>
        <w:t>The Fund defines cash and cash equivalents as current accounts, commercial papers, treasury bills and short-term deposits with original maturity of three months or less.</w:t>
      </w:r>
    </w:p>
    <w:p>
      <w:pPr>
        <w:pStyle w:val="Text1"/>
        <w:numPr>
          <w:ilvl w:val="4"/>
          <w:numId w:val="51"/>
        </w:numPr>
        <w:spacing w:before="240"/>
        <w:ind w:left="567" w:hanging="567"/>
        <w:rPr>
          <w:i/>
          <w:noProof/>
        </w:rPr>
      </w:pPr>
      <w:r>
        <w:rPr>
          <w:i/>
          <w:noProof/>
        </w:rPr>
        <w:t>Bond portfolio</w:t>
      </w:r>
    </w:p>
    <w:p>
      <w:pPr>
        <w:pStyle w:val="Text1"/>
        <w:rPr>
          <w:noProof/>
        </w:rPr>
      </w:pPr>
      <w:r>
        <w:rPr>
          <w:noProof/>
        </w:rPr>
        <w:t xml:space="preserve">The bond portfolio is composed of Euro-denominated securities. </w:t>
      </w:r>
    </w:p>
    <w:p>
      <w:pPr>
        <w:pStyle w:val="Text1"/>
        <w:rPr>
          <w:noProof/>
        </w:rPr>
      </w:pPr>
      <w:r>
        <w:rPr>
          <w:noProof/>
        </w:rPr>
        <w:t xml:space="preserve">These securities are classified as Available for Sale (AFS) according to the accounting rules adopted by the Accounting Officer of the Commission and consequently, are carried out at their fair value through net assets. </w:t>
      </w:r>
    </w:p>
    <w:p>
      <w:pPr>
        <w:pStyle w:val="Text1"/>
        <w:rPr>
          <w:noProof/>
        </w:rPr>
      </w:pPr>
      <w:r>
        <w:rPr>
          <w:noProof/>
        </w:rPr>
        <w:t>In accordance with the decision of the Accounting Officer of the Commission</w:t>
      </w:r>
      <w:r>
        <w:rPr>
          <w:rStyle w:val="FootnoteReference"/>
          <w:noProof/>
        </w:rPr>
        <w:footnoteReference w:id="10"/>
      </w:r>
      <w:r>
        <w:rPr>
          <w:noProof/>
        </w:rPr>
        <w:t xml:space="preserve"> concerning the “Presentation of the Guarantee Fund for external actions and other Available for Sale portfolios” on 31 January 2013, the Available for Sale financial instruments of the Fund’s Portfolio are categorised following the current/non-current distinction of Article 8.3 of the Accounting rule 1 according to their remaining contractual maturity at the balance sheet date. Available for Sale investments with a remaining maturity of less than a year and accrued interest with due date less than a year are presented in the balance sheet as current assets, while Available for Sale investments with a remaining maturity of more than a year are presented in the balance sheet as non-current assets.</w:t>
      </w:r>
    </w:p>
    <w:p>
      <w:pPr>
        <w:pStyle w:val="Text1"/>
        <w:rPr>
          <w:noProof/>
        </w:rPr>
      </w:pPr>
      <w:r>
        <w:rPr>
          <w:noProof/>
        </w:rPr>
        <w:t xml:space="preserve">Unrealised gains or losses are reported in reserves until such a security is sold, collected or otherwise disposed of, or until such a security is determined to be impaired. Impairment losses identified are recognised in the statement of financial performance for the year. </w:t>
      </w:r>
    </w:p>
    <w:p>
      <w:pPr>
        <w:pStyle w:val="Text1"/>
        <w:rPr>
          <w:noProof/>
        </w:rPr>
      </w:pPr>
      <w:r>
        <w:rPr>
          <w:noProof/>
        </w:rPr>
        <w:t xml:space="preserve">On disposal of an Available for Sale security, the accumulated unrealised gain or loss included in net assets is transferred to the statement of financial performance for the year. Interest income on Available for Sale securities is included in “interest income”. </w:t>
      </w:r>
    </w:p>
    <w:p>
      <w:pPr>
        <w:pStyle w:val="Text1"/>
        <w:rPr>
          <w:noProof/>
        </w:rPr>
      </w:pPr>
      <w:r>
        <w:rPr>
          <w:noProof/>
        </w:rPr>
        <w:t>The determination of fair values of Available for Sale investments is generally based on quoted market rates in active markets.</w:t>
      </w:r>
    </w:p>
    <w:p>
      <w:pPr>
        <w:pStyle w:val="Text1"/>
        <w:rPr>
          <w:noProof/>
        </w:rPr>
      </w:pPr>
      <w:r>
        <w:rPr>
          <w:noProof/>
        </w:rPr>
        <w:t>These securities are initially measured at their acquisition cost, being their fair value at this moment. The difference between the entry price and the redemption value, i.e. the premium/discount spread, is amortised over the remaining life of each of the securities using the effective interest rate method as specified under Accounting rule 11.</w:t>
      </w:r>
    </w:p>
    <w:p>
      <w:pPr>
        <w:pStyle w:val="Text1"/>
        <w:rPr>
          <w:noProof/>
        </w:rPr>
      </w:pPr>
      <w:r>
        <w:rPr>
          <w:noProof/>
        </w:rPr>
        <w:t xml:space="preserve">Securities are considered impaired if there is objective evidence of impairment as a result of one or more events that occurred after the initial recognition of the security (a “loss event”) and that loss event has an impact on the estimated future cash flows of the security that can be reliably estimated. </w:t>
      </w:r>
    </w:p>
    <w:p>
      <w:pPr>
        <w:pStyle w:val="Text1"/>
        <w:rPr>
          <w:noProof/>
        </w:rPr>
      </w:pPr>
      <w:r>
        <w:rPr>
          <w:noProof/>
        </w:rPr>
        <w:t xml:space="preserve">Evidence of impairment is mainly about significant financial difficulties of the issuer, e.g. a breach of contract, a restructuring of the debt of the issuer or a high probability of bankruptcy. It is important to stress that the disappearance of an active market because the entity’s financial instruments are no longer publicly traded is not evidence of impairment. A downgrade of an entity’s credit rating is not, in itself, evidence of impairment, although it may be evidence of impairment when considered with other available information. A decline in the fair value of a financial asset below its cost or amortised cost is not necessarily evidence of impairment. </w:t>
      </w:r>
    </w:p>
    <w:p>
      <w:pPr>
        <w:pStyle w:val="Text1"/>
        <w:rPr>
          <w:noProof/>
        </w:rPr>
      </w:pPr>
      <w:r>
        <w:rPr>
          <w:noProof/>
        </w:rPr>
        <w:t>If in a subsequent period, the fair value of a debt instrument classified as Available for Sale increases and the increase can be objectively related to an event occurring after the impairment loss was recognised in the statement of financial performance, the impairment loss shall be reversed, with the amount of the reversal recognised in the statement of financial performance.</w:t>
      </w:r>
    </w:p>
    <w:p>
      <w:pPr>
        <w:pStyle w:val="Text1"/>
        <w:numPr>
          <w:ilvl w:val="4"/>
          <w:numId w:val="51"/>
        </w:numPr>
        <w:spacing w:before="240"/>
        <w:ind w:left="567" w:hanging="567"/>
        <w:rPr>
          <w:i/>
          <w:noProof/>
        </w:rPr>
      </w:pPr>
      <w:r>
        <w:rPr>
          <w:i/>
          <w:noProof/>
        </w:rPr>
        <w:t>Fair</w:t>
      </w:r>
      <w:r>
        <w:rPr>
          <w:noProof/>
        </w:rPr>
        <w:t xml:space="preserve"> </w:t>
      </w:r>
      <w:r>
        <w:rPr>
          <w:i/>
          <w:noProof/>
        </w:rPr>
        <w:t>value</w:t>
      </w:r>
      <w:r>
        <w:rPr>
          <w:noProof/>
        </w:rPr>
        <w:t xml:space="preserve"> </w:t>
      </w:r>
      <w:r>
        <w:rPr>
          <w:i/>
          <w:noProof/>
        </w:rPr>
        <w:t>of financial</w:t>
      </w:r>
      <w:r>
        <w:rPr>
          <w:noProof/>
        </w:rPr>
        <w:t xml:space="preserve"> </w:t>
      </w:r>
      <w:r>
        <w:rPr>
          <w:i/>
          <w:noProof/>
        </w:rPr>
        <w:t>instruments</w:t>
      </w:r>
    </w:p>
    <w:p>
      <w:pPr>
        <w:pStyle w:val="Text1"/>
        <w:rPr>
          <w:noProof/>
          <w:lang w:eastAsia="en-US"/>
        </w:rPr>
      </w:pPr>
      <w:r>
        <w:rPr>
          <w:noProof/>
          <w:lang w:eastAsia="en-US"/>
        </w:rPr>
        <w:t xml:space="preserve">Fair value is the amount for </w:t>
      </w:r>
      <w:r>
        <w:rPr>
          <w:noProof/>
        </w:rPr>
        <w:t>which</w:t>
      </w:r>
      <w:r>
        <w:rPr>
          <w:noProof/>
          <w:lang w:eastAsia="en-US"/>
        </w:rPr>
        <w:t xml:space="preserve"> an asset could be exchanged, or a liability settled, between knowledgeable, willing parties in an arm’s length transaction.</w:t>
      </w:r>
    </w:p>
    <w:p>
      <w:pPr>
        <w:pStyle w:val="Text1"/>
        <w:rPr>
          <w:noProof/>
          <w:lang w:eastAsia="en-US"/>
        </w:rPr>
      </w:pPr>
      <w:r>
        <w:rPr>
          <w:noProof/>
          <w:lang w:eastAsia="en-US"/>
        </w:rPr>
        <w:t xml:space="preserve">When applicable, the EIB on </w:t>
      </w:r>
      <w:r>
        <w:rPr>
          <w:noProof/>
        </w:rPr>
        <w:t>behalf</w:t>
      </w:r>
      <w:r>
        <w:rPr>
          <w:noProof/>
          <w:lang w:eastAsia="en-US"/>
        </w:rPr>
        <w:t xml:space="preserve"> of the Fund measures the fair value of an instrument using the quoted price in an active market for that instrument. A market is regarded as active if transactions for the asset or liability take place with sufficient frequency and volume to provide pricing information on an on-going basis.</w:t>
      </w:r>
    </w:p>
    <w:p>
      <w:pPr>
        <w:pStyle w:val="Text1"/>
        <w:rPr>
          <w:noProof/>
          <w:lang w:eastAsia="en-US"/>
        </w:rPr>
      </w:pPr>
      <w:r>
        <w:rPr>
          <w:noProof/>
          <w:lang w:eastAsia="en-US"/>
        </w:rPr>
        <w:t xml:space="preserve">Where the fair values of financial assets and financial liabilities recorded on the balance sheet cannot be derived from active markets, they are determined using a variety of valuation techniques that include the </w:t>
      </w:r>
      <w:r>
        <w:rPr>
          <w:noProof/>
        </w:rPr>
        <w:t>use</w:t>
      </w:r>
      <w:r>
        <w:rPr>
          <w:noProof/>
          <w:lang w:eastAsia="en-US"/>
        </w:rPr>
        <w:t xml:space="preserve"> of mathematical models. The input to these models is taken from observable markets where possible, but where this is not feasible, a degree of judgement is required in establishing fair values. The chosen valuation technique incorporates all the factors that market participants would take into account in pricing a transaction.</w:t>
      </w:r>
    </w:p>
    <w:p>
      <w:pPr>
        <w:pStyle w:val="Text1"/>
        <w:rPr>
          <w:noProof/>
          <w:lang w:eastAsia="en-US"/>
        </w:rPr>
      </w:pPr>
      <w:r>
        <w:rPr>
          <w:noProof/>
          <w:lang w:eastAsia="en-US"/>
        </w:rPr>
        <w:t xml:space="preserve">The Fund measures fair </w:t>
      </w:r>
      <w:r>
        <w:rPr>
          <w:noProof/>
        </w:rPr>
        <w:t>values</w:t>
      </w:r>
      <w:r>
        <w:rPr>
          <w:noProof/>
          <w:lang w:eastAsia="en-US"/>
        </w:rPr>
        <w:t xml:space="preserve"> using the following fair value hierarchy that reflects the significance of the inputs used in making the measurements:</w:t>
      </w:r>
    </w:p>
    <w:p>
      <w:pPr>
        <w:numPr>
          <w:ilvl w:val="0"/>
          <w:numId w:val="25"/>
        </w:numPr>
        <w:spacing w:after="120" w:line="240" w:lineRule="atLeast"/>
        <w:ind w:left="720"/>
        <w:jc w:val="both"/>
        <w:rPr>
          <w:noProof/>
          <w:lang w:eastAsia="en-US"/>
        </w:rPr>
      </w:pPr>
      <w:r>
        <w:rPr>
          <w:noProof/>
          <w:lang w:eastAsia="en-US"/>
        </w:rPr>
        <w:t>Level 1: Quoted prices (unadjusted) in active markets for identical assets or liabilities;</w:t>
      </w:r>
    </w:p>
    <w:p>
      <w:pPr>
        <w:numPr>
          <w:ilvl w:val="0"/>
          <w:numId w:val="25"/>
        </w:numPr>
        <w:spacing w:after="120" w:line="240" w:lineRule="atLeast"/>
        <w:ind w:left="720"/>
        <w:jc w:val="both"/>
        <w:rPr>
          <w:noProof/>
          <w:lang w:eastAsia="en-US"/>
        </w:rPr>
      </w:pPr>
      <w:r>
        <w:rPr>
          <w:noProof/>
          <w:lang w:eastAsia="en-US"/>
        </w:rPr>
        <w:t>Level 2: Inputs other than quoted prices included within Level 1 that are observable for the asset or liability, either directly (i.e., as price) or indirectly (i.e., derived from prices);</w:t>
      </w:r>
    </w:p>
    <w:p>
      <w:pPr>
        <w:numPr>
          <w:ilvl w:val="0"/>
          <w:numId w:val="25"/>
        </w:numPr>
        <w:spacing w:after="120" w:line="240" w:lineRule="atLeast"/>
        <w:ind w:left="720"/>
        <w:jc w:val="both"/>
        <w:rPr>
          <w:noProof/>
          <w:lang w:eastAsia="en-US"/>
        </w:rPr>
      </w:pPr>
      <w:r>
        <w:rPr>
          <w:noProof/>
          <w:lang w:eastAsia="en-US"/>
        </w:rPr>
        <w:t>Level 3: Inputs for the asset or liability that are not based on observable market data (unobservable</w:t>
      </w:r>
    </w:p>
    <w:p>
      <w:pPr>
        <w:widowControl w:val="0"/>
        <w:autoSpaceDE w:val="0"/>
        <w:autoSpaceDN w:val="0"/>
        <w:adjustRightInd w:val="0"/>
        <w:spacing w:line="240" w:lineRule="atLeast"/>
        <w:ind w:left="360" w:firstLine="360"/>
        <w:jc w:val="both"/>
        <w:rPr>
          <w:noProof/>
          <w:lang w:eastAsia="en-US"/>
        </w:rPr>
      </w:pPr>
      <w:r>
        <w:rPr>
          <w:noProof/>
          <w:lang w:eastAsia="en-US"/>
        </w:rPr>
        <w:t>inputs).</w:t>
      </w:r>
    </w:p>
    <w:p>
      <w:pPr>
        <w:pStyle w:val="Text1"/>
        <w:rPr>
          <w:noProof/>
          <w:lang w:eastAsia="en-US"/>
        </w:rPr>
      </w:pPr>
      <w:r>
        <w:rPr>
          <w:noProof/>
          <w:lang w:eastAsia="en-US"/>
        </w:rPr>
        <w:t xml:space="preserve">The Fund recognises transfers </w:t>
      </w:r>
      <w:r>
        <w:rPr>
          <w:noProof/>
        </w:rPr>
        <w:t>between</w:t>
      </w:r>
      <w:r>
        <w:rPr>
          <w:noProof/>
          <w:lang w:eastAsia="en-US"/>
        </w:rPr>
        <w:t xml:space="preserve"> levels of the fair value hierarchy as of the end of the reporting period during which the </w:t>
      </w:r>
      <w:r>
        <w:rPr>
          <w:noProof/>
        </w:rPr>
        <w:t>change</w:t>
      </w:r>
      <w:r>
        <w:rPr>
          <w:noProof/>
          <w:lang w:eastAsia="en-US"/>
        </w:rPr>
        <w:t xml:space="preserve"> has occurred.</w:t>
      </w:r>
    </w:p>
    <w:p>
      <w:pPr>
        <w:pStyle w:val="Text1"/>
        <w:numPr>
          <w:ilvl w:val="4"/>
          <w:numId w:val="51"/>
        </w:numPr>
        <w:spacing w:before="240"/>
        <w:ind w:left="567" w:hanging="567"/>
        <w:rPr>
          <w:noProof/>
        </w:rPr>
      </w:pPr>
      <w:r>
        <w:rPr>
          <w:i/>
          <w:noProof/>
        </w:rPr>
        <w:t>Impairment</w:t>
      </w:r>
      <w:r>
        <w:rPr>
          <w:noProof/>
        </w:rPr>
        <w:t xml:space="preserve"> </w:t>
      </w:r>
      <w:r>
        <w:rPr>
          <w:i/>
          <w:noProof/>
        </w:rPr>
        <w:t>of</w:t>
      </w:r>
      <w:r>
        <w:rPr>
          <w:noProof/>
        </w:rPr>
        <w:t xml:space="preserve"> </w:t>
      </w:r>
      <w:r>
        <w:rPr>
          <w:i/>
          <w:noProof/>
        </w:rPr>
        <w:t>financial</w:t>
      </w:r>
      <w:r>
        <w:rPr>
          <w:noProof/>
        </w:rPr>
        <w:t xml:space="preserve"> </w:t>
      </w:r>
      <w:r>
        <w:rPr>
          <w:i/>
          <w:noProof/>
        </w:rPr>
        <w:t>assets</w:t>
      </w:r>
    </w:p>
    <w:p>
      <w:pPr>
        <w:pStyle w:val="Text1"/>
        <w:rPr>
          <w:noProof/>
          <w:lang w:eastAsia="en-US"/>
        </w:rPr>
      </w:pPr>
      <w:r>
        <w:rPr>
          <w:noProof/>
          <w:lang w:eastAsia="en-US"/>
        </w:rPr>
        <w:t xml:space="preserve">The EIB assesses at each balance sheet date whether there is any objective evidence that a financial asset or a group of </w:t>
      </w:r>
      <w:r>
        <w:rPr>
          <w:noProof/>
        </w:rPr>
        <w:t>financial</w:t>
      </w:r>
      <w:r>
        <w:rPr>
          <w:noProof/>
          <w:lang w:eastAsia="en-US"/>
        </w:rPr>
        <w:t xml:space="preserve"> assets is impaired. A financial asset or a group of financial assets is deemed to be impaired if, and only if, there is objective evidence of impairment as a result of one or more events that </w:t>
      </w:r>
      <w:r>
        <w:rPr>
          <w:noProof/>
        </w:rPr>
        <w:t>has</w:t>
      </w:r>
      <w:r>
        <w:rPr>
          <w:noProof/>
          <w:lang w:eastAsia="en-US"/>
        </w:rPr>
        <w:t xml:space="preserve"> occurred after the initial recognition of the asset (an incurred “loss event”) and that loss event has an impact on the estimated future cash flows of the financial asset or the group of financial assets that can be reliably estimated. Evidence of impairment may include indications that the borrower or a group of borrowers is experiencing significant financial difficulty, default or delinquency in interest or principal payments, the probability that they will enter bankruptcy or other financial reorganisation and where observable data indicate that there is a measurable decrease in the estimated future cash flows, such as changes in arrears or economic conditions that correlate with defaults.</w:t>
      </w:r>
    </w:p>
    <w:p>
      <w:pPr>
        <w:pStyle w:val="Text1"/>
        <w:spacing w:after="240"/>
        <w:rPr>
          <w:noProof/>
        </w:rPr>
      </w:pPr>
      <w:r>
        <w:rPr>
          <w:noProof/>
        </w:rPr>
        <w:t>For the Available for Sale financial assets, an objective evidence would include a significant or prolonged decline in the fair value of the investment below its cost. Where there is evidence of impairment, the cumulative loss (measured as the difference between the acquisition cost net of any principal repayment and amortisation and the current fair value, less any impairment loss on that investment previously recognised in the statement of financial performance) is removed from net assets and recognised in the statement of financial performance. Impairment losses on Available for Sale financial assets are reversed through the statement of financial performance.</w:t>
      </w:r>
    </w:p>
    <w:p>
      <w:pPr>
        <w:pStyle w:val="ManualHeading4"/>
        <w:rPr>
          <w:noProof/>
        </w:rPr>
      </w:pPr>
      <w:r>
        <w:t>3.2.4.3.</w:t>
      </w:r>
      <w:r>
        <w:tab/>
      </w:r>
      <w:r>
        <w:rPr>
          <w:noProof/>
        </w:rPr>
        <w:t>Contributions</w:t>
      </w:r>
    </w:p>
    <w:p>
      <w:pPr>
        <w:pStyle w:val="Text1"/>
        <w:spacing w:before="100" w:beforeAutospacing="1" w:after="100" w:afterAutospacing="1"/>
        <w:rPr>
          <w:noProof/>
          <w:lang w:eastAsia="en-US"/>
        </w:rPr>
      </w:pPr>
      <w:r>
        <w:rPr>
          <w:noProof/>
          <w:lang w:eastAsia="en-US"/>
        </w:rPr>
        <w:t>Contributions are increased by:</w:t>
      </w:r>
    </w:p>
    <w:p>
      <w:pPr>
        <w:numPr>
          <w:ilvl w:val="0"/>
          <w:numId w:val="25"/>
        </w:numPr>
        <w:spacing w:after="120" w:line="240" w:lineRule="atLeast"/>
        <w:ind w:left="720"/>
        <w:jc w:val="both"/>
        <w:rPr>
          <w:noProof/>
          <w:lang w:eastAsia="en-US"/>
        </w:rPr>
      </w:pPr>
      <w:r>
        <w:rPr>
          <w:noProof/>
          <w:lang w:eastAsia="en-US"/>
        </w:rPr>
        <w:t>Payment allocations made to the Fund by the general budget of the European Union;</w:t>
      </w:r>
      <w:r>
        <w:rPr>
          <w:noProof/>
          <w:lang w:eastAsia="en-US"/>
        </w:rPr>
        <w:br/>
        <w:t>Guarantee recoveries received from EIB.</w:t>
      </w:r>
    </w:p>
    <w:p>
      <w:pPr>
        <w:pStyle w:val="Text1"/>
        <w:rPr>
          <w:noProof/>
          <w:lang w:eastAsia="en-US"/>
        </w:rPr>
      </w:pPr>
      <w:r>
        <w:rPr>
          <w:noProof/>
          <w:lang w:eastAsia="en-US"/>
        </w:rPr>
        <w:t>Contributions are decreased by:</w:t>
      </w:r>
    </w:p>
    <w:p>
      <w:pPr>
        <w:numPr>
          <w:ilvl w:val="0"/>
          <w:numId w:val="25"/>
        </w:numPr>
        <w:spacing w:before="120" w:after="120" w:line="240" w:lineRule="atLeast"/>
        <w:ind w:left="714" w:hanging="357"/>
        <w:jc w:val="both"/>
        <w:rPr>
          <w:noProof/>
          <w:lang w:eastAsia="en-US"/>
        </w:rPr>
      </w:pPr>
      <w:r>
        <w:rPr>
          <w:noProof/>
          <w:lang w:eastAsia="en-US"/>
        </w:rPr>
        <w:t>Payment allocations to be made from the Fund to the general budget of the European Union;</w:t>
      </w:r>
      <w:r>
        <w:rPr>
          <w:noProof/>
          <w:lang w:eastAsia="en-US"/>
        </w:rPr>
        <w:br/>
        <w:t xml:space="preserve">Guarantee calls made by the EIB. </w:t>
      </w:r>
    </w:p>
    <w:p>
      <w:pPr>
        <w:pStyle w:val="Text1"/>
        <w:rPr>
          <w:bCs/>
          <w:noProof/>
          <w:lang w:val="en-US" w:eastAsia="en-US"/>
        </w:rPr>
      </w:pPr>
      <w:r>
        <w:rPr>
          <w:noProof/>
          <w:lang w:eastAsia="en-US"/>
        </w:rPr>
        <w:t xml:space="preserve">Contributions to be received </w:t>
      </w:r>
      <w:r>
        <w:rPr>
          <w:bCs/>
          <w:noProof/>
          <w:lang w:val="en-US" w:eastAsia="en-US"/>
        </w:rPr>
        <w:t>from the general budget of the European Union, or to be paid back to the general budget of the European Union are recognized in the balance sheet on the date when they become due or owed according to articles 3, 4, 5 and 6 of the Council Regulation (EC, Euratom) No 480/2009 of 25 May 2009 establishing a Guarantee Fund for external actions (codified version). When it relates to articles 5 and 6 the contributions to be paid or received, based on the previous year end difference between the target amount and the value of the Fund’s net assets, are calculated and recorded at the beginning of the current year. When article 4 applies, the contribution to be paid back is calculated and recorded at the date of accession of the new Member State to the European Union.</w:t>
      </w:r>
    </w:p>
    <w:p>
      <w:pPr>
        <w:pStyle w:val="Text1"/>
        <w:rPr>
          <w:noProof/>
          <w:lang w:eastAsia="en-US"/>
        </w:rPr>
      </w:pPr>
      <w:r>
        <w:rPr>
          <w:noProof/>
          <w:lang w:eastAsia="en-US"/>
        </w:rPr>
        <w:t xml:space="preserve">Contributions to be paid to the EIB in the context of guarantee calls in line with the Recovery Agreement between the European </w:t>
      </w:r>
      <w:r>
        <w:rPr>
          <w:noProof/>
        </w:rPr>
        <w:t>Union</w:t>
      </w:r>
      <w:r>
        <w:rPr>
          <w:noProof/>
          <w:lang w:eastAsia="en-US"/>
        </w:rPr>
        <w:t xml:space="preserve"> and the EIB signed on 03 October 2018 in respect of loans and loan guarantees granted by the EIB for projects outside the European Union (“Recovery Agreement”) </w:t>
      </w:r>
      <w:r>
        <w:rPr>
          <w:noProof/>
        </w:rPr>
        <w:t>are</w:t>
      </w:r>
      <w:r>
        <w:rPr>
          <w:noProof/>
          <w:lang w:eastAsia="en-US"/>
        </w:rPr>
        <w:t xml:space="preserve"> derecognised from the balance sheet on the date when the guarantee call becomes due.</w:t>
      </w:r>
    </w:p>
    <w:p>
      <w:pPr>
        <w:pStyle w:val="Text1"/>
        <w:rPr>
          <w:noProof/>
          <w:lang w:eastAsia="en-US"/>
        </w:rPr>
      </w:pPr>
      <w:r>
        <w:rPr>
          <w:noProof/>
          <w:lang w:eastAsia="en-US"/>
        </w:rPr>
        <w:t>Guarantee recoveries paid by EIB to the Fund in line with the Recovery Agreement are recognised in the balance sheet as contributions (recovery of historically called amounts) and recoveries receivable on the date when the guarantee recovery is received in cash in the accounts of the Bank.</w:t>
      </w:r>
    </w:p>
    <w:p>
      <w:pPr>
        <w:pStyle w:val="ManualHeading4"/>
        <w:rPr>
          <w:noProof/>
        </w:rPr>
      </w:pPr>
      <w:r>
        <w:t>3.2.4.4.</w:t>
      </w:r>
      <w:r>
        <w:tab/>
      </w:r>
      <w:r>
        <w:rPr>
          <w:noProof/>
        </w:rPr>
        <w:t>Interest income</w:t>
      </w:r>
    </w:p>
    <w:p>
      <w:pPr>
        <w:pStyle w:val="Text1"/>
        <w:rPr>
          <w:noProof/>
        </w:rPr>
      </w:pPr>
      <w:r>
        <w:rPr>
          <w:noProof/>
        </w:rPr>
        <w:t>Interest income covers interest earned on cash and cash equivalents and the Bond portfolio and is recorded in the statement of financial performance on an accrual basis.</w:t>
      </w:r>
    </w:p>
    <w:p>
      <w:pPr>
        <w:pStyle w:val="ManualHeading4"/>
        <w:rPr>
          <w:noProof/>
        </w:rPr>
      </w:pPr>
      <w:r>
        <w:t>3.2.4.5.</w:t>
      </w:r>
      <w:r>
        <w:tab/>
      </w:r>
      <w:r>
        <w:rPr>
          <w:noProof/>
        </w:rPr>
        <w:t>Interest expense</w:t>
      </w:r>
    </w:p>
    <w:p>
      <w:pPr>
        <w:pStyle w:val="Text1"/>
        <w:rPr>
          <w:noProof/>
        </w:rPr>
      </w:pPr>
      <w:r>
        <w:rPr>
          <w:noProof/>
        </w:rPr>
        <w:t>Interest expense covers interest paid on cash and cash equivalents, due to negative interest rate, and is recorded in the statement of financial performance on an accrual basis.</w:t>
      </w:r>
    </w:p>
    <w:p>
      <w:pPr>
        <w:pStyle w:val="ManualHeading4"/>
        <w:rPr>
          <w:noProof/>
        </w:rPr>
      </w:pPr>
      <w:r>
        <w:t>3.2.4.6.</w:t>
      </w:r>
      <w:r>
        <w:tab/>
      </w:r>
      <w:r>
        <w:rPr>
          <w:noProof/>
        </w:rPr>
        <w:t>Treasury management fees</w:t>
      </w:r>
    </w:p>
    <w:p>
      <w:pPr>
        <w:pStyle w:val="Text1"/>
        <w:rPr>
          <w:bCs/>
          <w:noProof/>
          <w:lang w:val="en-US"/>
        </w:rPr>
      </w:pPr>
      <w:r>
        <w:rPr>
          <w:bCs/>
          <w:noProof/>
          <w:lang w:val="en-US"/>
        </w:rPr>
        <w:t xml:space="preserve">According to the Management Agreement, EIB </w:t>
      </w:r>
      <w:r>
        <w:rPr>
          <w:noProof/>
        </w:rPr>
        <w:t>shall</w:t>
      </w:r>
      <w:r>
        <w:rPr>
          <w:bCs/>
          <w:noProof/>
          <w:lang w:val="en-US"/>
        </w:rPr>
        <w:t xml:space="preserve"> receive a treasury management fee which is calculated on the basis of, in the case of securities, the average market value at the end of each month, and in the case of </w:t>
      </w:r>
      <w:r>
        <w:rPr>
          <w:noProof/>
        </w:rPr>
        <w:t>cash</w:t>
      </w:r>
      <w:r>
        <w:rPr>
          <w:bCs/>
          <w:noProof/>
          <w:lang w:val="en-US"/>
        </w:rPr>
        <w:t xml:space="preserve"> and money market deposits, the average nominal value at the end of each month.</w:t>
      </w:r>
    </w:p>
    <w:p>
      <w:pPr>
        <w:pStyle w:val="Text1"/>
        <w:rPr>
          <w:bCs/>
          <w:noProof/>
          <w:lang w:val="en-US"/>
        </w:rPr>
      </w:pPr>
      <w:r>
        <w:rPr>
          <w:bCs/>
          <w:noProof/>
          <w:lang w:val="en-US"/>
        </w:rPr>
        <w:t xml:space="preserve">Treasury management fees are recorded in the </w:t>
      </w:r>
      <w:r>
        <w:rPr>
          <w:noProof/>
        </w:rPr>
        <w:t xml:space="preserve">statement of financial performance </w:t>
      </w:r>
      <w:r>
        <w:rPr>
          <w:bCs/>
          <w:noProof/>
          <w:lang w:val="en-US"/>
        </w:rPr>
        <w:t>on an accrual basis.</w:t>
      </w:r>
    </w:p>
    <w:p>
      <w:pPr>
        <w:pStyle w:val="ManualHeading4"/>
        <w:rPr>
          <w:noProof/>
        </w:rPr>
      </w:pPr>
      <w:r>
        <w:t>3.2.4.7.</w:t>
      </w:r>
      <w:r>
        <w:tab/>
      </w:r>
      <w:r>
        <w:rPr>
          <w:noProof/>
        </w:rPr>
        <w:t>Recovery fees</w:t>
      </w:r>
    </w:p>
    <w:p>
      <w:pPr>
        <w:pStyle w:val="Text1"/>
        <w:rPr>
          <w:bCs/>
          <w:noProof/>
          <w:lang w:val="en-US"/>
        </w:rPr>
      </w:pPr>
      <w:r>
        <w:rPr>
          <w:bCs/>
          <w:noProof/>
          <w:lang w:val="en-US"/>
        </w:rPr>
        <w:t xml:space="preserve">According to the Recovery </w:t>
      </w:r>
      <w:r>
        <w:rPr>
          <w:noProof/>
        </w:rPr>
        <w:t>Agreement</w:t>
      </w:r>
      <w:r>
        <w:rPr>
          <w:bCs/>
          <w:noProof/>
          <w:lang w:val="en-US"/>
        </w:rPr>
        <w:t xml:space="preserve"> dated 3 October 2018 the EU shall reimburse EIB for external costs and expenses incurred by it in the course of execution of the recovery proceedings.</w:t>
      </w:r>
    </w:p>
    <w:p>
      <w:pPr>
        <w:pStyle w:val="Text1"/>
        <w:rPr>
          <w:noProof/>
          <w:lang w:val="en-US"/>
        </w:rPr>
      </w:pPr>
      <w:r>
        <w:rPr>
          <w:bCs/>
          <w:noProof/>
          <w:lang w:val="en-US"/>
        </w:rPr>
        <w:t xml:space="preserve">Recovery fees are recorded in the </w:t>
      </w:r>
      <w:r>
        <w:rPr>
          <w:noProof/>
        </w:rPr>
        <w:t>statement</w:t>
      </w:r>
      <w:r>
        <w:rPr>
          <w:bCs/>
          <w:noProof/>
          <w:lang w:val="en-US"/>
        </w:rPr>
        <w:t xml:space="preserve"> of financial performance on an accrual basis.</w:t>
      </w:r>
    </w:p>
    <w:p>
      <w:pPr>
        <w:pStyle w:val="ManualHeading4"/>
        <w:rPr>
          <w:noProof/>
        </w:rPr>
      </w:pPr>
      <w:r>
        <w:t>3.2.4.8.</w:t>
      </w:r>
      <w:r>
        <w:tab/>
      </w:r>
      <w:r>
        <w:rPr>
          <w:noProof/>
        </w:rPr>
        <w:t>Securities Lending Activity</w:t>
      </w:r>
    </w:p>
    <w:p>
      <w:pPr>
        <w:pStyle w:val="Text1"/>
        <w:rPr>
          <w:bCs/>
          <w:noProof/>
          <w:lang w:val="en-US"/>
        </w:rPr>
      </w:pPr>
      <w:r>
        <w:rPr>
          <w:bCs/>
          <w:noProof/>
          <w:lang w:val="en-US"/>
        </w:rPr>
        <w:t xml:space="preserve">In April 2008, the EIB for </w:t>
      </w:r>
      <w:r>
        <w:rPr>
          <w:noProof/>
        </w:rPr>
        <w:t>the</w:t>
      </w:r>
      <w:r>
        <w:rPr>
          <w:bCs/>
          <w:noProof/>
          <w:lang w:val="en-US"/>
        </w:rPr>
        <w:t xml:space="preserve"> account of the Fund entered into an automatic securities lending program with Euroclear Bank SA/NV to lend assets from its bond </w:t>
      </w:r>
      <w:r>
        <w:rPr>
          <w:noProof/>
        </w:rPr>
        <w:t>portfolio</w:t>
      </w:r>
      <w:r>
        <w:rPr>
          <w:bCs/>
          <w:noProof/>
          <w:lang w:val="en-US"/>
        </w:rPr>
        <w:t>. Within this securities lending program all bonds from the Bond portfolio are eligible to be lent out.</w:t>
      </w:r>
    </w:p>
    <w:p>
      <w:pPr>
        <w:pStyle w:val="Text1"/>
        <w:rPr>
          <w:bCs/>
          <w:noProof/>
          <w:lang w:val="en-US"/>
        </w:rPr>
      </w:pPr>
      <w:r>
        <w:rPr>
          <w:bCs/>
          <w:noProof/>
          <w:lang w:val="en-US"/>
        </w:rPr>
        <w:t xml:space="preserve">Securities lent within the </w:t>
      </w:r>
      <w:r>
        <w:rPr>
          <w:noProof/>
        </w:rPr>
        <w:t>automatic</w:t>
      </w:r>
      <w:r>
        <w:rPr>
          <w:bCs/>
          <w:noProof/>
          <w:lang w:val="en-US"/>
        </w:rPr>
        <w:t xml:space="preserve"> </w:t>
      </w:r>
      <w:r>
        <w:rPr>
          <w:noProof/>
        </w:rPr>
        <w:t>securities</w:t>
      </w:r>
      <w:r>
        <w:rPr>
          <w:bCs/>
          <w:noProof/>
          <w:lang w:val="en-US"/>
        </w:rPr>
        <w:t xml:space="preserve"> lending program are not derecognized from the Fund’s balance sheet as the risks and rewards of these securities are still held by the Fund itself.</w:t>
      </w:r>
    </w:p>
    <w:p>
      <w:pPr>
        <w:pStyle w:val="Text1"/>
        <w:rPr>
          <w:noProof/>
        </w:rPr>
      </w:pPr>
      <w:r>
        <w:rPr>
          <w:bCs/>
          <w:noProof/>
          <w:lang w:val="en-US"/>
        </w:rPr>
        <w:t xml:space="preserve">Income from </w:t>
      </w:r>
      <w:r>
        <w:rPr>
          <w:noProof/>
        </w:rPr>
        <w:t>securities</w:t>
      </w:r>
      <w:r>
        <w:rPr>
          <w:bCs/>
          <w:noProof/>
          <w:lang w:val="en-US"/>
        </w:rPr>
        <w:t xml:space="preserve"> </w:t>
      </w:r>
      <w:r>
        <w:rPr>
          <w:noProof/>
        </w:rPr>
        <w:t>lending</w:t>
      </w:r>
      <w:r>
        <w:rPr>
          <w:bCs/>
          <w:noProof/>
          <w:lang w:val="en-US"/>
        </w:rPr>
        <w:t xml:space="preserve"> activity is recorded in the statement of financial performance on an accrual basis</w:t>
      </w:r>
      <w:r>
        <w:rPr>
          <w:noProof/>
        </w:rPr>
        <w:t>.</w:t>
      </w:r>
    </w:p>
    <w:p>
      <w:pPr>
        <w:pStyle w:val="ManualHeading4"/>
        <w:rPr>
          <w:noProof/>
        </w:rPr>
      </w:pPr>
      <w:r>
        <w:t>3.2.4.9.</w:t>
      </w:r>
      <w:r>
        <w:tab/>
      </w:r>
      <w:r>
        <w:rPr>
          <w:noProof/>
        </w:rPr>
        <w:t>Risk-related remuneration</w:t>
      </w:r>
    </w:p>
    <w:p>
      <w:pPr>
        <w:pStyle w:val="Text1"/>
        <w:rPr>
          <w:bCs/>
          <w:noProof/>
          <w:lang w:val="en-US"/>
        </w:rPr>
      </w:pPr>
      <w:r>
        <w:rPr>
          <w:bCs/>
          <w:noProof/>
          <w:lang w:val="en-US"/>
        </w:rPr>
        <w:t xml:space="preserve">In accordance with the </w:t>
      </w:r>
      <w:r>
        <w:rPr>
          <w:noProof/>
        </w:rPr>
        <w:t>Guarantee</w:t>
      </w:r>
      <w:r>
        <w:rPr>
          <w:bCs/>
          <w:noProof/>
          <w:lang w:val="en-US"/>
        </w:rPr>
        <w:t xml:space="preserve"> Agreement dated 3 October 2018, the risk-related revenues received by the Bank from the pricing (in accordance with the Bank’s standard risk pricing methodology as may be amended from time to time) of EIB financing operations under the ERI Private Mandate shall remunerate on a quarterly basis the risk for the Union budget associated with EIB Financing Operations under the ERI Private Mandate.</w:t>
      </w:r>
    </w:p>
    <w:p>
      <w:pPr>
        <w:pStyle w:val="Text1"/>
        <w:rPr>
          <w:noProof/>
        </w:rPr>
      </w:pPr>
      <w:r>
        <w:rPr>
          <w:bCs/>
          <w:noProof/>
          <w:lang w:val="en-US"/>
        </w:rPr>
        <w:t xml:space="preserve">The Risk-related </w:t>
      </w:r>
      <w:r>
        <w:rPr>
          <w:noProof/>
        </w:rPr>
        <w:t>remuneration</w:t>
      </w:r>
      <w:r>
        <w:rPr>
          <w:bCs/>
          <w:noProof/>
          <w:lang w:val="en-US"/>
        </w:rPr>
        <w:t xml:space="preserve"> is recognised in the statement of financial performance on an accrual basis.</w:t>
      </w:r>
      <w:r>
        <w:rPr>
          <w:noProof/>
        </w:rPr>
        <w:t>.</w:t>
      </w:r>
    </w:p>
    <w:p>
      <w:pPr>
        <w:pStyle w:val="ManualHeading3"/>
        <w:rPr>
          <w:noProof/>
        </w:rPr>
      </w:pPr>
      <w:bookmarkStart w:id="72" w:name="_Toc6923127"/>
      <w:bookmarkStart w:id="73" w:name="_Toc478663489"/>
      <w:bookmarkStart w:id="74" w:name="_Toc6923128"/>
      <w:bookmarkEnd w:id="72"/>
      <w:r>
        <w:t>3.2.5.</w:t>
      </w:r>
      <w:r>
        <w:tab/>
      </w:r>
      <w:r>
        <w:rPr>
          <w:noProof/>
        </w:rPr>
        <w:t>Taxation</w:t>
      </w:r>
      <w:bookmarkEnd w:id="73"/>
      <w:bookmarkEnd w:id="74"/>
    </w:p>
    <w:p>
      <w:pPr>
        <w:pStyle w:val="Text1"/>
        <w:rPr>
          <w:bCs/>
          <w:noProof/>
          <w:lang w:val="en-US"/>
        </w:rPr>
      </w:pPr>
      <w:r>
        <w:rPr>
          <w:bCs/>
          <w:noProof/>
          <w:lang w:val="en-US"/>
        </w:rPr>
        <w:t xml:space="preserve">The Protocol on the </w:t>
      </w:r>
      <w:r>
        <w:rPr>
          <w:noProof/>
        </w:rPr>
        <w:t>Privileges</w:t>
      </w:r>
      <w:r>
        <w:rPr>
          <w:bCs/>
          <w:noProof/>
          <w:lang w:val="en-US"/>
        </w:rPr>
        <w:t xml:space="preserve"> and Immunities of the European Union, appended to the treaty on the European Union and the treaty of the functioning of the European Union, stipulates that the assets, revenues and other property of the Institutions of the Union are exempt from all direct taxes.</w:t>
      </w:r>
    </w:p>
    <w:p>
      <w:pPr>
        <w:pStyle w:val="ManualHeading2"/>
        <w:rPr>
          <w:noProof/>
        </w:rPr>
      </w:pPr>
      <w:bookmarkStart w:id="75" w:name="_Toc449626527"/>
      <w:bookmarkStart w:id="76" w:name="_Toc449626300"/>
      <w:bookmarkStart w:id="77" w:name="_Toc449022475"/>
      <w:bookmarkStart w:id="78" w:name="_Toc448929174"/>
      <w:bookmarkStart w:id="79" w:name="_Toc6923129"/>
      <w:r>
        <w:t>3.3.</w:t>
      </w:r>
      <w:r>
        <w:tab/>
      </w:r>
      <w:r>
        <w:rPr>
          <w:noProof/>
        </w:rPr>
        <w:t>Financial Risk Management</w:t>
      </w:r>
      <w:bookmarkEnd w:id="75"/>
      <w:bookmarkEnd w:id="76"/>
      <w:bookmarkEnd w:id="77"/>
      <w:bookmarkEnd w:id="78"/>
      <w:bookmarkEnd w:id="79"/>
    </w:p>
    <w:p>
      <w:pPr>
        <w:pStyle w:val="Text1"/>
        <w:rPr>
          <w:noProof/>
          <w:lang w:eastAsia="en-US"/>
        </w:rPr>
      </w:pPr>
      <w:r>
        <w:rPr>
          <w:noProof/>
          <w:lang w:eastAsia="en-US"/>
        </w:rPr>
        <w:t xml:space="preserve">This note presents information </w:t>
      </w:r>
      <w:r>
        <w:rPr>
          <w:noProof/>
        </w:rPr>
        <w:t>about</w:t>
      </w:r>
      <w:r>
        <w:rPr>
          <w:noProof/>
          <w:lang w:eastAsia="en-US"/>
        </w:rPr>
        <w:t xml:space="preserve"> the Fund’s treasury portfolio exposure, its management and control of credit and </w:t>
      </w:r>
      <w:r>
        <w:rPr>
          <w:noProof/>
        </w:rPr>
        <w:t>financial</w:t>
      </w:r>
      <w:r>
        <w:rPr>
          <w:noProof/>
          <w:lang w:eastAsia="en-US"/>
        </w:rPr>
        <w:t xml:space="preserve"> risks, in particular the primary risks associated with its use of financial instruments. These are:</w:t>
      </w:r>
    </w:p>
    <w:p>
      <w:pPr>
        <w:numPr>
          <w:ilvl w:val="0"/>
          <w:numId w:val="42"/>
        </w:numPr>
        <w:tabs>
          <w:tab w:val="center" w:pos="4320"/>
          <w:tab w:val="right" w:pos="8640"/>
        </w:tabs>
        <w:spacing w:after="120" w:line="240" w:lineRule="atLeast"/>
        <w:ind w:left="714" w:hanging="357"/>
        <w:jc w:val="both"/>
        <w:rPr>
          <w:noProof/>
          <w:lang w:eastAsia="en-US"/>
        </w:rPr>
      </w:pPr>
      <w:r>
        <w:rPr>
          <w:noProof/>
          <w:lang w:eastAsia="en-US"/>
        </w:rPr>
        <w:t>credit risk – the risk of loss resulting from client or counterparty default and arising on credit exposure in all forms, including settlement risk;</w:t>
      </w:r>
    </w:p>
    <w:p>
      <w:pPr>
        <w:numPr>
          <w:ilvl w:val="0"/>
          <w:numId w:val="42"/>
        </w:numPr>
        <w:tabs>
          <w:tab w:val="center" w:pos="4320"/>
          <w:tab w:val="right" w:pos="8640"/>
        </w:tabs>
        <w:spacing w:after="120" w:line="240" w:lineRule="atLeast"/>
        <w:ind w:left="714" w:hanging="357"/>
        <w:jc w:val="both"/>
        <w:rPr>
          <w:noProof/>
          <w:lang w:eastAsia="en-US"/>
        </w:rPr>
      </w:pPr>
      <w:r>
        <w:rPr>
          <w:noProof/>
          <w:lang w:eastAsia="en-US"/>
        </w:rPr>
        <w:t>liquidity risk – the risk that an entity will encounter difficulty in meeting obligations associated with financial liabilities that are settled by delivering cash or another financial asset;</w:t>
      </w:r>
    </w:p>
    <w:p>
      <w:pPr>
        <w:numPr>
          <w:ilvl w:val="0"/>
          <w:numId w:val="42"/>
        </w:numPr>
        <w:tabs>
          <w:tab w:val="center" w:pos="4320"/>
          <w:tab w:val="right" w:pos="8640"/>
        </w:tabs>
        <w:spacing w:after="120" w:line="240" w:lineRule="atLeast"/>
        <w:ind w:left="714" w:hanging="357"/>
        <w:jc w:val="both"/>
        <w:rPr>
          <w:noProof/>
          <w:lang w:eastAsia="en-US"/>
        </w:rPr>
      </w:pPr>
      <w:r>
        <w:rPr>
          <w:noProof/>
          <w:lang w:eastAsia="en-US"/>
        </w:rPr>
        <w:t>market risk – exposure to observable market variables such as interest rates and foreign exchange rates.</w:t>
      </w:r>
    </w:p>
    <w:p>
      <w:pPr>
        <w:pStyle w:val="ManualHeading3"/>
        <w:rPr>
          <w:noProof/>
        </w:rPr>
      </w:pPr>
      <w:bookmarkStart w:id="80" w:name="_Toc6923130"/>
      <w:bookmarkStart w:id="81" w:name="_Toc478663491"/>
      <w:bookmarkStart w:id="82" w:name="_Toc6923131"/>
      <w:bookmarkEnd w:id="80"/>
      <w:r>
        <w:t>3.3.1.</w:t>
      </w:r>
      <w:r>
        <w:tab/>
      </w:r>
      <w:r>
        <w:rPr>
          <w:noProof/>
        </w:rPr>
        <w:t>Risk management organisation</w:t>
      </w:r>
      <w:bookmarkEnd w:id="81"/>
      <w:bookmarkEnd w:id="82"/>
    </w:p>
    <w:p>
      <w:pPr>
        <w:pStyle w:val="Text1"/>
        <w:rPr>
          <w:noProof/>
        </w:rPr>
      </w:pPr>
      <w:r>
        <w:rPr>
          <w:noProof/>
        </w:rPr>
        <w:t xml:space="preserve">The Risk Management function of EIB ensures that the treasury portfolio is managed in line with the agreed asset management guidelines, especially in respect of the eligible investments, the maximum maturity, the interest rate risk and the credit risk exposure of the Fund’s treasury portfolio. In this respect quarterly reporting is also delivered to the EC concerning the risk and the performance of the Fund’s treasury portfolio. The reporting makes reference to breaches, if any, of the limits set out in the asset management guidelines and includes a comparison of the valuations of the portfolio to a performance index taken as benchmark. </w:t>
      </w:r>
    </w:p>
    <w:p>
      <w:pPr>
        <w:pStyle w:val="ManualHeading3"/>
        <w:rPr>
          <w:noProof/>
        </w:rPr>
      </w:pPr>
      <w:bookmarkStart w:id="83" w:name="_Toc478663492"/>
      <w:bookmarkStart w:id="84" w:name="_Toc6923132"/>
      <w:r>
        <w:t>3.3.2.</w:t>
      </w:r>
      <w:r>
        <w:tab/>
      </w:r>
      <w:r>
        <w:rPr>
          <w:noProof/>
        </w:rPr>
        <w:t>Credit Risk</w:t>
      </w:r>
      <w:bookmarkEnd w:id="83"/>
      <w:bookmarkEnd w:id="84"/>
    </w:p>
    <w:p>
      <w:pPr>
        <w:pStyle w:val="Text1"/>
        <w:rPr>
          <w:noProof/>
          <w:bdr w:val="none" w:sz="0" w:space="0" w:color="auto" w:frame="1"/>
        </w:rPr>
      </w:pPr>
      <w:r>
        <w:rPr>
          <w:noProof/>
          <w:bdr w:val="none" w:sz="0" w:space="0" w:color="auto" w:frame="1"/>
        </w:rPr>
        <w:t xml:space="preserve">Credit risk is the potential loss that could result from client or counterparty default and arising on credit exposure in all forms, </w:t>
      </w:r>
      <w:r>
        <w:rPr>
          <w:noProof/>
        </w:rPr>
        <w:t>including</w:t>
      </w:r>
      <w:r>
        <w:rPr>
          <w:noProof/>
          <w:bdr w:val="none" w:sz="0" w:space="0" w:color="auto" w:frame="1"/>
        </w:rPr>
        <w:t xml:space="preserve"> settlement.</w:t>
      </w:r>
    </w:p>
    <w:p>
      <w:pPr>
        <w:pStyle w:val="ManualHeading4"/>
        <w:rPr>
          <w:noProof/>
        </w:rPr>
      </w:pPr>
      <w:r>
        <w:t>3.3.2.1.</w:t>
      </w:r>
      <w:r>
        <w:tab/>
      </w:r>
      <w:r>
        <w:rPr>
          <w:noProof/>
        </w:rPr>
        <w:t>Credit risk policy</w:t>
      </w:r>
    </w:p>
    <w:p>
      <w:pPr>
        <w:pStyle w:val="Text1"/>
        <w:rPr>
          <w:noProof/>
          <w:bdr w:val="none" w:sz="0" w:space="0" w:color="auto" w:frame="1"/>
        </w:rPr>
      </w:pPr>
      <w:r>
        <w:rPr>
          <w:noProof/>
          <w:bdr w:val="none" w:sz="0" w:space="0" w:color="auto" w:frame="1"/>
        </w:rPr>
        <w:t xml:space="preserve">The treasury portfolio’s agreed asset management guidelines and/or investment strategy define certain limits and restrictions </w:t>
      </w:r>
      <w:r>
        <w:rPr>
          <w:noProof/>
        </w:rPr>
        <w:t>in</w:t>
      </w:r>
      <w:r>
        <w:rPr>
          <w:noProof/>
          <w:bdr w:val="none" w:sz="0" w:space="0" w:color="auto" w:frame="1"/>
        </w:rPr>
        <w:t xml:space="preserve"> order to limit the exposure to credit risk of the treasury portfolio. The compliance with these </w:t>
      </w:r>
      <w:r>
        <w:rPr>
          <w:noProof/>
        </w:rPr>
        <w:t>limits</w:t>
      </w:r>
      <w:r>
        <w:rPr>
          <w:noProof/>
          <w:bdr w:val="none" w:sz="0" w:space="0" w:color="auto" w:frame="1"/>
        </w:rPr>
        <w:t xml:space="preserve"> is monitored by the Risk Management on a daily basis. Such limits and restrictions include eligibility criteria, absolute credit limits in nominal terms depending on issuer category, relative concentration limits depending on issuer category and concentration limits per issue.</w:t>
      </w:r>
    </w:p>
    <w:p>
      <w:pPr>
        <w:pStyle w:val="ManualHeading4"/>
        <w:rPr>
          <w:noProof/>
        </w:rPr>
      </w:pPr>
      <w:r>
        <w:t>3.3.2.2.</w:t>
      </w:r>
      <w:r>
        <w:tab/>
      </w:r>
      <w:r>
        <w:rPr>
          <w:noProof/>
        </w:rPr>
        <w:t>Maximum exposure to credit risk without taking into account any collateral and other credit enhancements</w:t>
      </w:r>
    </w:p>
    <w:p>
      <w:pPr>
        <w:pStyle w:val="Text1"/>
        <w:rPr>
          <w:noProof/>
          <w:bdr w:val="nil"/>
          <w:lang w:eastAsia="en-US"/>
        </w:rPr>
      </w:pPr>
      <w:r>
        <w:rPr>
          <w:noProof/>
          <w:bdr w:val="nil"/>
          <w:lang w:eastAsia="en-US"/>
        </w:rPr>
        <w:t xml:space="preserve">The following table </w:t>
      </w:r>
      <w:r>
        <w:rPr>
          <w:noProof/>
        </w:rPr>
        <w:t>shows</w:t>
      </w:r>
      <w:r>
        <w:rPr>
          <w:noProof/>
          <w:bdr w:val="nil"/>
          <w:lang w:eastAsia="en-US"/>
        </w:rPr>
        <w:t xml:space="preserve"> </w:t>
      </w:r>
      <w:r>
        <w:rPr>
          <w:noProof/>
        </w:rPr>
        <w:t>the</w:t>
      </w:r>
      <w:r>
        <w:rPr>
          <w:noProof/>
          <w:bdr w:val="nil"/>
          <w:lang w:eastAsia="en-US"/>
        </w:rPr>
        <w:t xml:space="preserve"> maximum exposure to credit risk for the components of the balance sheet (in EUR):</w:t>
      </w:r>
    </w:p>
    <w:tbl>
      <w:tblPr>
        <w:tblStyle w:val="CDMRange11"/>
        <w:tblW w:w="10230" w:type="dxa"/>
        <w:tblLayout w:type="fixed"/>
        <w:tblLook w:val="0600" w:firstRow="0" w:lastRow="0" w:firstColumn="0" w:lastColumn="0" w:noHBand="1" w:noVBand="1"/>
      </w:tblPr>
      <w:tblGrid>
        <w:gridCol w:w="5625"/>
        <w:gridCol w:w="2175"/>
        <w:gridCol w:w="2175"/>
        <w:gridCol w:w="255"/>
      </w:tblGrid>
      <w:tr>
        <w:trPr>
          <w:trHeight w:val="255"/>
        </w:trPr>
        <w:tc>
          <w:tcPr>
            <w:tcW w:w="56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 xml:space="preserve">Maximum exposure </w:t>
            </w: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sz w:val="22"/>
                <w:szCs w:val="22"/>
              </w:rPr>
            </w:pPr>
            <w:r>
              <w:rPr>
                <w:b/>
                <w:noProof/>
                <w:color w:val="000000"/>
                <w:sz w:val="22"/>
                <w:szCs w:val="22"/>
              </w:rPr>
              <w:t>31.12.2018</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2"/>
                <w:szCs w:val="22"/>
              </w:rPr>
            </w:pPr>
            <w:r>
              <w:rPr>
                <w:b/>
                <w:noProof/>
                <w:color w:val="000000"/>
                <w:sz w:val="22"/>
                <w:szCs w:val="22"/>
              </w:rPr>
              <w:t>31.12.2017</w:t>
            </w:r>
          </w:p>
        </w:tc>
        <w:tc>
          <w:tcPr>
            <w:tcW w:w="255" w:type="dxa"/>
            <w:tcBorders>
              <w:top w:val="nil"/>
              <w:left w:val="nil"/>
              <w:bottom w:val="nil"/>
              <w:right w:val="nil"/>
              <w:tl2br w:val="nil"/>
              <w:tr2bl w:val="nil"/>
            </w:tcBorders>
            <w:shd w:val="clear" w:color="auto" w:fill="auto"/>
            <w:tcMar>
              <w:left w:w="0" w:type="dxa"/>
              <w:right w:w="0" w:type="dxa"/>
            </w:tcMar>
            <w:vAlign w:val="center"/>
          </w:tcPr>
          <w:p>
            <w:pPr>
              <w:jc w:val="right"/>
              <w:rPr>
                <w:b/>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2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ASSETS</w:t>
            </w:r>
          </w:p>
        </w:tc>
        <w:tc>
          <w:tcPr>
            <w:tcW w:w="2175"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rPr>
                <w:b/>
                <w:noProof/>
                <w:color w:val="000000"/>
                <w:sz w:val="22"/>
                <w:szCs w:val="22"/>
              </w:rPr>
            </w:pPr>
          </w:p>
        </w:tc>
        <w:tc>
          <w:tcPr>
            <w:tcW w:w="2175" w:type="dxa"/>
            <w:tcBorders>
              <w:top w:val="single" w:sz="4" w:space="0" w:color="000000"/>
              <w:left w:val="nil"/>
              <w:bottom w:val="nil"/>
              <w:right w:val="nil"/>
              <w:tl2br w:val="nil"/>
              <w:tr2bl w:val="nil"/>
            </w:tcBorders>
            <w:shd w:val="clear" w:color="auto" w:fill="auto"/>
            <w:tcMar>
              <w:left w:w="0" w:type="dxa"/>
              <w:right w:w="0" w:type="dxa"/>
            </w:tcMar>
            <w:vAlign w:val="center"/>
          </w:tcPr>
          <w:p>
            <w:pPr>
              <w:rPr>
                <w:b/>
                <w:noProof/>
                <w:color w:val="000000"/>
                <w:sz w:val="22"/>
                <w:szCs w:val="22"/>
              </w:rPr>
            </w:pPr>
          </w:p>
        </w:tc>
        <w:tc>
          <w:tcPr>
            <w:tcW w:w="255" w:type="dxa"/>
            <w:tcBorders>
              <w:top w:val="nil"/>
              <w:left w:val="nil"/>
              <w:bottom w:val="nil"/>
              <w:right w:val="nil"/>
              <w:tl2br w:val="nil"/>
              <w:tr2bl w:val="nil"/>
            </w:tcBorders>
            <w:shd w:val="clear" w:color="auto" w:fill="auto"/>
            <w:tcMar>
              <w:left w:w="0" w:type="dxa"/>
              <w:right w:w="0" w:type="dxa"/>
            </w:tcMar>
            <w:vAlign w:val="center"/>
          </w:tcPr>
          <w:p>
            <w:pPr>
              <w:rPr>
                <w:b/>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Available for Sale portfolio</w:t>
            </w:r>
          </w:p>
        </w:tc>
        <w:tc>
          <w:tcPr>
            <w:tcW w:w="2175"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2,465,100,760.23</w:t>
            </w:r>
          </w:p>
        </w:tc>
        <w:tc>
          <w:tcPr>
            <w:tcW w:w="2175"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2,198,742,276.84</w:t>
            </w:r>
          </w:p>
        </w:tc>
        <w:tc>
          <w:tcPr>
            <w:tcW w:w="255" w:type="dxa"/>
            <w:tcBorders>
              <w:top w:val="nil"/>
              <w:left w:val="nil"/>
              <w:bottom w:val="nil"/>
              <w:right w:val="nil"/>
              <w:tl2br w:val="nil"/>
              <w:tr2bl w:val="nil"/>
            </w:tcBorders>
            <w:shd w:val="clear" w:color="auto" w:fill="auto"/>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Contributions receivable</w:t>
            </w:r>
          </w:p>
        </w:tc>
        <w:tc>
          <w:tcPr>
            <w:tcW w:w="2175"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103,222,935.00</w:t>
            </w:r>
          </w:p>
        </w:tc>
        <w:tc>
          <w:tcPr>
            <w:tcW w:w="2175"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137,800,722.00</w:t>
            </w:r>
          </w:p>
        </w:tc>
        <w:tc>
          <w:tcPr>
            <w:tcW w:w="255" w:type="dxa"/>
            <w:tcBorders>
              <w:top w:val="nil"/>
              <w:left w:val="nil"/>
              <w:bottom w:val="nil"/>
              <w:right w:val="nil"/>
              <w:tl2br w:val="nil"/>
              <w:tr2bl w:val="nil"/>
            </w:tcBorders>
            <w:shd w:val="clear" w:color="auto" w:fill="auto"/>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Guarantee recoveries receivable</w:t>
            </w:r>
          </w:p>
        </w:tc>
        <w:tc>
          <w:tcPr>
            <w:tcW w:w="2175"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0.00</w:t>
            </w:r>
          </w:p>
        </w:tc>
        <w:tc>
          <w:tcPr>
            <w:tcW w:w="2175" w:type="dxa"/>
            <w:tcBorders>
              <w:top w:val="nil"/>
              <w:left w:val="nil"/>
              <w:bottom w:val="nil"/>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136,092.88</w:t>
            </w:r>
          </w:p>
        </w:tc>
        <w:tc>
          <w:tcPr>
            <w:tcW w:w="255" w:type="dxa"/>
            <w:tcBorders>
              <w:top w:val="nil"/>
              <w:left w:val="nil"/>
              <w:bottom w:val="nil"/>
              <w:right w:val="nil"/>
              <w:tl2br w:val="nil"/>
              <w:tr2bl w:val="nil"/>
            </w:tcBorders>
            <w:shd w:val="clear" w:color="auto" w:fill="auto"/>
            <w:tcMar>
              <w:left w:w="0" w:type="dxa"/>
              <w:right w:w="0" w:type="dxa"/>
            </w:tcMar>
            <w:vAlign w:val="center"/>
          </w:tcPr>
          <w:p>
            <w:pPr>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Cash and cash equivalents</w:t>
            </w:r>
          </w:p>
        </w:tc>
        <w:tc>
          <w:tcPr>
            <w:tcW w:w="2175" w:type="dxa"/>
            <w:tcBorders>
              <w:top w:val="nil"/>
              <w:left w:val="nil"/>
              <w:bottom w:val="single" w:sz="4" w:space="0" w:color="000000"/>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41,558,052.28</w:t>
            </w:r>
          </w:p>
        </w:tc>
        <w:tc>
          <w:tcPr>
            <w:tcW w:w="2175" w:type="dxa"/>
            <w:tcBorders>
              <w:top w:val="nil"/>
              <w:left w:val="nil"/>
              <w:bottom w:val="single" w:sz="4" w:space="0" w:color="000000"/>
              <w:right w:val="nil"/>
              <w:tl2br w:val="nil"/>
              <w:tr2bl w:val="nil"/>
            </w:tcBorders>
            <w:shd w:val="clear" w:color="auto" w:fill="auto"/>
            <w:tcMar>
              <w:left w:w="40" w:type="dxa"/>
              <w:right w:w="85" w:type="dxa"/>
            </w:tcMar>
            <w:vAlign w:val="center"/>
          </w:tcPr>
          <w:p>
            <w:pPr>
              <w:jc w:val="right"/>
              <w:rPr>
                <w:noProof/>
                <w:color w:val="000000"/>
                <w:sz w:val="22"/>
                <w:szCs w:val="22"/>
              </w:rPr>
            </w:pPr>
            <w:r>
              <w:rPr>
                <w:noProof/>
                <w:color w:val="000000"/>
                <w:sz w:val="22"/>
                <w:szCs w:val="22"/>
              </w:rPr>
              <w:t>224,082,752.91</w:t>
            </w:r>
          </w:p>
        </w:tc>
        <w:tc>
          <w:tcPr>
            <w:tcW w:w="255" w:type="dxa"/>
            <w:tcBorders>
              <w:top w:val="nil"/>
              <w:left w:val="nil"/>
              <w:bottom w:val="nil"/>
              <w:right w:val="nil"/>
              <w:tl2br w:val="nil"/>
              <w:tr2bl w:val="nil"/>
            </w:tcBorders>
            <w:shd w:val="clear" w:color="auto" w:fill="auto"/>
            <w:tcMar>
              <w:left w:w="0" w:type="dxa"/>
              <w:right w:w="0" w:type="dxa"/>
            </w:tcMar>
            <w:vAlign w:val="center"/>
          </w:tcPr>
          <w:p>
            <w:pPr>
              <w:jc w:val="right"/>
              <w:rPr>
                <w:b/>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25"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rPr>
                <w:b/>
                <w:noProof/>
                <w:color w:val="000000"/>
                <w:sz w:val="22"/>
                <w:szCs w:val="22"/>
              </w:rPr>
            </w:pPr>
            <w:r>
              <w:rPr>
                <w:b/>
                <w:noProof/>
                <w:color w:val="000000"/>
                <w:sz w:val="22"/>
                <w:szCs w:val="22"/>
              </w:rPr>
              <w:t>Total assets</w:t>
            </w:r>
          </w:p>
        </w:tc>
        <w:tc>
          <w:tcPr>
            <w:tcW w:w="2175"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jc w:val="right"/>
              <w:rPr>
                <w:b/>
                <w:noProof/>
                <w:color w:val="000000"/>
                <w:sz w:val="22"/>
                <w:szCs w:val="22"/>
              </w:rPr>
            </w:pPr>
            <w:r>
              <w:rPr>
                <w:b/>
                <w:noProof/>
                <w:color w:val="000000"/>
                <w:sz w:val="22"/>
                <w:szCs w:val="22"/>
              </w:rPr>
              <w:t>2,609,881,747.51</w:t>
            </w:r>
          </w:p>
        </w:tc>
        <w:tc>
          <w:tcPr>
            <w:tcW w:w="2175"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jc w:val="right"/>
              <w:rPr>
                <w:b/>
                <w:noProof/>
                <w:color w:val="000000"/>
                <w:sz w:val="22"/>
                <w:szCs w:val="22"/>
              </w:rPr>
            </w:pPr>
            <w:r>
              <w:rPr>
                <w:b/>
                <w:noProof/>
                <w:color w:val="000000"/>
                <w:sz w:val="22"/>
                <w:szCs w:val="22"/>
              </w:rPr>
              <w:t>2,560,761,844.63</w:t>
            </w:r>
          </w:p>
        </w:tc>
        <w:tc>
          <w:tcPr>
            <w:tcW w:w="255" w:type="dxa"/>
            <w:tcBorders>
              <w:top w:val="nil"/>
              <w:left w:val="nil"/>
              <w:bottom w:val="nil"/>
              <w:right w:val="nil"/>
              <w:tl2br w:val="nil"/>
              <w:tr2bl w:val="nil"/>
            </w:tcBorders>
            <w:shd w:val="clear" w:color="auto" w:fill="auto"/>
            <w:tcMar>
              <w:left w:w="0" w:type="dxa"/>
              <w:right w:w="0" w:type="dxa"/>
            </w:tcMar>
            <w:vAlign w:val="center"/>
          </w:tcPr>
          <w:p>
            <w:pPr>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pPr>
              <w:rPr>
                <w:noProof/>
                <w:color w:val="000000"/>
                <w:sz w:val="22"/>
                <w:szCs w:val="22"/>
              </w:rPr>
            </w:pPr>
          </w:p>
        </w:tc>
        <w:tc>
          <w:tcPr>
            <w:tcW w:w="217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pPr>
              <w:jc w:val="right"/>
              <w:rPr>
                <w:noProof/>
                <w:color w:val="000000"/>
                <w:sz w:val="22"/>
                <w:szCs w:val="22"/>
              </w:rPr>
            </w:pPr>
          </w:p>
        </w:tc>
        <w:tc>
          <w:tcPr>
            <w:tcW w:w="217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pPr>
              <w:jc w:val="right"/>
              <w:rPr>
                <w:noProof/>
                <w:color w:val="000000"/>
                <w:sz w:val="22"/>
                <w:szCs w:val="22"/>
              </w:rPr>
            </w:pPr>
          </w:p>
        </w:tc>
        <w:tc>
          <w:tcPr>
            <w:tcW w:w="255" w:type="dxa"/>
            <w:tcBorders>
              <w:top w:val="nil"/>
              <w:left w:val="nil"/>
              <w:bottom w:val="nil"/>
              <w:right w:val="nil"/>
              <w:tl2br w:val="nil"/>
              <w:tr2bl w:val="nil"/>
            </w:tcBorders>
            <w:shd w:val="clear" w:color="auto" w:fill="auto"/>
            <w:tcMar>
              <w:left w:w="0" w:type="dxa"/>
              <w:right w:w="0" w:type="dxa"/>
            </w:tcMar>
            <w:vAlign w:val="center"/>
          </w:tcPr>
          <w:p>
            <w:pPr>
              <w:jc w:val="right"/>
              <w:rPr>
                <w:b/>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25"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rPr>
                <w:b/>
                <w:noProof/>
                <w:color w:val="000000"/>
              </w:rPr>
            </w:pPr>
            <w:r>
              <w:rPr>
                <w:b/>
                <w:noProof/>
                <w:color w:val="000000"/>
              </w:rPr>
              <w:t>Total credit exposure</w:t>
            </w:r>
          </w:p>
        </w:tc>
        <w:tc>
          <w:tcPr>
            <w:tcW w:w="2175"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jc w:val="right"/>
              <w:rPr>
                <w:b/>
                <w:noProof/>
                <w:color w:val="000000"/>
              </w:rPr>
            </w:pPr>
            <w:r>
              <w:rPr>
                <w:b/>
                <w:noProof/>
                <w:color w:val="000000"/>
              </w:rPr>
              <w:t>2,609,881,747.51</w:t>
            </w:r>
          </w:p>
        </w:tc>
        <w:tc>
          <w:tcPr>
            <w:tcW w:w="2175"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jc w:val="right"/>
              <w:rPr>
                <w:b/>
                <w:noProof/>
                <w:color w:val="000000"/>
              </w:rPr>
            </w:pPr>
            <w:r>
              <w:rPr>
                <w:b/>
                <w:noProof/>
                <w:color w:val="000000"/>
              </w:rPr>
              <w:t>2,560,761,844.63</w:t>
            </w:r>
          </w:p>
        </w:tc>
        <w:tc>
          <w:tcPr>
            <w:tcW w:w="255" w:type="dxa"/>
            <w:tcBorders>
              <w:top w:val="nil"/>
              <w:left w:val="nil"/>
              <w:bottom w:val="nil"/>
              <w:right w:val="nil"/>
              <w:tl2br w:val="nil"/>
              <w:tr2bl w:val="nil"/>
            </w:tcBorders>
            <w:shd w:val="clear" w:color="auto" w:fill="auto"/>
            <w:tcMar>
              <w:left w:w="0" w:type="dxa"/>
              <w:right w:w="0" w:type="dxa"/>
            </w:tcMar>
            <w:vAlign w:val="center"/>
          </w:tcPr>
          <w:p>
            <w:pPr>
              <w:jc w:val="right"/>
              <w:rPr>
                <w:b/>
                <w:noProof/>
                <w:color w:val="000000"/>
              </w:rPr>
            </w:pPr>
          </w:p>
        </w:tc>
      </w:tr>
    </w:tbl>
    <w:p>
      <w:pPr>
        <w:tabs>
          <w:tab w:val="left" w:pos="709"/>
        </w:tabs>
        <w:spacing w:before="120" w:after="120"/>
        <w:ind w:left="705" w:hanging="705"/>
        <w:jc w:val="both"/>
        <w:rPr>
          <w:b/>
          <w:noProof/>
          <w:bdr w:val="none" w:sz="0" w:space="0" w:color="auto" w:frame="1"/>
        </w:rPr>
      </w:pPr>
    </w:p>
    <w:p>
      <w:pPr>
        <w:pStyle w:val="ManualHeading4"/>
        <w:rPr>
          <w:noProof/>
        </w:rPr>
      </w:pPr>
      <w:r>
        <w:t>3.3.2.3.</w:t>
      </w:r>
      <w:r>
        <w:tab/>
      </w:r>
      <w:r>
        <w:rPr>
          <w:noProof/>
        </w:rPr>
        <w:t>Credit risk on cash and cash equivalents</w:t>
      </w:r>
    </w:p>
    <w:p>
      <w:pPr>
        <w:keepNext/>
        <w:numPr>
          <w:ilvl w:val="0"/>
          <w:numId w:val="24"/>
        </w:numPr>
        <w:tabs>
          <w:tab w:val="clear" w:pos="360"/>
        </w:tabs>
        <w:suppressAutoHyphens/>
        <w:spacing w:before="120" w:after="120"/>
        <w:ind w:left="567" w:hanging="567"/>
        <w:jc w:val="both"/>
        <w:rPr>
          <w:i/>
          <w:noProof/>
        </w:rPr>
      </w:pPr>
      <w:r>
        <w:rPr>
          <w:i/>
          <w:noProof/>
        </w:rPr>
        <w:t>Analysis of current accounts per profile of counterparties</w:t>
      </w:r>
    </w:p>
    <w:p>
      <w:pPr>
        <w:pStyle w:val="Text1"/>
        <w:rPr>
          <w:noProof/>
          <w:bdr w:val="nil"/>
          <w:lang w:eastAsia="en-US"/>
        </w:rPr>
      </w:pPr>
      <w:r>
        <w:rPr>
          <w:noProof/>
          <w:bdr w:val="nil"/>
          <w:lang w:eastAsia="en-US"/>
        </w:rPr>
        <w:t xml:space="preserve">The following table </w:t>
      </w:r>
      <w:r>
        <w:rPr>
          <w:noProof/>
        </w:rPr>
        <w:t>shows</w:t>
      </w:r>
      <w:r>
        <w:rPr>
          <w:noProof/>
          <w:bdr w:val="nil"/>
          <w:lang w:eastAsia="en-US"/>
        </w:rPr>
        <w:t xml:space="preserve"> the breakdown of current account balances per maximum long-term counterparty rating (based </w:t>
      </w:r>
      <w:r>
        <w:rPr>
          <w:noProof/>
        </w:rPr>
        <w:t>on</w:t>
      </w:r>
      <w:r>
        <w:rPr>
          <w:noProof/>
          <w:bdr w:val="nil"/>
          <w:lang w:eastAsia="en-US"/>
        </w:rPr>
        <w:t xml:space="preserve"> the external long term ratings assigned by Fitch, Standard &amp; Poor’s and Moody’s) (in EUR):</w:t>
      </w:r>
    </w:p>
    <w:tbl>
      <w:tblPr>
        <w:tblStyle w:val="CDMRange21"/>
        <w:tblW w:w="8475" w:type="dxa"/>
        <w:tblLayout w:type="fixed"/>
        <w:tblLook w:val="0600" w:firstRow="0" w:lastRow="0" w:firstColumn="0" w:lastColumn="0" w:noHBand="1" w:noVBand="1"/>
      </w:tblPr>
      <w:tblGrid>
        <w:gridCol w:w="4125"/>
        <w:gridCol w:w="2175"/>
        <w:gridCol w:w="2175"/>
      </w:tblGrid>
      <w:tr>
        <w:trPr>
          <w:trHeight w:val="330"/>
        </w:trPr>
        <w:tc>
          <w:tcPr>
            <w:tcW w:w="4125"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noProof/>
                <w:color w:val="000000"/>
              </w:rPr>
            </w:pPr>
            <w:r>
              <w:rPr>
                <w:b/>
                <w:noProof/>
                <w:color w:val="000000"/>
              </w:rPr>
              <w:t>Rating</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rPr>
            </w:pPr>
            <w:r>
              <w:rPr>
                <w:b/>
                <w:noProof/>
                <w:color w:val="000000"/>
              </w:rPr>
              <w:t>31.12.2018</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rPr>
            </w:pPr>
            <w:r>
              <w:rPr>
                <w:b/>
                <w:noProof/>
                <w:color w:val="000000"/>
              </w:rPr>
              <w:t>31.12.2017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0"/>
        </w:trPr>
        <w:tc>
          <w:tcPr>
            <w:tcW w:w="412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A1</w:t>
            </w:r>
          </w:p>
        </w:tc>
        <w:tc>
          <w:tcPr>
            <w:tcW w:w="21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27,566,935.63</w:t>
            </w:r>
          </w:p>
        </w:tc>
        <w:tc>
          <w:tcPr>
            <w:tcW w:w="21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45,568,040.56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0"/>
        </w:trPr>
        <w:tc>
          <w:tcPr>
            <w:tcW w:w="41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rPr>
            </w:pPr>
            <w:r>
              <w:rPr>
                <w:noProof/>
                <w:color w:val="000000"/>
              </w:rPr>
              <w:t>Aa1</w:t>
            </w: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99.99</w:t>
            </w: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1,090.62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0"/>
        </w:trPr>
        <w:tc>
          <w:tcPr>
            <w:tcW w:w="41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rPr>
            </w:pPr>
            <w:r>
              <w:rPr>
                <w:b/>
                <w:noProof/>
                <w:color w:val="000000"/>
              </w:rPr>
              <w:t>Total</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rPr>
            </w:pPr>
            <w:r>
              <w:rPr>
                <w:b/>
                <w:noProof/>
                <w:color w:val="000000"/>
              </w:rPr>
              <w:t>27,567,035.62</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rPr>
            </w:pPr>
            <w:r>
              <w:rPr>
                <w:b/>
                <w:noProof/>
                <w:color w:val="000000"/>
              </w:rPr>
              <w:t>45,569,131.18</w:t>
            </w:r>
          </w:p>
        </w:tc>
      </w:tr>
    </w:tbl>
    <w:p>
      <w:pPr>
        <w:pStyle w:val="Text1"/>
        <w:spacing w:before="100" w:beforeAutospacing="1" w:after="100" w:afterAutospacing="1"/>
        <w:rPr>
          <w:noProof/>
          <w:bdr w:val="nil"/>
          <w:lang w:eastAsia="en-US"/>
        </w:rPr>
      </w:pPr>
      <w:r>
        <w:rPr>
          <w:noProof/>
          <w:bdr w:val="nil"/>
          <w:lang w:eastAsia="en-US"/>
        </w:rPr>
        <w:t xml:space="preserve">All counterparties are </w:t>
      </w:r>
      <w:r>
        <w:rPr>
          <w:noProof/>
        </w:rPr>
        <w:t>maximum</w:t>
      </w:r>
      <w:r>
        <w:rPr>
          <w:noProof/>
          <w:bdr w:val="nil"/>
          <w:lang w:eastAsia="en-US"/>
        </w:rPr>
        <w:t xml:space="preserve"> rated P-1 short-term (based on the external short term ratings assigned by Fitch, Standard &amp; Poor’s and Moody’s).</w:t>
      </w:r>
    </w:p>
    <w:p>
      <w:pPr>
        <w:pStyle w:val="Text1"/>
        <w:spacing w:before="100" w:beforeAutospacing="1" w:after="100" w:afterAutospacing="1"/>
        <w:rPr>
          <w:noProof/>
          <w:bdr w:val="nil"/>
          <w:lang w:eastAsia="en-US"/>
        </w:rPr>
      </w:pPr>
      <w:r>
        <w:rPr>
          <w:noProof/>
          <w:bdr w:val="nil"/>
          <w:lang w:eastAsia="en-US"/>
        </w:rPr>
        <w:t>The Fund has two current accounts opened with BNP Paribas Fortis and one current account opened with Euroclear Bank as follows (in EUR):</w:t>
      </w:r>
    </w:p>
    <w:tbl>
      <w:tblPr>
        <w:tblStyle w:val="CDMRange12"/>
        <w:tblW w:w="8475" w:type="dxa"/>
        <w:tblLayout w:type="fixed"/>
        <w:tblLook w:val="0600" w:firstRow="0" w:lastRow="0" w:firstColumn="0" w:lastColumn="0" w:noHBand="1" w:noVBand="1"/>
      </w:tblPr>
      <w:tblGrid>
        <w:gridCol w:w="4125"/>
        <w:gridCol w:w="2175"/>
        <w:gridCol w:w="2175"/>
      </w:tblGrid>
      <w:tr>
        <w:trPr>
          <w:trHeight w:val="255"/>
        </w:trPr>
        <w:tc>
          <w:tcPr>
            <w:tcW w:w="41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rPr>
            </w:pPr>
            <w:r>
              <w:rPr>
                <w:b/>
                <w:noProof/>
                <w:color w:val="000000"/>
              </w:rPr>
              <w:t>Current accounts</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rPr>
            </w:pPr>
            <w:r>
              <w:rPr>
                <w:b/>
                <w:noProof/>
                <w:color w:val="000000"/>
              </w:rPr>
              <w:t>31.12.2018</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rPr>
            </w:pPr>
            <w:r>
              <w:rPr>
                <w:b/>
                <w:noProof/>
                <w:color w:val="000000"/>
              </w:rPr>
              <w:t>31.12.2017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0"/>
        </w:trPr>
        <w:tc>
          <w:tcPr>
            <w:tcW w:w="412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BNP Paribas Fortis transitory account</w:t>
            </w:r>
          </w:p>
        </w:tc>
        <w:tc>
          <w:tcPr>
            <w:tcW w:w="21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c>
          <w:tcPr>
            <w:tcW w:w="21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6,239.06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0"/>
        </w:trPr>
        <w:tc>
          <w:tcPr>
            <w:tcW w:w="41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BNP Paribas Fortis current account</w:t>
            </w:r>
          </w:p>
        </w:tc>
        <w:tc>
          <w:tcPr>
            <w:tcW w:w="217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27,566,935.63</w:t>
            </w:r>
          </w:p>
        </w:tc>
        <w:tc>
          <w:tcPr>
            <w:tcW w:w="2175"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45,561,801.50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0"/>
        </w:trPr>
        <w:tc>
          <w:tcPr>
            <w:tcW w:w="41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rPr>
            </w:pPr>
            <w:r>
              <w:rPr>
                <w:noProof/>
                <w:color w:val="000000"/>
              </w:rPr>
              <w:t>Euroclear Bank current account</w:t>
            </w: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99.99</w:t>
            </w: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1,090.62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0"/>
        </w:trPr>
        <w:tc>
          <w:tcPr>
            <w:tcW w:w="41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rPr>
            </w:pPr>
            <w:r>
              <w:rPr>
                <w:b/>
                <w:noProof/>
                <w:color w:val="000000"/>
              </w:rPr>
              <w:t>Total</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rPr>
            </w:pPr>
            <w:r>
              <w:rPr>
                <w:b/>
                <w:noProof/>
                <w:color w:val="000000"/>
              </w:rPr>
              <w:t>27,567,035.62</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rPr>
            </w:pPr>
            <w:r>
              <w:rPr>
                <w:b/>
                <w:noProof/>
                <w:color w:val="000000"/>
              </w:rPr>
              <w:t>45,569,131.18</w:t>
            </w:r>
          </w:p>
        </w:tc>
      </w:tr>
    </w:tbl>
    <w:p>
      <w:pPr>
        <w:pBdr>
          <w:top w:val="nil"/>
          <w:left w:val="nil"/>
          <w:bottom w:val="nil"/>
          <w:right w:val="nil"/>
          <w:between w:val="nil"/>
          <w:bar w:val="nil"/>
        </w:pBdr>
        <w:spacing w:after="120" w:line="240" w:lineRule="atLeast"/>
        <w:rPr>
          <w:noProof/>
          <w:bdr w:val="nil"/>
          <w:lang w:eastAsia="en-US"/>
        </w:rPr>
      </w:pPr>
    </w:p>
    <w:p>
      <w:pPr>
        <w:keepNext/>
        <w:numPr>
          <w:ilvl w:val="0"/>
          <w:numId w:val="24"/>
        </w:numPr>
        <w:tabs>
          <w:tab w:val="clear" w:pos="360"/>
        </w:tabs>
        <w:suppressAutoHyphens/>
        <w:spacing w:before="120" w:after="120"/>
        <w:ind w:left="567" w:hanging="567"/>
        <w:jc w:val="both"/>
        <w:rPr>
          <w:i/>
          <w:noProof/>
        </w:rPr>
      </w:pPr>
      <w:r>
        <w:rPr>
          <w:i/>
          <w:noProof/>
        </w:rPr>
        <w:t xml:space="preserve">Analysis </w:t>
      </w:r>
      <w:r>
        <w:rPr>
          <w:i/>
          <w:iCs/>
          <w:noProof/>
          <w:lang w:eastAsia="en-US"/>
        </w:rPr>
        <w:t>of</w:t>
      </w:r>
      <w:r>
        <w:rPr>
          <w:i/>
          <w:noProof/>
        </w:rPr>
        <w:t xml:space="preserve"> short term deposits per profile of counterparties</w:t>
      </w:r>
    </w:p>
    <w:p>
      <w:pPr>
        <w:pStyle w:val="Text1"/>
        <w:rPr>
          <w:noProof/>
          <w:bdr w:val="nil"/>
          <w:lang w:eastAsia="en-US"/>
        </w:rPr>
      </w:pPr>
      <w:r>
        <w:rPr>
          <w:iCs/>
          <w:noProof/>
          <w:bdr w:val="nil"/>
          <w:lang w:eastAsia="en-US"/>
        </w:rPr>
        <w:t xml:space="preserve">In accordance with the agreement between the European Commission and the EIB on the management of the Fund, all interbank investments should have a minimum issuer short-term rating from Moody’s or </w:t>
      </w:r>
      <w:r>
        <w:rPr>
          <w:noProof/>
        </w:rPr>
        <w:t>equivalent</w:t>
      </w:r>
      <w:r>
        <w:rPr>
          <w:iCs/>
          <w:noProof/>
          <w:bdr w:val="nil"/>
          <w:lang w:eastAsia="en-US"/>
        </w:rPr>
        <w:t xml:space="preserve"> of P-1. </w:t>
      </w:r>
      <w:r>
        <w:rPr>
          <w:noProof/>
          <w:bdr w:val="nil"/>
          <w:lang w:eastAsia="en-US"/>
        </w:rPr>
        <w:t xml:space="preserve">The following table shows the breakdown of short term deposits (excluding short-term deposits under settlement) per maximum counterparty long term rating (based on the external long term ratings assigned by Fitch, Standard &amp; Poor’s and Moody’s), the amounts presented include accrued interest </w:t>
      </w:r>
      <w:r>
        <w:rPr>
          <w:iCs/>
          <w:noProof/>
          <w:bdr w:val="nil"/>
          <w:lang w:eastAsia="en-US"/>
        </w:rPr>
        <w:t>(in EUR)</w:t>
      </w:r>
      <w:r>
        <w:rPr>
          <w:noProof/>
          <w:bdr w:val="nil"/>
          <w:lang w:eastAsia="en-US"/>
        </w:rPr>
        <w:t>:</w:t>
      </w:r>
    </w:p>
    <w:p>
      <w:pPr>
        <w:rPr>
          <w:noProof/>
        </w:rPr>
      </w:pPr>
    </w:p>
    <w:tbl>
      <w:tblPr>
        <w:tblStyle w:val="CDMRange22"/>
        <w:tblW w:w="9975" w:type="dxa"/>
        <w:tblLayout w:type="fixed"/>
        <w:tblLook w:val="0600" w:firstRow="0" w:lastRow="0" w:firstColumn="0" w:lastColumn="0" w:noHBand="1" w:noVBand="1"/>
      </w:tblPr>
      <w:tblGrid>
        <w:gridCol w:w="2775"/>
        <w:gridCol w:w="2250"/>
        <w:gridCol w:w="150"/>
        <w:gridCol w:w="1200"/>
        <w:gridCol w:w="2250"/>
        <w:gridCol w:w="150"/>
        <w:gridCol w:w="1200"/>
      </w:tblGrid>
      <w:tr>
        <w:trPr>
          <w:trHeight w:hRule="exact" w:val="255"/>
        </w:trPr>
        <w:tc>
          <w:tcPr>
            <w:tcW w:w="27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b/>
                <w:noProof/>
                <w:color w:val="000000"/>
              </w:rPr>
            </w:pPr>
            <w:r>
              <w:rPr>
                <w:b/>
                <w:noProof/>
                <w:color w:val="000000"/>
              </w:rPr>
              <w:t>Rating</w:t>
            </w:r>
          </w:p>
        </w:tc>
        <w:tc>
          <w:tcPr>
            <w:tcW w:w="225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rPr>
            </w:pPr>
            <w:r>
              <w:rPr>
                <w:b/>
                <w:noProof/>
                <w:color w:val="000000"/>
              </w:rPr>
              <w:t>31.12.2018</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center"/>
          </w:tcPr>
          <w:p>
            <w:pPr>
              <w:jc w:val="right"/>
              <w:rPr>
                <w:b/>
                <w:noProof/>
                <w:color w:val="000000"/>
              </w:rPr>
            </w:pPr>
          </w:p>
        </w:tc>
        <w:tc>
          <w:tcPr>
            <w:tcW w:w="1200" w:type="dxa"/>
            <w:tcBorders>
              <w:top w:val="nil"/>
              <w:left w:val="nil"/>
              <w:bottom w:val="single" w:sz="4" w:space="0" w:color="000000"/>
              <w:right w:val="nil"/>
              <w:tl2br w:val="nil"/>
              <w:tr2bl w:val="nil"/>
            </w:tcBorders>
            <w:shd w:val="clear" w:color="auto" w:fill="auto"/>
            <w:noWrap/>
            <w:tcMar>
              <w:left w:w="0" w:type="dxa"/>
              <w:right w:w="0" w:type="dxa"/>
            </w:tcMar>
            <w:vAlign w:val="bottom"/>
          </w:tcPr>
          <w:p>
            <w:pPr>
              <w:rPr>
                <w:rFonts w:eastAsia="Calibri"/>
                <w:noProof/>
                <w:color w:val="000000"/>
              </w:rPr>
            </w:pPr>
          </w:p>
        </w:tc>
        <w:tc>
          <w:tcPr>
            <w:tcW w:w="225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rPr>
            </w:pPr>
            <w:r>
              <w:rPr>
                <w:b/>
                <w:noProof/>
                <w:color w:val="000000"/>
              </w:rPr>
              <w:t>31.12.2017</w:t>
            </w:r>
          </w:p>
        </w:tc>
        <w:tc>
          <w:tcPr>
            <w:tcW w:w="150" w:type="dxa"/>
            <w:tcBorders>
              <w:top w:val="nil"/>
              <w:left w:val="nil"/>
              <w:bottom w:val="single" w:sz="4" w:space="0" w:color="000000"/>
              <w:right w:val="nil"/>
              <w:tl2br w:val="nil"/>
              <w:tr2bl w:val="nil"/>
            </w:tcBorders>
            <w:shd w:val="clear" w:color="auto" w:fill="auto"/>
            <w:noWrap/>
            <w:tcMar>
              <w:left w:w="0" w:type="dxa"/>
              <w:right w:w="0" w:type="dxa"/>
            </w:tcMar>
            <w:vAlign w:val="center"/>
          </w:tcPr>
          <w:p>
            <w:pPr>
              <w:jc w:val="right"/>
              <w:rPr>
                <w:b/>
                <w:noProof/>
                <w:color w:val="000000"/>
              </w:rPr>
            </w:pPr>
          </w:p>
        </w:tc>
        <w:tc>
          <w:tcPr>
            <w:tcW w:w="1200" w:type="dxa"/>
            <w:tcBorders>
              <w:top w:val="nil"/>
              <w:left w:val="nil"/>
              <w:bottom w:val="single" w:sz="4" w:space="0" w:color="000000"/>
              <w:right w:val="nil"/>
              <w:tl2br w:val="nil"/>
              <w:tr2bl w:val="nil"/>
            </w:tcBorders>
            <w:shd w:val="clear" w:color="auto" w:fill="auto"/>
            <w:noWrap/>
            <w:tcMar>
              <w:left w:w="0" w:type="dxa"/>
              <w:right w:w="0" w:type="dxa"/>
            </w:tcMar>
            <w:vAlign w:val="center"/>
          </w:tcPr>
          <w:p>
            <w:pPr>
              <w:rPr>
                <w:noProof/>
                <w:color w:val="00000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Aa2</w:t>
            </w:r>
          </w:p>
        </w:tc>
        <w:tc>
          <w:tcPr>
            <w:tcW w:w="225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center"/>
          </w:tcPr>
          <w:p>
            <w:pPr>
              <w:jc w:val="right"/>
              <w:rPr>
                <w:noProof/>
                <w:color w:val="000000"/>
              </w:rPr>
            </w:pP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c>
          <w:tcPr>
            <w:tcW w:w="225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42,390,941.17</w:t>
            </w:r>
          </w:p>
        </w:tc>
        <w:tc>
          <w:tcPr>
            <w:tcW w:w="150" w:type="dxa"/>
            <w:tcBorders>
              <w:top w:val="single" w:sz="4" w:space="0" w:color="000000"/>
              <w:left w:val="nil"/>
              <w:bottom w:val="nil"/>
              <w:right w:val="nil"/>
              <w:tl2br w:val="nil"/>
              <w:tr2bl w:val="nil"/>
            </w:tcBorders>
            <w:shd w:val="clear" w:color="auto" w:fill="auto"/>
            <w:tcMar>
              <w:left w:w="0" w:type="dxa"/>
              <w:right w:w="0" w:type="dxa"/>
            </w:tcMar>
            <w:vAlign w:val="center"/>
          </w:tcPr>
          <w:p>
            <w:pPr>
              <w:jc w:val="right"/>
              <w:rPr>
                <w:noProof/>
                <w:color w:val="000000"/>
              </w:rPr>
            </w:pP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23.75%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Aa3</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13,991,016.66</w:t>
            </w:r>
          </w:p>
        </w:tc>
        <w:tc>
          <w:tcPr>
            <w:tcW w:w="150" w:type="dxa"/>
            <w:tcBorders>
              <w:top w:val="nil"/>
              <w:left w:val="nil"/>
              <w:bottom w:val="nil"/>
              <w:right w:val="nil"/>
              <w:tl2br w:val="nil"/>
              <w:tr2bl w:val="nil"/>
            </w:tcBorders>
            <w:shd w:val="clear" w:color="auto" w:fill="auto"/>
            <w:tcMar>
              <w:left w:w="0" w:type="dxa"/>
              <w:right w:w="0" w:type="dxa"/>
            </w:tcMar>
            <w:vAlign w:val="center"/>
          </w:tcPr>
          <w:p>
            <w:pPr>
              <w:jc w:val="right"/>
              <w:rPr>
                <w:noProof/>
                <w:color w:val="000000"/>
              </w:rPr>
            </w:pPr>
          </w:p>
        </w:tc>
        <w:tc>
          <w:tcPr>
            <w:tcW w:w="12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100.00%</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64,465,588.06</w:t>
            </w:r>
          </w:p>
        </w:tc>
        <w:tc>
          <w:tcPr>
            <w:tcW w:w="150" w:type="dxa"/>
            <w:tcBorders>
              <w:top w:val="nil"/>
              <w:left w:val="nil"/>
              <w:bottom w:val="nil"/>
              <w:right w:val="nil"/>
              <w:tl2br w:val="nil"/>
              <w:tr2bl w:val="nil"/>
            </w:tcBorders>
            <w:shd w:val="clear" w:color="auto" w:fill="auto"/>
            <w:noWrap/>
            <w:tcMar>
              <w:left w:w="0" w:type="dxa"/>
              <w:right w:w="0" w:type="dxa"/>
            </w:tcMar>
            <w:vAlign w:val="bottom"/>
          </w:tcPr>
          <w:p>
            <w:pPr>
              <w:rPr>
                <w:noProof/>
                <w:color w:val="000000"/>
              </w:rPr>
            </w:pPr>
          </w:p>
        </w:tc>
        <w:tc>
          <w:tcPr>
            <w:tcW w:w="12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36.11%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7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A1</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50" w:type="dxa"/>
            <w:tcBorders>
              <w:top w:val="nil"/>
              <w:left w:val="nil"/>
              <w:bottom w:val="nil"/>
              <w:right w:val="nil"/>
              <w:tl2br w:val="nil"/>
              <w:tr2bl w:val="nil"/>
            </w:tcBorders>
            <w:shd w:val="clear" w:color="auto" w:fill="auto"/>
            <w:tcMar>
              <w:left w:w="0" w:type="dxa"/>
              <w:right w:w="0" w:type="dxa"/>
            </w:tcMar>
            <w:vAlign w:val="center"/>
          </w:tcPr>
          <w:p>
            <w:pPr>
              <w:jc w:val="right"/>
              <w:rPr>
                <w:noProof/>
                <w:color w:val="000000"/>
              </w:rPr>
            </w:pPr>
          </w:p>
        </w:tc>
        <w:tc>
          <w:tcPr>
            <w:tcW w:w="12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11,792,410.00</w:t>
            </w:r>
          </w:p>
        </w:tc>
        <w:tc>
          <w:tcPr>
            <w:tcW w:w="150" w:type="dxa"/>
            <w:tcBorders>
              <w:top w:val="nil"/>
              <w:left w:val="nil"/>
              <w:bottom w:val="nil"/>
              <w:right w:val="nil"/>
              <w:tl2br w:val="nil"/>
              <w:tr2bl w:val="nil"/>
            </w:tcBorders>
            <w:shd w:val="clear" w:color="auto" w:fill="auto"/>
            <w:tcMar>
              <w:left w:w="0" w:type="dxa"/>
              <w:right w:w="0" w:type="dxa"/>
            </w:tcMar>
            <w:vAlign w:val="center"/>
          </w:tcPr>
          <w:p>
            <w:pPr>
              <w:rPr>
                <w:noProof/>
                <w:color w:val="000000"/>
              </w:rPr>
            </w:pPr>
          </w:p>
        </w:tc>
        <w:tc>
          <w:tcPr>
            <w:tcW w:w="120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6.61%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7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rPr>
            </w:pPr>
            <w:r>
              <w:rPr>
                <w:noProof/>
                <w:color w:val="000000"/>
              </w:rPr>
              <w:t>A2</w:t>
            </w:r>
          </w:p>
        </w:tc>
        <w:tc>
          <w:tcPr>
            <w:tcW w:w="225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center"/>
          </w:tcPr>
          <w:p>
            <w:pPr>
              <w:jc w:val="right"/>
              <w:rPr>
                <w:noProof/>
                <w:color w:val="000000"/>
              </w:rPr>
            </w:pPr>
          </w:p>
        </w:tc>
        <w:tc>
          <w:tcPr>
            <w:tcW w:w="12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c>
          <w:tcPr>
            <w:tcW w:w="225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rPr>
            </w:pPr>
            <w:r>
              <w:rPr>
                <w:noProof/>
                <w:color w:val="000000"/>
              </w:rPr>
              <w:t>59,864,682.50</w:t>
            </w:r>
          </w:p>
        </w:tc>
        <w:tc>
          <w:tcPr>
            <w:tcW w:w="150" w:type="dxa"/>
            <w:tcBorders>
              <w:top w:val="nil"/>
              <w:left w:val="nil"/>
              <w:bottom w:val="single" w:sz="4" w:space="0" w:color="000000"/>
              <w:right w:val="nil"/>
              <w:tl2br w:val="nil"/>
              <w:tr2bl w:val="nil"/>
            </w:tcBorders>
            <w:shd w:val="clear" w:color="auto" w:fill="auto"/>
            <w:tcMar>
              <w:left w:w="0" w:type="dxa"/>
              <w:right w:w="0" w:type="dxa"/>
            </w:tcMar>
            <w:vAlign w:val="center"/>
          </w:tcPr>
          <w:p>
            <w:pPr>
              <w:jc w:val="right"/>
              <w:rPr>
                <w:noProof/>
                <w:color w:val="000000"/>
              </w:rPr>
            </w:pPr>
          </w:p>
        </w:tc>
        <w:tc>
          <w:tcPr>
            <w:tcW w:w="12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33.54%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27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rPr>
            </w:pPr>
            <w:r>
              <w:rPr>
                <w:b/>
                <w:noProof/>
                <w:color w:val="000000"/>
              </w:rPr>
              <w:t>Total</w:t>
            </w:r>
          </w:p>
        </w:tc>
        <w:tc>
          <w:tcPr>
            <w:tcW w:w="225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rPr>
            </w:pPr>
            <w:r>
              <w:rPr>
                <w:b/>
                <w:noProof/>
                <w:color w:val="000000"/>
              </w:rPr>
              <w:t>13,991,016.66</w:t>
            </w:r>
          </w:p>
        </w:tc>
        <w:tc>
          <w:tcPr>
            <w:tcW w:w="150" w:type="dxa"/>
            <w:tcBorders>
              <w:top w:val="single" w:sz="4" w:space="0" w:color="000000"/>
              <w:left w:val="nil"/>
              <w:bottom w:val="single" w:sz="4" w:space="0" w:color="000000"/>
              <w:right w:val="nil"/>
              <w:tl2br w:val="nil"/>
              <w:tr2bl w:val="nil"/>
            </w:tcBorders>
            <w:shd w:val="clear" w:color="FFFFFF" w:fill="BFBFBF"/>
            <w:noWrap/>
            <w:tcMar>
              <w:left w:w="0" w:type="dxa"/>
              <w:right w:w="0" w:type="dxa"/>
            </w:tcMar>
            <w:vAlign w:val="center"/>
          </w:tcPr>
          <w:p>
            <w:pPr>
              <w:jc w:val="right"/>
              <w:rPr>
                <w:b/>
                <w:noProof/>
                <w:color w:val="000000"/>
              </w:rPr>
            </w:pPr>
          </w:p>
        </w:tc>
        <w:tc>
          <w:tcPr>
            <w:tcW w:w="12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rPr>
            </w:pPr>
            <w:r>
              <w:rPr>
                <w:b/>
                <w:noProof/>
                <w:color w:val="000000"/>
              </w:rPr>
              <w:t>100.00%</w:t>
            </w:r>
          </w:p>
        </w:tc>
        <w:tc>
          <w:tcPr>
            <w:tcW w:w="225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rPr>
            </w:pPr>
            <w:r>
              <w:rPr>
                <w:b/>
                <w:noProof/>
                <w:color w:val="000000"/>
              </w:rPr>
              <w:t>178,513,621.73</w:t>
            </w:r>
          </w:p>
        </w:tc>
        <w:tc>
          <w:tcPr>
            <w:tcW w:w="150" w:type="dxa"/>
            <w:tcBorders>
              <w:top w:val="single" w:sz="4" w:space="0" w:color="000000"/>
              <w:left w:val="nil"/>
              <w:bottom w:val="single" w:sz="4" w:space="0" w:color="000000"/>
              <w:right w:val="nil"/>
              <w:tl2br w:val="nil"/>
              <w:tr2bl w:val="nil"/>
            </w:tcBorders>
            <w:shd w:val="clear" w:color="FFFFFF" w:fill="BFBFBF"/>
            <w:noWrap/>
            <w:tcMar>
              <w:left w:w="0" w:type="dxa"/>
              <w:right w:w="0" w:type="dxa"/>
            </w:tcMar>
            <w:vAlign w:val="center"/>
          </w:tcPr>
          <w:p>
            <w:pPr>
              <w:jc w:val="right"/>
              <w:rPr>
                <w:b/>
                <w:noProof/>
                <w:color w:val="000000"/>
              </w:rPr>
            </w:pPr>
          </w:p>
        </w:tc>
        <w:tc>
          <w:tcPr>
            <w:tcW w:w="12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rPr>
            </w:pPr>
            <w:r>
              <w:rPr>
                <w:b/>
                <w:noProof/>
                <w:color w:val="000000"/>
              </w:rPr>
              <w:t>100.00%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8775" w:type="dxa"/>
            <w:gridSpan w:val="6"/>
            <w:tcBorders>
              <w:top w:val="single" w:sz="4" w:space="0" w:color="000000"/>
              <w:left w:val="nil"/>
              <w:bottom w:val="nil"/>
              <w:right w:val="nil"/>
              <w:tl2br w:val="nil"/>
              <w:tr2bl w:val="nil"/>
            </w:tcBorders>
            <w:shd w:val="clear" w:color="auto" w:fill="auto"/>
            <w:tcMar>
              <w:left w:w="0" w:type="dxa"/>
              <w:right w:w="0" w:type="dxa"/>
            </w:tcMar>
          </w:tcPr>
          <w:p>
            <w:pPr>
              <w:rPr>
                <w:noProof/>
                <w:color w:val="000000"/>
              </w:rPr>
            </w:pPr>
          </w:p>
        </w:tc>
        <w:tc>
          <w:tcPr>
            <w:tcW w:w="1200" w:type="dxa"/>
            <w:tcBorders>
              <w:top w:val="single" w:sz="4" w:space="0" w:color="000000"/>
              <w:left w:val="nil"/>
              <w:bottom w:val="nil"/>
              <w:right w:val="nil"/>
              <w:tl2br w:val="nil"/>
              <w:tr2bl w:val="nil"/>
            </w:tcBorders>
            <w:shd w:val="clear" w:color="auto" w:fill="auto"/>
            <w:noWrap/>
            <w:tcMar>
              <w:left w:w="0" w:type="dxa"/>
              <w:right w:w="0" w:type="dxa"/>
            </w:tcMar>
            <w:vAlign w:val="center"/>
          </w:tcPr>
          <w:p>
            <w:pPr>
              <w:jc w:val="right"/>
              <w:rPr>
                <w:b/>
                <w:noProof/>
                <w:color w:val="000000"/>
              </w:rPr>
            </w:pPr>
          </w:p>
        </w:tc>
      </w:tr>
    </w:tbl>
    <w:p>
      <w:pPr>
        <w:pStyle w:val="ManualHeading4"/>
        <w:rPr>
          <w:noProof/>
        </w:rPr>
      </w:pPr>
      <w:r>
        <w:t>3.3.2.4.</w:t>
      </w:r>
      <w:r>
        <w:tab/>
      </w:r>
      <w:r>
        <w:rPr>
          <w:noProof/>
        </w:rPr>
        <w:t>Credit risk on Bond portfolio</w:t>
      </w:r>
    </w:p>
    <w:p>
      <w:pPr>
        <w:keepNext/>
        <w:numPr>
          <w:ilvl w:val="0"/>
          <w:numId w:val="24"/>
        </w:numPr>
        <w:tabs>
          <w:tab w:val="clear" w:pos="360"/>
        </w:tabs>
        <w:suppressAutoHyphens/>
        <w:spacing w:before="120" w:after="120"/>
        <w:ind w:left="567" w:hanging="567"/>
        <w:jc w:val="both"/>
        <w:rPr>
          <w:i/>
          <w:noProof/>
        </w:rPr>
      </w:pPr>
      <w:r>
        <w:rPr>
          <w:i/>
          <w:noProof/>
        </w:rPr>
        <w:t>Risk concentration per issuance Credit risk on Bond portfolio</w:t>
      </w:r>
    </w:p>
    <w:p>
      <w:pPr>
        <w:pStyle w:val="Text1"/>
        <w:rPr>
          <w:iCs/>
          <w:noProof/>
        </w:rPr>
      </w:pPr>
      <w:r>
        <w:rPr>
          <w:iCs/>
          <w:noProof/>
        </w:rPr>
        <w:t xml:space="preserve">All the securities held in </w:t>
      </w:r>
      <w:r>
        <w:rPr>
          <w:noProof/>
        </w:rPr>
        <w:t>the</w:t>
      </w:r>
      <w:r>
        <w:rPr>
          <w:iCs/>
          <w:noProof/>
        </w:rPr>
        <w:t xml:space="preserve"> portfolio are in line with the management guidelines and meet the following criteria for:</w:t>
      </w:r>
    </w:p>
    <w:p>
      <w:pPr>
        <w:pStyle w:val="Normal15"/>
        <w:numPr>
          <w:ilvl w:val="0"/>
          <w:numId w:val="43"/>
        </w:numPr>
        <w:spacing w:after="0"/>
        <w:ind w:left="1077" w:hanging="357"/>
        <w:jc w:val="both"/>
        <w:rPr>
          <w:rFonts w:ascii="Times New Roman" w:hAnsi="Times New Roman"/>
          <w:iCs/>
          <w:noProof/>
          <w:sz w:val="24"/>
          <w:szCs w:val="24"/>
        </w:rPr>
      </w:pPr>
      <w:r>
        <w:rPr>
          <w:rFonts w:ascii="Times New Roman" w:hAnsi="Times New Roman"/>
          <w:iCs/>
          <w:noProof/>
          <w:sz w:val="24"/>
          <w:szCs w:val="24"/>
        </w:rPr>
        <w:t xml:space="preserve">Securities issued or guaranteed by Member States: minimum rating Baa3; </w:t>
      </w:r>
    </w:p>
    <w:p>
      <w:pPr>
        <w:pStyle w:val="Normal15"/>
        <w:numPr>
          <w:ilvl w:val="0"/>
          <w:numId w:val="43"/>
        </w:numPr>
        <w:spacing w:after="0"/>
        <w:ind w:left="1077" w:hanging="357"/>
        <w:jc w:val="both"/>
        <w:rPr>
          <w:rFonts w:ascii="Times New Roman" w:hAnsi="Times New Roman"/>
          <w:iCs/>
          <w:noProof/>
          <w:sz w:val="24"/>
          <w:szCs w:val="24"/>
        </w:rPr>
      </w:pPr>
      <w:r>
        <w:rPr>
          <w:rFonts w:ascii="Times New Roman" w:hAnsi="Times New Roman"/>
          <w:iCs/>
          <w:noProof/>
          <w:sz w:val="24"/>
          <w:szCs w:val="24"/>
        </w:rPr>
        <w:t xml:space="preserve">Securities issued or guaranteed by a Supranational or other States: minimum rating Aa2; </w:t>
      </w:r>
    </w:p>
    <w:p>
      <w:pPr>
        <w:pStyle w:val="Normal15"/>
        <w:numPr>
          <w:ilvl w:val="0"/>
          <w:numId w:val="43"/>
        </w:numPr>
        <w:spacing w:after="0"/>
        <w:jc w:val="both"/>
        <w:rPr>
          <w:rFonts w:ascii="Times New Roman" w:hAnsi="Times New Roman"/>
          <w:iCs/>
          <w:noProof/>
          <w:sz w:val="24"/>
          <w:szCs w:val="24"/>
        </w:rPr>
      </w:pPr>
      <w:r>
        <w:rPr>
          <w:rFonts w:ascii="Times New Roman" w:hAnsi="Times New Roman"/>
          <w:iCs/>
          <w:noProof/>
          <w:sz w:val="24"/>
          <w:szCs w:val="24"/>
        </w:rPr>
        <w:t xml:space="preserve">Securities issued by other legal entities:  minimum rating Baa3. </w:t>
      </w:r>
    </w:p>
    <w:p>
      <w:pPr>
        <w:pStyle w:val="Text1"/>
        <w:rPr>
          <w:noProof/>
        </w:rPr>
      </w:pPr>
      <w:r>
        <w:rPr>
          <w:noProof/>
        </w:rPr>
        <w:t>The following table shows the breakdown of the Bond portfolio, at market value excluding accrued interest, per security type and rating (in EUR):</w:t>
      </w:r>
    </w:p>
    <w:p>
      <w:pPr>
        <w:pStyle w:val="Normal15"/>
        <w:spacing w:after="0"/>
        <w:rPr>
          <w:rFonts w:ascii="Times New Roman" w:hAnsi="Times New Roman"/>
          <w:noProof/>
          <w:sz w:val="24"/>
          <w:szCs w:val="24"/>
        </w:rPr>
      </w:pPr>
      <w:r>
        <w:rPr>
          <w:rFonts w:ascii="Times New Roman" w:hAnsi="Times New Roman"/>
          <w:noProof/>
          <w:sz w:val="24"/>
          <w:szCs w:val="24"/>
        </w:rPr>
        <w:br w:type="page"/>
      </w:r>
    </w:p>
    <w:tbl>
      <w:tblPr>
        <w:tblStyle w:val="CDMRange13"/>
        <w:tblW w:w="10069" w:type="dxa"/>
        <w:tblLayout w:type="fixed"/>
        <w:tblLook w:val="0600" w:firstRow="0" w:lastRow="0" w:firstColumn="0" w:lastColumn="0" w:noHBand="1" w:noVBand="1"/>
      </w:tblPr>
      <w:tblGrid>
        <w:gridCol w:w="3525"/>
        <w:gridCol w:w="2175"/>
        <w:gridCol w:w="1144"/>
        <w:gridCol w:w="2175"/>
        <w:gridCol w:w="1050"/>
      </w:tblGrid>
      <w:tr>
        <w:trPr>
          <w:trHeight w:hRule="exact" w:val="300"/>
        </w:trPr>
        <w:tc>
          <w:tcPr>
            <w:tcW w:w="35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ageBreakBefore/>
              <w:rPr>
                <w:b/>
                <w:noProof/>
                <w:color w:val="000000"/>
              </w:rPr>
            </w:pPr>
            <w:r>
              <w:rPr>
                <w:b/>
                <w:noProof/>
                <w:color w:val="000000"/>
              </w:rPr>
              <w:t>Issuer - Rating</w:t>
            </w: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rPr>
            </w:pPr>
            <w:r>
              <w:rPr>
                <w:b/>
                <w:noProof/>
                <w:color w:val="000000"/>
              </w:rPr>
              <w:t>31.12.2018</w:t>
            </w:r>
          </w:p>
        </w:tc>
        <w:tc>
          <w:tcPr>
            <w:tcW w:w="1144" w:type="dxa"/>
            <w:tcBorders>
              <w:top w:val="nil"/>
              <w:left w:val="nil"/>
              <w:bottom w:val="single" w:sz="4" w:space="0" w:color="000000"/>
              <w:right w:val="nil"/>
              <w:tl2br w:val="nil"/>
              <w:tr2bl w:val="nil"/>
            </w:tcBorders>
            <w:shd w:val="clear" w:color="auto" w:fill="auto"/>
            <w:noWrap/>
            <w:tcMar>
              <w:left w:w="0" w:type="dxa"/>
              <w:right w:w="0" w:type="dxa"/>
            </w:tcMar>
            <w:vAlign w:val="center"/>
          </w:tcPr>
          <w:p>
            <w:pPr>
              <w:jc w:val="right"/>
              <w:rPr>
                <w:b/>
                <w:noProof/>
                <w:color w:val="000000"/>
              </w:rPr>
            </w:pP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b/>
                <w:noProof/>
                <w:color w:val="000000"/>
              </w:rPr>
            </w:pPr>
            <w:r>
              <w:rPr>
                <w:b/>
                <w:noProof/>
                <w:color w:val="000000"/>
              </w:rPr>
              <w:t>31.12.2017</w:t>
            </w:r>
          </w:p>
        </w:tc>
        <w:tc>
          <w:tcPr>
            <w:tcW w:w="1050" w:type="dxa"/>
            <w:tcBorders>
              <w:top w:val="nil"/>
              <w:left w:val="nil"/>
              <w:bottom w:val="single" w:sz="4" w:space="0" w:color="000000"/>
              <w:right w:val="nil"/>
              <w:tl2br w:val="nil"/>
              <w:tr2bl w:val="nil"/>
            </w:tcBorders>
            <w:shd w:val="clear" w:color="auto" w:fill="auto"/>
            <w:noWrap/>
            <w:tcMar>
              <w:left w:w="0" w:type="dxa"/>
              <w:right w:w="0" w:type="dxa"/>
            </w:tcMar>
            <w:vAlign w:val="center"/>
          </w:tcPr>
          <w:p>
            <w:pPr>
              <w:jc w:val="right"/>
              <w:rPr>
                <w:noProof/>
                <w:color w:val="00000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Banks Aaa</w:t>
            </w:r>
          </w:p>
        </w:tc>
        <w:tc>
          <w:tcPr>
            <w:tcW w:w="2175"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144"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c>
          <w:tcPr>
            <w:tcW w:w="2175"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21,575,004.00</w:t>
            </w:r>
          </w:p>
        </w:tc>
        <w:tc>
          <w:tcPr>
            <w:tcW w:w="105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1.00%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Banks Aa1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46,255,730.00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1.90%</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Banks Aa2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154,740,017.50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6.31%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119,934,463.15</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5.49%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Banks Aa3</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25,121,200.00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1.02%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87,175,199.70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3.99%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Banks A1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20,016,000.00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0.82%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Banks 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10,298,686.30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0.42%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Banks Baa1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14,832,978.50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0.60%</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Member State Aaa</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128,657,262.00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5.25%</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84,139,839.29</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3.84%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Member State Aa1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40,348,665.00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1.65%</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52,403,581.10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2.40%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Member State Aa2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216,783,850.00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8.84%</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103,327,566.10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4.73%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Member State Aa3</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51,996,220.72</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2.12%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38,552,687.60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1.76%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Member State A1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56,495,670.00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2.30%</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59,424,433.30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2.72%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Member State 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147,813,370.00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6.03%</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134,709,611.00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6.17%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Member State A3</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42,537,786.40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1.73%</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14,238,280.00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0.65%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Member State Baa1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50,089,110.80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2.29%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Member State Baa2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41,671,950.00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1.70%</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53,096,030.00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2.43%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Member State Baa3</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56,082,170.00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2.29%</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55,087,500.00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2.52%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Covered Bonds Aaa</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482,342,055.50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19.67%</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458,781,908.13</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21.00%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Covered Bonds 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6,136,980.00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0.28%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Corporates Aaa</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57,806,210.00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2.36%</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58,447,766.10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2.68%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Corporates Aa1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25,852,249.97</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1.05%</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25,901,070.00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1.19%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Corporates Aa2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177,626,986.00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7.24%</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185,344,768.99</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8.48%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Corporates Aa3</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2,551,225.00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0.10%</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Corporates A1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22,846,250.00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0.93%</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Corporates 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13,017,410.00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0.53%</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Corporates A3</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25,964,500.00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1.06%</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Corporates Baa1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55,574,008.10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2.27%</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Corporates Baa2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6,984,110.00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0.28%</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Public Institution Aaa</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306,330,014.00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12.50%</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282,076,108.16</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12.91%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Public Institution Aa1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58,371,941.84</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2.38%</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67,994,399.52</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3.11%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Public Institution Aa2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61,428,285.00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2.51%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169,682,931.10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7.77%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Public Institution A3</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5,275,500.00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0.22%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Supranational Aaa</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35,255,850.00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1.44%</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Supranational Aa1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20,956,978.00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0.85%</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46,861,238.00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2.15%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rPr>
            </w:pPr>
            <w:r>
              <w:rPr>
                <w:noProof/>
                <w:color w:val="000000"/>
              </w:rPr>
              <w:t>Supranational Aa2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10,002,300.00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0.41%</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lang w:val="fr-BE"/>
              </w:rPr>
            </w:pPr>
            <w:r>
              <w:rPr>
                <w:noProof/>
                <w:color w:val="000000"/>
                <w:lang w:val="fr-BE"/>
              </w:rPr>
              <w:t>Non-EU Public Institution Aaa</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4,013,720.00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0.16%</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4,061,466.80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0.19%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lang w:val="fr-BE"/>
              </w:rPr>
            </w:pPr>
            <w:r>
              <w:rPr>
                <w:noProof/>
                <w:color w:val="000000"/>
                <w:lang w:val="fr-BE"/>
              </w:rPr>
              <w:t>Non-EU Public Institution Aa2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5,436,992.00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0.25%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lang w:val="fr-BE"/>
              </w:rPr>
            </w:pPr>
            <w:r>
              <w:rPr>
                <w:noProof/>
                <w:color w:val="000000"/>
                <w:lang w:val="fr-BE"/>
              </w:rPr>
              <w:t>Non-EU Public Institution Aa3</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5,416,400.00</w:t>
            </w:r>
          </w:p>
        </w:tc>
        <w:tc>
          <w:tcPr>
            <w:tcW w:w="1144"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0.22%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050"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lang w:val="fr-BE"/>
              </w:rPr>
            </w:pPr>
            <w:r>
              <w:rPr>
                <w:noProof/>
                <w:color w:val="000000"/>
                <w:lang w:val="fr-BE"/>
              </w:rPr>
              <w:t>Non-EU Public Institution A1</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rPr>
            </w:pPr>
            <w:r>
              <w:rPr>
                <w:noProof/>
                <w:color w:val="000000"/>
              </w:rPr>
              <w:t>20,647,033.05</w:t>
            </w:r>
          </w:p>
        </w:tc>
        <w:tc>
          <w:tcPr>
            <w:tcW w:w="1144"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0.84%</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rPr>
            </w:pPr>
            <w:r>
              <w:rPr>
                <w:noProof/>
                <w:color w:val="000000"/>
              </w:rPr>
              <w:t>0.00</w:t>
            </w:r>
          </w:p>
        </w:tc>
        <w:tc>
          <w:tcPr>
            <w:tcW w:w="105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rPr>
            </w:pPr>
            <w:r>
              <w:rPr>
                <w:noProof/>
                <w:color w:val="000000"/>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5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rPr>
            </w:pPr>
            <w:r>
              <w:rPr>
                <w:b/>
                <w:noProof/>
                <w:color w:val="000000"/>
              </w:rPr>
              <w:t>Total</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rPr>
            </w:pPr>
            <w:r>
              <w:rPr>
                <w:b/>
                <w:noProof/>
                <w:color w:val="000000"/>
              </w:rPr>
              <w:t>2,451,914,582.88</w:t>
            </w:r>
          </w:p>
        </w:tc>
        <w:tc>
          <w:tcPr>
            <w:tcW w:w="1144"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rPr>
            </w:pPr>
            <w:r>
              <w:rPr>
                <w:b/>
                <w:noProof/>
                <w:color w:val="000000"/>
              </w:rPr>
              <w:t>100.00%</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rPr>
            </w:pPr>
            <w:r>
              <w:rPr>
                <w:b/>
                <w:noProof/>
                <w:color w:val="000000"/>
              </w:rPr>
              <w:t>2,184,478,934.84</w:t>
            </w:r>
          </w:p>
        </w:tc>
        <w:tc>
          <w:tcPr>
            <w:tcW w:w="105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rPr>
            </w:pPr>
            <w:r>
              <w:rPr>
                <w:b/>
                <w:noProof/>
                <w:color w:val="000000"/>
              </w:rPr>
              <w:t>100.00%</w:t>
            </w:r>
          </w:p>
        </w:tc>
      </w:tr>
    </w:tbl>
    <w:p>
      <w:pPr>
        <w:pBdr>
          <w:top w:val="nil"/>
          <w:left w:val="nil"/>
          <w:bottom w:val="nil"/>
          <w:right w:val="nil"/>
          <w:between w:val="nil"/>
          <w:bar w:val="nil"/>
        </w:pBdr>
        <w:spacing w:after="120" w:line="240" w:lineRule="atLeast"/>
        <w:rPr>
          <w:noProof/>
          <w:bdr w:val="nil"/>
          <w:lang w:eastAsia="en-US"/>
        </w:rPr>
      </w:pPr>
    </w:p>
    <w:p>
      <w:pPr>
        <w:pStyle w:val="Text1"/>
        <w:rPr>
          <w:iCs/>
          <w:noProof/>
          <w:bdr w:val="nil"/>
          <w:lang w:eastAsia="en-US"/>
        </w:rPr>
      </w:pPr>
      <w:r>
        <w:rPr>
          <w:iCs/>
          <w:noProof/>
          <w:bdr w:val="nil"/>
          <w:lang w:eastAsia="en-US"/>
        </w:rPr>
        <w:t xml:space="preserve">The above table </w:t>
      </w:r>
      <w:r>
        <w:rPr>
          <w:noProof/>
        </w:rPr>
        <w:t>presenting</w:t>
      </w:r>
      <w:r>
        <w:rPr>
          <w:iCs/>
          <w:noProof/>
          <w:bdr w:val="nil"/>
          <w:lang w:eastAsia="en-US"/>
        </w:rPr>
        <w:t xml:space="preserve"> securities ratings is prepared according to the agreed asset management guidelines. In </w:t>
      </w:r>
      <w:r>
        <w:rPr>
          <w:noProof/>
        </w:rPr>
        <w:t>particular</w:t>
      </w:r>
      <w:r>
        <w:rPr>
          <w:iCs/>
          <w:noProof/>
          <w:bdr w:val="nil"/>
          <w:lang w:eastAsia="en-US"/>
        </w:rPr>
        <w:t>, security ratings of the Bond portfolio refer to the best rating given by Moody’s, Standard &amp; Poor’s or Fitch.</w:t>
      </w:r>
    </w:p>
    <w:p>
      <w:pPr>
        <w:pStyle w:val="Text1"/>
        <w:rPr>
          <w:iCs/>
          <w:noProof/>
          <w:bdr w:val="nil"/>
          <w:lang w:eastAsia="en-US"/>
        </w:rPr>
      </w:pPr>
      <w:r>
        <w:rPr>
          <w:iCs/>
          <w:noProof/>
          <w:bdr w:val="nil"/>
          <w:lang w:eastAsia="en-US"/>
        </w:rPr>
        <w:t xml:space="preserve">In case of securities for which no </w:t>
      </w:r>
      <w:r>
        <w:rPr>
          <w:noProof/>
        </w:rPr>
        <w:t>security</w:t>
      </w:r>
      <w:r>
        <w:rPr>
          <w:iCs/>
          <w:noProof/>
          <w:bdr w:val="nil"/>
          <w:lang w:eastAsia="en-US"/>
        </w:rPr>
        <w:t xml:space="preserve"> rating is available the rating of the issuer (or guarantor for guaranteed positions) has been taken into account.</w:t>
      </w:r>
    </w:p>
    <w:p>
      <w:pPr>
        <w:keepNext/>
        <w:numPr>
          <w:ilvl w:val="0"/>
          <w:numId w:val="24"/>
        </w:numPr>
        <w:tabs>
          <w:tab w:val="clear" w:pos="360"/>
        </w:tabs>
        <w:suppressAutoHyphens/>
        <w:spacing w:before="120" w:after="120"/>
        <w:ind w:left="567" w:hanging="567"/>
        <w:jc w:val="both"/>
        <w:rPr>
          <w:i/>
          <w:noProof/>
        </w:rPr>
      </w:pPr>
      <w:r>
        <w:rPr>
          <w:i/>
          <w:noProof/>
        </w:rPr>
        <w:t xml:space="preserve">EU sovereign </w:t>
      </w:r>
      <w:r>
        <w:rPr>
          <w:i/>
          <w:iCs/>
          <w:noProof/>
          <w:lang w:eastAsia="en-US"/>
        </w:rPr>
        <w:t>exposure</w:t>
      </w:r>
    </w:p>
    <w:p>
      <w:pPr>
        <w:pBdr>
          <w:top w:val="nil"/>
          <w:left w:val="nil"/>
          <w:bottom w:val="nil"/>
          <w:right w:val="nil"/>
          <w:between w:val="nil"/>
          <w:bar w:val="nil"/>
        </w:pBdr>
        <w:spacing w:after="120" w:line="240" w:lineRule="atLeast"/>
        <w:jc w:val="both"/>
        <w:rPr>
          <w:iCs/>
          <w:noProof/>
          <w:bdr w:val="nil"/>
          <w:lang w:eastAsia="en-US"/>
        </w:rPr>
      </w:pPr>
      <w:r>
        <w:rPr>
          <w:iCs/>
          <w:noProof/>
          <w:bdr w:val="nil"/>
          <w:lang w:eastAsia="en-US"/>
        </w:rPr>
        <w:t>The following tables show the portfolio structure by exposure towards EU sovereign (either directly or indirectly) and exposure towards other entities as at 31 December 2018 and as at 31 December 2017 (in EUR):</w:t>
      </w:r>
    </w:p>
    <w:p>
      <w:pPr>
        <w:pBdr>
          <w:top w:val="nil"/>
          <w:left w:val="nil"/>
          <w:bottom w:val="nil"/>
          <w:right w:val="nil"/>
          <w:between w:val="nil"/>
          <w:bar w:val="nil"/>
        </w:pBdr>
        <w:spacing w:after="120" w:line="240" w:lineRule="atLeast"/>
        <w:rPr>
          <w:noProof/>
          <w:bdr w:val="nil"/>
          <w:lang w:eastAsia="en-US"/>
        </w:rPr>
      </w:pPr>
    </w:p>
    <w:tbl>
      <w:tblPr>
        <w:tblStyle w:val="CDMRange23"/>
        <w:tblW w:w="9538" w:type="dxa"/>
        <w:tblLayout w:type="fixed"/>
        <w:tblLook w:val="0600" w:firstRow="0" w:lastRow="0" w:firstColumn="0" w:lastColumn="0" w:noHBand="1" w:noVBand="1"/>
      </w:tblPr>
      <w:tblGrid>
        <w:gridCol w:w="3868"/>
        <w:gridCol w:w="1701"/>
        <w:gridCol w:w="2126"/>
        <w:gridCol w:w="1843"/>
      </w:tblGrid>
      <w:tr>
        <w:trPr>
          <w:trHeight w:val="300"/>
        </w:trPr>
        <w:tc>
          <w:tcPr>
            <w:tcW w:w="3868" w:type="dxa"/>
            <w:tcBorders>
              <w:top w:val="nil"/>
              <w:left w:val="nil"/>
              <w:bottom w:val="single" w:sz="4" w:space="0" w:color="000000"/>
              <w:right w:val="nil"/>
              <w:tl2br w:val="nil"/>
              <w:tr2bl w:val="nil"/>
            </w:tcBorders>
            <w:shd w:val="clear" w:color="auto" w:fill="auto"/>
            <w:tcMar>
              <w:left w:w="40" w:type="dxa"/>
              <w:right w:w="40" w:type="dxa"/>
            </w:tcMar>
            <w:vAlign w:val="center"/>
          </w:tcPr>
          <w:p>
            <w:pPr>
              <w:rPr>
                <w:b/>
                <w:noProof/>
                <w:color w:val="000000"/>
                <w:sz w:val="22"/>
                <w:szCs w:val="22"/>
              </w:rPr>
            </w:pPr>
            <w:r>
              <w:rPr>
                <w:b/>
                <w:noProof/>
                <w:color w:val="000000"/>
                <w:sz w:val="22"/>
                <w:szCs w:val="22"/>
              </w:rPr>
              <w:t>At 31.12.2018</w:t>
            </w:r>
          </w:p>
        </w:tc>
        <w:tc>
          <w:tcPr>
            <w:tcW w:w="1701"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2"/>
                <w:szCs w:val="22"/>
              </w:rPr>
            </w:pPr>
            <w:r>
              <w:rPr>
                <w:b/>
                <w:noProof/>
                <w:color w:val="000000"/>
                <w:sz w:val="22"/>
                <w:szCs w:val="22"/>
              </w:rPr>
              <w:t>Purchase price</w:t>
            </w:r>
          </w:p>
        </w:tc>
        <w:tc>
          <w:tcPr>
            <w:tcW w:w="2126"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2"/>
                <w:szCs w:val="22"/>
              </w:rPr>
            </w:pPr>
            <w:r>
              <w:rPr>
                <w:b/>
                <w:noProof/>
                <w:color w:val="000000"/>
                <w:sz w:val="22"/>
                <w:szCs w:val="22"/>
              </w:rPr>
              <w:t>Value at maturity</w:t>
            </w:r>
          </w:p>
        </w:tc>
        <w:tc>
          <w:tcPr>
            <w:tcW w:w="1843"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b/>
                <w:noProof/>
                <w:color w:val="000000"/>
                <w:sz w:val="22"/>
                <w:szCs w:val="22"/>
              </w:rPr>
            </w:pPr>
            <w:r>
              <w:rPr>
                <w:b/>
                <w:noProof/>
                <w:color w:val="000000"/>
                <w:sz w:val="22"/>
                <w:szCs w:val="22"/>
              </w:rPr>
              <w:t>Carrying Value(*)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b/>
                <w:noProof/>
                <w:color w:val="000000"/>
                <w:sz w:val="22"/>
                <w:szCs w:val="22"/>
              </w:rPr>
            </w:pPr>
            <w:r>
              <w:rPr>
                <w:b/>
                <w:noProof/>
                <w:color w:val="000000"/>
                <w:sz w:val="22"/>
                <w:szCs w:val="22"/>
              </w:rPr>
              <w:t>EU sovereigns</w:t>
            </w: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rPr>
                <w:noProof/>
                <w:color w:val="000000"/>
                <w:sz w:val="22"/>
                <w:szCs w:val="22"/>
              </w:rPr>
            </w:pPr>
          </w:p>
        </w:tc>
        <w:tc>
          <w:tcPr>
            <w:tcW w:w="2126"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rPr>
                <w:noProof/>
                <w:color w:val="000000"/>
                <w:sz w:val="22"/>
                <w:szCs w:val="22"/>
              </w:rPr>
            </w:pPr>
          </w:p>
        </w:tc>
        <w:tc>
          <w:tcPr>
            <w:tcW w:w="1843"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Austria</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10,190,000.00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10,000,000.00</w:t>
            </w:r>
          </w:p>
        </w:tc>
        <w:tc>
          <w:tcPr>
            <w:tcW w:w="1843"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10,099,100.00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Czech Republic</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63,747,770.50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57,388,000.00</w:t>
            </w:r>
          </w:p>
        </w:tc>
        <w:tc>
          <w:tcPr>
            <w:tcW w:w="1843"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61,994,120.72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Finland</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29,445,625.00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29,500,000.00</w:t>
            </w:r>
          </w:p>
        </w:tc>
        <w:tc>
          <w:tcPr>
            <w:tcW w:w="1843"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30,249,565.00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France</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216,161,690.00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214,000,000.00</w:t>
            </w:r>
          </w:p>
        </w:tc>
        <w:tc>
          <w:tcPr>
            <w:tcW w:w="1843"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216,783,850.00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Germany</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ind w:left="-36" w:hanging="5"/>
              <w:jc w:val="right"/>
              <w:rPr>
                <w:noProof/>
                <w:color w:val="000000"/>
                <w:sz w:val="22"/>
                <w:szCs w:val="22"/>
              </w:rPr>
            </w:pPr>
            <w:r>
              <w:rPr>
                <w:noProof/>
                <w:color w:val="000000"/>
                <w:sz w:val="22"/>
                <w:szCs w:val="22"/>
              </w:rPr>
              <w:t>121,617,810.00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120,300,000.00</w:t>
            </w:r>
          </w:p>
        </w:tc>
        <w:tc>
          <w:tcPr>
            <w:tcW w:w="1843"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121,791,234.00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Hungary</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31,022,900.00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28,000,000.00</w:t>
            </w:r>
          </w:p>
        </w:tc>
        <w:tc>
          <w:tcPr>
            <w:tcW w:w="1843"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29,276,520.00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Ireland</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30,347,000.00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30,000,000.00</w:t>
            </w:r>
          </w:p>
        </w:tc>
        <w:tc>
          <w:tcPr>
            <w:tcW w:w="1843"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30,395,300.00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Italy</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44,342,400.00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40,000,000.00</w:t>
            </w:r>
          </w:p>
        </w:tc>
        <w:tc>
          <w:tcPr>
            <w:tcW w:w="1843"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41,671,950.00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Latvia</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16,128,020.00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16,000,000.00</w:t>
            </w:r>
          </w:p>
        </w:tc>
        <w:tc>
          <w:tcPr>
            <w:tcW w:w="1843"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16,234,640.00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Netherlands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6,790,548.00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6,800,000.00</w:t>
            </w:r>
          </w:p>
        </w:tc>
        <w:tc>
          <w:tcPr>
            <w:tcW w:w="1843"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6,866,028.00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Poland</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138,658,400.00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125,000,000.00</w:t>
            </w:r>
          </w:p>
        </w:tc>
        <w:tc>
          <w:tcPr>
            <w:tcW w:w="1843"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131,578,730.00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Romania</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28,791,818.75</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25,000,000.00</w:t>
            </w:r>
          </w:p>
        </w:tc>
        <w:tc>
          <w:tcPr>
            <w:tcW w:w="1843"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26,805,650.00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Slovakia</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15,035,340.00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15,000,000.00</w:t>
            </w:r>
          </w:p>
        </w:tc>
        <w:tc>
          <w:tcPr>
            <w:tcW w:w="1843"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15,025,950.00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Slovenia</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1,122,000.00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1,000,000.00</w:t>
            </w:r>
          </w:p>
        </w:tc>
        <w:tc>
          <w:tcPr>
            <w:tcW w:w="1843"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1,076,520.00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Spain</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44,058,642.00</w:t>
            </w:r>
          </w:p>
        </w:tc>
        <w:tc>
          <w:tcPr>
            <w:tcW w:w="2126"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38,515,000.00</w:t>
            </w:r>
          </w:p>
        </w:tc>
        <w:tc>
          <w:tcPr>
            <w:tcW w:w="1843"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42,537,786.40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EU Supranational</w:t>
            </w:r>
          </w:p>
        </w:tc>
        <w:tc>
          <w:tcPr>
            <w:tcW w:w="1701"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30,416,400.00</w:t>
            </w:r>
          </w:p>
        </w:tc>
        <w:tc>
          <w:tcPr>
            <w:tcW w:w="2126"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30,000,000.00</w:t>
            </w:r>
          </w:p>
        </w:tc>
        <w:tc>
          <w:tcPr>
            <w:tcW w:w="1843"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30,185,950.00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2"/>
                <w:szCs w:val="22"/>
              </w:rPr>
            </w:pPr>
            <w:r>
              <w:rPr>
                <w:b/>
                <w:noProof/>
                <w:color w:val="000000"/>
                <w:sz w:val="22"/>
                <w:szCs w:val="22"/>
              </w:rPr>
              <w:t>Total EU sovereigns</w:t>
            </w:r>
          </w:p>
        </w:tc>
        <w:tc>
          <w:tcPr>
            <w:tcW w:w="1701"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2"/>
                <w:szCs w:val="22"/>
              </w:rPr>
            </w:pPr>
            <w:r>
              <w:rPr>
                <w:b/>
                <w:noProof/>
                <w:color w:val="000000"/>
                <w:sz w:val="22"/>
                <w:szCs w:val="22"/>
              </w:rPr>
              <w:t>827,876,364.25</w:t>
            </w:r>
          </w:p>
        </w:tc>
        <w:tc>
          <w:tcPr>
            <w:tcW w:w="2126"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2"/>
                <w:szCs w:val="22"/>
              </w:rPr>
            </w:pPr>
            <w:r>
              <w:rPr>
                <w:b/>
                <w:noProof/>
                <w:color w:val="000000"/>
                <w:sz w:val="22"/>
                <w:szCs w:val="22"/>
              </w:rPr>
              <w:t>786,503,000.00</w:t>
            </w:r>
          </w:p>
        </w:tc>
        <w:tc>
          <w:tcPr>
            <w:tcW w:w="1843"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2"/>
                <w:szCs w:val="22"/>
              </w:rPr>
            </w:pPr>
            <w:r>
              <w:rPr>
                <w:b/>
                <w:noProof/>
                <w:color w:val="000000"/>
                <w:sz w:val="22"/>
                <w:szCs w:val="22"/>
              </w:rPr>
              <w:t>812,572,894.12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Others</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1,646,567,728.80</w:t>
            </w:r>
          </w:p>
        </w:tc>
        <w:tc>
          <w:tcPr>
            <w:tcW w:w="212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1,612,932,000.00</w:t>
            </w:r>
          </w:p>
        </w:tc>
        <w:tc>
          <w:tcPr>
            <w:tcW w:w="1843"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1,639,341,688.76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b/>
                <w:noProof/>
                <w:color w:val="000000"/>
                <w:sz w:val="22"/>
                <w:szCs w:val="22"/>
              </w:rPr>
            </w:pPr>
            <w:r>
              <w:rPr>
                <w:b/>
                <w:noProof/>
                <w:color w:val="000000"/>
                <w:sz w:val="22"/>
                <w:szCs w:val="22"/>
              </w:rPr>
              <w:t>TOTAL</w:t>
            </w:r>
          </w:p>
        </w:tc>
        <w:tc>
          <w:tcPr>
            <w:tcW w:w="1701"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2"/>
                <w:szCs w:val="22"/>
              </w:rPr>
            </w:pPr>
            <w:r>
              <w:rPr>
                <w:b/>
                <w:noProof/>
                <w:color w:val="000000"/>
                <w:sz w:val="22"/>
                <w:szCs w:val="22"/>
              </w:rPr>
              <w:t>2,474,444,093.05</w:t>
            </w:r>
          </w:p>
        </w:tc>
        <w:tc>
          <w:tcPr>
            <w:tcW w:w="2126"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2"/>
                <w:szCs w:val="22"/>
              </w:rPr>
            </w:pPr>
            <w:r>
              <w:rPr>
                <w:b/>
                <w:noProof/>
                <w:color w:val="000000"/>
                <w:sz w:val="22"/>
                <w:szCs w:val="22"/>
              </w:rPr>
              <w:t>2,399,435,000.00</w:t>
            </w:r>
          </w:p>
        </w:tc>
        <w:tc>
          <w:tcPr>
            <w:tcW w:w="1843"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b/>
                <w:noProof/>
                <w:color w:val="000000"/>
                <w:sz w:val="22"/>
                <w:szCs w:val="22"/>
              </w:rPr>
            </w:pPr>
            <w:r>
              <w:rPr>
                <w:b/>
                <w:noProof/>
                <w:color w:val="000000"/>
                <w:sz w:val="22"/>
                <w:szCs w:val="22"/>
              </w:rPr>
              <w:t>2,451,914,582.88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868"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rPr>
                <w:noProof/>
                <w:color w:val="000000"/>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rPr>
                <w:noProof/>
                <w:color w:val="000000"/>
              </w:rPr>
            </w:pPr>
          </w:p>
        </w:tc>
        <w:tc>
          <w:tcPr>
            <w:tcW w:w="2126"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rPr>
                <w:noProof/>
                <w:color w:val="000000"/>
              </w:rPr>
            </w:pPr>
          </w:p>
        </w:tc>
        <w:tc>
          <w:tcPr>
            <w:tcW w:w="1843"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rPr>
                <w:noProof/>
                <w:color w:val="00000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9538" w:type="dxa"/>
            <w:gridSpan w:val="4"/>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2"/>
                <w:szCs w:val="22"/>
              </w:rPr>
            </w:pPr>
            <w:r>
              <w:rPr>
                <w:noProof/>
                <w:color w:val="000000"/>
                <w:sz w:val="22"/>
                <w:szCs w:val="22"/>
              </w:rPr>
              <w:t>*) The carrying value represents the clean market value of the assets excluding accrued interest.</w:t>
            </w:r>
          </w:p>
        </w:tc>
      </w:tr>
    </w:tbl>
    <w:tbl>
      <w:tblPr>
        <w:tblStyle w:val="CDMRange14"/>
        <w:tblW w:w="9924" w:type="dxa"/>
        <w:tblLayout w:type="fixed"/>
        <w:tblLook w:val="0600" w:firstRow="0" w:lastRow="0" w:firstColumn="0" w:lastColumn="0" w:noHBand="1" w:noVBand="1"/>
      </w:tblPr>
      <w:tblGrid>
        <w:gridCol w:w="3686"/>
        <w:gridCol w:w="1701"/>
        <w:gridCol w:w="2268"/>
        <w:gridCol w:w="2269"/>
      </w:tblGrid>
      <w:tr>
        <w:trPr>
          <w:trHeight w:hRule="exact" w:val="300"/>
        </w:trPr>
        <w:tc>
          <w:tcPr>
            <w:tcW w:w="3686" w:type="dxa"/>
            <w:tcBorders>
              <w:top w:val="nil"/>
              <w:left w:val="nil"/>
              <w:bottom w:val="nil"/>
              <w:right w:val="nil"/>
              <w:tl2br w:val="nil"/>
              <w:tr2bl w:val="nil"/>
            </w:tcBorders>
            <w:shd w:val="clear" w:color="auto" w:fill="auto"/>
            <w:noWrap/>
            <w:tcMar>
              <w:left w:w="0" w:type="dxa"/>
              <w:right w:w="0" w:type="dxa"/>
            </w:tcMar>
            <w:vAlign w:val="bottom"/>
          </w:tcPr>
          <w:p>
            <w:pPr>
              <w:pageBreakBefore/>
              <w:rPr>
                <w:noProof/>
                <w:color w:val="000000"/>
                <w:sz w:val="22"/>
                <w:szCs w:val="22"/>
              </w:rPr>
            </w:pPr>
          </w:p>
        </w:tc>
        <w:tc>
          <w:tcPr>
            <w:tcW w:w="1701" w:type="dxa"/>
            <w:tcBorders>
              <w:top w:val="nil"/>
              <w:left w:val="nil"/>
              <w:bottom w:val="nil"/>
              <w:right w:val="nil"/>
              <w:tl2br w:val="nil"/>
              <w:tr2bl w:val="nil"/>
            </w:tcBorders>
            <w:shd w:val="clear" w:color="auto" w:fill="auto"/>
            <w:noWrap/>
            <w:tcMar>
              <w:left w:w="0" w:type="dxa"/>
              <w:right w:w="0" w:type="dxa"/>
            </w:tcMar>
            <w:vAlign w:val="bottom"/>
          </w:tcPr>
          <w:p>
            <w:pPr>
              <w:jc w:val="center"/>
              <w:rPr>
                <w:noProof/>
                <w:color w:val="000000"/>
                <w:sz w:val="22"/>
                <w:szCs w:val="22"/>
              </w:rPr>
            </w:pPr>
          </w:p>
        </w:tc>
        <w:tc>
          <w:tcPr>
            <w:tcW w:w="2268" w:type="dxa"/>
            <w:tcBorders>
              <w:top w:val="nil"/>
              <w:left w:val="nil"/>
              <w:bottom w:val="nil"/>
              <w:right w:val="nil"/>
              <w:tl2br w:val="nil"/>
              <w:tr2bl w:val="nil"/>
            </w:tcBorders>
            <w:shd w:val="clear" w:color="auto" w:fill="auto"/>
            <w:noWrap/>
            <w:tcMar>
              <w:left w:w="0" w:type="dxa"/>
              <w:right w:w="0" w:type="dxa"/>
            </w:tcMar>
            <w:vAlign w:val="bottom"/>
          </w:tcPr>
          <w:p>
            <w:pPr>
              <w:jc w:val="center"/>
              <w:rPr>
                <w:noProof/>
                <w:color w:val="000000"/>
                <w:sz w:val="22"/>
                <w:szCs w:val="22"/>
              </w:rPr>
            </w:pPr>
          </w:p>
        </w:tc>
        <w:tc>
          <w:tcPr>
            <w:tcW w:w="2268" w:type="dxa"/>
            <w:tcBorders>
              <w:top w:val="nil"/>
              <w:left w:val="nil"/>
              <w:bottom w:val="nil"/>
              <w:right w:val="nil"/>
              <w:tl2br w:val="nil"/>
              <w:tr2bl w:val="nil"/>
            </w:tcBorders>
            <w:shd w:val="clear" w:color="auto" w:fill="auto"/>
            <w:noWrap/>
            <w:tcMar>
              <w:left w:w="0" w:type="dxa"/>
              <w:right w:w="0" w:type="dxa"/>
            </w:tcMar>
            <w:vAlign w:val="bottom"/>
          </w:tcPr>
          <w:p>
            <w:pPr>
              <w:jc w:val="center"/>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686" w:type="dxa"/>
            <w:tcBorders>
              <w:top w:val="nil"/>
              <w:left w:val="nil"/>
              <w:bottom w:val="single" w:sz="4" w:space="0" w:color="000000"/>
              <w:right w:val="nil"/>
              <w:tl2br w:val="nil"/>
              <w:tr2bl w:val="nil"/>
            </w:tcBorders>
            <w:shd w:val="clear" w:color="auto" w:fill="auto"/>
            <w:tcMar>
              <w:left w:w="40" w:type="dxa"/>
              <w:right w:w="40" w:type="dxa"/>
            </w:tcMar>
            <w:vAlign w:val="center"/>
          </w:tcPr>
          <w:p>
            <w:pPr>
              <w:rPr>
                <w:noProof/>
                <w:color w:val="000000"/>
                <w:sz w:val="22"/>
                <w:szCs w:val="22"/>
              </w:rPr>
            </w:pPr>
            <w:r>
              <w:rPr>
                <w:noProof/>
                <w:color w:val="000000"/>
                <w:sz w:val="22"/>
                <w:szCs w:val="22"/>
              </w:rPr>
              <w:t>At 31.12.2017</w:t>
            </w:r>
          </w:p>
        </w:tc>
        <w:tc>
          <w:tcPr>
            <w:tcW w:w="1701"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Purchase price</w:t>
            </w:r>
          </w:p>
        </w:tc>
        <w:tc>
          <w:tcPr>
            <w:tcW w:w="2268"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Value at maturity</w:t>
            </w:r>
          </w:p>
        </w:tc>
        <w:tc>
          <w:tcPr>
            <w:tcW w:w="2268"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noProof/>
                <w:color w:val="000000"/>
                <w:sz w:val="22"/>
                <w:szCs w:val="22"/>
              </w:rPr>
            </w:pPr>
            <w:r>
              <w:rPr>
                <w:noProof/>
                <w:color w:val="000000"/>
                <w:sz w:val="22"/>
                <w:szCs w:val="22"/>
              </w:rPr>
              <w:t>Carrying Value(*)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EU sovereigns</w:t>
            </w: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rPr>
                <w:noProof/>
                <w:color w:val="000000"/>
                <w:sz w:val="22"/>
                <w:szCs w:val="22"/>
              </w:rPr>
            </w:pPr>
          </w:p>
        </w:tc>
        <w:tc>
          <w:tcPr>
            <w:tcW w:w="2268"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rPr>
                <w:noProof/>
                <w:color w:val="000000"/>
                <w:sz w:val="22"/>
                <w:szCs w:val="22"/>
              </w:rPr>
            </w:pPr>
          </w:p>
        </w:tc>
        <w:tc>
          <w:tcPr>
            <w:tcW w:w="2268"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Austria</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21,610,950.00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21,500,000.00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22,180,194.10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Belgium</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21,957,400.00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20,000,000.00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22,501,450.00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Czech Republic</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16,416,350.00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14,900,000.00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16,051,237.60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Finland</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29,445,625.00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29,500,000.00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30,223,387.00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France</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101,848,140.00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101,000,000.00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103,327,566.10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Germany</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67,655,030.00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66,300,000.00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67,447,519.79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Hungary</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27,881,900.00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25,000,000.00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27,132,500.00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Ireland</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59,848,000.00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50,000,000.00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58,317,465.00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Italy</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54,493,000.00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50,000,000.00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53,096,030.00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Latvia</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13,978,020.00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14,000,000.00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14,238,280.00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Luxembourg</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14,946,600.00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15,000,000.00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16,692,319.50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Poland</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138,845,490.00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125,000,000.00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134,709,611.00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Romania</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28,791,818.75</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25,000,000.00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27,955,000.00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Slovenia</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1,122,000.00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1,000,000.00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1,106,968.30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Spain</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51,108,370.10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45,000,000.00</w:t>
            </w:r>
          </w:p>
        </w:tc>
        <w:tc>
          <w:tcPr>
            <w:tcW w:w="2268" w:type="dxa"/>
            <w:tcBorders>
              <w:top w:val="nil"/>
              <w:left w:val="nil"/>
              <w:bottom w:val="nil"/>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50,089,110.80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EU Supranational</w:t>
            </w:r>
          </w:p>
        </w:tc>
        <w:tc>
          <w:tcPr>
            <w:tcW w:w="1701"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20,372,150.00</w:t>
            </w:r>
          </w:p>
        </w:tc>
        <w:tc>
          <w:tcPr>
            <w:tcW w:w="2268"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20,000,000.00</w:t>
            </w:r>
          </w:p>
        </w:tc>
        <w:tc>
          <w:tcPr>
            <w:tcW w:w="2268"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20,728,052.00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noProof/>
                <w:color w:val="000000"/>
                <w:sz w:val="22"/>
                <w:szCs w:val="22"/>
              </w:rPr>
            </w:pPr>
            <w:r>
              <w:rPr>
                <w:noProof/>
                <w:color w:val="000000"/>
                <w:sz w:val="22"/>
                <w:szCs w:val="22"/>
              </w:rPr>
              <w:t>Total EU sovereigns</w:t>
            </w:r>
          </w:p>
        </w:tc>
        <w:tc>
          <w:tcPr>
            <w:tcW w:w="1701"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noProof/>
                <w:color w:val="000000"/>
                <w:sz w:val="22"/>
                <w:szCs w:val="22"/>
              </w:rPr>
            </w:pPr>
            <w:r>
              <w:rPr>
                <w:noProof/>
                <w:color w:val="000000"/>
                <w:sz w:val="22"/>
                <w:szCs w:val="22"/>
              </w:rPr>
              <w:t>670,320,843.85</w:t>
            </w:r>
          </w:p>
        </w:tc>
        <w:tc>
          <w:tcPr>
            <w:tcW w:w="2268"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noProof/>
                <w:color w:val="000000"/>
                <w:sz w:val="22"/>
                <w:szCs w:val="22"/>
              </w:rPr>
            </w:pPr>
            <w:r>
              <w:rPr>
                <w:noProof/>
                <w:color w:val="000000"/>
                <w:sz w:val="22"/>
                <w:szCs w:val="22"/>
              </w:rPr>
              <w:t>623,200,000.00</w:t>
            </w:r>
          </w:p>
        </w:tc>
        <w:tc>
          <w:tcPr>
            <w:tcW w:w="2268"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noProof/>
                <w:color w:val="000000"/>
                <w:sz w:val="22"/>
                <w:szCs w:val="22"/>
              </w:rPr>
            </w:pPr>
            <w:r>
              <w:rPr>
                <w:noProof/>
                <w:color w:val="000000"/>
                <w:sz w:val="22"/>
                <w:szCs w:val="22"/>
              </w:rPr>
              <w:t>665,796,691.19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rPr>
                <w:noProof/>
                <w:color w:val="000000"/>
                <w:sz w:val="22"/>
                <w:szCs w:val="22"/>
              </w:rPr>
            </w:pPr>
            <w:r>
              <w:rPr>
                <w:noProof/>
                <w:color w:val="000000"/>
                <w:sz w:val="22"/>
                <w:szCs w:val="22"/>
              </w:rPr>
              <w:t>Others</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1,518,178,543.80</w:t>
            </w:r>
          </w:p>
        </w:tc>
        <w:tc>
          <w:tcPr>
            <w:tcW w:w="226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1,477,972,000.00</w:t>
            </w:r>
          </w:p>
        </w:tc>
        <w:tc>
          <w:tcPr>
            <w:tcW w:w="226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right"/>
              <w:rPr>
                <w:noProof/>
                <w:color w:val="000000"/>
                <w:sz w:val="22"/>
                <w:szCs w:val="22"/>
              </w:rPr>
            </w:pPr>
            <w:r>
              <w:rPr>
                <w:noProof/>
                <w:color w:val="000000"/>
                <w:sz w:val="22"/>
                <w:szCs w:val="22"/>
              </w:rPr>
              <w:t>1,518,682,243.65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rPr>
                <w:noProof/>
                <w:color w:val="000000"/>
                <w:sz w:val="22"/>
                <w:szCs w:val="22"/>
              </w:rPr>
            </w:pPr>
            <w:r>
              <w:rPr>
                <w:noProof/>
                <w:color w:val="000000"/>
                <w:sz w:val="22"/>
                <w:szCs w:val="22"/>
              </w:rPr>
              <w:t>TOTAL</w:t>
            </w:r>
          </w:p>
        </w:tc>
        <w:tc>
          <w:tcPr>
            <w:tcW w:w="1701"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noProof/>
                <w:color w:val="000000"/>
                <w:sz w:val="22"/>
                <w:szCs w:val="22"/>
              </w:rPr>
            </w:pPr>
            <w:r>
              <w:rPr>
                <w:noProof/>
                <w:color w:val="000000"/>
                <w:sz w:val="22"/>
                <w:szCs w:val="22"/>
              </w:rPr>
              <w:t>2,188,499,387.65</w:t>
            </w:r>
          </w:p>
        </w:tc>
        <w:tc>
          <w:tcPr>
            <w:tcW w:w="2268"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noProof/>
                <w:color w:val="000000"/>
                <w:sz w:val="22"/>
                <w:szCs w:val="22"/>
              </w:rPr>
            </w:pPr>
            <w:r>
              <w:rPr>
                <w:noProof/>
                <w:color w:val="000000"/>
                <w:sz w:val="22"/>
                <w:szCs w:val="22"/>
              </w:rPr>
              <w:t>2,101,172,000.00</w:t>
            </w:r>
          </w:p>
        </w:tc>
        <w:tc>
          <w:tcPr>
            <w:tcW w:w="2268"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jc w:val="right"/>
              <w:rPr>
                <w:noProof/>
                <w:color w:val="000000"/>
                <w:sz w:val="22"/>
                <w:szCs w:val="22"/>
              </w:rPr>
            </w:pPr>
            <w:r>
              <w:rPr>
                <w:noProof/>
                <w:color w:val="000000"/>
                <w:sz w:val="22"/>
                <w:szCs w:val="22"/>
              </w:rPr>
              <w:t>2,184,478,934.84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686"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rPr>
                <w:noProof/>
                <w:color w:val="000000"/>
                <w:sz w:val="22"/>
                <w:szCs w:val="22"/>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rPr>
                <w:noProof/>
                <w:color w:val="000000"/>
                <w:sz w:val="22"/>
                <w:szCs w:val="22"/>
              </w:rPr>
            </w:pPr>
          </w:p>
        </w:tc>
        <w:tc>
          <w:tcPr>
            <w:tcW w:w="2268"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rPr>
                <w:noProof/>
                <w:color w:val="000000"/>
                <w:sz w:val="22"/>
                <w:szCs w:val="22"/>
              </w:rPr>
            </w:pPr>
          </w:p>
        </w:tc>
        <w:tc>
          <w:tcPr>
            <w:tcW w:w="2268"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9924" w:type="dxa"/>
            <w:gridSpan w:val="4"/>
            <w:tcBorders>
              <w:top w:val="nil"/>
              <w:left w:val="nil"/>
              <w:bottom w:val="nil"/>
              <w:right w:val="nil"/>
              <w:tl2br w:val="nil"/>
              <w:tr2bl w:val="nil"/>
            </w:tcBorders>
            <w:shd w:val="clear" w:color="auto" w:fill="auto"/>
            <w:noWrap/>
            <w:tcMar>
              <w:left w:w="40" w:type="dxa"/>
              <w:right w:w="40" w:type="dxa"/>
            </w:tcMar>
            <w:vAlign w:val="bottom"/>
          </w:tcPr>
          <w:p>
            <w:pPr>
              <w:spacing w:after="120"/>
              <w:rPr>
                <w:noProof/>
                <w:color w:val="000000"/>
                <w:sz w:val="22"/>
                <w:szCs w:val="22"/>
              </w:rPr>
            </w:pPr>
            <w:r>
              <w:rPr>
                <w:noProof/>
                <w:color w:val="000000"/>
                <w:sz w:val="22"/>
                <w:szCs w:val="22"/>
              </w:rPr>
              <w:t>*) The carrying value represents the clean market value of the assets excluding accrued interest.</w:t>
            </w:r>
          </w:p>
        </w:tc>
      </w:tr>
    </w:tbl>
    <w:p>
      <w:pPr>
        <w:pStyle w:val="Text1"/>
        <w:rPr>
          <w:noProof/>
          <w:bdr w:val="nil"/>
        </w:rPr>
      </w:pPr>
      <w:r>
        <w:rPr>
          <w:noProof/>
          <w:bdr w:val="nil"/>
          <w:lang w:eastAsia="en-US"/>
        </w:rPr>
        <w:t>In the tables above “EU sovereigns” refer to bonds issued or guaranteed by EU Member States and EU Supranationals while “</w:t>
      </w:r>
      <w:r>
        <w:rPr>
          <w:noProof/>
        </w:rPr>
        <w:t>others</w:t>
      </w:r>
      <w:r>
        <w:rPr>
          <w:noProof/>
          <w:bdr w:val="nil"/>
          <w:lang w:eastAsia="en-US"/>
        </w:rPr>
        <w:t>” refer to bonds issued by banks, covered bonds, bonds issued or guaranteed by non EU Supranationals or EU and non EU Public Institutions</w:t>
      </w:r>
      <w:r>
        <w:rPr>
          <w:noProof/>
          <w:bdr w:val="nil"/>
        </w:rPr>
        <w:t>.</w:t>
      </w:r>
    </w:p>
    <w:p>
      <w:pPr>
        <w:pStyle w:val="ManualHeading3"/>
        <w:rPr>
          <w:noProof/>
        </w:rPr>
      </w:pPr>
      <w:bookmarkStart w:id="85" w:name="_Toc478663493"/>
      <w:bookmarkStart w:id="86" w:name="_Toc6923133"/>
      <w:r>
        <w:t>3.3.3.</w:t>
      </w:r>
      <w:r>
        <w:tab/>
      </w:r>
      <w:r>
        <w:rPr>
          <w:noProof/>
        </w:rPr>
        <w:t>Liquidity Risk</w:t>
      </w:r>
      <w:bookmarkEnd w:id="85"/>
      <w:bookmarkEnd w:id="86"/>
    </w:p>
    <w:p>
      <w:pPr>
        <w:pStyle w:val="Text1"/>
        <w:rPr>
          <w:noProof/>
        </w:rPr>
      </w:pPr>
      <w:r>
        <w:rPr>
          <w:noProof/>
        </w:rPr>
        <w:t xml:space="preserve">Liquidity risk refers to an entity’s ability to meet obligations as they become due, without incurring unacceptable losses. It can be split into funding liquidity risk and market liquidity risk. Funding liquidity risk is the risk that an entity will not be able to meet efficiently both expected and unexpected current and </w:t>
      </w:r>
      <w:r>
        <w:rPr>
          <w:iCs/>
          <w:noProof/>
          <w:bdr w:val="nil"/>
          <w:lang w:eastAsia="en-US"/>
        </w:rPr>
        <w:t>future</w:t>
      </w:r>
      <w:r>
        <w:rPr>
          <w:noProof/>
        </w:rPr>
        <w:t xml:space="preserve"> cash flow needs without affecting its daily operations or its financial condition. Market liquidity risk is the risk that an entity cannot easily offset or eliminate a position at the market price because of inadequate market depth or market disruption.</w:t>
      </w:r>
    </w:p>
    <w:p>
      <w:pPr>
        <w:pStyle w:val="ManualHeading4"/>
        <w:rPr>
          <w:noProof/>
        </w:rPr>
      </w:pPr>
      <w:r>
        <w:t>3.3.3.1.</w:t>
      </w:r>
      <w:r>
        <w:tab/>
      </w:r>
      <w:r>
        <w:rPr>
          <w:noProof/>
        </w:rPr>
        <w:t>Liquidity risk management</w:t>
      </w:r>
    </w:p>
    <w:p>
      <w:pPr>
        <w:pStyle w:val="Text1"/>
        <w:rPr>
          <w:noProof/>
        </w:rPr>
      </w:pPr>
      <w:r>
        <w:rPr>
          <w:noProof/>
        </w:rPr>
        <w:t>The treasury portfolio’s agreed asset management guidelines and/or investment strategy define certain limits and restrictions in order to limit the exposure to funding liquidity risk of the treasury portfolio. The compliance with these limits is monitored by Risk Management on a daily basis. Such limits and restrictions include a target liquidity buffer.</w:t>
      </w:r>
    </w:p>
    <w:p>
      <w:pPr>
        <w:pStyle w:val="ManualHeading4"/>
        <w:rPr>
          <w:noProof/>
        </w:rPr>
      </w:pPr>
      <w:r>
        <w:t>3.3.3.2.</w:t>
      </w:r>
      <w:r>
        <w:tab/>
      </w:r>
      <w:r>
        <w:rPr>
          <w:noProof/>
        </w:rPr>
        <w:t>Liquidity risk measurement</w:t>
      </w:r>
    </w:p>
    <w:p>
      <w:pPr>
        <w:pStyle w:val="Text1"/>
        <w:rPr>
          <w:noProof/>
        </w:rPr>
      </w:pPr>
      <w:bookmarkStart w:id="87" w:name="_Toc449626528"/>
      <w:bookmarkStart w:id="88" w:name="_Toc449626301"/>
      <w:bookmarkStart w:id="89" w:name="_Toc449022476"/>
      <w:bookmarkStart w:id="90" w:name="_Toc448929175"/>
      <w:bookmarkStart w:id="91" w:name="_Toc478663494"/>
      <w:r>
        <w:rPr>
          <w:noProof/>
        </w:rPr>
        <w:t xml:space="preserve">The table below provides an analysis of the non-derivative liabilities into relevant maturity groupings based on the </w:t>
      </w:r>
      <w:r>
        <w:rPr>
          <w:iCs/>
          <w:noProof/>
          <w:bdr w:val="nil"/>
          <w:lang w:eastAsia="en-US"/>
        </w:rPr>
        <w:t>remaining</w:t>
      </w:r>
      <w:r>
        <w:rPr>
          <w:noProof/>
        </w:rPr>
        <w:t xml:space="preserve"> contractual maturities. The table is presented under the most prudent consideration of maturity dates where the earliest possible repayment date is shown.</w:t>
      </w:r>
    </w:p>
    <w:tbl>
      <w:tblPr>
        <w:tblStyle w:val="CDMRange24"/>
        <w:tblW w:w="9975" w:type="dxa"/>
        <w:tblLayout w:type="fixed"/>
        <w:tblLook w:val="0600" w:firstRow="0" w:lastRow="0" w:firstColumn="0" w:lastColumn="0" w:noHBand="1" w:noVBand="1"/>
      </w:tblPr>
      <w:tblGrid>
        <w:gridCol w:w="4275"/>
        <w:gridCol w:w="1425"/>
        <w:gridCol w:w="1425"/>
        <w:gridCol w:w="1425"/>
        <w:gridCol w:w="1425"/>
      </w:tblGrid>
      <w:tr>
        <w:trPr>
          <w:trHeight w:val="510"/>
        </w:trPr>
        <w:tc>
          <w:tcPr>
            <w:tcW w:w="427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0"/>
              <w:spacing w:before="120"/>
              <w:rPr>
                <w:b/>
                <w:noProof/>
                <w:color w:val="000000"/>
                <w:sz w:val="22"/>
                <w:szCs w:val="22"/>
              </w:rPr>
            </w:pPr>
            <w:r>
              <w:rPr>
                <w:b/>
                <w:noProof/>
                <w:color w:val="000000"/>
                <w:sz w:val="22"/>
                <w:szCs w:val="22"/>
              </w:rPr>
              <w:t>Maturity profile</w:t>
            </w:r>
          </w:p>
          <w:p>
            <w:pPr>
              <w:pStyle w:val="Normal20"/>
              <w:rPr>
                <w:b/>
                <w:noProof/>
                <w:color w:val="000000"/>
                <w:sz w:val="22"/>
                <w:szCs w:val="22"/>
              </w:rPr>
            </w:pPr>
            <w:r>
              <w:rPr>
                <w:b/>
                <w:noProof/>
                <w:color w:val="000000"/>
                <w:sz w:val="22"/>
                <w:szCs w:val="22"/>
              </w:rPr>
              <w:t>(at 31 December 2018)</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0"/>
              <w:jc w:val="right"/>
              <w:rPr>
                <w:b/>
                <w:noProof/>
                <w:color w:val="000000"/>
                <w:sz w:val="22"/>
                <w:szCs w:val="22"/>
              </w:rPr>
            </w:pPr>
            <w:r>
              <w:rPr>
                <w:b/>
                <w:noProof/>
                <w:color w:val="000000"/>
                <w:sz w:val="22"/>
                <w:szCs w:val="22"/>
              </w:rPr>
              <w:t>Less than</w:t>
            </w:r>
          </w:p>
          <w:p>
            <w:pPr>
              <w:pStyle w:val="Normal20"/>
              <w:jc w:val="right"/>
              <w:rPr>
                <w:b/>
                <w:noProof/>
                <w:color w:val="000000"/>
                <w:sz w:val="22"/>
                <w:szCs w:val="22"/>
              </w:rPr>
            </w:pPr>
            <w:r>
              <w:rPr>
                <w:b/>
                <w:noProof/>
                <w:color w:val="000000"/>
                <w:sz w:val="22"/>
                <w:szCs w:val="22"/>
              </w:rPr>
              <w:t xml:space="preserve"> 1 year</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0"/>
              <w:jc w:val="right"/>
              <w:rPr>
                <w:b/>
                <w:noProof/>
                <w:color w:val="000000"/>
                <w:sz w:val="22"/>
                <w:szCs w:val="22"/>
              </w:rPr>
            </w:pPr>
            <w:r>
              <w:rPr>
                <w:b/>
                <w:noProof/>
                <w:color w:val="000000"/>
                <w:sz w:val="22"/>
                <w:szCs w:val="22"/>
              </w:rPr>
              <w:t>1 year to</w:t>
            </w:r>
          </w:p>
          <w:p>
            <w:pPr>
              <w:pStyle w:val="Normal20"/>
              <w:jc w:val="right"/>
              <w:rPr>
                <w:b/>
                <w:noProof/>
                <w:color w:val="000000"/>
                <w:sz w:val="22"/>
                <w:szCs w:val="22"/>
              </w:rPr>
            </w:pPr>
            <w:r>
              <w:rPr>
                <w:b/>
                <w:noProof/>
                <w:color w:val="000000"/>
                <w:sz w:val="22"/>
                <w:szCs w:val="22"/>
              </w:rPr>
              <w:t xml:space="preserve"> 5 years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0"/>
              <w:jc w:val="right"/>
              <w:rPr>
                <w:b/>
                <w:noProof/>
                <w:color w:val="000000"/>
                <w:sz w:val="22"/>
                <w:szCs w:val="22"/>
              </w:rPr>
            </w:pPr>
            <w:r>
              <w:rPr>
                <w:b/>
                <w:noProof/>
                <w:color w:val="000000"/>
                <w:sz w:val="22"/>
                <w:szCs w:val="22"/>
              </w:rPr>
              <w:t>More than</w:t>
            </w:r>
          </w:p>
          <w:p>
            <w:pPr>
              <w:pStyle w:val="Normal20"/>
              <w:jc w:val="right"/>
              <w:rPr>
                <w:b/>
                <w:noProof/>
                <w:color w:val="000000"/>
                <w:sz w:val="22"/>
                <w:szCs w:val="22"/>
              </w:rPr>
            </w:pPr>
            <w:r>
              <w:rPr>
                <w:b/>
                <w:noProof/>
                <w:color w:val="000000"/>
                <w:sz w:val="22"/>
                <w:szCs w:val="22"/>
              </w:rPr>
              <w:t xml:space="preserve"> 5 years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0"/>
              <w:jc w:val="right"/>
              <w:rPr>
                <w:b/>
                <w:noProof/>
                <w:color w:val="000000"/>
                <w:sz w:val="22"/>
                <w:szCs w:val="22"/>
              </w:rPr>
            </w:pPr>
            <w:r>
              <w:rPr>
                <w:b/>
                <w:noProof/>
                <w:color w:val="000000"/>
                <w:sz w:val="22"/>
                <w:szCs w:val="22"/>
              </w:rPr>
              <w:t>TOTAL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20"/>
              <w:rPr>
                <w:noProof/>
                <w:color w:val="000000"/>
                <w:sz w:val="22"/>
                <w:szCs w:val="22"/>
              </w:rPr>
            </w:pPr>
            <w:r>
              <w:rPr>
                <w:noProof/>
                <w:color w:val="000000"/>
                <w:sz w:val="22"/>
                <w:szCs w:val="22"/>
              </w:rPr>
              <w:t>Other payables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0"/>
              <w:jc w:val="right"/>
              <w:rPr>
                <w:noProof/>
                <w:color w:val="000000"/>
                <w:sz w:val="22"/>
                <w:szCs w:val="22"/>
              </w:rPr>
            </w:pPr>
            <w:r>
              <w:rPr>
                <w:noProof/>
                <w:color w:val="000000"/>
                <w:sz w:val="22"/>
                <w:szCs w:val="22"/>
              </w:rPr>
              <w:t>1,013,339.26</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0"/>
              <w:jc w:val="right"/>
              <w:rPr>
                <w:noProof/>
                <w:color w:val="000000"/>
                <w:sz w:val="22"/>
                <w:szCs w:val="22"/>
              </w:rPr>
            </w:pPr>
            <w:r>
              <w:rPr>
                <w:noProof/>
                <w:color w:val="000000"/>
                <w:sz w:val="22"/>
                <w:szCs w:val="22"/>
              </w:rPr>
              <w:t>0.00</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0"/>
              <w:jc w:val="right"/>
              <w:rPr>
                <w:noProof/>
                <w:color w:val="000000"/>
                <w:sz w:val="22"/>
                <w:szCs w:val="22"/>
              </w:rPr>
            </w:pPr>
            <w:r>
              <w:rPr>
                <w:noProof/>
                <w:color w:val="000000"/>
                <w:sz w:val="22"/>
                <w:szCs w:val="22"/>
              </w:rPr>
              <w:t>0.00</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0"/>
              <w:jc w:val="right"/>
              <w:rPr>
                <w:noProof/>
                <w:color w:val="000000"/>
                <w:sz w:val="22"/>
                <w:szCs w:val="22"/>
              </w:rPr>
            </w:pPr>
            <w:r>
              <w:rPr>
                <w:noProof/>
                <w:color w:val="000000"/>
                <w:sz w:val="22"/>
                <w:szCs w:val="22"/>
              </w:rPr>
              <w:t>1,013,339.26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pStyle w:val="Normal20"/>
              <w:rPr>
                <w:b/>
                <w:noProof/>
                <w:color w:val="000000"/>
                <w:sz w:val="22"/>
                <w:szCs w:val="22"/>
              </w:rPr>
            </w:pPr>
            <w:r>
              <w:rPr>
                <w:b/>
                <w:noProof/>
                <w:color w:val="000000"/>
                <w:sz w:val="22"/>
                <w:szCs w:val="22"/>
              </w:rPr>
              <w:t xml:space="preserve">Total </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0"/>
              <w:jc w:val="right"/>
              <w:rPr>
                <w:b/>
                <w:noProof/>
                <w:color w:val="000000"/>
                <w:sz w:val="22"/>
                <w:szCs w:val="22"/>
              </w:rPr>
            </w:pPr>
            <w:r>
              <w:rPr>
                <w:b/>
                <w:noProof/>
                <w:color w:val="000000"/>
                <w:sz w:val="22"/>
                <w:szCs w:val="22"/>
              </w:rPr>
              <w:t>1,013,339.26</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0"/>
              <w:jc w:val="right"/>
              <w:rPr>
                <w:b/>
                <w:noProof/>
                <w:color w:val="000000"/>
                <w:sz w:val="22"/>
                <w:szCs w:val="22"/>
              </w:rPr>
            </w:pPr>
            <w:r>
              <w:rPr>
                <w:b/>
                <w:noProof/>
                <w:color w:val="000000"/>
                <w:sz w:val="22"/>
                <w:szCs w:val="22"/>
              </w:rPr>
              <w:t>0.00</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0"/>
              <w:jc w:val="right"/>
              <w:rPr>
                <w:b/>
                <w:noProof/>
                <w:color w:val="000000"/>
                <w:sz w:val="22"/>
                <w:szCs w:val="22"/>
              </w:rPr>
            </w:pPr>
            <w:r>
              <w:rPr>
                <w:b/>
                <w:noProof/>
                <w:color w:val="000000"/>
                <w:sz w:val="22"/>
                <w:szCs w:val="22"/>
              </w:rPr>
              <w:t>0.00</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0"/>
              <w:jc w:val="right"/>
              <w:rPr>
                <w:b/>
                <w:noProof/>
                <w:color w:val="000000"/>
                <w:sz w:val="22"/>
                <w:szCs w:val="22"/>
              </w:rPr>
            </w:pPr>
            <w:r>
              <w:rPr>
                <w:b/>
                <w:noProof/>
                <w:color w:val="000000"/>
                <w:sz w:val="22"/>
                <w:szCs w:val="22"/>
              </w:rPr>
              <w:t>1,013,339.26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4275"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pStyle w:val="Normal20"/>
              <w:rPr>
                <w:noProof/>
                <w:color w:val="000000"/>
                <w:sz w:val="22"/>
                <w:szCs w:val="22"/>
              </w:rPr>
            </w:pPr>
          </w:p>
        </w:tc>
        <w:tc>
          <w:tcPr>
            <w:tcW w:w="1425"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pStyle w:val="Normal20"/>
              <w:rPr>
                <w:noProof/>
                <w:color w:val="000000"/>
                <w:sz w:val="22"/>
                <w:szCs w:val="22"/>
              </w:rPr>
            </w:pPr>
          </w:p>
        </w:tc>
        <w:tc>
          <w:tcPr>
            <w:tcW w:w="1425"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pStyle w:val="Normal20"/>
              <w:rPr>
                <w:noProof/>
                <w:color w:val="000000"/>
                <w:sz w:val="22"/>
                <w:szCs w:val="22"/>
              </w:rPr>
            </w:pPr>
          </w:p>
        </w:tc>
        <w:tc>
          <w:tcPr>
            <w:tcW w:w="1425"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pStyle w:val="Normal20"/>
              <w:rPr>
                <w:noProof/>
                <w:color w:val="000000"/>
                <w:sz w:val="22"/>
                <w:szCs w:val="22"/>
              </w:rPr>
            </w:pPr>
          </w:p>
        </w:tc>
        <w:tc>
          <w:tcPr>
            <w:tcW w:w="1425"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pStyle w:val="Normal20"/>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4275" w:type="dxa"/>
            <w:tcBorders>
              <w:top w:val="nil"/>
              <w:left w:val="nil"/>
              <w:bottom w:val="nil"/>
              <w:right w:val="nil"/>
              <w:tl2br w:val="nil"/>
              <w:tr2bl w:val="nil"/>
            </w:tcBorders>
            <w:shd w:val="clear" w:color="auto" w:fill="auto"/>
            <w:noWrap/>
            <w:tcMar>
              <w:left w:w="0" w:type="dxa"/>
              <w:right w:w="0" w:type="dxa"/>
            </w:tcMar>
            <w:vAlign w:val="bottom"/>
          </w:tcPr>
          <w:p>
            <w:pPr>
              <w:pStyle w:val="Normal20"/>
              <w:rPr>
                <w:noProof/>
                <w:color w:val="000000"/>
                <w:sz w:val="22"/>
                <w:szCs w:val="22"/>
              </w:rPr>
            </w:pPr>
          </w:p>
        </w:tc>
        <w:tc>
          <w:tcPr>
            <w:tcW w:w="1425" w:type="dxa"/>
            <w:tcBorders>
              <w:top w:val="nil"/>
              <w:left w:val="nil"/>
              <w:bottom w:val="nil"/>
              <w:right w:val="nil"/>
              <w:tl2br w:val="nil"/>
              <w:tr2bl w:val="nil"/>
            </w:tcBorders>
            <w:shd w:val="clear" w:color="auto" w:fill="auto"/>
            <w:noWrap/>
            <w:tcMar>
              <w:left w:w="0" w:type="dxa"/>
              <w:right w:w="0" w:type="dxa"/>
            </w:tcMar>
            <w:vAlign w:val="bottom"/>
          </w:tcPr>
          <w:p>
            <w:pPr>
              <w:pStyle w:val="Normal20"/>
              <w:rPr>
                <w:noProof/>
                <w:color w:val="000000"/>
                <w:sz w:val="22"/>
                <w:szCs w:val="22"/>
              </w:rPr>
            </w:pPr>
          </w:p>
        </w:tc>
        <w:tc>
          <w:tcPr>
            <w:tcW w:w="1425" w:type="dxa"/>
            <w:tcBorders>
              <w:top w:val="nil"/>
              <w:left w:val="nil"/>
              <w:bottom w:val="nil"/>
              <w:right w:val="nil"/>
              <w:tl2br w:val="nil"/>
              <w:tr2bl w:val="nil"/>
            </w:tcBorders>
            <w:shd w:val="clear" w:color="auto" w:fill="auto"/>
            <w:noWrap/>
            <w:tcMar>
              <w:left w:w="0" w:type="dxa"/>
              <w:right w:w="0" w:type="dxa"/>
            </w:tcMar>
            <w:vAlign w:val="bottom"/>
          </w:tcPr>
          <w:p>
            <w:pPr>
              <w:pStyle w:val="Normal20"/>
              <w:rPr>
                <w:noProof/>
                <w:color w:val="000000"/>
                <w:sz w:val="22"/>
                <w:szCs w:val="22"/>
              </w:rPr>
            </w:pPr>
          </w:p>
        </w:tc>
        <w:tc>
          <w:tcPr>
            <w:tcW w:w="1425" w:type="dxa"/>
            <w:tcBorders>
              <w:top w:val="nil"/>
              <w:left w:val="nil"/>
              <w:bottom w:val="nil"/>
              <w:right w:val="nil"/>
              <w:tl2br w:val="nil"/>
              <w:tr2bl w:val="nil"/>
            </w:tcBorders>
            <w:shd w:val="clear" w:color="auto" w:fill="auto"/>
            <w:noWrap/>
            <w:tcMar>
              <w:left w:w="0" w:type="dxa"/>
              <w:right w:w="0" w:type="dxa"/>
            </w:tcMar>
            <w:vAlign w:val="bottom"/>
          </w:tcPr>
          <w:p>
            <w:pPr>
              <w:pStyle w:val="Normal20"/>
              <w:rPr>
                <w:noProof/>
                <w:color w:val="000000"/>
                <w:sz w:val="22"/>
                <w:szCs w:val="22"/>
              </w:rPr>
            </w:pPr>
          </w:p>
        </w:tc>
        <w:tc>
          <w:tcPr>
            <w:tcW w:w="1425" w:type="dxa"/>
            <w:tcBorders>
              <w:top w:val="nil"/>
              <w:left w:val="nil"/>
              <w:bottom w:val="nil"/>
              <w:right w:val="nil"/>
              <w:tl2br w:val="nil"/>
              <w:tr2bl w:val="nil"/>
            </w:tcBorders>
            <w:shd w:val="clear" w:color="auto" w:fill="auto"/>
            <w:noWrap/>
            <w:tcMar>
              <w:left w:w="0" w:type="dxa"/>
              <w:right w:w="0" w:type="dxa"/>
            </w:tcMar>
            <w:vAlign w:val="bottom"/>
          </w:tcPr>
          <w:p>
            <w:pPr>
              <w:pStyle w:val="Normal20"/>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27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0"/>
              <w:rPr>
                <w:b/>
                <w:noProof/>
                <w:color w:val="000000"/>
                <w:sz w:val="22"/>
                <w:szCs w:val="22"/>
              </w:rPr>
            </w:pPr>
            <w:r>
              <w:rPr>
                <w:b/>
                <w:noProof/>
                <w:color w:val="000000"/>
                <w:sz w:val="22"/>
                <w:szCs w:val="22"/>
              </w:rPr>
              <w:t>Maturity profile</w:t>
            </w:r>
          </w:p>
          <w:p>
            <w:pPr>
              <w:pStyle w:val="Normal20"/>
              <w:rPr>
                <w:b/>
                <w:noProof/>
                <w:color w:val="000000"/>
                <w:sz w:val="22"/>
                <w:szCs w:val="22"/>
              </w:rPr>
            </w:pPr>
            <w:r>
              <w:rPr>
                <w:b/>
                <w:noProof/>
                <w:color w:val="000000"/>
                <w:sz w:val="22"/>
                <w:szCs w:val="22"/>
              </w:rPr>
              <w:t>(at 31 December 2017)</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0"/>
              <w:jc w:val="right"/>
              <w:rPr>
                <w:b/>
                <w:noProof/>
                <w:color w:val="000000"/>
                <w:sz w:val="22"/>
                <w:szCs w:val="22"/>
              </w:rPr>
            </w:pPr>
            <w:r>
              <w:rPr>
                <w:b/>
                <w:noProof/>
                <w:color w:val="000000"/>
                <w:sz w:val="22"/>
                <w:szCs w:val="22"/>
              </w:rPr>
              <w:t>Less than</w:t>
            </w:r>
          </w:p>
          <w:p>
            <w:pPr>
              <w:pStyle w:val="Normal20"/>
              <w:jc w:val="right"/>
              <w:rPr>
                <w:b/>
                <w:noProof/>
                <w:color w:val="000000"/>
                <w:sz w:val="22"/>
                <w:szCs w:val="22"/>
              </w:rPr>
            </w:pPr>
            <w:r>
              <w:rPr>
                <w:b/>
                <w:noProof/>
                <w:color w:val="000000"/>
                <w:sz w:val="22"/>
                <w:szCs w:val="22"/>
              </w:rPr>
              <w:t>1 year</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0"/>
              <w:jc w:val="right"/>
              <w:rPr>
                <w:b/>
                <w:noProof/>
                <w:color w:val="000000"/>
                <w:sz w:val="22"/>
                <w:szCs w:val="22"/>
              </w:rPr>
            </w:pPr>
            <w:r>
              <w:rPr>
                <w:b/>
                <w:noProof/>
                <w:color w:val="000000"/>
                <w:sz w:val="22"/>
                <w:szCs w:val="22"/>
              </w:rPr>
              <w:t xml:space="preserve">1 year to </w:t>
            </w:r>
          </w:p>
          <w:p>
            <w:pPr>
              <w:pStyle w:val="Normal20"/>
              <w:jc w:val="right"/>
              <w:rPr>
                <w:b/>
                <w:noProof/>
                <w:color w:val="000000"/>
                <w:sz w:val="22"/>
                <w:szCs w:val="22"/>
              </w:rPr>
            </w:pPr>
            <w:r>
              <w:rPr>
                <w:b/>
                <w:noProof/>
                <w:color w:val="000000"/>
                <w:sz w:val="22"/>
                <w:szCs w:val="22"/>
              </w:rPr>
              <w:t>5 years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0"/>
              <w:jc w:val="right"/>
              <w:rPr>
                <w:b/>
                <w:noProof/>
                <w:color w:val="000000"/>
                <w:sz w:val="22"/>
                <w:szCs w:val="22"/>
              </w:rPr>
            </w:pPr>
            <w:r>
              <w:rPr>
                <w:b/>
                <w:noProof/>
                <w:color w:val="000000"/>
                <w:sz w:val="22"/>
                <w:szCs w:val="22"/>
              </w:rPr>
              <w:t>More than</w:t>
            </w:r>
          </w:p>
          <w:p>
            <w:pPr>
              <w:pStyle w:val="Normal20"/>
              <w:jc w:val="right"/>
              <w:rPr>
                <w:b/>
                <w:noProof/>
                <w:color w:val="000000"/>
                <w:sz w:val="22"/>
                <w:szCs w:val="22"/>
              </w:rPr>
            </w:pPr>
            <w:r>
              <w:rPr>
                <w:b/>
                <w:noProof/>
                <w:color w:val="000000"/>
                <w:sz w:val="22"/>
                <w:szCs w:val="22"/>
              </w:rPr>
              <w:t xml:space="preserve"> 5 years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0"/>
              <w:jc w:val="right"/>
              <w:rPr>
                <w:b/>
                <w:noProof/>
                <w:color w:val="000000"/>
                <w:sz w:val="22"/>
                <w:szCs w:val="22"/>
              </w:rPr>
            </w:pPr>
            <w:r>
              <w:rPr>
                <w:b/>
                <w:noProof/>
                <w:color w:val="000000"/>
                <w:sz w:val="22"/>
                <w:szCs w:val="22"/>
              </w:rPr>
              <w:t>TOTAL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20"/>
              <w:rPr>
                <w:noProof/>
                <w:color w:val="000000"/>
                <w:sz w:val="22"/>
                <w:szCs w:val="22"/>
              </w:rPr>
            </w:pPr>
            <w:r>
              <w:rPr>
                <w:noProof/>
                <w:color w:val="000000"/>
                <w:sz w:val="22"/>
                <w:szCs w:val="22"/>
              </w:rPr>
              <w:t>Other payables</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0"/>
              <w:jc w:val="right"/>
              <w:rPr>
                <w:noProof/>
                <w:color w:val="000000"/>
                <w:sz w:val="22"/>
                <w:szCs w:val="22"/>
              </w:rPr>
            </w:pPr>
            <w:r>
              <w:rPr>
                <w:noProof/>
                <w:color w:val="000000"/>
                <w:sz w:val="22"/>
                <w:szCs w:val="22"/>
              </w:rPr>
              <w:t>954,779.18</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0"/>
              <w:jc w:val="right"/>
              <w:rPr>
                <w:noProof/>
                <w:color w:val="000000"/>
                <w:sz w:val="22"/>
                <w:szCs w:val="22"/>
              </w:rPr>
            </w:pPr>
            <w:r>
              <w:rPr>
                <w:noProof/>
                <w:color w:val="000000"/>
                <w:sz w:val="22"/>
                <w:szCs w:val="22"/>
              </w:rPr>
              <w:t>0.00</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0"/>
              <w:jc w:val="right"/>
              <w:rPr>
                <w:noProof/>
                <w:color w:val="000000"/>
                <w:sz w:val="22"/>
                <w:szCs w:val="22"/>
              </w:rPr>
            </w:pPr>
            <w:r>
              <w:rPr>
                <w:noProof/>
                <w:color w:val="000000"/>
                <w:sz w:val="22"/>
                <w:szCs w:val="22"/>
              </w:rPr>
              <w:t>0.00</w:t>
            </w:r>
          </w:p>
        </w:tc>
        <w:tc>
          <w:tcPr>
            <w:tcW w:w="142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0"/>
              <w:jc w:val="right"/>
              <w:rPr>
                <w:noProof/>
                <w:color w:val="000000"/>
                <w:sz w:val="22"/>
                <w:szCs w:val="22"/>
              </w:rPr>
            </w:pPr>
            <w:r>
              <w:rPr>
                <w:noProof/>
                <w:color w:val="000000"/>
                <w:sz w:val="22"/>
                <w:szCs w:val="22"/>
              </w:rPr>
              <w:t>954,779.18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pStyle w:val="Normal20"/>
              <w:rPr>
                <w:b/>
                <w:noProof/>
                <w:color w:val="000000"/>
                <w:sz w:val="22"/>
                <w:szCs w:val="22"/>
              </w:rPr>
            </w:pPr>
            <w:r>
              <w:rPr>
                <w:b/>
                <w:noProof/>
                <w:color w:val="000000"/>
                <w:sz w:val="22"/>
                <w:szCs w:val="22"/>
              </w:rPr>
              <w:t xml:space="preserve">Total </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0"/>
              <w:jc w:val="right"/>
              <w:rPr>
                <w:b/>
                <w:noProof/>
                <w:color w:val="000000"/>
                <w:sz w:val="22"/>
                <w:szCs w:val="22"/>
              </w:rPr>
            </w:pPr>
            <w:r>
              <w:rPr>
                <w:b/>
                <w:noProof/>
                <w:color w:val="000000"/>
                <w:sz w:val="22"/>
                <w:szCs w:val="22"/>
              </w:rPr>
              <w:t>954,779.18</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0"/>
              <w:jc w:val="right"/>
              <w:rPr>
                <w:b/>
                <w:noProof/>
                <w:color w:val="000000"/>
                <w:sz w:val="22"/>
                <w:szCs w:val="22"/>
              </w:rPr>
            </w:pPr>
            <w:r>
              <w:rPr>
                <w:b/>
                <w:noProof/>
                <w:color w:val="000000"/>
                <w:sz w:val="22"/>
                <w:szCs w:val="22"/>
              </w:rPr>
              <w:t>0.00</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0"/>
              <w:jc w:val="right"/>
              <w:rPr>
                <w:b/>
                <w:noProof/>
                <w:color w:val="000000"/>
                <w:sz w:val="22"/>
                <w:szCs w:val="22"/>
              </w:rPr>
            </w:pPr>
            <w:r>
              <w:rPr>
                <w:b/>
                <w:noProof/>
                <w:color w:val="000000"/>
                <w:sz w:val="22"/>
                <w:szCs w:val="22"/>
              </w:rPr>
              <w:t>0.00</w:t>
            </w:r>
          </w:p>
        </w:tc>
        <w:tc>
          <w:tcPr>
            <w:tcW w:w="14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0"/>
              <w:jc w:val="right"/>
              <w:rPr>
                <w:b/>
                <w:noProof/>
                <w:color w:val="000000"/>
                <w:sz w:val="22"/>
                <w:szCs w:val="22"/>
              </w:rPr>
            </w:pPr>
            <w:r>
              <w:rPr>
                <w:b/>
                <w:noProof/>
                <w:color w:val="000000"/>
                <w:sz w:val="22"/>
                <w:szCs w:val="22"/>
              </w:rPr>
              <w:t>954,779.18</w:t>
            </w:r>
          </w:p>
        </w:tc>
      </w:tr>
    </w:tbl>
    <w:p>
      <w:pPr>
        <w:pStyle w:val="ManualHeading3"/>
        <w:rPr>
          <w:noProof/>
        </w:rPr>
      </w:pPr>
      <w:bookmarkStart w:id="92" w:name="_Toc6923134"/>
      <w:bookmarkStart w:id="93" w:name="_Toc6923135"/>
      <w:bookmarkEnd w:id="92"/>
      <w:r>
        <w:t>3.3.4.</w:t>
      </w:r>
      <w:r>
        <w:tab/>
      </w:r>
      <w:r>
        <w:rPr>
          <w:noProof/>
        </w:rPr>
        <w:t>Market Risk</w:t>
      </w:r>
      <w:bookmarkEnd w:id="87"/>
      <w:bookmarkEnd w:id="88"/>
      <w:bookmarkEnd w:id="89"/>
      <w:bookmarkEnd w:id="90"/>
      <w:bookmarkEnd w:id="91"/>
      <w:bookmarkEnd w:id="93"/>
    </w:p>
    <w:p>
      <w:pPr>
        <w:pStyle w:val="Text1"/>
        <w:rPr>
          <w:noProof/>
          <w:bdr w:val="nil"/>
        </w:rPr>
      </w:pPr>
      <w:r>
        <w:rPr>
          <w:noProof/>
          <w:bdr w:val="nil"/>
        </w:rPr>
        <w:t xml:space="preserve">Market risk represents the risk that changes in market prices and rates, such as interest rates and foreign exchange rates will </w:t>
      </w:r>
      <w:r>
        <w:rPr>
          <w:iCs/>
          <w:noProof/>
          <w:bdr w:val="nil"/>
          <w:lang w:eastAsia="en-US"/>
        </w:rPr>
        <w:t>affect</w:t>
      </w:r>
      <w:r>
        <w:rPr>
          <w:noProof/>
          <w:bdr w:val="nil"/>
        </w:rPr>
        <w:t xml:space="preserve"> an entity’s income or the value of its holdings in financial instruments.</w:t>
      </w:r>
    </w:p>
    <w:p>
      <w:pPr>
        <w:pStyle w:val="Text1"/>
        <w:rPr>
          <w:noProof/>
          <w:bdr w:val="nil"/>
          <w:lang w:eastAsia="en-US"/>
        </w:rPr>
      </w:pPr>
      <w:r>
        <w:rPr>
          <w:noProof/>
          <w:bdr w:val="nil"/>
          <w:lang w:eastAsia="en-US"/>
        </w:rPr>
        <w:t xml:space="preserve">The treasury portfolio’s </w:t>
      </w:r>
      <w:r>
        <w:rPr>
          <w:iCs/>
          <w:noProof/>
          <w:bdr w:val="nil"/>
          <w:lang w:eastAsia="en-US"/>
        </w:rPr>
        <w:t>agreed</w:t>
      </w:r>
      <w:r>
        <w:rPr>
          <w:noProof/>
          <w:bdr w:val="nil"/>
          <w:lang w:eastAsia="en-US"/>
        </w:rPr>
        <w:t xml:space="preserve"> asset management guidelines and/or investment strategy define certain restrictions (such as </w:t>
      </w:r>
      <w:r>
        <w:rPr>
          <w:noProof/>
          <w:bdr w:val="nil"/>
        </w:rPr>
        <w:t>concentration</w:t>
      </w:r>
      <w:r>
        <w:rPr>
          <w:noProof/>
          <w:bdr w:val="nil"/>
          <w:lang w:eastAsia="en-US"/>
        </w:rPr>
        <w:t xml:space="preserve"> limits, modified duration and target combined spread duration) in order to fulfil diversification and to control to market risk of the treasury portfolio. The compliance with these limits is monitored by Risk Management on a daily basis. </w:t>
      </w:r>
    </w:p>
    <w:p>
      <w:pPr>
        <w:pStyle w:val="ManualHeading4"/>
        <w:rPr>
          <w:noProof/>
        </w:rPr>
      </w:pPr>
      <w:r>
        <w:t>3.3.4.1.</w:t>
      </w:r>
      <w:r>
        <w:tab/>
      </w:r>
      <w:r>
        <w:rPr>
          <w:noProof/>
        </w:rPr>
        <w:t>Interest rate risk position</w:t>
      </w:r>
    </w:p>
    <w:p>
      <w:pPr>
        <w:pStyle w:val="Text1"/>
        <w:rPr>
          <w:noProof/>
          <w:bdr w:val="nil"/>
        </w:rPr>
      </w:pPr>
      <w:r>
        <w:rPr>
          <w:noProof/>
          <w:bdr w:val="nil"/>
        </w:rPr>
        <w:t xml:space="preserve">Interest rate risk arises from the volatility in the economic value of, or in the income derived from the treasury portfolio’s interest rate bearing positions due to adverse movements in interest rates. Exposure to interest rate </w:t>
      </w:r>
      <w:r>
        <w:rPr>
          <w:iCs/>
          <w:noProof/>
          <w:bdr w:val="nil"/>
          <w:lang w:eastAsia="en-US"/>
        </w:rPr>
        <w:t>risk</w:t>
      </w:r>
      <w:r>
        <w:rPr>
          <w:noProof/>
          <w:bdr w:val="nil"/>
        </w:rPr>
        <w:t xml:space="preserve"> occurs when there are differences in repricing and maturity characteristics of the different assets and liabilities.</w:t>
      </w:r>
    </w:p>
    <w:p>
      <w:pPr>
        <w:pStyle w:val="ManualHeading4"/>
        <w:rPr>
          <w:noProof/>
          <w:bdr w:val="nil"/>
        </w:rPr>
      </w:pPr>
      <w:r>
        <w:t>3.3.4.2.</w:t>
      </w:r>
      <w:r>
        <w:tab/>
      </w:r>
      <w:r>
        <w:rPr>
          <w:noProof/>
          <w:bdr w:val="nil"/>
        </w:rPr>
        <w:t xml:space="preserve">Interest rate sensitivity analysis </w:t>
      </w:r>
    </w:p>
    <w:p>
      <w:pPr>
        <w:pStyle w:val="Text1"/>
        <w:rPr>
          <w:noProof/>
          <w:bdr w:val="nil"/>
        </w:rPr>
      </w:pPr>
      <w:r>
        <w:rPr>
          <w:noProof/>
          <w:bdr w:val="nil"/>
        </w:rPr>
        <w:t xml:space="preserve">The interest rate sensitivity of the treasury portfolios represents the amount of a potential change in the fair value of the </w:t>
      </w:r>
      <w:r>
        <w:rPr>
          <w:iCs/>
          <w:noProof/>
          <w:bdr w:val="nil"/>
          <w:lang w:eastAsia="en-US"/>
        </w:rPr>
        <w:t>portfolio</w:t>
      </w:r>
      <w:r>
        <w:rPr>
          <w:noProof/>
          <w:bdr w:val="nil"/>
        </w:rPr>
        <w:t xml:space="preserve"> and is computed on a deal by deal basis assuming that all interest rate curves rose by one percentage basis and 100 basis points or decrease by one percentage basis point and 100 basis points.</w:t>
      </w:r>
    </w:p>
    <w:p>
      <w:pPr>
        <w:pStyle w:val="Text1"/>
        <w:spacing w:after="0"/>
        <w:rPr>
          <w:noProof/>
          <w:bdr w:val="nil"/>
        </w:rPr>
      </w:pPr>
      <w:bookmarkStart w:id="94" w:name="Interest_rate_risk_positions_2007"/>
      <w:bookmarkEnd w:id="94"/>
      <w:r>
        <w:rPr>
          <w:noProof/>
          <w:bdr w:val="nil"/>
        </w:rPr>
        <w:t>The following table shows the sensitivity to interest rate variations of the three Guarantee Fund (“GF”) treasury sub-</w:t>
      </w:r>
      <w:r>
        <w:rPr>
          <w:rStyle w:val="BookTitle"/>
          <w:noProof/>
        </w:rPr>
        <w:t>portfolios</w:t>
      </w:r>
      <w:r>
        <w:rPr>
          <w:noProof/>
          <w:bdr w:val="nil"/>
        </w:rPr>
        <w:t xml:space="preserve"> GF-Short </w:t>
      </w:r>
      <w:r>
        <w:rPr>
          <w:iCs/>
          <w:noProof/>
          <w:bdr w:val="nil"/>
          <w:lang w:eastAsia="en-US"/>
        </w:rPr>
        <w:t>term</w:t>
      </w:r>
      <w:r>
        <w:rPr>
          <w:noProof/>
          <w:bdr w:val="nil"/>
        </w:rPr>
        <w:t xml:space="preserve"> (Short term deposits, commercial papers and zero coupon bonds), GF-FRN  (Bond portfolio variable interest), GF-Long term (Bond portfolio fixed interest). It is presented on the same basis as the quarterly risk management reporting delivered to the EC concerning the risk and the performance of the Fund’s portfolio.</w:t>
      </w:r>
    </w:p>
    <w:p>
      <w:pPr>
        <w:pStyle w:val="Text1"/>
        <w:spacing w:before="0" w:after="0"/>
        <w:rPr>
          <w:noProof/>
        </w:rPr>
      </w:pPr>
    </w:p>
    <w:tbl>
      <w:tblPr>
        <w:tblStyle w:val="CDMRange15"/>
        <w:tblW w:w="9611" w:type="dxa"/>
        <w:tblLayout w:type="fixed"/>
        <w:tblLook w:val="0600" w:firstRow="0" w:lastRow="0" w:firstColumn="0" w:lastColumn="0" w:noHBand="1" w:noVBand="1"/>
      </w:tblPr>
      <w:tblGrid>
        <w:gridCol w:w="2746"/>
        <w:gridCol w:w="1373"/>
        <w:gridCol w:w="1373"/>
        <w:gridCol w:w="1373"/>
        <w:gridCol w:w="1373"/>
        <w:gridCol w:w="1373"/>
      </w:tblGrid>
      <w:tr>
        <w:trPr>
          <w:trHeight w:hRule="exact" w:val="251"/>
        </w:trPr>
        <w:tc>
          <w:tcPr>
            <w:tcW w:w="2746" w:type="dxa"/>
            <w:tcBorders>
              <w:top w:val="nil"/>
              <w:left w:val="nil"/>
              <w:bottom w:val="nil"/>
              <w:right w:val="nil"/>
              <w:tl2br w:val="nil"/>
              <w:tr2bl w:val="nil"/>
            </w:tcBorders>
            <w:shd w:val="clear" w:color="auto" w:fill="auto"/>
            <w:noWrap/>
            <w:tcMar>
              <w:left w:w="40" w:type="dxa"/>
              <w:right w:w="40" w:type="dxa"/>
            </w:tcMar>
            <w:vAlign w:val="center"/>
          </w:tcPr>
          <w:p>
            <w:pPr>
              <w:pStyle w:val="Normal21"/>
              <w:rPr>
                <w:b/>
                <w:noProof/>
                <w:color w:val="000000"/>
                <w:sz w:val="22"/>
                <w:szCs w:val="22"/>
              </w:rPr>
            </w:pPr>
            <w:r>
              <w:rPr>
                <w:b/>
                <w:noProof/>
                <w:color w:val="000000"/>
                <w:sz w:val="22"/>
                <w:szCs w:val="22"/>
              </w:rPr>
              <w:t>31 December 2018</w:t>
            </w:r>
          </w:p>
        </w:tc>
        <w:tc>
          <w:tcPr>
            <w:tcW w:w="1373" w:type="dxa"/>
            <w:tcBorders>
              <w:top w:val="nil"/>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c>
          <w:tcPr>
            <w:tcW w:w="1373" w:type="dxa"/>
            <w:tcBorders>
              <w:top w:val="nil"/>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c>
          <w:tcPr>
            <w:tcW w:w="1373" w:type="dxa"/>
            <w:tcBorders>
              <w:top w:val="nil"/>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c>
          <w:tcPr>
            <w:tcW w:w="1373" w:type="dxa"/>
            <w:tcBorders>
              <w:top w:val="nil"/>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c>
          <w:tcPr>
            <w:tcW w:w="1373" w:type="dxa"/>
            <w:tcBorders>
              <w:top w:val="nil"/>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1"/>
        </w:trPr>
        <w:tc>
          <w:tcPr>
            <w:tcW w:w="2746"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1"/>
              <w:rPr>
                <w:b/>
                <w:noProof/>
                <w:color w:val="000000"/>
                <w:sz w:val="22"/>
                <w:szCs w:val="22"/>
              </w:rPr>
            </w:pPr>
            <w:r>
              <w:rPr>
                <w:b/>
                <w:noProof/>
                <w:color w:val="000000"/>
                <w:sz w:val="22"/>
                <w:szCs w:val="22"/>
              </w:rPr>
              <w:t>GF sub-portfolios</w:t>
            </w:r>
          </w:p>
        </w:tc>
        <w:tc>
          <w:tcPr>
            <w:tcW w:w="1373"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1"/>
              <w:jc w:val="center"/>
              <w:rPr>
                <w:b/>
                <w:noProof/>
                <w:color w:val="000000"/>
                <w:sz w:val="22"/>
                <w:szCs w:val="22"/>
              </w:rPr>
            </w:pPr>
            <w:r>
              <w:rPr>
                <w:b/>
                <w:noProof/>
                <w:color w:val="000000"/>
                <w:sz w:val="22"/>
                <w:szCs w:val="22"/>
              </w:rPr>
              <w:t xml:space="preserve">Clean market value </w:t>
            </w:r>
          </w:p>
          <w:p>
            <w:pPr>
              <w:pStyle w:val="Normal21"/>
              <w:jc w:val="center"/>
              <w:rPr>
                <w:b/>
                <w:noProof/>
                <w:color w:val="000000"/>
                <w:sz w:val="22"/>
                <w:szCs w:val="22"/>
              </w:rPr>
            </w:pPr>
            <w:r>
              <w:rPr>
                <w:b/>
                <w:noProof/>
                <w:color w:val="000000"/>
                <w:sz w:val="22"/>
                <w:szCs w:val="22"/>
              </w:rPr>
              <w:t>in EUR'000</w:t>
            </w:r>
          </w:p>
        </w:tc>
        <w:tc>
          <w:tcPr>
            <w:tcW w:w="1373"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1"/>
              <w:jc w:val="center"/>
              <w:rPr>
                <w:b/>
                <w:noProof/>
                <w:color w:val="000000"/>
                <w:sz w:val="22"/>
                <w:szCs w:val="22"/>
              </w:rPr>
            </w:pPr>
            <w:r>
              <w:rPr>
                <w:b/>
                <w:noProof/>
                <w:color w:val="000000"/>
                <w:sz w:val="22"/>
                <w:szCs w:val="22"/>
              </w:rPr>
              <w:t>Modified Duration (Years)</w:t>
            </w:r>
          </w:p>
        </w:tc>
        <w:tc>
          <w:tcPr>
            <w:tcW w:w="1373"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1"/>
              <w:jc w:val="center"/>
              <w:rPr>
                <w:b/>
                <w:noProof/>
                <w:color w:val="000000"/>
                <w:sz w:val="22"/>
                <w:szCs w:val="22"/>
              </w:rPr>
            </w:pPr>
            <w:r>
              <w:rPr>
                <w:b/>
                <w:noProof/>
                <w:color w:val="000000"/>
                <w:sz w:val="22"/>
                <w:szCs w:val="22"/>
              </w:rPr>
              <w:t xml:space="preserve">IR Exposure </w:t>
            </w:r>
          </w:p>
          <w:p>
            <w:pPr>
              <w:pStyle w:val="Normal21"/>
              <w:jc w:val="center"/>
              <w:rPr>
                <w:b/>
                <w:noProof/>
                <w:color w:val="000000"/>
                <w:sz w:val="22"/>
                <w:szCs w:val="22"/>
              </w:rPr>
            </w:pPr>
            <w:r>
              <w:rPr>
                <w:b/>
                <w:noProof/>
                <w:color w:val="000000"/>
                <w:sz w:val="22"/>
                <w:szCs w:val="22"/>
              </w:rPr>
              <w:t xml:space="preserve">(+/-1bp) </w:t>
            </w:r>
          </w:p>
          <w:p>
            <w:pPr>
              <w:pStyle w:val="Normal21"/>
              <w:jc w:val="center"/>
              <w:rPr>
                <w:b/>
                <w:noProof/>
                <w:color w:val="000000"/>
                <w:sz w:val="22"/>
                <w:szCs w:val="22"/>
              </w:rPr>
            </w:pPr>
            <w:r>
              <w:rPr>
                <w:b/>
                <w:noProof/>
                <w:color w:val="000000"/>
                <w:sz w:val="22"/>
                <w:szCs w:val="22"/>
              </w:rPr>
              <w:t>in EUR'000</w:t>
            </w:r>
          </w:p>
        </w:tc>
        <w:tc>
          <w:tcPr>
            <w:tcW w:w="1373"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1"/>
              <w:jc w:val="center"/>
              <w:rPr>
                <w:b/>
                <w:noProof/>
                <w:color w:val="000000"/>
                <w:sz w:val="22"/>
                <w:szCs w:val="22"/>
              </w:rPr>
            </w:pPr>
            <w:r>
              <w:rPr>
                <w:b/>
                <w:noProof/>
                <w:color w:val="000000"/>
                <w:sz w:val="22"/>
                <w:szCs w:val="22"/>
              </w:rPr>
              <w:t xml:space="preserve">IR Exposure (100bp) </w:t>
            </w:r>
          </w:p>
          <w:p>
            <w:pPr>
              <w:pStyle w:val="Normal21"/>
              <w:jc w:val="center"/>
              <w:rPr>
                <w:b/>
                <w:noProof/>
                <w:color w:val="000000"/>
                <w:sz w:val="22"/>
                <w:szCs w:val="22"/>
              </w:rPr>
            </w:pPr>
            <w:r>
              <w:rPr>
                <w:b/>
                <w:noProof/>
                <w:color w:val="000000"/>
                <w:sz w:val="22"/>
                <w:szCs w:val="22"/>
              </w:rPr>
              <w:t>in EUR'000</w:t>
            </w:r>
          </w:p>
        </w:tc>
        <w:tc>
          <w:tcPr>
            <w:tcW w:w="1373"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1"/>
              <w:jc w:val="center"/>
              <w:rPr>
                <w:b/>
                <w:noProof/>
                <w:color w:val="000000"/>
                <w:sz w:val="22"/>
                <w:szCs w:val="22"/>
              </w:rPr>
            </w:pPr>
            <w:r>
              <w:rPr>
                <w:b/>
                <w:noProof/>
                <w:color w:val="000000"/>
                <w:sz w:val="22"/>
                <w:szCs w:val="22"/>
              </w:rPr>
              <w:t xml:space="preserve">IR Exposure </w:t>
            </w:r>
          </w:p>
          <w:p>
            <w:pPr>
              <w:pStyle w:val="Normal21"/>
              <w:jc w:val="center"/>
              <w:rPr>
                <w:b/>
                <w:noProof/>
                <w:color w:val="000000"/>
                <w:sz w:val="22"/>
                <w:szCs w:val="22"/>
              </w:rPr>
            </w:pPr>
            <w:r>
              <w:rPr>
                <w:b/>
                <w:noProof/>
                <w:color w:val="000000"/>
                <w:sz w:val="22"/>
                <w:szCs w:val="22"/>
              </w:rPr>
              <w:t xml:space="preserve">(-100bp) </w:t>
            </w:r>
          </w:p>
          <w:p>
            <w:pPr>
              <w:pStyle w:val="Normal21"/>
              <w:jc w:val="center"/>
              <w:rPr>
                <w:b/>
                <w:noProof/>
                <w:color w:val="000000"/>
                <w:sz w:val="22"/>
                <w:szCs w:val="22"/>
              </w:rPr>
            </w:pPr>
            <w:r>
              <w:rPr>
                <w:b/>
                <w:noProof/>
                <w:color w:val="000000"/>
                <w:sz w:val="22"/>
                <w:szCs w:val="22"/>
              </w:rPr>
              <w:t>in EUR'000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1"/>
        </w:trPr>
        <w:tc>
          <w:tcPr>
            <w:tcW w:w="2746"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pStyle w:val="Normal21"/>
              <w:rPr>
                <w:noProof/>
                <w:color w:val="000000"/>
                <w:sz w:val="22"/>
                <w:szCs w:val="22"/>
              </w:rPr>
            </w:pPr>
            <w:r>
              <w:rPr>
                <w:noProof/>
                <w:color w:val="000000"/>
                <w:sz w:val="22"/>
                <w:szCs w:val="22"/>
              </w:rPr>
              <w:t>GF - Short term</w:t>
            </w:r>
          </w:p>
        </w:tc>
        <w:tc>
          <w:tcPr>
            <w:tcW w:w="1373"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xml:space="preserve">29,026 </w:t>
            </w:r>
          </w:p>
        </w:tc>
        <w:tc>
          <w:tcPr>
            <w:tcW w:w="1373"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0.26</w:t>
            </w:r>
          </w:p>
        </w:tc>
        <w:tc>
          <w:tcPr>
            <w:tcW w:w="1373"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-/+ 1</w:t>
            </w:r>
          </w:p>
        </w:tc>
        <w:tc>
          <w:tcPr>
            <w:tcW w:w="1373"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xml:space="preserve">-75 </w:t>
            </w:r>
          </w:p>
        </w:tc>
        <w:tc>
          <w:tcPr>
            <w:tcW w:w="1373"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+ 76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1"/>
        </w:trPr>
        <w:tc>
          <w:tcPr>
            <w:tcW w:w="2746" w:type="dxa"/>
            <w:tcBorders>
              <w:top w:val="nil"/>
              <w:left w:val="nil"/>
              <w:bottom w:val="nil"/>
              <w:right w:val="nil"/>
              <w:tl2br w:val="nil"/>
              <w:tr2bl w:val="nil"/>
            </w:tcBorders>
            <w:shd w:val="clear" w:color="auto" w:fill="auto"/>
            <w:noWrap/>
            <w:tcMar>
              <w:left w:w="40" w:type="dxa"/>
              <w:right w:w="40" w:type="dxa"/>
            </w:tcMar>
            <w:vAlign w:val="center"/>
          </w:tcPr>
          <w:p>
            <w:pPr>
              <w:pStyle w:val="Normal21"/>
              <w:rPr>
                <w:noProof/>
                <w:color w:val="000000"/>
                <w:sz w:val="22"/>
                <w:szCs w:val="22"/>
              </w:rPr>
            </w:pPr>
            <w:r>
              <w:rPr>
                <w:noProof/>
                <w:color w:val="000000"/>
                <w:sz w:val="22"/>
                <w:szCs w:val="22"/>
              </w:rPr>
              <w:t>GF - FRN</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xml:space="preserve">302,709 </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0.64</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-/+ 20</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xml:space="preserve">-1,929 </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+ 1,990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1"/>
        </w:trPr>
        <w:tc>
          <w:tcPr>
            <w:tcW w:w="2746" w:type="dxa"/>
            <w:tcBorders>
              <w:top w:val="nil"/>
              <w:left w:val="nil"/>
              <w:bottom w:val="nil"/>
              <w:right w:val="nil"/>
              <w:tl2br w:val="nil"/>
              <w:tr2bl w:val="nil"/>
            </w:tcBorders>
            <w:shd w:val="clear" w:color="auto" w:fill="auto"/>
            <w:noWrap/>
            <w:tcMar>
              <w:left w:w="40" w:type="dxa"/>
              <w:right w:w="40" w:type="dxa"/>
            </w:tcMar>
            <w:vAlign w:val="center"/>
          </w:tcPr>
          <w:p>
            <w:pPr>
              <w:pStyle w:val="Normal21"/>
              <w:rPr>
                <w:noProof/>
                <w:color w:val="000000"/>
                <w:sz w:val="22"/>
                <w:szCs w:val="22"/>
              </w:rPr>
            </w:pPr>
            <w:r>
              <w:rPr>
                <w:noProof/>
                <w:color w:val="000000"/>
                <w:sz w:val="22"/>
                <w:szCs w:val="22"/>
              </w:rPr>
              <w:t>GF - Long term</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xml:space="preserve">2,134,179 </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2.92</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-/+ 627</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xml:space="preserve">-61,189 </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+ 64,241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1"/>
        </w:trPr>
        <w:tc>
          <w:tcPr>
            <w:tcW w:w="2746"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21"/>
              <w:rPr>
                <w:noProof/>
                <w:color w:val="000000"/>
                <w:sz w:val="22"/>
                <w:szCs w:val="22"/>
              </w:rPr>
            </w:pPr>
            <w:r>
              <w:rPr>
                <w:noProof/>
                <w:color w:val="000000"/>
                <w:sz w:val="22"/>
                <w:szCs w:val="22"/>
              </w:rPr>
              <w:t>Current accounts</w:t>
            </w:r>
          </w:p>
        </w:tc>
        <w:tc>
          <w:tcPr>
            <w:tcW w:w="1373"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xml:space="preserve">27,567 </w:t>
            </w:r>
          </w:p>
        </w:tc>
        <w:tc>
          <w:tcPr>
            <w:tcW w:w="1373"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0.00</w:t>
            </w:r>
          </w:p>
        </w:tc>
        <w:tc>
          <w:tcPr>
            <w:tcW w:w="1373"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-/+ 0</w:t>
            </w:r>
          </w:p>
        </w:tc>
        <w:tc>
          <w:tcPr>
            <w:tcW w:w="1373"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0</w:t>
            </w:r>
          </w:p>
        </w:tc>
        <w:tc>
          <w:tcPr>
            <w:tcW w:w="1373"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1"/>
        </w:trPr>
        <w:tc>
          <w:tcPr>
            <w:tcW w:w="2746"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1"/>
              <w:rPr>
                <w:b/>
                <w:noProof/>
                <w:color w:val="000000"/>
                <w:sz w:val="22"/>
                <w:szCs w:val="22"/>
              </w:rPr>
            </w:pPr>
            <w:r>
              <w:rPr>
                <w:b/>
                <w:noProof/>
                <w:color w:val="000000"/>
                <w:sz w:val="22"/>
                <w:szCs w:val="22"/>
              </w:rPr>
              <w:t>TOTAL GF</w:t>
            </w:r>
          </w:p>
        </w:tc>
        <w:tc>
          <w:tcPr>
            <w:tcW w:w="1373"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1"/>
              <w:jc w:val="center"/>
              <w:rPr>
                <w:b/>
                <w:noProof/>
                <w:color w:val="000000"/>
                <w:sz w:val="22"/>
                <w:szCs w:val="22"/>
              </w:rPr>
            </w:pPr>
            <w:r>
              <w:rPr>
                <w:b/>
                <w:noProof/>
                <w:color w:val="000000"/>
                <w:sz w:val="22"/>
                <w:szCs w:val="22"/>
              </w:rPr>
              <w:t>2,493,481</w:t>
            </w:r>
          </w:p>
        </w:tc>
        <w:tc>
          <w:tcPr>
            <w:tcW w:w="1373"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1"/>
              <w:jc w:val="center"/>
              <w:rPr>
                <w:b/>
                <w:noProof/>
                <w:color w:val="000000"/>
                <w:sz w:val="22"/>
                <w:szCs w:val="22"/>
              </w:rPr>
            </w:pPr>
            <w:r>
              <w:rPr>
                <w:b/>
                <w:noProof/>
                <w:color w:val="000000"/>
                <w:sz w:val="22"/>
                <w:szCs w:val="22"/>
              </w:rPr>
              <w:t>2.58</w:t>
            </w:r>
          </w:p>
        </w:tc>
        <w:tc>
          <w:tcPr>
            <w:tcW w:w="1373"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1"/>
              <w:jc w:val="center"/>
              <w:rPr>
                <w:b/>
                <w:noProof/>
                <w:color w:val="000000"/>
                <w:sz w:val="22"/>
                <w:szCs w:val="22"/>
              </w:rPr>
            </w:pPr>
            <w:r>
              <w:rPr>
                <w:b/>
                <w:noProof/>
                <w:color w:val="000000"/>
                <w:sz w:val="22"/>
                <w:szCs w:val="22"/>
              </w:rPr>
              <w:t>-/+ 648</w:t>
            </w:r>
          </w:p>
        </w:tc>
        <w:tc>
          <w:tcPr>
            <w:tcW w:w="1373"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1"/>
              <w:jc w:val="center"/>
              <w:rPr>
                <w:b/>
                <w:noProof/>
                <w:color w:val="000000"/>
                <w:sz w:val="22"/>
                <w:szCs w:val="22"/>
              </w:rPr>
            </w:pPr>
            <w:r>
              <w:rPr>
                <w:b/>
                <w:noProof/>
                <w:color w:val="000000"/>
                <w:sz w:val="22"/>
                <w:szCs w:val="22"/>
              </w:rPr>
              <w:t>-63,193</w:t>
            </w:r>
          </w:p>
        </w:tc>
        <w:tc>
          <w:tcPr>
            <w:tcW w:w="1373"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1"/>
              <w:jc w:val="center"/>
              <w:rPr>
                <w:b/>
                <w:noProof/>
                <w:color w:val="000000"/>
                <w:sz w:val="22"/>
                <w:szCs w:val="22"/>
              </w:rPr>
            </w:pPr>
            <w:r>
              <w:rPr>
                <w:b/>
                <w:noProof/>
                <w:color w:val="000000"/>
                <w:sz w:val="22"/>
                <w:szCs w:val="22"/>
              </w:rPr>
              <w:t>+ 66,307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1"/>
        </w:trPr>
        <w:tc>
          <w:tcPr>
            <w:tcW w:w="2746"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c>
          <w:tcPr>
            <w:tcW w:w="1373"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c>
          <w:tcPr>
            <w:tcW w:w="1373"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c>
          <w:tcPr>
            <w:tcW w:w="1373"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c>
          <w:tcPr>
            <w:tcW w:w="1373"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c>
          <w:tcPr>
            <w:tcW w:w="1373"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1"/>
        </w:trPr>
        <w:tc>
          <w:tcPr>
            <w:tcW w:w="2746" w:type="dxa"/>
            <w:tcBorders>
              <w:top w:val="nil"/>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c>
          <w:tcPr>
            <w:tcW w:w="1373" w:type="dxa"/>
            <w:tcBorders>
              <w:top w:val="nil"/>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c>
          <w:tcPr>
            <w:tcW w:w="1373" w:type="dxa"/>
            <w:tcBorders>
              <w:top w:val="nil"/>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c>
          <w:tcPr>
            <w:tcW w:w="1373" w:type="dxa"/>
            <w:tcBorders>
              <w:top w:val="nil"/>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c>
          <w:tcPr>
            <w:tcW w:w="1373" w:type="dxa"/>
            <w:tcBorders>
              <w:top w:val="nil"/>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c>
          <w:tcPr>
            <w:tcW w:w="1373" w:type="dxa"/>
            <w:tcBorders>
              <w:top w:val="nil"/>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1"/>
        </w:trPr>
        <w:tc>
          <w:tcPr>
            <w:tcW w:w="2746" w:type="dxa"/>
            <w:tcBorders>
              <w:top w:val="nil"/>
              <w:left w:val="nil"/>
              <w:bottom w:val="nil"/>
              <w:right w:val="nil"/>
              <w:tl2br w:val="nil"/>
              <w:tr2bl w:val="nil"/>
            </w:tcBorders>
            <w:shd w:val="clear" w:color="auto" w:fill="auto"/>
            <w:noWrap/>
            <w:tcMar>
              <w:left w:w="40" w:type="dxa"/>
              <w:right w:w="40" w:type="dxa"/>
            </w:tcMar>
            <w:vAlign w:val="center"/>
          </w:tcPr>
          <w:p>
            <w:pPr>
              <w:pStyle w:val="Normal21"/>
              <w:rPr>
                <w:b/>
                <w:noProof/>
                <w:color w:val="000000"/>
                <w:sz w:val="22"/>
                <w:szCs w:val="22"/>
              </w:rPr>
            </w:pPr>
            <w:r>
              <w:rPr>
                <w:b/>
                <w:noProof/>
                <w:color w:val="000000"/>
                <w:sz w:val="22"/>
                <w:szCs w:val="22"/>
              </w:rPr>
              <w:t>31 December 2017</w:t>
            </w:r>
          </w:p>
        </w:tc>
        <w:tc>
          <w:tcPr>
            <w:tcW w:w="1373" w:type="dxa"/>
            <w:tcBorders>
              <w:top w:val="nil"/>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c>
          <w:tcPr>
            <w:tcW w:w="1373" w:type="dxa"/>
            <w:tcBorders>
              <w:top w:val="nil"/>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c>
          <w:tcPr>
            <w:tcW w:w="1373" w:type="dxa"/>
            <w:tcBorders>
              <w:top w:val="nil"/>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c>
          <w:tcPr>
            <w:tcW w:w="1373" w:type="dxa"/>
            <w:tcBorders>
              <w:top w:val="nil"/>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c>
          <w:tcPr>
            <w:tcW w:w="1373" w:type="dxa"/>
            <w:tcBorders>
              <w:top w:val="nil"/>
              <w:left w:val="nil"/>
              <w:bottom w:val="nil"/>
              <w:right w:val="nil"/>
              <w:tl2br w:val="nil"/>
              <w:tr2bl w:val="nil"/>
            </w:tcBorders>
            <w:shd w:val="clear" w:color="auto" w:fill="auto"/>
            <w:noWrap/>
            <w:tcMar>
              <w:left w:w="0" w:type="dxa"/>
              <w:right w:w="0" w:type="dxa"/>
            </w:tcMar>
            <w:vAlign w:val="bottom"/>
          </w:tcPr>
          <w:p>
            <w:pPr>
              <w:pStyle w:val="Normal21"/>
              <w:rPr>
                <w:rFonts w:eastAsia="Calibri"/>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1"/>
        </w:trPr>
        <w:tc>
          <w:tcPr>
            <w:tcW w:w="2746"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1"/>
              <w:rPr>
                <w:b/>
                <w:noProof/>
                <w:color w:val="000000"/>
                <w:sz w:val="22"/>
                <w:szCs w:val="22"/>
              </w:rPr>
            </w:pPr>
            <w:r>
              <w:rPr>
                <w:b/>
                <w:noProof/>
                <w:color w:val="000000"/>
                <w:sz w:val="22"/>
                <w:szCs w:val="22"/>
              </w:rPr>
              <w:t>GF sub-portfolios</w:t>
            </w:r>
          </w:p>
        </w:tc>
        <w:tc>
          <w:tcPr>
            <w:tcW w:w="1373"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1"/>
              <w:jc w:val="center"/>
              <w:rPr>
                <w:b/>
                <w:noProof/>
                <w:color w:val="000000"/>
                <w:sz w:val="22"/>
                <w:szCs w:val="22"/>
              </w:rPr>
            </w:pPr>
            <w:r>
              <w:rPr>
                <w:b/>
                <w:noProof/>
                <w:color w:val="000000"/>
                <w:sz w:val="22"/>
                <w:szCs w:val="22"/>
              </w:rPr>
              <w:t xml:space="preserve">Clean market value </w:t>
            </w:r>
          </w:p>
          <w:p>
            <w:pPr>
              <w:pStyle w:val="Normal21"/>
              <w:jc w:val="center"/>
              <w:rPr>
                <w:b/>
                <w:noProof/>
                <w:color w:val="000000"/>
                <w:sz w:val="22"/>
                <w:szCs w:val="22"/>
              </w:rPr>
            </w:pPr>
            <w:r>
              <w:rPr>
                <w:b/>
                <w:noProof/>
                <w:color w:val="000000"/>
                <w:sz w:val="22"/>
                <w:szCs w:val="22"/>
              </w:rPr>
              <w:t>in EUR'000</w:t>
            </w:r>
          </w:p>
        </w:tc>
        <w:tc>
          <w:tcPr>
            <w:tcW w:w="1373"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1"/>
              <w:jc w:val="center"/>
              <w:rPr>
                <w:b/>
                <w:noProof/>
                <w:color w:val="000000"/>
                <w:sz w:val="22"/>
                <w:szCs w:val="22"/>
              </w:rPr>
            </w:pPr>
            <w:r>
              <w:rPr>
                <w:b/>
                <w:noProof/>
                <w:color w:val="000000"/>
                <w:sz w:val="22"/>
                <w:szCs w:val="22"/>
              </w:rPr>
              <w:t>Modified Duration (Years)</w:t>
            </w:r>
          </w:p>
        </w:tc>
        <w:tc>
          <w:tcPr>
            <w:tcW w:w="1373"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1"/>
              <w:jc w:val="center"/>
              <w:rPr>
                <w:b/>
                <w:noProof/>
                <w:color w:val="000000"/>
                <w:sz w:val="22"/>
                <w:szCs w:val="22"/>
              </w:rPr>
            </w:pPr>
            <w:r>
              <w:rPr>
                <w:b/>
                <w:noProof/>
                <w:color w:val="000000"/>
                <w:sz w:val="22"/>
                <w:szCs w:val="22"/>
              </w:rPr>
              <w:t xml:space="preserve">IR Exposure </w:t>
            </w:r>
          </w:p>
          <w:p>
            <w:pPr>
              <w:pStyle w:val="Normal21"/>
              <w:jc w:val="center"/>
              <w:rPr>
                <w:b/>
                <w:noProof/>
                <w:color w:val="000000"/>
                <w:sz w:val="22"/>
                <w:szCs w:val="22"/>
              </w:rPr>
            </w:pPr>
            <w:r>
              <w:rPr>
                <w:b/>
                <w:noProof/>
                <w:color w:val="000000"/>
                <w:sz w:val="22"/>
                <w:szCs w:val="22"/>
              </w:rPr>
              <w:t xml:space="preserve">(+/-1bp) </w:t>
            </w:r>
          </w:p>
          <w:p>
            <w:pPr>
              <w:pStyle w:val="Normal21"/>
              <w:jc w:val="center"/>
              <w:rPr>
                <w:b/>
                <w:noProof/>
                <w:color w:val="000000"/>
                <w:sz w:val="22"/>
                <w:szCs w:val="22"/>
              </w:rPr>
            </w:pPr>
            <w:r>
              <w:rPr>
                <w:b/>
                <w:noProof/>
                <w:color w:val="000000"/>
                <w:sz w:val="22"/>
                <w:szCs w:val="22"/>
              </w:rPr>
              <w:t>in EUR'000</w:t>
            </w:r>
          </w:p>
        </w:tc>
        <w:tc>
          <w:tcPr>
            <w:tcW w:w="1373"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1"/>
              <w:jc w:val="center"/>
              <w:rPr>
                <w:b/>
                <w:noProof/>
                <w:color w:val="000000"/>
                <w:sz w:val="22"/>
                <w:szCs w:val="22"/>
              </w:rPr>
            </w:pPr>
            <w:r>
              <w:rPr>
                <w:b/>
                <w:noProof/>
                <w:color w:val="000000"/>
                <w:sz w:val="22"/>
                <w:szCs w:val="22"/>
              </w:rPr>
              <w:t xml:space="preserve">IR Exposure (100bp) </w:t>
            </w:r>
          </w:p>
          <w:p>
            <w:pPr>
              <w:pStyle w:val="Normal21"/>
              <w:jc w:val="center"/>
              <w:rPr>
                <w:b/>
                <w:noProof/>
                <w:color w:val="000000"/>
                <w:sz w:val="22"/>
                <w:szCs w:val="22"/>
              </w:rPr>
            </w:pPr>
            <w:r>
              <w:rPr>
                <w:b/>
                <w:noProof/>
                <w:color w:val="000000"/>
                <w:sz w:val="22"/>
                <w:szCs w:val="22"/>
              </w:rPr>
              <w:t>in EUR'000</w:t>
            </w:r>
          </w:p>
        </w:tc>
        <w:tc>
          <w:tcPr>
            <w:tcW w:w="1373"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1"/>
              <w:jc w:val="center"/>
              <w:rPr>
                <w:b/>
                <w:noProof/>
                <w:color w:val="000000"/>
                <w:sz w:val="22"/>
                <w:szCs w:val="22"/>
              </w:rPr>
            </w:pPr>
            <w:r>
              <w:rPr>
                <w:b/>
                <w:noProof/>
                <w:color w:val="000000"/>
                <w:sz w:val="22"/>
                <w:szCs w:val="22"/>
              </w:rPr>
              <w:t xml:space="preserve">IR Exposure </w:t>
            </w:r>
          </w:p>
          <w:p>
            <w:pPr>
              <w:pStyle w:val="Normal21"/>
              <w:jc w:val="center"/>
              <w:rPr>
                <w:b/>
                <w:noProof/>
                <w:color w:val="000000"/>
                <w:sz w:val="22"/>
                <w:szCs w:val="22"/>
              </w:rPr>
            </w:pPr>
            <w:r>
              <w:rPr>
                <w:b/>
                <w:noProof/>
                <w:color w:val="000000"/>
                <w:sz w:val="22"/>
                <w:szCs w:val="22"/>
              </w:rPr>
              <w:t xml:space="preserve">(-100bp) </w:t>
            </w:r>
          </w:p>
          <w:p>
            <w:pPr>
              <w:pStyle w:val="Normal21"/>
              <w:jc w:val="center"/>
              <w:rPr>
                <w:b/>
                <w:noProof/>
                <w:color w:val="000000"/>
                <w:sz w:val="22"/>
                <w:szCs w:val="22"/>
              </w:rPr>
            </w:pPr>
            <w:r>
              <w:rPr>
                <w:b/>
                <w:noProof/>
                <w:color w:val="000000"/>
                <w:sz w:val="22"/>
                <w:szCs w:val="22"/>
              </w:rPr>
              <w:t>in EUR'000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1"/>
        </w:trPr>
        <w:tc>
          <w:tcPr>
            <w:tcW w:w="2746"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pStyle w:val="Normal21"/>
              <w:rPr>
                <w:noProof/>
                <w:color w:val="000000"/>
                <w:sz w:val="22"/>
                <w:szCs w:val="22"/>
              </w:rPr>
            </w:pPr>
            <w:r>
              <w:rPr>
                <w:noProof/>
                <w:color w:val="000000"/>
                <w:sz w:val="22"/>
                <w:szCs w:val="22"/>
              </w:rPr>
              <w:t>GF - Short term</w:t>
            </w:r>
          </w:p>
        </w:tc>
        <w:tc>
          <w:tcPr>
            <w:tcW w:w="1373"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198,611</w:t>
            </w:r>
          </w:p>
        </w:tc>
        <w:tc>
          <w:tcPr>
            <w:tcW w:w="1373"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0.07</w:t>
            </w:r>
          </w:p>
        </w:tc>
        <w:tc>
          <w:tcPr>
            <w:tcW w:w="1373"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-/+ 1</w:t>
            </w:r>
          </w:p>
        </w:tc>
        <w:tc>
          <w:tcPr>
            <w:tcW w:w="1373"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-143</w:t>
            </w:r>
          </w:p>
        </w:tc>
        <w:tc>
          <w:tcPr>
            <w:tcW w:w="1373"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+ 145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1"/>
        </w:trPr>
        <w:tc>
          <w:tcPr>
            <w:tcW w:w="2746" w:type="dxa"/>
            <w:tcBorders>
              <w:top w:val="nil"/>
              <w:left w:val="nil"/>
              <w:bottom w:val="nil"/>
              <w:right w:val="nil"/>
              <w:tl2br w:val="nil"/>
              <w:tr2bl w:val="nil"/>
            </w:tcBorders>
            <w:shd w:val="clear" w:color="auto" w:fill="auto"/>
            <w:noWrap/>
            <w:tcMar>
              <w:left w:w="40" w:type="dxa"/>
              <w:right w:w="40" w:type="dxa"/>
            </w:tcMar>
            <w:vAlign w:val="center"/>
          </w:tcPr>
          <w:p>
            <w:pPr>
              <w:pStyle w:val="Normal21"/>
              <w:rPr>
                <w:noProof/>
                <w:color w:val="000000"/>
                <w:sz w:val="22"/>
                <w:szCs w:val="22"/>
              </w:rPr>
            </w:pPr>
            <w:r>
              <w:rPr>
                <w:noProof/>
                <w:color w:val="000000"/>
                <w:sz w:val="22"/>
                <w:szCs w:val="22"/>
              </w:rPr>
              <w:t>GF - FRN</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258,351</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0.17</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-/+ 4</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-430</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+ 435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1"/>
        </w:trPr>
        <w:tc>
          <w:tcPr>
            <w:tcW w:w="2746" w:type="dxa"/>
            <w:tcBorders>
              <w:top w:val="nil"/>
              <w:left w:val="nil"/>
              <w:bottom w:val="nil"/>
              <w:right w:val="nil"/>
              <w:tl2br w:val="nil"/>
              <w:tr2bl w:val="nil"/>
            </w:tcBorders>
            <w:shd w:val="clear" w:color="auto" w:fill="auto"/>
            <w:noWrap/>
            <w:tcMar>
              <w:left w:w="40" w:type="dxa"/>
              <w:right w:w="40" w:type="dxa"/>
            </w:tcMar>
            <w:vAlign w:val="center"/>
          </w:tcPr>
          <w:p>
            <w:pPr>
              <w:pStyle w:val="Normal21"/>
              <w:rPr>
                <w:noProof/>
                <w:color w:val="000000"/>
                <w:sz w:val="22"/>
                <w:szCs w:val="22"/>
              </w:rPr>
            </w:pPr>
            <w:r>
              <w:rPr>
                <w:noProof/>
                <w:color w:val="000000"/>
                <w:sz w:val="22"/>
                <w:szCs w:val="22"/>
              </w:rPr>
              <w:t>GF - Long term</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1,906,117</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3.67</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-/+ 704</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-68,606</w:t>
            </w:r>
          </w:p>
        </w:tc>
        <w:tc>
          <w:tcPr>
            <w:tcW w:w="1373" w:type="dxa"/>
            <w:tcBorders>
              <w:top w:val="nil"/>
              <w:left w:val="nil"/>
              <w:bottom w:val="nil"/>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+ 72,355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1"/>
        </w:trPr>
        <w:tc>
          <w:tcPr>
            <w:tcW w:w="2746"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21"/>
              <w:rPr>
                <w:noProof/>
                <w:color w:val="000000"/>
                <w:sz w:val="22"/>
                <w:szCs w:val="22"/>
              </w:rPr>
            </w:pPr>
            <w:r>
              <w:rPr>
                <w:noProof/>
                <w:color w:val="000000"/>
                <w:sz w:val="22"/>
                <w:szCs w:val="22"/>
              </w:rPr>
              <w:t>Current accounts</w:t>
            </w:r>
          </w:p>
        </w:tc>
        <w:tc>
          <w:tcPr>
            <w:tcW w:w="1373"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45,569</w:t>
            </w:r>
          </w:p>
        </w:tc>
        <w:tc>
          <w:tcPr>
            <w:tcW w:w="1373"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0.00</w:t>
            </w:r>
          </w:p>
        </w:tc>
        <w:tc>
          <w:tcPr>
            <w:tcW w:w="1373"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-/+ 0</w:t>
            </w:r>
          </w:p>
        </w:tc>
        <w:tc>
          <w:tcPr>
            <w:tcW w:w="1373"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0</w:t>
            </w:r>
          </w:p>
        </w:tc>
        <w:tc>
          <w:tcPr>
            <w:tcW w:w="1373"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21"/>
              <w:jc w:val="center"/>
              <w:rPr>
                <w:noProof/>
                <w:color w:val="000000"/>
                <w:sz w:val="22"/>
                <w:szCs w:val="22"/>
              </w:rPr>
            </w:pPr>
            <w:r>
              <w:rPr>
                <w:noProof/>
                <w:color w:val="000000"/>
                <w:sz w:val="22"/>
                <w:szCs w:val="22"/>
              </w:rPr>
              <w:t>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1"/>
        </w:trPr>
        <w:tc>
          <w:tcPr>
            <w:tcW w:w="2746"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1"/>
              <w:rPr>
                <w:b/>
                <w:noProof/>
                <w:color w:val="000000"/>
                <w:sz w:val="22"/>
                <w:szCs w:val="22"/>
              </w:rPr>
            </w:pPr>
            <w:r>
              <w:rPr>
                <w:b/>
                <w:noProof/>
                <w:color w:val="000000"/>
                <w:sz w:val="22"/>
                <w:szCs w:val="22"/>
              </w:rPr>
              <w:t>TOTAL GF</w:t>
            </w:r>
          </w:p>
        </w:tc>
        <w:tc>
          <w:tcPr>
            <w:tcW w:w="1373"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1"/>
              <w:jc w:val="center"/>
              <w:rPr>
                <w:b/>
                <w:noProof/>
                <w:color w:val="000000"/>
                <w:sz w:val="22"/>
                <w:szCs w:val="22"/>
              </w:rPr>
            </w:pPr>
            <w:r>
              <w:rPr>
                <w:b/>
                <w:noProof/>
                <w:color w:val="000000"/>
                <w:sz w:val="22"/>
                <w:szCs w:val="22"/>
              </w:rPr>
              <w:t>2,408,648</w:t>
            </w:r>
          </w:p>
        </w:tc>
        <w:tc>
          <w:tcPr>
            <w:tcW w:w="1373"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1"/>
              <w:jc w:val="center"/>
              <w:rPr>
                <w:b/>
                <w:noProof/>
                <w:color w:val="000000"/>
                <w:sz w:val="22"/>
                <w:szCs w:val="22"/>
              </w:rPr>
            </w:pPr>
            <w:r>
              <w:rPr>
                <w:b/>
                <w:noProof/>
                <w:color w:val="000000"/>
                <w:sz w:val="22"/>
                <w:szCs w:val="22"/>
              </w:rPr>
              <w:t>2.93</w:t>
            </w:r>
          </w:p>
        </w:tc>
        <w:tc>
          <w:tcPr>
            <w:tcW w:w="1373"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1"/>
              <w:jc w:val="center"/>
              <w:rPr>
                <w:b/>
                <w:noProof/>
                <w:color w:val="000000"/>
                <w:sz w:val="22"/>
                <w:szCs w:val="22"/>
              </w:rPr>
            </w:pPr>
            <w:r>
              <w:rPr>
                <w:b/>
                <w:noProof/>
                <w:color w:val="000000"/>
                <w:sz w:val="22"/>
                <w:szCs w:val="22"/>
              </w:rPr>
              <w:t>-/+ 709</w:t>
            </w:r>
          </w:p>
        </w:tc>
        <w:tc>
          <w:tcPr>
            <w:tcW w:w="1373"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1"/>
              <w:jc w:val="center"/>
              <w:rPr>
                <w:b/>
                <w:noProof/>
                <w:color w:val="000000"/>
                <w:sz w:val="22"/>
                <w:szCs w:val="22"/>
              </w:rPr>
            </w:pPr>
            <w:r>
              <w:rPr>
                <w:b/>
                <w:noProof/>
                <w:color w:val="000000"/>
                <w:sz w:val="22"/>
                <w:szCs w:val="22"/>
              </w:rPr>
              <w:t>-69,179</w:t>
            </w:r>
          </w:p>
        </w:tc>
        <w:tc>
          <w:tcPr>
            <w:tcW w:w="1373"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21"/>
              <w:jc w:val="center"/>
              <w:rPr>
                <w:b/>
                <w:noProof/>
                <w:color w:val="000000"/>
                <w:sz w:val="22"/>
                <w:szCs w:val="22"/>
              </w:rPr>
            </w:pPr>
            <w:r>
              <w:rPr>
                <w:b/>
                <w:noProof/>
                <w:color w:val="000000"/>
                <w:sz w:val="22"/>
                <w:szCs w:val="22"/>
              </w:rPr>
              <w:t>+ 72,935</w:t>
            </w:r>
          </w:p>
        </w:tc>
      </w:tr>
    </w:tbl>
    <w:p>
      <w:pPr>
        <w:pStyle w:val="Text1"/>
        <w:rPr>
          <w:noProof/>
        </w:rPr>
      </w:pPr>
      <w:r>
        <w:rPr>
          <w:noProof/>
        </w:rPr>
        <w:t xml:space="preserve">The clean market value of the GF-Short term sub-portfolio as reported above represents the sum of clean market values </w:t>
      </w:r>
      <w:r>
        <w:rPr>
          <w:iCs/>
          <w:noProof/>
          <w:bdr w:val="nil"/>
          <w:lang w:eastAsia="en-US"/>
        </w:rPr>
        <w:t>calculated</w:t>
      </w:r>
      <w:r>
        <w:rPr>
          <w:noProof/>
        </w:rPr>
        <w:t xml:space="preserve"> for short term deposits, commercial papers and zero coupon bonds. Those clean market values are determined as follows:</w:t>
      </w:r>
    </w:p>
    <w:p>
      <w:pPr>
        <w:pStyle w:val="Normal22"/>
        <w:numPr>
          <w:ilvl w:val="0"/>
          <w:numId w:val="45"/>
        </w:numPr>
        <w:tabs>
          <w:tab w:val="right" w:pos="-2700"/>
        </w:tabs>
        <w:spacing w:after="0"/>
        <w:ind w:left="714" w:hanging="357"/>
        <w:jc w:val="both"/>
        <w:rPr>
          <w:rFonts w:ascii="Times New Roman" w:hAnsi="Times New Roman"/>
          <w:bCs/>
          <w:noProof/>
          <w:sz w:val="24"/>
          <w:szCs w:val="24"/>
        </w:rPr>
      </w:pPr>
      <w:r>
        <w:rPr>
          <w:rFonts w:ascii="Times New Roman" w:hAnsi="Times New Roman"/>
          <w:b/>
          <w:bCs/>
          <w:noProof/>
          <w:sz w:val="24"/>
          <w:szCs w:val="24"/>
        </w:rPr>
        <w:t>Short-term deposits</w:t>
      </w:r>
      <w:r>
        <w:rPr>
          <w:rFonts w:ascii="Times New Roman" w:hAnsi="Times New Roman"/>
          <w:bCs/>
          <w:noProof/>
          <w:sz w:val="24"/>
          <w:szCs w:val="24"/>
        </w:rPr>
        <w:t>: the sum of the nominal value and total interest at maturity for each position is discounted from the maturity date to the spot date, whereas the spot date equals the valuation date plus two business days. Finally, accrued interest at spot date is subtracted from the calculated market value of the position.</w:t>
      </w:r>
    </w:p>
    <w:p>
      <w:pPr>
        <w:pStyle w:val="Normal22"/>
        <w:numPr>
          <w:ilvl w:val="0"/>
          <w:numId w:val="45"/>
        </w:numPr>
        <w:tabs>
          <w:tab w:val="right" w:pos="-2700"/>
        </w:tabs>
        <w:spacing w:after="0"/>
        <w:jc w:val="both"/>
        <w:rPr>
          <w:rFonts w:ascii="Times New Roman" w:hAnsi="Times New Roman"/>
          <w:bCs/>
          <w:noProof/>
          <w:sz w:val="24"/>
          <w:szCs w:val="24"/>
        </w:rPr>
      </w:pPr>
      <w:r>
        <w:rPr>
          <w:rFonts w:ascii="Times New Roman" w:hAnsi="Times New Roman"/>
          <w:b/>
          <w:bCs/>
          <w:noProof/>
          <w:sz w:val="24"/>
          <w:szCs w:val="24"/>
        </w:rPr>
        <w:t>Commercial papers</w:t>
      </w:r>
      <w:r>
        <w:rPr>
          <w:rFonts w:ascii="Times New Roman" w:hAnsi="Times New Roman"/>
          <w:bCs/>
          <w:noProof/>
          <w:sz w:val="24"/>
          <w:szCs w:val="24"/>
        </w:rPr>
        <w:t>: the nominal value of each position is discounted from the maturity date to the spot date, whereas the spot date equals the valuation date plus two business days;</w:t>
      </w:r>
    </w:p>
    <w:p>
      <w:pPr>
        <w:pStyle w:val="Normal22"/>
        <w:numPr>
          <w:ilvl w:val="0"/>
          <w:numId w:val="45"/>
        </w:numPr>
        <w:tabs>
          <w:tab w:val="right" w:pos="-2700"/>
        </w:tabs>
        <w:spacing w:after="0" w:line="240" w:lineRule="auto"/>
        <w:jc w:val="both"/>
        <w:rPr>
          <w:rFonts w:ascii="Times New Roman" w:hAnsi="Times New Roman"/>
          <w:bCs/>
          <w:noProof/>
          <w:sz w:val="24"/>
          <w:szCs w:val="24"/>
        </w:rPr>
      </w:pPr>
      <w:r>
        <w:rPr>
          <w:rFonts w:ascii="Times New Roman" w:hAnsi="Times New Roman"/>
          <w:b/>
          <w:bCs/>
          <w:noProof/>
          <w:sz w:val="24"/>
          <w:szCs w:val="24"/>
        </w:rPr>
        <w:t>Zero coupon bonds</w:t>
      </w:r>
      <w:r>
        <w:rPr>
          <w:rFonts w:ascii="Times New Roman" w:hAnsi="Times New Roman"/>
          <w:bCs/>
          <w:noProof/>
          <w:sz w:val="24"/>
          <w:szCs w:val="24"/>
        </w:rPr>
        <w:t>: the nominal value of each position is multiplied with the observed spot/quote/price.</w:t>
      </w:r>
    </w:p>
    <w:p>
      <w:pPr>
        <w:pStyle w:val="Text1"/>
        <w:rPr>
          <w:noProof/>
        </w:rPr>
      </w:pPr>
      <w:r>
        <w:rPr>
          <w:noProof/>
        </w:rPr>
        <w:t xml:space="preserve">The clean market values of the GF-FRN and GF-Long term sub-portfolios as reported above represents the sum of the clean </w:t>
      </w:r>
      <w:r>
        <w:rPr>
          <w:iCs/>
          <w:noProof/>
          <w:bdr w:val="nil"/>
          <w:lang w:eastAsia="en-US"/>
        </w:rPr>
        <w:t>market</w:t>
      </w:r>
      <w:r>
        <w:rPr>
          <w:noProof/>
        </w:rPr>
        <w:t xml:space="preserve"> values calculated for fixed and floating rate bonds. Those clean market values are determined as follows:</w:t>
      </w:r>
    </w:p>
    <w:p>
      <w:pPr>
        <w:pStyle w:val="Normal22"/>
        <w:numPr>
          <w:ilvl w:val="0"/>
          <w:numId w:val="45"/>
        </w:numPr>
        <w:spacing w:after="0"/>
        <w:jc w:val="both"/>
        <w:rPr>
          <w:rFonts w:ascii="Times New Roman" w:hAnsi="Times New Roman"/>
          <w:iCs/>
          <w:noProof/>
          <w:sz w:val="24"/>
          <w:szCs w:val="24"/>
        </w:rPr>
      </w:pPr>
      <w:r>
        <w:rPr>
          <w:rFonts w:ascii="Times New Roman" w:hAnsi="Times New Roman"/>
          <w:b/>
          <w:bCs/>
          <w:iCs/>
          <w:noProof/>
          <w:sz w:val="24"/>
          <w:szCs w:val="24"/>
        </w:rPr>
        <w:t>Fixed rate bonds</w:t>
      </w:r>
      <w:r>
        <w:rPr>
          <w:rFonts w:ascii="Times New Roman" w:hAnsi="Times New Roman"/>
          <w:iCs/>
          <w:noProof/>
          <w:sz w:val="24"/>
          <w:szCs w:val="24"/>
        </w:rPr>
        <w:t>: the nominal value of each position is multiplied by its market quote as observed at valuation date.</w:t>
      </w:r>
    </w:p>
    <w:p>
      <w:pPr>
        <w:pStyle w:val="Normal22"/>
        <w:numPr>
          <w:ilvl w:val="0"/>
          <w:numId w:val="45"/>
        </w:numPr>
        <w:spacing w:after="0"/>
        <w:jc w:val="both"/>
        <w:rPr>
          <w:rFonts w:ascii="Times New Roman" w:hAnsi="Times New Roman"/>
          <w:iCs/>
          <w:noProof/>
          <w:sz w:val="24"/>
          <w:szCs w:val="24"/>
        </w:rPr>
      </w:pPr>
      <w:r>
        <w:rPr>
          <w:rFonts w:ascii="Times New Roman" w:hAnsi="Times New Roman"/>
          <w:b/>
          <w:bCs/>
          <w:iCs/>
          <w:noProof/>
          <w:sz w:val="24"/>
          <w:szCs w:val="24"/>
        </w:rPr>
        <w:t>Floating rate bonds (FRNs)</w:t>
      </w:r>
      <w:r>
        <w:rPr>
          <w:rFonts w:ascii="Times New Roman" w:hAnsi="Times New Roman"/>
          <w:iCs/>
          <w:noProof/>
          <w:sz w:val="24"/>
          <w:szCs w:val="24"/>
        </w:rPr>
        <w:t>: the nominal value of each position is multiplied by its market quote as observed at valuation date.</w:t>
      </w:r>
    </w:p>
    <w:p>
      <w:pPr>
        <w:pStyle w:val="ManualHeading3"/>
        <w:rPr>
          <w:noProof/>
        </w:rPr>
      </w:pPr>
      <w:bookmarkStart w:id="95" w:name="_Toc6923136"/>
      <w:bookmarkStart w:id="96" w:name="_Toc449626529"/>
      <w:bookmarkStart w:id="97" w:name="_Toc449626302"/>
      <w:bookmarkStart w:id="98" w:name="_Toc449022477"/>
      <w:bookmarkStart w:id="99" w:name="_Toc448929179"/>
      <w:bookmarkStart w:id="100" w:name="_Toc478663495"/>
      <w:bookmarkStart w:id="101" w:name="_Toc6923137"/>
      <w:bookmarkEnd w:id="95"/>
      <w:r>
        <w:t>3.3.5.</w:t>
      </w:r>
      <w:r>
        <w:tab/>
      </w:r>
      <w:r>
        <w:rPr>
          <w:noProof/>
        </w:rPr>
        <w:t>Foreign exchange risk exposure</w:t>
      </w:r>
      <w:bookmarkEnd w:id="96"/>
      <w:bookmarkEnd w:id="97"/>
      <w:bookmarkEnd w:id="98"/>
      <w:bookmarkEnd w:id="99"/>
      <w:bookmarkEnd w:id="100"/>
      <w:bookmarkEnd w:id="101"/>
    </w:p>
    <w:p>
      <w:pPr>
        <w:pStyle w:val="Text1"/>
        <w:rPr>
          <w:noProof/>
          <w:bdr w:val="none" w:sz="0" w:space="0" w:color="auto" w:frame="1"/>
        </w:rPr>
      </w:pPr>
      <w:r>
        <w:rPr>
          <w:noProof/>
          <w:bdr w:val="none" w:sz="0" w:space="0" w:color="auto" w:frame="1"/>
        </w:rPr>
        <w:t xml:space="preserve">Foreign exchange risk is the </w:t>
      </w:r>
      <w:r>
        <w:rPr>
          <w:iCs/>
          <w:noProof/>
          <w:bdr w:val="nil"/>
          <w:lang w:eastAsia="en-US"/>
        </w:rPr>
        <w:t>volatility</w:t>
      </w:r>
      <w:r>
        <w:rPr>
          <w:noProof/>
          <w:bdr w:val="none" w:sz="0" w:space="0" w:color="auto" w:frame="1"/>
        </w:rPr>
        <w:t xml:space="preserve"> in the economic value of, or in the income derived from, the Fund’s positions due to adverse movements of foreign exchange rates.</w:t>
      </w:r>
    </w:p>
    <w:p>
      <w:pPr>
        <w:pStyle w:val="Text1"/>
        <w:rPr>
          <w:noProof/>
          <w:bdr w:val="none" w:sz="0" w:space="0" w:color="auto" w:frame="1"/>
        </w:rPr>
      </w:pPr>
      <w:r>
        <w:rPr>
          <w:noProof/>
          <w:bdr w:val="none" w:sz="0" w:space="0" w:color="auto" w:frame="1"/>
        </w:rPr>
        <w:t xml:space="preserve">As all assets and liabilities of </w:t>
      </w:r>
      <w:r>
        <w:rPr>
          <w:iCs/>
          <w:noProof/>
          <w:bdr w:val="nil"/>
          <w:lang w:eastAsia="en-US"/>
        </w:rPr>
        <w:t>the</w:t>
      </w:r>
      <w:r>
        <w:rPr>
          <w:noProof/>
          <w:bdr w:val="none" w:sz="0" w:space="0" w:color="auto" w:frame="1"/>
        </w:rPr>
        <w:t xml:space="preserve"> Fund are denominated in Euro, the Fund is not exposed to foreign exchange risk.</w:t>
      </w:r>
    </w:p>
    <w:p>
      <w:pPr>
        <w:pBdr>
          <w:top w:val="nil"/>
          <w:left w:val="nil"/>
          <w:bottom w:val="nil"/>
          <w:right w:val="nil"/>
          <w:between w:val="nil"/>
          <w:bar w:val="nil"/>
        </w:pBdr>
        <w:jc w:val="both"/>
        <w:rPr>
          <w:noProof/>
          <w:bdr w:val="nil"/>
        </w:rPr>
        <w:sectPr>
          <w:headerReference w:type="even" r:id="rId48"/>
          <w:headerReference w:type="default" r:id="rId49"/>
          <w:footerReference w:type="even" r:id="rId50"/>
          <w:footerReference w:type="default" r:id="rId51"/>
          <w:headerReference w:type="first" r:id="rId52"/>
          <w:footerReference w:type="first" r:id="rId53"/>
          <w:type w:val="continuous"/>
          <w:pgSz w:w="12240" w:h="15840"/>
          <w:pgMar w:top="1417" w:right="1417" w:bottom="1417" w:left="1417" w:header="709" w:footer="170" w:gutter="0"/>
          <w:pgBorders>
            <w:top w:val="nil"/>
            <w:left w:val="nil"/>
            <w:bottom w:val="nil"/>
            <w:right w:val="nil"/>
          </w:pgBorders>
          <w:cols w:space="720"/>
          <w:docGrid w:linePitch="360"/>
        </w:sectPr>
      </w:pPr>
    </w:p>
    <w:p>
      <w:pPr>
        <w:pStyle w:val="ManualHeading2"/>
        <w:rPr>
          <w:noProof/>
        </w:rPr>
      </w:pPr>
      <w:bookmarkStart w:id="102" w:name="_Toc6923138"/>
      <w:r>
        <w:t>3.4.</w:t>
      </w:r>
      <w:r>
        <w:tab/>
      </w:r>
      <w:r>
        <w:rPr>
          <w:noProof/>
        </w:rPr>
        <w:t>Fair value of financial instruments</w:t>
      </w:r>
      <w:bookmarkEnd w:id="102"/>
    </w:p>
    <w:p>
      <w:pPr>
        <w:pStyle w:val="ManualHeading3"/>
        <w:rPr>
          <w:noProof/>
        </w:rPr>
      </w:pPr>
      <w:bookmarkStart w:id="103" w:name="_Toc478663497"/>
      <w:bookmarkStart w:id="104" w:name="_Toc6923139"/>
      <w:r>
        <w:t>3.4.1.</w:t>
      </w:r>
      <w:r>
        <w:tab/>
      </w:r>
      <w:r>
        <w:rPr>
          <w:noProof/>
        </w:rPr>
        <w:t>Accounting classifications and fair value</w:t>
      </w:r>
      <w:bookmarkEnd w:id="103"/>
      <w:bookmarkEnd w:id="104"/>
    </w:p>
    <w:p>
      <w:pPr>
        <w:pStyle w:val="Text1"/>
        <w:rPr>
          <w:noProof/>
        </w:rPr>
      </w:pPr>
      <w:r>
        <w:rPr>
          <w:noProof/>
        </w:rPr>
        <w:t xml:space="preserve">The following tables show the </w:t>
      </w:r>
      <w:r>
        <w:rPr>
          <w:noProof/>
          <w:lang w:eastAsia="en-US"/>
        </w:rPr>
        <w:t>carrying</w:t>
      </w:r>
      <w:r>
        <w:rPr>
          <w:noProof/>
        </w:rPr>
        <w:t xml:space="preserve"> amounts and fair values of financial assets and financial liabilities, including their levels in the fair value hierarchy. These do not include fair value information for financial assets and financial liabilities not carried at fair value if the carrying amount is a reasonable approximation of fair value.</w:t>
      </w:r>
    </w:p>
    <w:p>
      <w:pPr>
        <w:pStyle w:val="Normal23"/>
        <w:spacing w:after="0"/>
        <w:rPr>
          <w:rFonts w:ascii="Times New Roman" w:hAnsi="Times New Roman"/>
          <w:noProof/>
          <w:sz w:val="24"/>
          <w:szCs w:val="24"/>
        </w:rPr>
      </w:pPr>
      <w:r>
        <w:rPr>
          <w:rFonts w:ascii="Times New Roman" w:hAnsi="Times New Roman"/>
          <w:noProof/>
          <w:sz w:val="24"/>
          <w:szCs w:val="24"/>
        </w:rPr>
        <w:t xml:space="preserve"> </w:t>
      </w:r>
    </w:p>
    <w:tbl>
      <w:tblPr>
        <w:tblStyle w:val="CDMRange25"/>
        <w:tblW w:w="14782" w:type="dxa"/>
        <w:tblLayout w:type="fixed"/>
        <w:tblLook w:val="0600" w:firstRow="0" w:lastRow="0" w:firstColumn="0" w:lastColumn="0" w:noHBand="1" w:noVBand="1"/>
      </w:tblPr>
      <w:tblGrid>
        <w:gridCol w:w="2592"/>
        <w:gridCol w:w="1843"/>
        <w:gridCol w:w="1701"/>
        <w:gridCol w:w="1559"/>
        <w:gridCol w:w="1716"/>
        <w:gridCol w:w="271"/>
        <w:gridCol w:w="1771"/>
        <w:gridCol w:w="780"/>
        <w:gridCol w:w="850"/>
        <w:gridCol w:w="1699"/>
      </w:tblGrid>
      <w:tr>
        <w:trPr>
          <w:trHeight w:val="300"/>
        </w:trPr>
        <w:tc>
          <w:tcPr>
            <w:tcW w:w="2592" w:type="dxa"/>
            <w:tcBorders>
              <w:top w:val="nil"/>
              <w:left w:val="nil"/>
              <w:bottom w:val="nil"/>
              <w:right w:val="nil"/>
              <w:tl2br w:val="nil"/>
              <w:tr2bl w:val="nil"/>
            </w:tcBorders>
            <w:shd w:val="clear" w:color="auto" w:fill="auto"/>
            <w:noWrap/>
            <w:tcMar>
              <w:left w:w="40" w:type="dxa"/>
              <w:right w:w="40" w:type="dxa"/>
            </w:tcMar>
            <w:vAlign w:val="center"/>
          </w:tcPr>
          <w:p>
            <w:pPr>
              <w:pStyle w:val="Normal24"/>
              <w:rPr>
                <w:b/>
                <w:noProof/>
                <w:color w:val="000000"/>
                <w:sz w:val="22"/>
                <w:szCs w:val="22"/>
              </w:rPr>
            </w:pPr>
            <w:r>
              <w:rPr>
                <w:b/>
                <w:noProof/>
                <w:color w:val="000000"/>
                <w:sz w:val="22"/>
                <w:szCs w:val="22"/>
              </w:rPr>
              <w:t>At 31 December 2018</w:t>
            </w:r>
          </w:p>
        </w:tc>
        <w:tc>
          <w:tcPr>
            <w:tcW w:w="6819" w:type="dxa"/>
            <w:gridSpan w:val="4"/>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pStyle w:val="Normal24"/>
              <w:jc w:val="center"/>
              <w:rPr>
                <w:b/>
                <w:noProof/>
                <w:color w:val="000000"/>
                <w:sz w:val="22"/>
                <w:szCs w:val="22"/>
              </w:rPr>
            </w:pPr>
            <w:r>
              <w:rPr>
                <w:b/>
                <w:noProof/>
                <w:color w:val="000000"/>
                <w:sz w:val="22"/>
                <w:szCs w:val="22"/>
              </w:rPr>
              <w:t>Carrying amount</w:t>
            </w:r>
          </w:p>
        </w:tc>
        <w:tc>
          <w:tcPr>
            <w:tcW w:w="271" w:type="dxa"/>
            <w:tcBorders>
              <w:top w:val="nil"/>
              <w:left w:val="nil"/>
              <w:bottom w:val="nil"/>
              <w:right w:val="nil"/>
              <w:tl2br w:val="nil"/>
              <w:tr2bl w:val="nil"/>
            </w:tcBorders>
            <w:shd w:val="clear" w:color="auto" w:fill="auto"/>
            <w:tcMar>
              <w:left w:w="0" w:type="dxa"/>
              <w:right w:w="0" w:type="dxa"/>
            </w:tcMar>
            <w:vAlign w:val="center"/>
          </w:tcPr>
          <w:p>
            <w:pPr>
              <w:pStyle w:val="Normal24"/>
              <w:jc w:val="center"/>
              <w:rPr>
                <w:b/>
                <w:noProof/>
                <w:color w:val="000000"/>
                <w:sz w:val="22"/>
                <w:szCs w:val="22"/>
              </w:rPr>
            </w:pPr>
          </w:p>
        </w:tc>
        <w:tc>
          <w:tcPr>
            <w:tcW w:w="5100" w:type="dxa"/>
            <w:gridSpan w:val="4"/>
            <w:tcBorders>
              <w:top w:val="single" w:sz="8" w:space="0" w:color="000000"/>
              <w:left w:val="nil"/>
              <w:bottom w:val="nil"/>
              <w:right w:val="nil"/>
              <w:tl2br w:val="nil"/>
              <w:tr2bl w:val="nil"/>
            </w:tcBorders>
            <w:shd w:val="clear" w:color="auto" w:fill="auto"/>
            <w:tcMar>
              <w:left w:w="40" w:type="dxa"/>
              <w:right w:w="40" w:type="dxa"/>
            </w:tcMar>
            <w:vAlign w:val="center"/>
          </w:tcPr>
          <w:p>
            <w:pPr>
              <w:pStyle w:val="Normal24"/>
              <w:jc w:val="center"/>
              <w:rPr>
                <w:b/>
                <w:noProof/>
                <w:color w:val="000000"/>
                <w:sz w:val="22"/>
                <w:szCs w:val="22"/>
              </w:rPr>
            </w:pPr>
            <w:r>
              <w:rPr>
                <w:b/>
                <w:noProof/>
                <w:color w:val="000000"/>
                <w:sz w:val="22"/>
                <w:szCs w:val="22"/>
              </w:rPr>
              <w:t>Fair value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2"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pStyle w:val="Normal24"/>
              <w:rPr>
                <w:b/>
                <w:noProof/>
                <w:color w:val="000000"/>
                <w:sz w:val="22"/>
                <w:szCs w:val="22"/>
              </w:rPr>
            </w:pPr>
            <w:r>
              <w:rPr>
                <w:b/>
                <w:noProof/>
                <w:color w:val="000000"/>
                <w:sz w:val="22"/>
                <w:szCs w:val="22"/>
              </w:rPr>
              <w:t>in EUR</w:t>
            </w:r>
          </w:p>
        </w:tc>
        <w:tc>
          <w:tcPr>
            <w:tcW w:w="6819" w:type="dxa"/>
            <w:gridSpan w:val="4"/>
            <w:vMerge/>
            <w:tcBorders>
              <w:top w:val="nil"/>
              <w:left w:val="nil"/>
              <w:bottom w:val="single" w:sz="8" w:space="0" w:color="000000"/>
              <w:right w:val="nil"/>
              <w:tl2br w:val="nil"/>
              <w:tr2bl w:val="nil"/>
            </w:tcBorders>
            <w:shd w:val="clear" w:color="auto" w:fill="auto"/>
            <w:tcMar>
              <w:left w:w="0" w:type="dxa"/>
              <w:right w:w="0" w:type="dxa"/>
            </w:tcMar>
            <w:vAlign w:val="center"/>
          </w:tcPr>
          <w:p>
            <w:pPr>
              <w:pStyle w:val="Normal24"/>
              <w:jc w:val="center"/>
              <w:rPr>
                <w:b/>
                <w:noProof/>
                <w:color w:val="000000"/>
                <w:sz w:val="22"/>
                <w:szCs w:val="22"/>
              </w:rPr>
            </w:pPr>
          </w:p>
        </w:tc>
        <w:tc>
          <w:tcPr>
            <w:tcW w:w="271" w:type="dxa"/>
            <w:tcBorders>
              <w:top w:val="nil"/>
              <w:left w:val="nil"/>
              <w:bottom w:val="nil"/>
              <w:right w:val="nil"/>
              <w:tl2br w:val="nil"/>
              <w:tr2bl w:val="nil"/>
            </w:tcBorders>
            <w:shd w:val="clear" w:color="auto" w:fill="auto"/>
            <w:tcMar>
              <w:left w:w="0" w:type="dxa"/>
              <w:right w:w="0" w:type="dxa"/>
            </w:tcMar>
            <w:vAlign w:val="center"/>
          </w:tcPr>
          <w:p>
            <w:pPr>
              <w:pStyle w:val="Normal24"/>
              <w:jc w:val="center"/>
              <w:rPr>
                <w:b/>
                <w:noProof/>
                <w:color w:val="000000"/>
                <w:sz w:val="22"/>
                <w:szCs w:val="22"/>
              </w:rPr>
            </w:pPr>
          </w:p>
        </w:tc>
        <w:tc>
          <w:tcPr>
            <w:tcW w:w="5100" w:type="dxa"/>
            <w:gridSpan w:val="4"/>
            <w:tcBorders>
              <w:top w:val="nil"/>
              <w:left w:val="nil"/>
              <w:bottom w:val="single" w:sz="8" w:space="0" w:color="000000"/>
              <w:right w:val="nil"/>
              <w:tl2br w:val="nil"/>
              <w:tr2bl w:val="nil"/>
            </w:tcBorders>
            <w:shd w:val="clear" w:color="auto" w:fill="auto"/>
            <w:tcMar>
              <w:left w:w="0" w:type="dxa"/>
              <w:right w:w="0" w:type="dxa"/>
            </w:tcMar>
            <w:vAlign w:val="center"/>
          </w:tcPr>
          <w:p>
            <w:pPr>
              <w:pStyle w:val="Normal24"/>
              <w:jc w:val="center"/>
              <w:rPr>
                <w:b/>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592" w:type="dxa"/>
            <w:tcBorders>
              <w:top w:val="single" w:sz="8" w:space="0" w:color="000000"/>
              <w:left w:val="nil"/>
              <w:bottom w:val="single" w:sz="8" w:space="0" w:color="000000"/>
              <w:right w:val="nil"/>
              <w:tl2br w:val="nil"/>
              <w:tr2bl w:val="nil"/>
            </w:tcBorders>
            <w:shd w:val="clear" w:color="auto" w:fill="auto"/>
            <w:noWrap/>
            <w:tcMar>
              <w:left w:w="0" w:type="dxa"/>
              <w:right w:w="0" w:type="dxa"/>
            </w:tcMar>
            <w:vAlign w:val="center"/>
          </w:tcPr>
          <w:p>
            <w:pPr>
              <w:pStyle w:val="Normal24"/>
              <w:rPr>
                <w:b/>
                <w:noProof/>
                <w:color w:val="000000"/>
                <w:sz w:val="22"/>
                <w:szCs w:val="22"/>
              </w:rPr>
            </w:pPr>
          </w:p>
        </w:tc>
        <w:tc>
          <w:tcPr>
            <w:tcW w:w="1843"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pStyle w:val="Normal24"/>
              <w:jc w:val="right"/>
              <w:rPr>
                <w:b/>
                <w:noProof/>
                <w:color w:val="000000"/>
                <w:sz w:val="22"/>
                <w:szCs w:val="22"/>
              </w:rPr>
            </w:pPr>
            <w:r>
              <w:rPr>
                <w:b/>
                <w:noProof/>
                <w:color w:val="000000"/>
                <w:sz w:val="22"/>
                <w:szCs w:val="22"/>
              </w:rPr>
              <w:t>Available for Sale</w:t>
            </w:r>
          </w:p>
        </w:tc>
        <w:tc>
          <w:tcPr>
            <w:tcW w:w="1701"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pStyle w:val="Normal24"/>
              <w:jc w:val="right"/>
              <w:rPr>
                <w:b/>
                <w:noProof/>
                <w:color w:val="000000"/>
                <w:sz w:val="22"/>
                <w:szCs w:val="22"/>
              </w:rPr>
            </w:pPr>
            <w:r>
              <w:rPr>
                <w:b/>
                <w:noProof/>
                <w:color w:val="000000"/>
                <w:sz w:val="22"/>
                <w:szCs w:val="22"/>
              </w:rPr>
              <w:t>Cash, loans and receivables</w:t>
            </w:r>
          </w:p>
        </w:tc>
        <w:tc>
          <w:tcPr>
            <w:tcW w:w="1559"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pStyle w:val="Normal24"/>
              <w:jc w:val="right"/>
              <w:rPr>
                <w:b/>
                <w:noProof/>
                <w:color w:val="000000"/>
                <w:sz w:val="22"/>
                <w:szCs w:val="22"/>
              </w:rPr>
            </w:pPr>
            <w:r>
              <w:rPr>
                <w:b/>
                <w:noProof/>
                <w:color w:val="000000"/>
                <w:sz w:val="22"/>
                <w:szCs w:val="22"/>
              </w:rPr>
              <w:t>Other financial liabilities</w:t>
            </w:r>
          </w:p>
        </w:tc>
        <w:tc>
          <w:tcPr>
            <w:tcW w:w="1716"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pStyle w:val="Normal24"/>
              <w:jc w:val="right"/>
              <w:rPr>
                <w:b/>
                <w:noProof/>
                <w:color w:val="000000"/>
                <w:sz w:val="22"/>
                <w:szCs w:val="22"/>
              </w:rPr>
            </w:pPr>
            <w:r>
              <w:rPr>
                <w:b/>
                <w:noProof/>
                <w:color w:val="000000"/>
                <w:sz w:val="22"/>
                <w:szCs w:val="22"/>
              </w:rPr>
              <w:t>Total</w:t>
            </w:r>
          </w:p>
        </w:tc>
        <w:tc>
          <w:tcPr>
            <w:tcW w:w="271" w:type="dxa"/>
            <w:tcBorders>
              <w:top w:val="nil"/>
              <w:left w:val="nil"/>
              <w:bottom w:val="nil"/>
              <w:right w:val="nil"/>
              <w:tl2br w:val="nil"/>
              <w:tr2bl w:val="nil"/>
            </w:tcBorders>
            <w:shd w:val="clear" w:color="auto" w:fill="auto"/>
            <w:tcMar>
              <w:left w:w="0" w:type="dxa"/>
              <w:right w:w="0" w:type="dxa"/>
            </w:tcMar>
            <w:vAlign w:val="center"/>
          </w:tcPr>
          <w:p>
            <w:pPr>
              <w:pStyle w:val="Normal24"/>
              <w:jc w:val="center"/>
              <w:rPr>
                <w:b/>
                <w:noProof/>
                <w:color w:val="000000"/>
                <w:sz w:val="22"/>
                <w:szCs w:val="22"/>
              </w:rPr>
            </w:pPr>
          </w:p>
        </w:tc>
        <w:tc>
          <w:tcPr>
            <w:tcW w:w="1771"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pStyle w:val="Normal24"/>
              <w:jc w:val="center"/>
              <w:rPr>
                <w:b/>
                <w:noProof/>
                <w:color w:val="000000"/>
                <w:sz w:val="22"/>
                <w:szCs w:val="22"/>
              </w:rPr>
            </w:pPr>
            <w:r>
              <w:rPr>
                <w:b/>
                <w:noProof/>
                <w:color w:val="000000"/>
                <w:sz w:val="22"/>
                <w:szCs w:val="22"/>
              </w:rPr>
              <w:t>Level 1</w:t>
            </w:r>
          </w:p>
        </w:tc>
        <w:tc>
          <w:tcPr>
            <w:tcW w:w="78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pStyle w:val="Normal24"/>
              <w:jc w:val="center"/>
              <w:rPr>
                <w:b/>
                <w:noProof/>
                <w:color w:val="000000"/>
                <w:sz w:val="22"/>
                <w:szCs w:val="22"/>
              </w:rPr>
            </w:pPr>
            <w:r>
              <w:rPr>
                <w:b/>
                <w:noProof/>
                <w:color w:val="000000"/>
                <w:sz w:val="22"/>
                <w:szCs w:val="22"/>
              </w:rPr>
              <w:t>Level 2</w:t>
            </w:r>
          </w:p>
        </w:tc>
        <w:tc>
          <w:tcPr>
            <w:tcW w:w="8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pStyle w:val="Normal24"/>
              <w:jc w:val="right"/>
              <w:rPr>
                <w:b/>
                <w:noProof/>
                <w:color w:val="000000"/>
                <w:sz w:val="22"/>
                <w:szCs w:val="22"/>
              </w:rPr>
            </w:pPr>
            <w:r>
              <w:rPr>
                <w:b/>
                <w:noProof/>
                <w:color w:val="000000"/>
                <w:sz w:val="22"/>
                <w:szCs w:val="22"/>
              </w:rPr>
              <w:t>Level 3</w:t>
            </w:r>
          </w:p>
        </w:tc>
        <w:tc>
          <w:tcPr>
            <w:tcW w:w="1699"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pStyle w:val="Normal24"/>
              <w:jc w:val="right"/>
              <w:rPr>
                <w:b/>
                <w:noProof/>
                <w:color w:val="000000"/>
                <w:sz w:val="22"/>
                <w:szCs w:val="22"/>
              </w:rPr>
            </w:pPr>
            <w:r>
              <w:rPr>
                <w:b/>
                <w:noProof/>
                <w:color w:val="000000"/>
                <w:sz w:val="22"/>
                <w:szCs w:val="22"/>
              </w:rPr>
              <w:t>Total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2"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pStyle w:val="Normal24"/>
              <w:rPr>
                <w:b/>
                <w:noProof/>
                <w:color w:val="000000"/>
                <w:sz w:val="22"/>
                <w:szCs w:val="22"/>
              </w:rPr>
            </w:pPr>
            <w:r>
              <w:rPr>
                <w:b/>
                <w:noProof/>
                <w:color w:val="000000"/>
                <w:sz w:val="22"/>
                <w:szCs w:val="22"/>
              </w:rPr>
              <w:t>Financial assets carried at fair value:</w:t>
            </w:r>
          </w:p>
        </w:tc>
        <w:tc>
          <w:tcPr>
            <w:tcW w:w="1843"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70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559"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716"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2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77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780"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850"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699"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2"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pStyle w:val="Normal24"/>
              <w:rPr>
                <w:noProof/>
                <w:color w:val="000000"/>
                <w:sz w:val="22"/>
                <w:szCs w:val="22"/>
              </w:rPr>
            </w:pPr>
            <w:r>
              <w:rPr>
                <w:noProof/>
                <w:color w:val="000000"/>
                <w:sz w:val="22"/>
                <w:szCs w:val="22"/>
              </w:rPr>
              <w:t>Bond portfolio</w:t>
            </w:r>
          </w:p>
        </w:tc>
        <w:tc>
          <w:tcPr>
            <w:tcW w:w="1843" w:type="dxa"/>
            <w:tcBorders>
              <w:top w:val="nil"/>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noProof/>
                <w:color w:val="000000"/>
                <w:sz w:val="22"/>
                <w:szCs w:val="22"/>
              </w:rPr>
            </w:pPr>
            <w:r>
              <w:rPr>
                <w:noProof/>
                <w:color w:val="000000"/>
                <w:sz w:val="22"/>
                <w:szCs w:val="22"/>
              </w:rPr>
              <w:t>2,465,100,760.23</w:t>
            </w:r>
          </w:p>
        </w:tc>
        <w:tc>
          <w:tcPr>
            <w:tcW w:w="1701" w:type="dxa"/>
            <w:tcBorders>
              <w:top w:val="nil"/>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noProof/>
                <w:color w:val="000000"/>
                <w:sz w:val="22"/>
                <w:szCs w:val="22"/>
              </w:rPr>
            </w:pPr>
            <w:r>
              <w:rPr>
                <w:noProof/>
                <w:color w:val="000000"/>
                <w:sz w:val="22"/>
                <w:szCs w:val="22"/>
              </w:rPr>
              <w:t>0.00</w:t>
            </w:r>
          </w:p>
        </w:tc>
        <w:tc>
          <w:tcPr>
            <w:tcW w:w="1559" w:type="dxa"/>
            <w:tcBorders>
              <w:top w:val="nil"/>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noProof/>
                <w:color w:val="000000"/>
                <w:sz w:val="22"/>
                <w:szCs w:val="22"/>
              </w:rPr>
            </w:pPr>
            <w:r>
              <w:rPr>
                <w:noProof/>
                <w:color w:val="000000"/>
                <w:sz w:val="22"/>
                <w:szCs w:val="22"/>
              </w:rPr>
              <w:t>0.00</w:t>
            </w:r>
          </w:p>
        </w:tc>
        <w:tc>
          <w:tcPr>
            <w:tcW w:w="1716" w:type="dxa"/>
            <w:tcBorders>
              <w:top w:val="nil"/>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2,465,100,760.23</w:t>
            </w:r>
          </w:p>
        </w:tc>
        <w:tc>
          <w:tcPr>
            <w:tcW w:w="2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771" w:type="dxa"/>
            <w:tcBorders>
              <w:top w:val="nil"/>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noProof/>
                <w:color w:val="000000"/>
                <w:sz w:val="22"/>
                <w:szCs w:val="22"/>
              </w:rPr>
            </w:pPr>
            <w:r>
              <w:rPr>
                <w:noProof/>
                <w:color w:val="000000"/>
                <w:sz w:val="22"/>
                <w:szCs w:val="22"/>
              </w:rPr>
              <w:t>2,465,100,760.23</w:t>
            </w:r>
          </w:p>
        </w:tc>
        <w:tc>
          <w:tcPr>
            <w:tcW w:w="780" w:type="dxa"/>
            <w:tcBorders>
              <w:top w:val="nil"/>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noProof/>
                <w:color w:val="000000"/>
                <w:sz w:val="22"/>
                <w:szCs w:val="22"/>
              </w:rPr>
            </w:pPr>
            <w:r>
              <w:rPr>
                <w:noProof/>
                <w:color w:val="000000"/>
                <w:sz w:val="22"/>
                <w:szCs w:val="22"/>
              </w:rPr>
              <w:t>0.00</w:t>
            </w:r>
          </w:p>
        </w:tc>
        <w:tc>
          <w:tcPr>
            <w:tcW w:w="850" w:type="dxa"/>
            <w:tcBorders>
              <w:top w:val="nil"/>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noProof/>
                <w:color w:val="000000"/>
                <w:sz w:val="22"/>
                <w:szCs w:val="22"/>
              </w:rPr>
            </w:pPr>
            <w:r>
              <w:rPr>
                <w:noProof/>
                <w:color w:val="000000"/>
                <w:sz w:val="22"/>
                <w:szCs w:val="22"/>
              </w:rPr>
              <w:t>0.00</w:t>
            </w:r>
          </w:p>
        </w:tc>
        <w:tc>
          <w:tcPr>
            <w:tcW w:w="1699" w:type="dxa"/>
            <w:tcBorders>
              <w:top w:val="nil"/>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2,465,100,760.23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2"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pStyle w:val="Normal24"/>
              <w:rPr>
                <w:b/>
                <w:noProof/>
                <w:color w:val="000000"/>
                <w:sz w:val="22"/>
                <w:szCs w:val="22"/>
              </w:rPr>
            </w:pPr>
            <w:r>
              <w:rPr>
                <w:b/>
                <w:noProof/>
                <w:color w:val="000000"/>
                <w:sz w:val="22"/>
                <w:szCs w:val="22"/>
              </w:rPr>
              <w:t xml:space="preserve">Total </w:t>
            </w:r>
          </w:p>
        </w:tc>
        <w:tc>
          <w:tcPr>
            <w:tcW w:w="1843" w:type="dxa"/>
            <w:tcBorders>
              <w:top w:val="single" w:sz="8" w:space="0" w:color="000000"/>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2,465,100,760.23</w:t>
            </w:r>
          </w:p>
        </w:tc>
        <w:tc>
          <w:tcPr>
            <w:tcW w:w="1701" w:type="dxa"/>
            <w:tcBorders>
              <w:top w:val="single" w:sz="8" w:space="0" w:color="000000"/>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0.00</w:t>
            </w:r>
          </w:p>
        </w:tc>
        <w:tc>
          <w:tcPr>
            <w:tcW w:w="1559" w:type="dxa"/>
            <w:tcBorders>
              <w:top w:val="single" w:sz="8" w:space="0" w:color="000000"/>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0.00</w:t>
            </w:r>
          </w:p>
        </w:tc>
        <w:tc>
          <w:tcPr>
            <w:tcW w:w="1716" w:type="dxa"/>
            <w:tcBorders>
              <w:top w:val="single" w:sz="8" w:space="0" w:color="000000"/>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2,465,100,760.23</w:t>
            </w:r>
          </w:p>
        </w:tc>
        <w:tc>
          <w:tcPr>
            <w:tcW w:w="2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1771" w:type="dxa"/>
            <w:tcBorders>
              <w:top w:val="single" w:sz="8" w:space="0" w:color="000000"/>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2,465,100,760.23</w:t>
            </w:r>
          </w:p>
        </w:tc>
        <w:tc>
          <w:tcPr>
            <w:tcW w:w="780" w:type="dxa"/>
            <w:tcBorders>
              <w:top w:val="single" w:sz="8" w:space="0" w:color="000000"/>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0.00</w:t>
            </w:r>
          </w:p>
        </w:tc>
        <w:tc>
          <w:tcPr>
            <w:tcW w:w="850" w:type="dxa"/>
            <w:tcBorders>
              <w:top w:val="single" w:sz="8" w:space="0" w:color="000000"/>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0.00</w:t>
            </w:r>
          </w:p>
        </w:tc>
        <w:tc>
          <w:tcPr>
            <w:tcW w:w="1699" w:type="dxa"/>
            <w:tcBorders>
              <w:top w:val="single" w:sz="8" w:space="0" w:color="000000"/>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2,465,100,760.23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2"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pStyle w:val="Normal24"/>
              <w:rPr>
                <w:b/>
                <w:noProof/>
                <w:color w:val="000000"/>
                <w:sz w:val="22"/>
                <w:szCs w:val="22"/>
              </w:rPr>
            </w:pPr>
            <w:r>
              <w:rPr>
                <w:b/>
                <w:noProof/>
                <w:color w:val="000000"/>
                <w:sz w:val="22"/>
                <w:szCs w:val="22"/>
              </w:rPr>
              <w:t>Financial assets not carried at fair value:</w:t>
            </w:r>
          </w:p>
        </w:tc>
        <w:tc>
          <w:tcPr>
            <w:tcW w:w="1843"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70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559"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716"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2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77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780"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850"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699"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2" w:type="dxa"/>
            <w:tcBorders>
              <w:top w:val="nil"/>
              <w:left w:val="nil"/>
              <w:bottom w:val="nil"/>
              <w:right w:val="nil"/>
              <w:tl2br w:val="nil"/>
              <w:tr2bl w:val="nil"/>
            </w:tcBorders>
            <w:shd w:val="clear" w:color="auto" w:fill="auto"/>
            <w:noWrap/>
            <w:tcMar>
              <w:left w:w="40" w:type="dxa"/>
              <w:right w:w="40" w:type="dxa"/>
            </w:tcMar>
            <w:vAlign w:val="center"/>
          </w:tcPr>
          <w:p>
            <w:pPr>
              <w:pStyle w:val="Normal24"/>
              <w:rPr>
                <w:noProof/>
                <w:color w:val="000000"/>
                <w:sz w:val="22"/>
                <w:szCs w:val="22"/>
              </w:rPr>
            </w:pPr>
            <w:r>
              <w:rPr>
                <w:noProof/>
                <w:color w:val="000000"/>
                <w:sz w:val="22"/>
                <w:szCs w:val="22"/>
              </w:rPr>
              <w:t>Contributions receivable</w:t>
            </w:r>
          </w:p>
        </w:tc>
        <w:tc>
          <w:tcPr>
            <w:tcW w:w="1843" w:type="dxa"/>
            <w:tcBorders>
              <w:top w:val="nil"/>
              <w:left w:val="nil"/>
              <w:bottom w:val="nil"/>
              <w:right w:val="nil"/>
              <w:tl2br w:val="nil"/>
              <w:tr2bl w:val="nil"/>
            </w:tcBorders>
            <w:shd w:val="clear" w:color="auto" w:fill="auto"/>
            <w:tcMar>
              <w:left w:w="40" w:type="dxa"/>
              <w:right w:w="85" w:type="dxa"/>
            </w:tcMar>
            <w:vAlign w:val="center"/>
          </w:tcPr>
          <w:p>
            <w:pPr>
              <w:pStyle w:val="Normal24"/>
              <w:jc w:val="right"/>
              <w:rPr>
                <w:noProof/>
                <w:color w:val="000000"/>
                <w:sz w:val="22"/>
                <w:szCs w:val="22"/>
              </w:rPr>
            </w:pPr>
            <w:r>
              <w:rPr>
                <w:noProof/>
                <w:color w:val="000000"/>
                <w:sz w:val="22"/>
                <w:szCs w:val="22"/>
              </w:rPr>
              <w:t>0.00</w:t>
            </w:r>
          </w:p>
        </w:tc>
        <w:tc>
          <w:tcPr>
            <w:tcW w:w="1701" w:type="dxa"/>
            <w:tcBorders>
              <w:top w:val="nil"/>
              <w:left w:val="nil"/>
              <w:bottom w:val="nil"/>
              <w:right w:val="nil"/>
              <w:tl2br w:val="nil"/>
              <w:tr2bl w:val="nil"/>
            </w:tcBorders>
            <w:shd w:val="clear" w:color="auto" w:fill="auto"/>
            <w:tcMar>
              <w:left w:w="40" w:type="dxa"/>
              <w:right w:w="85" w:type="dxa"/>
            </w:tcMar>
            <w:vAlign w:val="center"/>
          </w:tcPr>
          <w:p>
            <w:pPr>
              <w:pStyle w:val="Normal24"/>
              <w:jc w:val="right"/>
              <w:rPr>
                <w:noProof/>
                <w:color w:val="000000"/>
                <w:sz w:val="22"/>
                <w:szCs w:val="22"/>
              </w:rPr>
            </w:pPr>
            <w:r>
              <w:rPr>
                <w:noProof/>
                <w:color w:val="000000"/>
                <w:sz w:val="22"/>
                <w:szCs w:val="22"/>
              </w:rPr>
              <w:t>103,222,935.00</w:t>
            </w:r>
          </w:p>
        </w:tc>
        <w:tc>
          <w:tcPr>
            <w:tcW w:w="1559" w:type="dxa"/>
            <w:tcBorders>
              <w:top w:val="nil"/>
              <w:left w:val="nil"/>
              <w:bottom w:val="nil"/>
              <w:right w:val="nil"/>
              <w:tl2br w:val="nil"/>
              <w:tr2bl w:val="nil"/>
            </w:tcBorders>
            <w:shd w:val="clear" w:color="auto" w:fill="auto"/>
            <w:tcMar>
              <w:left w:w="40" w:type="dxa"/>
              <w:right w:w="85" w:type="dxa"/>
            </w:tcMar>
            <w:vAlign w:val="center"/>
          </w:tcPr>
          <w:p>
            <w:pPr>
              <w:pStyle w:val="Normal24"/>
              <w:jc w:val="right"/>
              <w:rPr>
                <w:noProof/>
                <w:color w:val="000000"/>
                <w:sz w:val="22"/>
                <w:szCs w:val="22"/>
              </w:rPr>
            </w:pPr>
            <w:r>
              <w:rPr>
                <w:noProof/>
                <w:color w:val="000000"/>
                <w:sz w:val="22"/>
                <w:szCs w:val="22"/>
              </w:rPr>
              <w:t>0.00</w:t>
            </w:r>
          </w:p>
        </w:tc>
        <w:tc>
          <w:tcPr>
            <w:tcW w:w="1716" w:type="dxa"/>
            <w:tcBorders>
              <w:top w:val="nil"/>
              <w:left w:val="nil"/>
              <w:bottom w:val="nil"/>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103,222,935.00</w:t>
            </w:r>
          </w:p>
        </w:tc>
        <w:tc>
          <w:tcPr>
            <w:tcW w:w="2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7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78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699"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2" w:type="dxa"/>
            <w:tcBorders>
              <w:top w:val="nil"/>
              <w:left w:val="nil"/>
              <w:bottom w:val="nil"/>
              <w:right w:val="nil"/>
              <w:tl2br w:val="nil"/>
              <w:tr2bl w:val="nil"/>
            </w:tcBorders>
            <w:shd w:val="clear" w:color="auto" w:fill="auto"/>
            <w:noWrap/>
            <w:tcMar>
              <w:left w:w="40" w:type="dxa"/>
              <w:right w:w="40" w:type="dxa"/>
            </w:tcMar>
            <w:vAlign w:val="center"/>
          </w:tcPr>
          <w:p>
            <w:pPr>
              <w:pStyle w:val="Normal24"/>
              <w:rPr>
                <w:noProof/>
                <w:color w:val="000000"/>
                <w:sz w:val="22"/>
                <w:szCs w:val="22"/>
              </w:rPr>
            </w:pPr>
            <w:r>
              <w:rPr>
                <w:noProof/>
                <w:color w:val="000000"/>
                <w:sz w:val="22"/>
                <w:szCs w:val="22"/>
              </w:rPr>
              <w:t>Current accounts</w:t>
            </w:r>
          </w:p>
        </w:tc>
        <w:tc>
          <w:tcPr>
            <w:tcW w:w="1843" w:type="dxa"/>
            <w:tcBorders>
              <w:top w:val="nil"/>
              <w:left w:val="nil"/>
              <w:bottom w:val="nil"/>
              <w:right w:val="nil"/>
              <w:tl2br w:val="nil"/>
              <w:tr2bl w:val="nil"/>
            </w:tcBorders>
            <w:shd w:val="clear" w:color="auto" w:fill="auto"/>
            <w:tcMar>
              <w:left w:w="40" w:type="dxa"/>
              <w:right w:w="85" w:type="dxa"/>
            </w:tcMar>
            <w:vAlign w:val="center"/>
          </w:tcPr>
          <w:p>
            <w:pPr>
              <w:pStyle w:val="Normal24"/>
              <w:jc w:val="right"/>
              <w:rPr>
                <w:noProof/>
                <w:color w:val="000000"/>
                <w:sz w:val="22"/>
                <w:szCs w:val="22"/>
              </w:rPr>
            </w:pPr>
            <w:r>
              <w:rPr>
                <w:noProof/>
                <w:color w:val="000000"/>
                <w:sz w:val="22"/>
                <w:szCs w:val="22"/>
              </w:rPr>
              <w:t>0.00</w:t>
            </w:r>
          </w:p>
        </w:tc>
        <w:tc>
          <w:tcPr>
            <w:tcW w:w="1701" w:type="dxa"/>
            <w:tcBorders>
              <w:top w:val="nil"/>
              <w:left w:val="nil"/>
              <w:bottom w:val="nil"/>
              <w:right w:val="nil"/>
              <w:tl2br w:val="nil"/>
              <w:tr2bl w:val="nil"/>
            </w:tcBorders>
            <w:shd w:val="clear" w:color="auto" w:fill="auto"/>
            <w:tcMar>
              <w:left w:w="40" w:type="dxa"/>
              <w:right w:w="85" w:type="dxa"/>
            </w:tcMar>
            <w:vAlign w:val="center"/>
          </w:tcPr>
          <w:p>
            <w:pPr>
              <w:pStyle w:val="Normal24"/>
              <w:jc w:val="right"/>
              <w:rPr>
                <w:noProof/>
                <w:color w:val="000000"/>
                <w:sz w:val="22"/>
                <w:szCs w:val="22"/>
              </w:rPr>
            </w:pPr>
            <w:r>
              <w:rPr>
                <w:noProof/>
                <w:color w:val="000000"/>
                <w:sz w:val="22"/>
                <w:szCs w:val="22"/>
              </w:rPr>
              <w:t>27,567,035.62</w:t>
            </w:r>
          </w:p>
        </w:tc>
        <w:tc>
          <w:tcPr>
            <w:tcW w:w="1559" w:type="dxa"/>
            <w:tcBorders>
              <w:top w:val="nil"/>
              <w:left w:val="nil"/>
              <w:bottom w:val="nil"/>
              <w:right w:val="nil"/>
              <w:tl2br w:val="nil"/>
              <w:tr2bl w:val="nil"/>
            </w:tcBorders>
            <w:shd w:val="clear" w:color="auto" w:fill="auto"/>
            <w:tcMar>
              <w:left w:w="40" w:type="dxa"/>
              <w:right w:w="85" w:type="dxa"/>
            </w:tcMar>
            <w:vAlign w:val="center"/>
          </w:tcPr>
          <w:p>
            <w:pPr>
              <w:pStyle w:val="Normal24"/>
              <w:jc w:val="right"/>
              <w:rPr>
                <w:noProof/>
                <w:color w:val="000000"/>
                <w:sz w:val="22"/>
                <w:szCs w:val="22"/>
              </w:rPr>
            </w:pPr>
            <w:r>
              <w:rPr>
                <w:noProof/>
                <w:color w:val="000000"/>
                <w:sz w:val="22"/>
                <w:szCs w:val="22"/>
              </w:rPr>
              <w:t>0.00</w:t>
            </w:r>
          </w:p>
        </w:tc>
        <w:tc>
          <w:tcPr>
            <w:tcW w:w="1716" w:type="dxa"/>
            <w:tcBorders>
              <w:top w:val="nil"/>
              <w:left w:val="nil"/>
              <w:bottom w:val="nil"/>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27,567,035.62</w:t>
            </w:r>
          </w:p>
        </w:tc>
        <w:tc>
          <w:tcPr>
            <w:tcW w:w="2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7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78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699"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2"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pStyle w:val="Normal24"/>
              <w:rPr>
                <w:noProof/>
                <w:color w:val="000000"/>
                <w:sz w:val="22"/>
                <w:szCs w:val="22"/>
              </w:rPr>
            </w:pPr>
            <w:r>
              <w:rPr>
                <w:noProof/>
                <w:color w:val="000000"/>
                <w:sz w:val="22"/>
                <w:szCs w:val="22"/>
              </w:rPr>
              <w:t>Short-term deposits</w:t>
            </w:r>
          </w:p>
        </w:tc>
        <w:tc>
          <w:tcPr>
            <w:tcW w:w="1843" w:type="dxa"/>
            <w:tcBorders>
              <w:top w:val="nil"/>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noProof/>
                <w:color w:val="000000"/>
                <w:sz w:val="22"/>
                <w:szCs w:val="22"/>
              </w:rPr>
            </w:pPr>
            <w:r>
              <w:rPr>
                <w:noProof/>
                <w:color w:val="000000"/>
                <w:sz w:val="22"/>
                <w:szCs w:val="22"/>
              </w:rPr>
              <w:t>0.00</w:t>
            </w:r>
          </w:p>
        </w:tc>
        <w:tc>
          <w:tcPr>
            <w:tcW w:w="1701" w:type="dxa"/>
            <w:tcBorders>
              <w:top w:val="nil"/>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noProof/>
                <w:color w:val="000000"/>
                <w:sz w:val="22"/>
                <w:szCs w:val="22"/>
              </w:rPr>
            </w:pPr>
            <w:r>
              <w:rPr>
                <w:noProof/>
                <w:color w:val="000000"/>
                <w:sz w:val="22"/>
                <w:szCs w:val="22"/>
              </w:rPr>
              <w:t>13,991,016.66</w:t>
            </w:r>
          </w:p>
        </w:tc>
        <w:tc>
          <w:tcPr>
            <w:tcW w:w="1559" w:type="dxa"/>
            <w:tcBorders>
              <w:top w:val="nil"/>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noProof/>
                <w:color w:val="000000"/>
                <w:sz w:val="22"/>
                <w:szCs w:val="22"/>
              </w:rPr>
            </w:pPr>
            <w:r>
              <w:rPr>
                <w:noProof/>
                <w:color w:val="000000"/>
                <w:sz w:val="22"/>
                <w:szCs w:val="22"/>
              </w:rPr>
              <w:t>0.00</w:t>
            </w:r>
          </w:p>
        </w:tc>
        <w:tc>
          <w:tcPr>
            <w:tcW w:w="1716" w:type="dxa"/>
            <w:tcBorders>
              <w:top w:val="nil"/>
              <w:left w:val="nil"/>
              <w:bottom w:val="single" w:sz="8" w:space="0" w:color="000000"/>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13,991,016.66</w:t>
            </w:r>
          </w:p>
        </w:tc>
        <w:tc>
          <w:tcPr>
            <w:tcW w:w="2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7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78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699"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2" w:type="dxa"/>
            <w:tcBorders>
              <w:top w:val="single" w:sz="8" w:space="0" w:color="000000"/>
              <w:left w:val="nil"/>
              <w:bottom w:val="single" w:sz="4" w:space="0" w:color="000000"/>
              <w:right w:val="nil"/>
              <w:tl2br w:val="nil"/>
              <w:tr2bl w:val="nil"/>
            </w:tcBorders>
            <w:shd w:val="clear" w:color="auto" w:fill="auto"/>
            <w:noWrap/>
            <w:tcMar>
              <w:left w:w="40" w:type="dxa"/>
              <w:right w:w="40" w:type="dxa"/>
            </w:tcMar>
            <w:vAlign w:val="center"/>
          </w:tcPr>
          <w:p>
            <w:pPr>
              <w:pStyle w:val="Normal24"/>
              <w:rPr>
                <w:b/>
                <w:noProof/>
                <w:color w:val="000000"/>
                <w:sz w:val="22"/>
                <w:szCs w:val="22"/>
              </w:rPr>
            </w:pPr>
            <w:r>
              <w:rPr>
                <w:b/>
                <w:noProof/>
                <w:color w:val="000000"/>
                <w:sz w:val="22"/>
                <w:szCs w:val="22"/>
              </w:rPr>
              <w:t xml:space="preserve">Total </w:t>
            </w:r>
          </w:p>
        </w:tc>
        <w:tc>
          <w:tcPr>
            <w:tcW w:w="1843" w:type="dxa"/>
            <w:tcBorders>
              <w:top w:val="single" w:sz="8" w:space="0" w:color="000000"/>
              <w:left w:val="nil"/>
              <w:bottom w:val="single" w:sz="4" w:space="0" w:color="000000"/>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0.00</w:t>
            </w:r>
          </w:p>
        </w:tc>
        <w:tc>
          <w:tcPr>
            <w:tcW w:w="1701" w:type="dxa"/>
            <w:tcBorders>
              <w:top w:val="single" w:sz="8" w:space="0" w:color="000000"/>
              <w:left w:val="nil"/>
              <w:bottom w:val="single" w:sz="4" w:space="0" w:color="000000"/>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144,780,987.28</w:t>
            </w:r>
          </w:p>
        </w:tc>
        <w:tc>
          <w:tcPr>
            <w:tcW w:w="1559" w:type="dxa"/>
            <w:tcBorders>
              <w:top w:val="single" w:sz="8" w:space="0" w:color="000000"/>
              <w:left w:val="nil"/>
              <w:bottom w:val="single" w:sz="4" w:space="0" w:color="000000"/>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0.00</w:t>
            </w:r>
          </w:p>
        </w:tc>
        <w:tc>
          <w:tcPr>
            <w:tcW w:w="1716" w:type="dxa"/>
            <w:tcBorders>
              <w:top w:val="single" w:sz="8" w:space="0" w:color="000000"/>
              <w:left w:val="nil"/>
              <w:bottom w:val="single" w:sz="4" w:space="0" w:color="000000"/>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144,780,987.28</w:t>
            </w:r>
          </w:p>
        </w:tc>
        <w:tc>
          <w:tcPr>
            <w:tcW w:w="2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17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78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1699"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2"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pStyle w:val="Normal24"/>
              <w:rPr>
                <w:b/>
                <w:noProof/>
                <w:color w:val="000000"/>
                <w:sz w:val="22"/>
                <w:szCs w:val="22"/>
              </w:rPr>
            </w:pPr>
            <w:r>
              <w:rPr>
                <w:b/>
                <w:noProof/>
                <w:color w:val="000000"/>
                <w:sz w:val="22"/>
                <w:szCs w:val="22"/>
              </w:rPr>
              <w:t>Total financial assets</w:t>
            </w:r>
          </w:p>
        </w:tc>
        <w:tc>
          <w:tcPr>
            <w:tcW w:w="1843"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pStyle w:val="Normal24"/>
              <w:jc w:val="right"/>
              <w:rPr>
                <w:b/>
                <w:noProof/>
                <w:color w:val="000000"/>
                <w:sz w:val="22"/>
                <w:szCs w:val="22"/>
              </w:rPr>
            </w:pPr>
            <w:r>
              <w:rPr>
                <w:b/>
                <w:noProof/>
                <w:color w:val="000000"/>
                <w:sz w:val="22"/>
                <w:szCs w:val="22"/>
              </w:rPr>
              <w:t>2,465,100,760.23</w:t>
            </w:r>
          </w:p>
        </w:tc>
        <w:tc>
          <w:tcPr>
            <w:tcW w:w="1701"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pStyle w:val="Normal24"/>
              <w:jc w:val="right"/>
              <w:rPr>
                <w:b/>
                <w:noProof/>
                <w:color w:val="000000"/>
                <w:sz w:val="22"/>
                <w:szCs w:val="22"/>
              </w:rPr>
            </w:pPr>
            <w:r>
              <w:rPr>
                <w:b/>
                <w:noProof/>
                <w:color w:val="000000"/>
                <w:sz w:val="22"/>
                <w:szCs w:val="22"/>
              </w:rPr>
              <w:t>144,780,987.28</w:t>
            </w:r>
          </w:p>
        </w:tc>
        <w:tc>
          <w:tcPr>
            <w:tcW w:w="1559"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pStyle w:val="Normal24"/>
              <w:jc w:val="right"/>
              <w:rPr>
                <w:b/>
                <w:noProof/>
                <w:color w:val="000000"/>
                <w:sz w:val="22"/>
                <w:szCs w:val="22"/>
              </w:rPr>
            </w:pPr>
            <w:r>
              <w:rPr>
                <w:b/>
                <w:noProof/>
                <w:color w:val="000000"/>
                <w:sz w:val="22"/>
                <w:szCs w:val="22"/>
              </w:rPr>
              <w:t>0.00</w:t>
            </w:r>
          </w:p>
        </w:tc>
        <w:tc>
          <w:tcPr>
            <w:tcW w:w="1716"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pStyle w:val="Normal24"/>
              <w:jc w:val="right"/>
              <w:rPr>
                <w:b/>
                <w:noProof/>
                <w:color w:val="000000"/>
                <w:sz w:val="22"/>
                <w:szCs w:val="22"/>
              </w:rPr>
            </w:pPr>
            <w:r>
              <w:rPr>
                <w:b/>
                <w:noProof/>
                <w:color w:val="000000"/>
                <w:sz w:val="22"/>
                <w:szCs w:val="22"/>
              </w:rPr>
              <w:t>2,609,881,747.51</w:t>
            </w:r>
          </w:p>
        </w:tc>
        <w:tc>
          <w:tcPr>
            <w:tcW w:w="2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17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78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1699"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2" w:type="dxa"/>
            <w:tcBorders>
              <w:top w:val="single" w:sz="4" w:space="0" w:color="000000"/>
              <w:left w:val="nil"/>
              <w:bottom w:val="single" w:sz="8" w:space="0" w:color="000000"/>
              <w:right w:val="nil"/>
              <w:tl2br w:val="nil"/>
              <w:tr2bl w:val="nil"/>
            </w:tcBorders>
            <w:shd w:val="clear" w:color="auto" w:fill="auto"/>
            <w:noWrap/>
            <w:tcMar>
              <w:left w:w="0" w:type="dxa"/>
              <w:right w:w="0" w:type="dxa"/>
            </w:tcMar>
            <w:vAlign w:val="center"/>
          </w:tcPr>
          <w:p>
            <w:pPr>
              <w:pStyle w:val="Normal24"/>
              <w:rPr>
                <w:noProof/>
                <w:color w:val="000000"/>
                <w:sz w:val="22"/>
                <w:szCs w:val="22"/>
              </w:rPr>
            </w:pPr>
          </w:p>
        </w:tc>
        <w:tc>
          <w:tcPr>
            <w:tcW w:w="1843" w:type="dxa"/>
            <w:tcBorders>
              <w:top w:val="single" w:sz="4" w:space="0" w:color="000000"/>
              <w:left w:val="nil"/>
              <w:bottom w:val="single" w:sz="8" w:space="0" w:color="000000"/>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701" w:type="dxa"/>
            <w:tcBorders>
              <w:top w:val="single" w:sz="4" w:space="0" w:color="000000"/>
              <w:left w:val="nil"/>
              <w:bottom w:val="single" w:sz="8" w:space="0" w:color="000000"/>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559" w:type="dxa"/>
            <w:tcBorders>
              <w:top w:val="single" w:sz="4" w:space="0" w:color="000000"/>
              <w:left w:val="nil"/>
              <w:bottom w:val="single" w:sz="8" w:space="0" w:color="000000"/>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716" w:type="dxa"/>
            <w:tcBorders>
              <w:top w:val="single" w:sz="4" w:space="0" w:color="000000"/>
              <w:left w:val="nil"/>
              <w:bottom w:val="single" w:sz="8" w:space="0" w:color="000000"/>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2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7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78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699"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2"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pStyle w:val="Normal24"/>
              <w:rPr>
                <w:b/>
                <w:noProof/>
                <w:color w:val="000000"/>
                <w:sz w:val="22"/>
                <w:szCs w:val="22"/>
              </w:rPr>
            </w:pPr>
            <w:r>
              <w:rPr>
                <w:b/>
                <w:noProof/>
                <w:color w:val="000000"/>
                <w:sz w:val="22"/>
                <w:szCs w:val="22"/>
              </w:rPr>
              <w:t>Financial liabilities not carried at fair value:</w:t>
            </w:r>
          </w:p>
        </w:tc>
        <w:tc>
          <w:tcPr>
            <w:tcW w:w="1843"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70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559"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716"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2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7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78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699"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2" w:type="dxa"/>
            <w:tcBorders>
              <w:top w:val="nil"/>
              <w:left w:val="nil"/>
              <w:bottom w:val="nil"/>
              <w:right w:val="nil"/>
              <w:tl2br w:val="nil"/>
              <w:tr2bl w:val="nil"/>
            </w:tcBorders>
            <w:shd w:val="clear" w:color="auto" w:fill="auto"/>
            <w:noWrap/>
            <w:tcMar>
              <w:left w:w="40" w:type="dxa"/>
              <w:right w:w="40" w:type="dxa"/>
            </w:tcMar>
            <w:vAlign w:val="center"/>
          </w:tcPr>
          <w:p>
            <w:pPr>
              <w:pStyle w:val="Normal24"/>
              <w:rPr>
                <w:noProof/>
                <w:color w:val="000000"/>
                <w:sz w:val="22"/>
                <w:szCs w:val="22"/>
              </w:rPr>
            </w:pPr>
            <w:r>
              <w:rPr>
                <w:noProof/>
                <w:color w:val="000000"/>
                <w:sz w:val="22"/>
                <w:szCs w:val="22"/>
              </w:rPr>
              <w:t>Other payables</w:t>
            </w:r>
          </w:p>
        </w:tc>
        <w:tc>
          <w:tcPr>
            <w:tcW w:w="1843" w:type="dxa"/>
            <w:tcBorders>
              <w:top w:val="nil"/>
              <w:left w:val="nil"/>
              <w:bottom w:val="nil"/>
              <w:right w:val="nil"/>
              <w:tl2br w:val="nil"/>
              <w:tr2bl w:val="nil"/>
            </w:tcBorders>
            <w:shd w:val="clear" w:color="auto" w:fill="auto"/>
            <w:tcMar>
              <w:left w:w="40" w:type="dxa"/>
              <w:right w:w="85" w:type="dxa"/>
            </w:tcMar>
            <w:vAlign w:val="center"/>
          </w:tcPr>
          <w:p>
            <w:pPr>
              <w:pStyle w:val="Normal24"/>
              <w:jc w:val="right"/>
              <w:rPr>
                <w:noProof/>
                <w:color w:val="000000"/>
                <w:sz w:val="22"/>
                <w:szCs w:val="22"/>
              </w:rPr>
            </w:pPr>
            <w:r>
              <w:rPr>
                <w:noProof/>
                <w:color w:val="000000"/>
                <w:sz w:val="22"/>
                <w:szCs w:val="22"/>
              </w:rPr>
              <w:t>0.00</w:t>
            </w:r>
          </w:p>
        </w:tc>
        <w:tc>
          <w:tcPr>
            <w:tcW w:w="1701" w:type="dxa"/>
            <w:tcBorders>
              <w:top w:val="nil"/>
              <w:left w:val="nil"/>
              <w:bottom w:val="nil"/>
              <w:right w:val="nil"/>
              <w:tl2br w:val="nil"/>
              <w:tr2bl w:val="nil"/>
            </w:tcBorders>
            <w:shd w:val="clear" w:color="auto" w:fill="auto"/>
            <w:tcMar>
              <w:left w:w="40" w:type="dxa"/>
              <w:right w:w="85" w:type="dxa"/>
            </w:tcMar>
            <w:vAlign w:val="center"/>
          </w:tcPr>
          <w:p>
            <w:pPr>
              <w:pStyle w:val="Normal24"/>
              <w:jc w:val="right"/>
              <w:rPr>
                <w:noProof/>
                <w:color w:val="000000"/>
                <w:sz w:val="22"/>
                <w:szCs w:val="22"/>
              </w:rPr>
            </w:pPr>
            <w:r>
              <w:rPr>
                <w:noProof/>
                <w:color w:val="000000"/>
                <w:sz w:val="22"/>
                <w:szCs w:val="22"/>
              </w:rPr>
              <w:t>0.00</w:t>
            </w:r>
          </w:p>
        </w:tc>
        <w:tc>
          <w:tcPr>
            <w:tcW w:w="1559" w:type="dxa"/>
            <w:tcBorders>
              <w:top w:val="nil"/>
              <w:left w:val="nil"/>
              <w:bottom w:val="nil"/>
              <w:right w:val="nil"/>
              <w:tl2br w:val="nil"/>
              <w:tr2bl w:val="nil"/>
            </w:tcBorders>
            <w:shd w:val="clear" w:color="auto" w:fill="auto"/>
            <w:tcMar>
              <w:left w:w="40" w:type="dxa"/>
              <w:right w:w="85" w:type="dxa"/>
            </w:tcMar>
            <w:vAlign w:val="center"/>
          </w:tcPr>
          <w:p>
            <w:pPr>
              <w:pStyle w:val="Normal24"/>
              <w:jc w:val="right"/>
              <w:rPr>
                <w:noProof/>
                <w:color w:val="000000"/>
                <w:sz w:val="22"/>
                <w:szCs w:val="22"/>
              </w:rPr>
            </w:pPr>
            <w:r>
              <w:rPr>
                <w:noProof/>
                <w:color w:val="000000"/>
                <w:sz w:val="22"/>
                <w:szCs w:val="22"/>
              </w:rPr>
              <w:t>-1,013,339.26</w:t>
            </w:r>
          </w:p>
        </w:tc>
        <w:tc>
          <w:tcPr>
            <w:tcW w:w="1716" w:type="dxa"/>
            <w:tcBorders>
              <w:top w:val="nil"/>
              <w:left w:val="nil"/>
              <w:bottom w:val="nil"/>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-1,013,339.26</w:t>
            </w:r>
          </w:p>
        </w:tc>
        <w:tc>
          <w:tcPr>
            <w:tcW w:w="2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7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78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c>
          <w:tcPr>
            <w:tcW w:w="1699"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2"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pStyle w:val="Normal24"/>
              <w:rPr>
                <w:b/>
                <w:noProof/>
                <w:color w:val="000000"/>
                <w:sz w:val="22"/>
                <w:szCs w:val="22"/>
              </w:rPr>
            </w:pPr>
            <w:r>
              <w:rPr>
                <w:b/>
                <w:noProof/>
                <w:color w:val="000000"/>
                <w:sz w:val="22"/>
                <w:szCs w:val="22"/>
              </w:rPr>
              <w:t xml:space="preserve">Total </w:t>
            </w:r>
          </w:p>
        </w:tc>
        <w:tc>
          <w:tcPr>
            <w:tcW w:w="1843" w:type="dxa"/>
            <w:tcBorders>
              <w:top w:val="single" w:sz="4" w:space="0" w:color="000000"/>
              <w:left w:val="nil"/>
              <w:bottom w:val="single" w:sz="4" w:space="0" w:color="000000"/>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0.00</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0.00</w:t>
            </w:r>
          </w:p>
        </w:tc>
        <w:tc>
          <w:tcPr>
            <w:tcW w:w="1559" w:type="dxa"/>
            <w:tcBorders>
              <w:top w:val="single" w:sz="4" w:space="0" w:color="000000"/>
              <w:left w:val="nil"/>
              <w:bottom w:val="single" w:sz="4" w:space="0" w:color="000000"/>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-1,013,339.26</w:t>
            </w:r>
          </w:p>
        </w:tc>
        <w:tc>
          <w:tcPr>
            <w:tcW w:w="1716" w:type="dxa"/>
            <w:tcBorders>
              <w:top w:val="single" w:sz="4" w:space="0" w:color="000000"/>
              <w:left w:val="nil"/>
              <w:bottom w:val="single" w:sz="4" w:space="0" w:color="000000"/>
              <w:right w:val="nil"/>
              <w:tl2br w:val="nil"/>
              <w:tr2bl w:val="nil"/>
            </w:tcBorders>
            <w:shd w:val="clear" w:color="auto" w:fill="auto"/>
            <w:tcMar>
              <w:left w:w="40" w:type="dxa"/>
              <w:right w:w="85" w:type="dxa"/>
            </w:tcMar>
            <w:vAlign w:val="center"/>
          </w:tcPr>
          <w:p>
            <w:pPr>
              <w:pStyle w:val="Normal24"/>
              <w:jc w:val="right"/>
              <w:rPr>
                <w:b/>
                <w:noProof/>
                <w:color w:val="000000"/>
                <w:sz w:val="22"/>
                <w:szCs w:val="22"/>
              </w:rPr>
            </w:pPr>
            <w:r>
              <w:rPr>
                <w:b/>
                <w:noProof/>
                <w:color w:val="000000"/>
                <w:sz w:val="22"/>
                <w:szCs w:val="22"/>
              </w:rPr>
              <w:t>-1,013,339.26</w:t>
            </w:r>
          </w:p>
        </w:tc>
        <w:tc>
          <w:tcPr>
            <w:tcW w:w="2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17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78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1699"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592"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pStyle w:val="Normal24"/>
              <w:rPr>
                <w:b/>
                <w:noProof/>
                <w:color w:val="000000"/>
                <w:sz w:val="22"/>
                <w:szCs w:val="22"/>
              </w:rPr>
            </w:pPr>
            <w:r>
              <w:rPr>
                <w:b/>
                <w:noProof/>
                <w:color w:val="000000"/>
                <w:sz w:val="22"/>
                <w:szCs w:val="22"/>
              </w:rPr>
              <w:t>Total financial liabilities</w:t>
            </w:r>
          </w:p>
        </w:tc>
        <w:tc>
          <w:tcPr>
            <w:tcW w:w="1843"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pStyle w:val="Normal24"/>
              <w:jc w:val="right"/>
              <w:rPr>
                <w:b/>
                <w:noProof/>
                <w:color w:val="000000"/>
                <w:sz w:val="22"/>
                <w:szCs w:val="22"/>
              </w:rPr>
            </w:pPr>
            <w:r>
              <w:rPr>
                <w:b/>
                <w:noProof/>
                <w:color w:val="000000"/>
                <w:sz w:val="22"/>
                <w:szCs w:val="22"/>
              </w:rPr>
              <w:t>0.00</w:t>
            </w:r>
          </w:p>
        </w:tc>
        <w:tc>
          <w:tcPr>
            <w:tcW w:w="1701"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pStyle w:val="Normal24"/>
              <w:jc w:val="right"/>
              <w:rPr>
                <w:b/>
                <w:noProof/>
                <w:color w:val="000000"/>
                <w:sz w:val="22"/>
                <w:szCs w:val="22"/>
              </w:rPr>
            </w:pPr>
            <w:r>
              <w:rPr>
                <w:b/>
                <w:noProof/>
                <w:color w:val="000000"/>
                <w:sz w:val="22"/>
                <w:szCs w:val="22"/>
              </w:rPr>
              <w:t>0.00</w:t>
            </w:r>
          </w:p>
        </w:tc>
        <w:tc>
          <w:tcPr>
            <w:tcW w:w="1559"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pStyle w:val="Normal24"/>
              <w:jc w:val="right"/>
              <w:rPr>
                <w:b/>
                <w:noProof/>
                <w:color w:val="000000"/>
                <w:sz w:val="22"/>
                <w:szCs w:val="22"/>
              </w:rPr>
            </w:pPr>
            <w:r>
              <w:rPr>
                <w:b/>
                <w:noProof/>
                <w:color w:val="000000"/>
                <w:sz w:val="22"/>
                <w:szCs w:val="22"/>
              </w:rPr>
              <w:t>-1,013,339.26</w:t>
            </w:r>
          </w:p>
        </w:tc>
        <w:tc>
          <w:tcPr>
            <w:tcW w:w="1716" w:type="dxa"/>
            <w:tcBorders>
              <w:top w:val="single" w:sz="4" w:space="0" w:color="000000"/>
              <w:left w:val="nil"/>
              <w:bottom w:val="single" w:sz="4" w:space="0" w:color="000000"/>
              <w:right w:val="nil"/>
              <w:tl2br w:val="nil"/>
              <w:tr2bl w:val="nil"/>
            </w:tcBorders>
            <w:shd w:val="clear" w:color="FFFFFF" w:fill="C0C0C0"/>
            <w:tcMar>
              <w:left w:w="40" w:type="dxa"/>
              <w:right w:w="85" w:type="dxa"/>
            </w:tcMar>
            <w:vAlign w:val="center"/>
          </w:tcPr>
          <w:p>
            <w:pPr>
              <w:pStyle w:val="Normal24"/>
              <w:jc w:val="right"/>
              <w:rPr>
                <w:b/>
                <w:noProof/>
                <w:color w:val="000000"/>
                <w:sz w:val="22"/>
                <w:szCs w:val="22"/>
              </w:rPr>
            </w:pPr>
            <w:r>
              <w:rPr>
                <w:b/>
                <w:noProof/>
                <w:color w:val="000000"/>
                <w:sz w:val="22"/>
                <w:szCs w:val="22"/>
              </w:rPr>
              <w:t>-1,013,339.26</w:t>
            </w:r>
          </w:p>
        </w:tc>
        <w:tc>
          <w:tcPr>
            <w:tcW w:w="2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1771"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78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c>
          <w:tcPr>
            <w:tcW w:w="1699" w:type="dxa"/>
            <w:tcBorders>
              <w:top w:val="nil"/>
              <w:left w:val="nil"/>
              <w:bottom w:val="nil"/>
              <w:right w:val="nil"/>
              <w:tl2br w:val="nil"/>
              <w:tr2bl w:val="nil"/>
            </w:tcBorders>
            <w:shd w:val="clear" w:color="auto" w:fill="auto"/>
            <w:tcMar>
              <w:left w:w="0" w:type="dxa"/>
              <w:right w:w="0" w:type="dxa"/>
            </w:tcMar>
            <w:vAlign w:val="center"/>
          </w:tcPr>
          <w:p>
            <w:pPr>
              <w:pStyle w:val="Normal24"/>
              <w:jc w:val="right"/>
              <w:rPr>
                <w:b/>
                <w:noProof/>
                <w:color w:val="000000"/>
                <w:sz w:val="22"/>
                <w:szCs w:val="22"/>
              </w:rPr>
            </w:pPr>
          </w:p>
        </w:tc>
      </w:tr>
    </w:tbl>
    <w:p>
      <w:pPr>
        <w:rPr>
          <w:noProof/>
        </w:rPr>
      </w:pPr>
    </w:p>
    <w:tbl>
      <w:tblPr>
        <w:tblStyle w:val="CDMRange16"/>
        <w:tblW w:w="14782" w:type="dxa"/>
        <w:tblInd w:w="-232" w:type="dxa"/>
        <w:tblLayout w:type="fixed"/>
        <w:tblLook w:val="0600" w:firstRow="0" w:lastRow="0" w:firstColumn="0" w:lastColumn="0" w:noHBand="1" w:noVBand="1"/>
      </w:tblPr>
      <w:tblGrid>
        <w:gridCol w:w="3017"/>
        <w:gridCol w:w="1701"/>
        <w:gridCol w:w="1701"/>
        <w:gridCol w:w="1256"/>
        <w:gridCol w:w="1721"/>
        <w:gridCol w:w="283"/>
        <w:gridCol w:w="1701"/>
        <w:gridCol w:w="851"/>
        <w:gridCol w:w="850"/>
        <w:gridCol w:w="1701"/>
      </w:tblGrid>
      <w:tr>
        <w:trPr>
          <w:trHeight w:val="300"/>
        </w:trPr>
        <w:tc>
          <w:tcPr>
            <w:tcW w:w="3017" w:type="dxa"/>
            <w:tcBorders>
              <w:top w:val="nil"/>
              <w:left w:val="nil"/>
              <w:bottom w:val="nil"/>
              <w:right w:val="nil"/>
              <w:tl2br w:val="nil"/>
              <w:tr2bl w:val="nil"/>
            </w:tcBorders>
            <w:shd w:val="clear" w:color="auto" w:fill="auto"/>
            <w:noWrap/>
            <w:tcMar>
              <w:left w:w="40" w:type="dxa"/>
              <w:right w:w="40" w:type="dxa"/>
            </w:tcMar>
            <w:vAlign w:val="center"/>
          </w:tcPr>
          <w:p>
            <w:pPr>
              <w:pStyle w:val="Normal26"/>
              <w:rPr>
                <w:b/>
                <w:noProof/>
                <w:color w:val="000000"/>
                <w:sz w:val="22"/>
                <w:szCs w:val="22"/>
              </w:rPr>
            </w:pPr>
            <w:r>
              <w:rPr>
                <w:b/>
                <w:noProof/>
                <w:color w:val="000000"/>
                <w:sz w:val="22"/>
                <w:szCs w:val="22"/>
              </w:rPr>
              <w:t>At 31 December 2017</w:t>
            </w:r>
          </w:p>
        </w:tc>
        <w:tc>
          <w:tcPr>
            <w:tcW w:w="6379" w:type="dxa"/>
            <w:gridSpan w:val="4"/>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pStyle w:val="Normal26"/>
              <w:jc w:val="center"/>
              <w:rPr>
                <w:b/>
                <w:noProof/>
                <w:color w:val="000000"/>
                <w:sz w:val="22"/>
                <w:szCs w:val="22"/>
              </w:rPr>
            </w:pPr>
            <w:r>
              <w:rPr>
                <w:b/>
                <w:noProof/>
                <w:color w:val="000000"/>
                <w:sz w:val="22"/>
                <w:szCs w:val="22"/>
              </w:rPr>
              <w:t>Carrying amount</w:t>
            </w:r>
          </w:p>
        </w:tc>
        <w:tc>
          <w:tcPr>
            <w:tcW w:w="283" w:type="dxa"/>
            <w:tcBorders>
              <w:top w:val="nil"/>
              <w:left w:val="nil"/>
              <w:bottom w:val="nil"/>
              <w:right w:val="nil"/>
              <w:tl2br w:val="nil"/>
              <w:tr2bl w:val="nil"/>
            </w:tcBorders>
            <w:shd w:val="clear" w:color="auto" w:fill="auto"/>
            <w:tcMar>
              <w:left w:w="0" w:type="dxa"/>
              <w:right w:w="0" w:type="dxa"/>
            </w:tcMar>
            <w:vAlign w:val="center"/>
          </w:tcPr>
          <w:p>
            <w:pPr>
              <w:pStyle w:val="Normal26"/>
              <w:jc w:val="center"/>
              <w:rPr>
                <w:b/>
                <w:noProof/>
                <w:color w:val="000000"/>
                <w:sz w:val="22"/>
                <w:szCs w:val="22"/>
              </w:rPr>
            </w:pPr>
          </w:p>
        </w:tc>
        <w:tc>
          <w:tcPr>
            <w:tcW w:w="5103" w:type="dxa"/>
            <w:gridSpan w:val="4"/>
            <w:tcBorders>
              <w:top w:val="single" w:sz="8" w:space="0" w:color="000000"/>
              <w:left w:val="nil"/>
              <w:bottom w:val="nil"/>
              <w:right w:val="nil"/>
              <w:tl2br w:val="nil"/>
              <w:tr2bl w:val="nil"/>
            </w:tcBorders>
            <w:shd w:val="clear" w:color="auto" w:fill="auto"/>
            <w:tcMar>
              <w:left w:w="40" w:type="dxa"/>
              <w:right w:w="40" w:type="dxa"/>
            </w:tcMar>
            <w:vAlign w:val="center"/>
          </w:tcPr>
          <w:p>
            <w:pPr>
              <w:pStyle w:val="Normal26"/>
              <w:jc w:val="center"/>
              <w:rPr>
                <w:b/>
                <w:noProof/>
                <w:color w:val="000000"/>
                <w:sz w:val="22"/>
                <w:szCs w:val="22"/>
              </w:rPr>
            </w:pPr>
            <w:r>
              <w:rPr>
                <w:b/>
                <w:noProof/>
                <w:color w:val="000000"/>
                <w:sz w:val="22"/>
                <w:szCs w:val="22"/>
              </w:rPr>
              <w:t>Fair value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17"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pStyle w:val="Normal26"/>
              <w:rPr>
                <w:b/>
                <w:noProof/>
                <w:color w:val="000000"/>
                <w:sz w:val="22"/>
                <w:szCs w:val="22"/>
              </w:rPr>
            </w:pPr>
            <w:r>
              <w:rPr>
                <w:b/>
                <w:noProof/>
                <w:color w:val="000000"/>
                <w:sz w:val="22"/>
                <w:szCs w:val="22"/>
              </w:rPr>
              <w:t>in EUR</w:t>
            </w:r>
          </w:p>
        </w:tc>
        <w:tc>
          <w:tcPr>
            <w:tcW w:w="6379" w:type="dxa"/>
            <w:gridSpan w:val="4"/>
            <w:vMerge/>
            <w:tcBorders>
              <w:top w:val="nil"/>
              <w:left w:val="nil"/>
              <w:bottom w:val="single" w:sz="8" w:space="0" w:color="000000"/>
              <w:right w:val="nil"/>
              <w:tl2br w:val="nil"/>
              <w:tr2bl w:val="nil"/>
            </w:tcBorders>
            <w:shd w:val="clear" w:color="auto" w:fill="auto"/>
            <w:tcMar>
              <w:left w:w="0" w:type="dxa"/>
              <w:right w:w="0" w:type="dxa"/>
            </w:tcMar>
            <w:vAlign w:val="center"/>
          </w:tcPr>
          <w:p>
            <w:pPr>
              <w:pStyle w:val="Normal26"/>
              <w:jc w:val="center"/>
              <w:rPr>
                <w:b/>
                <w:noProof/>
                <w:color w:val="000000"/>
                <w:sz w:val="22"/>
                <w:szCs w:val="22"/>
              </w:rPr>
            </w:pPr>
          </w:p>
        </w:tc>
        <w:tc>
          <w:tcPr>
            <w:tcW w:w="283" w:type="dxa"/>
            <w:tcBorders>
              <w:top w:val="nil"/>
              <w:left w:val="nil"/>
              <w:bottom w:val="nil"/>
              <w:right w:val="nil"/>
              <w:tl2br w:val="nil"/>
              <w:tr2bl w:val="nil"/>
            </w:tcBorders>
            <w:shd w:val="clear" w:color="auto" w:fill="auto"/>
            <w:tcMar>
              <w:left w:w="0" w:type="dxa"/>
              <w:right w:w="0" w:type="dxa"/>
            </w:tcMar>
            <w:vAlign w:val="center"/>
          </w:tcPr>
          <w:p>
            <w:pPr>
              <w:pStyle w:val="Normal26"/>
              <w:jc w:val="center"/>
              <w:rPr>
                <w:b/>
                <w:noProof/>
                <w:color w:val="000000"/>
                <w:sz w:val="22"/>
                <w:szCs w:val="22"/>
              </w:rPr>
            </w:pPr>
          </w:p>
        </w:tc>
        <w:tc>
          <w:tcPr>
            <w:tcW w:w="5103" w:type="dxa"/>
            <w:gridSpan w:val="4"/>
            <w:tcBorders>
              <w:top w:val="nil"/>
              <w:left w:val="nil"/>
              <w:bottom w:val="single" w:sz="8" w:space="0" w:color="000000"/>
              <w:right w:val="nil"/>
              <w:tl2br w:val="nil"/>
              <w:tr2bl w:val="nil"/>
            </w:tcBorders>
            <w:shd w:val="clear" w:color="auto" w:fill="auto"/>
            <w:tcMar>
              <w:left w:w="0" w:type="dxa"/>
              <w:right w:w="0" w:type="dxa"/>
            </w:tcMar>
            <w:vAlign w:val="center"/>
          </w:tcPr>
          <w:p>
            <w:pPr>
              <w:pStyle w:val="Normal26"/>
              <w:jc w:val="center"/>
              <w:rPr>
                <w:b/>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017" w:type="dxa"/>
            <w:tcBorders>
              <w:top w:val="single" w:sz="8" w:space="0" w:color="000000"/>
              <w:left w:val="nil"/>
              <w:bottom w:val="single" w:sz="8" w:space="0" w:color="000000"/>
              <w:right w:val="nil"/>
              <w:tl2br w:val="nil"/>
              <w:tr2bl w:val="nil"/>
            </w:tcBorders>
            <w:shd w:val="clear" w:color="auto" w:fill="auto"/>
            <w:noWrap/>
            <w:tcMar>
              <w:left w:w="0" w:type="dxa"/>
              <w:right w:w="0" w:type="dxa"/>
            </w:tcMar>
            <w:vAlign w:val="center"/>
          </w:tcPr>
          <w:p>
            <w:pPr>
              <w:pStyle w:val="Normal26"/>
              <w:rPr>
                <w:b/>
                <w:noProof/>
                <w:color w:val="000000"/>
                <w:sz w:val="22"/>
                <w:szCs w:val="22"/>
              </w:rPr>
            </w:pPr>
          </w:p>
        </w:tc>
        <w:tc>
          <w:tcPr>
            <w:tcW w:w="1701"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pStyle w:val="Normal26"/>
              <w:jc w:val="right"/>
              <w:rPr>
                <w:b/>
                <w:noProof/>
                <w:color w:val="000000"/>
                <w:sz w:val="22"/>
                <w:szCs w:val="22"/>
              </w:rPr>
            </w:pPr>
            <w:r>
              <w:rPr>
                <w:b/>
                <w:noProof/>
                <w:color w:val="000000"/>
                <w:sz w:val="22"/>
                <w:szCs w:val="22"/>
              </w:rPr>
              <w:t>Available for Sale</w:t>
            </w:r>
          </w:p>
        </w:tc>
        <w:tc>
          <w:tcPr>
            <w:tcW w:w="1701"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pStyle w:val="Normal26"/>
              <w:jc w:val="right"/>
              <w:rPr>
                <w:b/>
                <w:noProof/>
                <w:color w:val="000000"/>
                <w:sz w:val="22"/>
                <w:szCs w:val="22"/>
              </w:rPr>
            </w:pPr>
            <w:r>
              <w:rPr>
                <w:b/>
                <w:noProof/>
                <w:color w:val="000000"/>
                <w:sz w:val="22"/>
                <w:szCs w:val="22"/>
              </w:rPr>
              <w:t>Cash, loans and receivables</w:t>
            </w:r>
          </w:p>
        </w:tc>
        <w:tc>
          <w:tcPr>
            <w:tcW w:w="1256"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pStyle w:val="Normal26"/>
              <w:jc w:val="right"/>
              <w:rPr>
                <w:b/>
                <w:noProof/>
                <w:color w:val="000000"/>
                <w:sz w:val="22"/>
                <w:szCs w:val="22"/>
              </w:rPr>
            </w:pPr>
            <w:r>
              <w:rPr>
                <w:b/>
                <w:noProof/>
                <w:color w:val="000000"/>
                <w:sz w:val="22"/>
                <w:szCs w:val="22"/>
              </w:rPr>
              <w:t>Other financial liabilities</w:t>
            </w:r>
          </w:p>
        </w:tc>
        <w:tc>
          <w:tcPr>
            <w:tcW w:w="1721"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pStyle w:val="Normal26"/>
              <w:jc w:val="right"/>
              <w:rPr>
                <w:b/>
                <w:noProof/>
                <w:color w:val="000000"/>
                <w:sz w:val="22"/>
                <w:szCs w:val="22"/>
              </w:rPr>
            </w:pPr>
            <w:r>
              <w:rPr>
                <w:b/>
                <w:noProof/>
                <w:color w:val="000000"/>
                <w:sz w:val="22"/>
                <w:szCs w:val="22"/>
              </w:rPr>
              <w:t>Total</w:t>
            </w:r>
          </w:p>
        </w:tc>
        <w:tc>
          <w:tcPr>
            <w:tcW w:w="283" w:type="dxa"/>
            <w:tcBorders>
              <w:top w:val="nil"/>
              <w:left w:val="nil"/>
              <w:bottom w:val="nil"/>
              <w:right w:val="nil"/>
              <w:tl2br w:val="nil"/>
              <w:tr2bl w:val="nil"/>
            </w:tcBorders>
            <w:shd w:val="clear" w:color="auto" w:fill="auto"/>
            <w:tcMar>
              <w:left w:w="0" w:type="dxa"/>
              <w:right w:w="0" w:type="dxa"/>
            </w:tcMar>
            <w:vAlign w:val="center"/>
          </w:tcPr>
          <w:p>
            <w:pPr>
              <w:pStyle w:val="Normal26"/>
              <w:jc w:val="center"/>
              <w:rPr>
                <w:b/>
                <w:noProof/>
                <w:color w:val="000000"/>
                <w:sz w:val="22"/>
                <w:szCs w:val="22"/>
              </w:rPr>
            </w:pPr>
          </w:p>
        </w:tc>
        <w:tc>
          <w:tcPr>
            <w:tcW w:w="1701"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pStyle w:val="Normal26"/>
              <w:jc w:val="right"/>
              <w:rPr>
                <w:b/>
                <w:noProof/>
                <w:color w:val="000000"/>
                <w:sz w:val="22"/>
                <w:szCs w:val="22"/>
              </w:rPr>
            </w:pPr>
            <w:r>
              <w:rPr>
                <w:b/>
                <w:noProof/>
                <w:color w:val="000000"/>
                <w:sz w:val="22"/>
                <w:szCs w:val="22"/>
              </w:rPr>
              <w:t>Level 1</w:t>
            </w:r>
          </w:p>
        </w:tc>
        <w:tc>
          <w:tcPr>
            <w:tcW w:w="851"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pStyle w:val="Normal26"/>
              <w:jc w:val="right"/>
              <w:rPr>
                <w:b/>
                <w:noProof/>
                <w:color w:val="000000"/>
                <w:sz w:val="22"/>
                <w:szCs w:val="22"/>
              </w:rPr>
            </w:pPr>
            <w:r>
              <w:rPr>
                <w:b/>
                <w:noProof/>
                <w:color w:val="000000"/>
                <w:sz w:val="22"/>
                <w:szCs w:val="22"/>
              </w:rPr>
              <w:t>Level 2</w:t>
            </w:r>
          </w:p>
        </w:tc>
        <w:tc>
          <w:tcPr>
            <w:tcW w:w="8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pStyle w:val="Normal26"/>
              <w:jc w:val="right"/>
              <w:rPr>
                <w:b/>
                <w:noProof/>
                <w:color w:val="000000"/>
                <w:sz w:val="22"/>
                <w:szCs w:val="22"/>
              </w:rPr>
            </w:pPr>
            <w:r>
              <w:rPr>
                <w:b/>
                <w:noProof/>
                <w:color w:val="000000"/>
                <w:sz w:val="22"/>
                <w:szCs w:val="22"/>
              </w:rPr>
              <w:t>Level 3</w:t>
            </w:r>
          </w:p>
        </w:tc>
        <w:tc>
          <w:tcPr>
            <w:tcW w:w="1701"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pStyle w:val="Normal26"/>
              <w:jc w:val="right"/>
              <w:rPr>
                <w:b/>
                <w:noProof/>
                <w:color w:val="000000"/>
                <w:sz w:val="22"/>
                <w:szCs w:val="22"/>
              </w:rPr>
            </w:pPr>
            <w:r>
              <w:rPr>
                <w:b/>
                <w:noProof/>
                <w:color w:val="000000"/>
                <w:sz w:val="22"/>
                <w:szCs w:val="22"/>
              </w:rPr>
              <w:t>Total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17"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pStyle w:val="Normal26"/>
              <w:rPr>
                <w:b/>
                <w:noProof/>
                <w:color w:val="000000"/>
                <w:sz w:val="22"/>
                <w:szCs w:val="22"/>
              </w:rPr>
            </w:pPr>
            <w:r>
              <w:rPr>
                <w:b/>
                <w:noProof/>
                <w:color w:val="000000"/>
                <w:sz w:val="22"/>
                <w:szCs w:val="22"/>
              </w:rPr>
              <w:t>Financial assets carried at fair value:</w:t>
            </w:r>
          </w:p>
        </w:tc>
        <w:tc>
          <w:tcPr>
            <w:tcW w:w="170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256"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2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283"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85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850"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17"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pStyle w:val="Normal26"/>
              <w:rPr>
                <w:noProof/>
                <w:color w:val="000000"/>
                <w:sz w:val="22"/>
                <w:szCs w:val="22"/>
              </w:rPr>
            </w:pPr>
            <w:r>
              <w:rPr>
                <w:noProof/>
                <w:color w:val="000000"/>
                <w:sz w:val="22"/>
                <w:szCs w:val="22"/>
              </w:rPr>
              <w:t>Bond portfolio</w:t>
            </w:r>
          </w:p>
        </w:tc>
        <w:tc>
          <w:tcPr>
            <w:tcW w:w="1701" w:type="dxa"/>
            <w:tcBorders>
              <w:top w:val="nil"/>
              <w:left w:val="nil"/>
              <w:bottom w:val="single" w:sz="8" w:space="0" w:color="000000"/>
              <w:right w:val="nil"/>
              <w:tl2br w:val="nil"/>
              <w:tr2bl w:val="nil"/>
            </w:tcBorders>
            <w:shd w:val="clear" w:color="auto" w:fill="auto"/>
            <w:tcMar>
              <w:left w:w="40" w:type="dxa"/>
              <w:right w:w="40" w:type="dxa"/>
            </w:tcMar>
            <w:vAlign w:val="center"/>
          </w:tcPr>
          <w:p>
            <w:pPr>
              <w:pStyle w:val="Normal26"/>
              <w:jc w:val="right"/>
              <w:rPr>
                <w:noProof/>
                <w:color w:val="000000"/>
                <w:sz w:val="22"/>
                <w:szCs w:val="22"/>
              </w:rPr>
            </w:pPr>
            <w:r>
              <w:rPr>
                <w:noProof/>
                <w:color w:val="000000"/>
                <w:sz w:val="22"/>
                <w:szCs w:val="22"/>
              </w:rPr>
              <w:t>2,198,742,276.84</w:t>
            </w:r>
          </w:p>
        </w:tc>
        <w:tc>
          <w:tcPr>
            <w:tcW w:w="1701" w:type="dxa"/>
            <w:tcBorders>
              <w:top w:val="nil"/>
              <w:left w:val="nil"/>
              <w:bottom w:val="single" w:sz="8" w:space="0" w:color="000000"/>
              <w:right w:val="nil"/>
              <w:tl2br w:val="nil"/>
              <w:tr2bl w:val="nil"/>
            </w:tcBorders>
            <w:shd w:val="clear" w:color="auto" w:fill="auto"/>
            <w:tcMar>
              <w:left w:w="40" w:type="dxa"/>
              <w:right w:w="40" w:type="dxa"/>
            </w:tcMar>
            <w:vAlign w:val="center"/>
          </w:tcPr>
          <w:p>
            <w:pPr>
              <w:pStyle w:val="Normal26"/>
              <w:jc w:val="right"/>
              <w:rPr>
                <w:noProof/>
                <w:color w:val="000000"/>
                <w:sz w:val="22"/>
                <w:szCs w:val="22"/>
              </w:rPr>
            </w:pPr>
            <w:r>
              <w:rPr>
                <w:noProof/>
                <w:color w:val="000000"/>
                <w:sz w:val="22"/>
                <w:szCs w:val="22"/>
              </w:rPr>
              <w:t>0.00</w:t>
            </w:r>
          </w:p>
        </w:tc>
        <w:tc>
          <w:tcPr>
            <w:tcW w:w="1256" w:type="dxa"/>
            <w:tcBorders>
              <w:top w:val="nil"/>
              <w:left w:val="nil"/>
              <w:bottom w:val="single" w:sz="8" w:space="0" w:color="000000"/>
              <w:right w:val="nil"/>
              <w:tl2br w:val="nil"/>
              <w:tr2bl w:val="nil"/>
            </w:tcBorders>
            <w:shd w:val="clear" w:color="auto" w:fill="auto"/>
            <w:tcMar>
              <w:left w:w="40" w:type="dxa"/>
              <w:right w:w="40" w:type="dxa"/>
            </w:tcMar>
            <w:vAlign w:val="center"/>
          </w:tcPr>
          <w:p>
            <w:pPr>
              <w:pStyle w:val="Normal26"/>
              <w:jc w:val="right"/>
              <w:rPr>
                <w:noProof/>
                <w:color w:val="000000"/>
                <w:sz w:val="22"/>
                <w:szCs w:val="22"/>
              </w:rPr>
            </w:pPr>
            <w:r>
              <w:rPr>
                <w:noProof/>
                <w:color w:val="000000"/>
                <w:sz w:val="22"/>
                <w:szCs w:val="22"/>
              </w:rPr>
              <w:t>0.00</w:t>
            </w:r>
          </w:p>
        </w:tc>
        <w:tc>
          <w:tcPr>
            <w:tcW w:w="1721" w:type="dxa"/>
            <w:tcBorders>
              <w:top w:val="nil"/>
              <w:left w:val="nil"/>
              <w:bottom w:val="single" w:sz="8" w:space="0" w:color="000000"/>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2,198,742,276.84</w:t>
            </w:r>
          </w:p>
        </w:tc>
        <w:tc>
          <w:tcPr>
            <w:tcW w:w="283"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nil"/>
              <w:left w:val="nil"/>
              <w:bottom w:val="single" w:sz="8" w:space="0" w:color="000000"/>
              <w:right w:val="nil"/>
              <w:tl2br w:val="nil"/>
              <w:tr2bl w:val="nil"/>
            </w:tcBorders>
            <w:shd w:val="clear" w:color="auto" w:fill="auto"/>
            <w:tcMar>
              <w:left w:w="40" w:type="dxa"/>
              <w:right w:w="40" w:type="dxa"/>
            </w:tcMar>
            <w:vAlign w:val="center"/>
          </w:tcPr>
          <w:p>
            <w:pPr>
              <w:pStyle w:val="Normal26"/>
              <w:jc w:val="right"/>
              <w:rPr>
                <w:noProof/>
                <w:color w:val="000000"/>
                <w:sz w:val="22"/>
                <w:szCs w:val="22"/>
              </w:rPr>
            </w:pPr>
            <w:r>
              <w:rPr>
                <w:noProof/>
                <w:color w:val="000000"/>
                <w:sz w:val="22"/>
                <w:szCs w:val="22"/>
              </w:rPr>
              <w:t>2,198,742,276.84</w:t>
            </w:r>
          </w:p>
        </w:tc>
        <w:tc>
          <w:tcPr>
            <w:tcW w:w="851" w:type="dxa"/>
            <w:tcBorders>
              <w:top w:val="nil"/>
              <w:left w:val="nil"/>
              <w:bottom w:val="single" w:sz="8" w:space="0" w:color="000000"/>
              <w:right w:val="nil"/>
              <w:tl2br w:val="nil"/>
              <w:tr2bl w:val="nil"/>
            </w:tcBorders>
            <w:shd w:val="clear" w:color="auto" w:fill="auto"/>
            <w:tcMar>
              <w:left w:w="40" w:type="dxa"/>
              <w:right w:w="40" w:type="dxa"/>
            </w:tcMar>
            <w:vAlign w:val="center"/>
          </w:tcPr>
          <w:p>
            <w:pPr>
              <w:pStyle w:val="Normal26"/>
              <w:jc w:val="right"/>
              <w:rPr>
                <w:noProof/>
                <w:color w:val="000000"/>
                <w:sz w:val="22"/>
                <w:szCs w:val="22"/>
              </w:rPr>
            </w:pPr>
            <w:r>
              <w:rPr>
                <w:noProof/>
                <w:color w:val="000000"/>
                <w:sz w:val="22"/>
                <w:szCs w:val="22"/>
              </w:rPr>
              <w:t>0.00</w:t>
            </w:r>
          </w:p>
        </w:tc>
        <w:tc>
          <w:tcPr>
            <w:tcW w:w="850" w:type="dxa"/>
            <w:tcBorders>
              <w:top w:val="nil"/>
              <w:left w:val="nil"/>
              <w:bottom w:val="single" w:sz="8" w:space="0" w:color="000000"/>
              <w:right w:val="nil"/>
              <w:tl2br w:val="nil"/>
              <w:tr2bl w:val="nil"/>
            </w:tcBorders>
            <w:shd w:val="clear" w:color="auto" w:fill="auto"/>
            <w:tcMar>
              <w:left w:w="40" w:type="dxa"/>
              <w:right w:w="40" w:type="dxa"/>
            </w:tcMar>
            <w:vAlign w:val="center"/>
          </w:tcPr>
          <w:p>
            <w:pPr>
              <w:pStyle w:val="Normal26"/>
              <w:jc w:val="right"/>
              <w:rPr>
                <w:noProof/>
                <w:color w:val="000000"/>
                <w:sz w:val="22"/>
                <w:szCs w:val="22"/>
              </w:rPr>
            </w:pPr>
            <w:r>
              <w:rPr>
                <w:noProof/>
                <w:color w:val="000000"/>
                <w:sz w:val="22"/>
                <w:szCs w:val="22"/>
              </w:rPr>
              <w:t>0.00</w:t>
            </w:r>
          </w:p>
        </w:tc>
        <w:tc>
          <w:tcPr>
            <w:tcW w:w="1701" w:type="dxa"/>
            <w:tcBorders>
              <w:top w:val="nil"/>
              <w:left w:val="nil"/>
              <w:bottom w:val="single" w:sz="8" w:space="0" w:color="000000"/>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2,198,742,276.84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17"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pStyle w:val="Normal26"/>
              <w:rPr>
                <w:b/>
                <w:noProof/>
                <w:color w:val="000000"/>
                <w:sz w:val="22"/>
                <w:szCs w:val="22"/>
              </w:rPr>
            </w:pPr>
            <w:r>
              <w:rPr>
                <w:b/>
                <w:noProof/>
                <w:color w:val="000000"/>
                <w:sz w:val="22"/>
                <w:szCs w:val="22"/>
              </w:rPr>
              <w:t xml:space="preserve">Total </w:t>
            </w:r>
          </w:p>
        </w:tc>
        <w:tc>
          <w:tcPr>
            <w:tcW w:w="1701"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2,198,742,276.84</w:t>
            </w:r>
          </w:p>
        </w:tc>
        <w:tc>
          <w:tcPr>
            <w:tcW w:w="1701"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0.00</w:t>
            </w:r>
          </w:p>
        </w:tc>
        <w:tc>
          <w:tcPr>
            <w:tcW w:w="1256"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0.00</w:t>
            </w:r>
          </w:p>
        </w:tc>
        <w:tc>
          <w:tcPr>
            <w:tcW w:w="1721"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2,198,742,276.84</w:t>
            </w:r>
          </w:p>
        </w:tc>
        <w:tc>
          <w:tcPr>
            <w:tcW w:w="283"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1701"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2,198,742,276.84</w:t>
            </w:r>
          </w:p>
        </w:tc>
        <w:tc>
          <w:tcPr>
            <w:tcW w:w="851"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0.00</w:t>
            </w:r>
          </w:p>
        </w:tc>
        <w:tc>
          <w:tcPr>
            <w:tcW w:w="8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0.00</w:t>
            </w:r>
          </w:p>
        </w:tc>
        <w:tc>
          <w:tcPr>
            <w:tcW w:w="1701"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2,198,742,276.84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17"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pStyle w:val="Normal26"/>
              <w:rPr>
                <w:b/>
                <w:noProof/>
                <w:color w:val="000000"/>
                <w:sz w:val="22"/>
                <w:szCs w:val="22"/>
              </w:rPr>
            </w:pPr>
            <w:r>
              <w:rPr>
                <w:b/>
                <w:noProof/>
                <w:color w:val="000000"/>
                <w:sz w:val="22"/>
                <w:szCs w:val="22"/>
              </w:rPr>
              <w:t>Financial assets not carried at fair value:</w:t>
            </w:r>
          </w:p>
        </w:tc>
        <w:tc>
          <w:tcPr>
            <w:tcW w:w="170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256"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2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283"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85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850"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17" w:type="dxa"/>
            <w:tcBorders>
              <w:top w:val="nil"/>
              <w:left w:val="nil"/>
              <w:bottom w:val="nil"/>
              <w:right w:val="nil"/>
              <w:tl2br w:val="nil"/>
              <w:tr2bl w:val="nil"/>
            </w:tcBorders>
            <w:shd w:val="clear" w:color="auto" w:fill="auto"/>
            <w:noWrap/>
            <w:tcMar>
              <w:left w:w="40" w:type="dxa"/>
              <w:right w:w="40" w:type="dxa"/>
            </w:tcMar>
            <w:vAlign w:val="center"/>
          </w:tcPr>
          <w:p>
            <w:pPr>
              <w:pStyle w:val="Normal26"/>
              <w:rPr>
                <w:noProof/>
                <w:color w:val="000000"/>
                <w:sz w:val="22"/>
                <w:szCs w:val="22"/>
              </w:rPr>
            </w:pPr>
            <w:r>
              <w:rPr>
                <w:noProof/>
                <w:color w:val="000000"/>
                <w:sz w:val="22"/>
                <w:szCs w:val="22"/>
              </w:rPr>
              <w:t>Contributions receivable</w:t>
            </w:r>
          </w:p>
        </w:tc>
        <w:tc>
          <w:tcPr>
            <w:tcW w:w="1701" w:type="dxa"/>
            <w:tcBorders>
              <w:top w:val="nil"/>
              <w:left w:val="nil"/>
              <w:bottom w:val="nil"/>
              <w:right w:val="nil"/>
              <w:tl2br w:val="nil"/>
              <w:tr2bl w:val="nil"/>
            </w:tcBorders>
            <w:shd w:val="clear" w:color="auto" w:fill="auto"/>
            <w:tcMar>
              <w:left w:w="40" w:type="dxa"/>
              <w:right w:w="40" w:type="dxa"/>
            </w:tcMar>
            <w:vAlign w:val="center"/>
          </w:tcPr>
          <w:p>
            <w:pPr>
              <w:pStyle w:val="Normal26"/>
              <w:jc w:val="right"/>
              <w:rPr>
                <w:noProof/>
                <w:color w:val="000000"/>
                <w:sz w:val="22"/>
                <w:szCs w:val="22"/>
              </w:rPr>
            </w:pPr>
            <w:r>
              <w:rPr>
                <w:noProof/>
                <w:color w:val="000000"/>
                <w:sz w:val="22"/>
                <w:szCs w:val="22"/>
              </w:rPr>
              <w:t>0.00</w:t>
            </w:r>
          </w:p>
        </w:tc>
        <w:tc>
          <w:tcPr>
            <w:tcW w:w="1701" w:type="dxa"/>
            <w:tcBorders>
              <w:top w:val="nil"/>
              <w:left w:val="nil"/>
              <w:bottom w:val="nil"/>
              <w:right w:val="nil"/>
              <w:tl2br w:val="nil"/>
              <w:tr2bl w:val="nil"/>
            </w:tcBorders>
            <w:shd w:val="clear" w:color="auto" w:fill="auto"/>
            <w:tcMar>
              <w:left w:w="40" w:type="dxa"/>
              <w:right w:w="40" w:type="dxa"/>
            </w:tcMar>
            <w:vAlign w:val="center"/>
          </w:tcPr>
          <w:p>
            <w:pPr>
              <w:pStyle w:val="Normal26"/>
              <w:jc w:val="right"/>
              <w:rPr>
                <w:noProof/>
                <w:color w:val="000000"/>
                <w:sz w:val="22"/>
                <w:szCs w:val="22"/>
              </w:rPr>
            </w:pPr>
            <w:r>
              <w:rPr>
                <w:noProof/>
                <w:color w:val="000000"/>
                <w:sz w:val="22"/>
                <w:szCs w:val="22"/>
              </w:rPr>
              <w:t>137,800,722.00</w:t>
            </w:r>
          </w:p>
        </w:tc>
        <w:tc>
          <w:tcPr>
            <w:tcW w:w="1256" w:type="dxa"/>
            <w:tcBorders>
              <w:top w:val="nil"/>
              <w:left w:val="nil"/>
              <w:bottom w:val="nil"/>
              <w:right w:val="nil"/>
              <w:tl2br w:val="nil"/>
              <w:tr2bl w:val="nil"/>
            </w:tcBorders>
            <w:shd w:val="clear" w:color="auto" w:fill="auto"/>
            <w:tcMar>
              <w:left w:w="40" w:type="dxa"/>
              <w:right w:w="40" w:type="dxa"/>
            </w:tcMar>
            <w:vAlign w:val="center"/>
          </w:tcPr>
          <w:p>
            <w:pPr>
              <w:pStyle w:val="Normal26"/>
              <w:jc w:val="right"/>
              <w:rPr>
                <w:noProof/>
                <w:color w:val="000000"/>
                <w:sz w:val="22"/>
                <w:szCs w:val="22"/>
              </w:rPr>
            </w:pPr>
            <w:r>
              <w:rPr>
                <w:noProof/>
                <w:color w:val="000000"/>
                <w:sz w:val="22"/>
                <w:szCs w:val="22"/>
              </w:rPr>
              <w:t>0.00</w:t>
            </w:r>
          </w:p>
        </w:tc>
        <w:tc>
          <w:tcPr>
            <w:tcW w:w="1721" w:type="dxa"/>
            <w:tcBorders>
              <w:top w:val="nil"/>
              <w:left w:val="nil"/>
              <w:bottom w:val="nil"/>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137,800,722.00</w:t>
            </w:r>
          </w:p>
        </w:tc>
        <w:tc>
          <w:tcPr>
            <w:tcW w:w="283"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85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17" w:type="dxa"/>
            <w:tcBorders>
              <w:top w:val="nil"/>
              <w:left w:val="nil"/>
              <w:bottom w:val="nil"/>
              <w:right w:val="nil"/>
              <w:tl2br w:val="nil"/>
              <w:tr2bl w:val="nil"/>
            </w:tcBorders>
            <w:shd w:val="clear" w:color="auto" w:fill="auto"/>
            <w:noWrap/>
            <w:tcMar>
              <w:left w:w="40" w:type="dxa"/>
              <w:right w:w="40" w:type="dxa"/>
            </w:tcMar>
            <w:vAlign w:val="center"/>
          </w:tcPr>
          <w:p>
            <w:pPr>
              <w:pStyle w:val="Normal26"/>
              <w:rPr>
                <w:noProof/>
                <w:color w:val="000000"/>
                <w:sz w:val="22"/>
                <w:szCs w:val="22"/>
              </w:rPr>
            </w:pPr>
            <w:r>
              <w:rPr>
                <w:noProof/>
                <w:color w:val="000000"/>
                <w:sz w:val="22"/>
                <w:szCs w:val="22"/>
              </w:rPr>
              <w:t>Current accounts</w:t>
            </w:r>
          </w:p>
        </w:tc>
        <w:tc>
          <w:tcPr>
            <w:tcW w:w="1701" w:type="dxa"/>
            <w:tcBorders>
              <w:top w:val="nil"/>
              <w:left w:val="nil"/>
              <w:bottom w:val="nil"/>
              <w:right w:val="nil"/>
              <w:tl2br w:val="nil"/>
              <w:tr2bl w:val="nil"/>
            </w:tcBorders>
            <w:shd w:val="clear" w:color="auto" w:fill="auto"/>
            <w:tcMar>
              <w:left w:w="40" w:type="dxa"/>
              <w:right w:w="40" w:type="dxa"/>
            </w:tcMar>
            <w:vAlign w:val="center"/>
          </w:tcPr>
          <w:p>
            <w:pPr>
              <w:pStyle w:val="Normal26"/>
              <w:jc w:val="right"/>
              <w:rPr>
                <w:noProof/>
                <w:color w:val="000000"/>
                <w:sz w:val="22"/>
                <w:szCs w:val="22"/>
              </w:rPr>
            </w:pPr>
            <w:r>
              <w:rPr>
                <w:noProof/>
                <w:color w:val="000000"/>
                <w:sz w:val="22"/>
                <w:szCs w:val="22"/>
              </w:rPr>
              <w:t>0.00</w:t>
            </w:r>
          </w:p>
        </w:tc>
        <w:tc>
          <w:tcPr>
            <w:tcW w:w="1701" w:type="dxa"/>
            <w:tcBorders>
              <w:top w:val="nil"/>
              <w:left w:val="nil"/>
              <w:bottom w:val="nil"/>
              <w:right w:val="nil"/>
              <w:tl2br w:val="nil"/>
              <w:tr2bl w:val="nil"/>
            </w:tcBorders>
            <w:shd w:val="clear" w:color="auto" w:fill="auto"/>
            <w:tcMar>
              <w:left w:w="40" w:type="dxa"/>
              <w:right w:w="40" w:type="dxa"/>
            </w:tcMar>
            <w:vAlign w:val="center"/>
          </w:tcPr>
          <w:p>
            <w:pPr>
              <w:pStyle w:val="Normal26"/>
              <w:jc w:val="right"/>
              <w:rPr>
                <w:noProof/>
                <w:color w:val="000000"/>
                <w:sz w:val="22"/>
                <w:szCs w:val="22"/>
              </w:rPr>
            </w:pPr>
            <w:r>
              <w:rPr>
                <w:noProof/>
                <w:color w:val="000000"/>
                <w:sz w:val="22"/>
                <w:szCs w:val="22"/>
              </w:rPr>
              <w:t>136,092.88</w:t>
            </w:r>
          </w:p>
        </w:tc>
        <w:tc>
          <w:tcPr>
            <w:tcW w:w="1256" w:type="dxa"/>
            <w:tcBorders>
              <w:top w:val="nil"/>
              <w:left w:val="nil"/>
              <w:bottom w:val="nil"/>
              <w:right w:val="nil"/>
              <w:tl2br w:val="nil"/>
              <w:tr2bl w:val="nil"/>
            </w:tcBorders>
            <w:shd w:val="clear" w:color="auto" w:fill="auto"/>
            <w:tcMar>
              <w:left w:w="40" w:type="dxa"/>
              <w:right w:w="40" w:type="dxa"/>
            </w:tcMar>
            <w:vAlign w:val="center"/>
          </w:tcPr>
          <w:p>
            <w:pPr>
              <w:pStyle w:val="Normal26"/>
              <w:jc w:val="right"/>
              <w:rPr>
                <w:noProof/>
                <w:color w:val="000000"/>
                <w:sz w:val="22"/>
                <w:szCs w:val="22"/>
              </w:rPr>
            </w:pPr>
            <w:r>
              <w:rPr>
                <w:noProof/>
                <w:color w:val="000000"/>
                <w:sz w:val="22"/>
                <w:szCs w:val="22"/>
              </w:rPr>
              <w:t>0.00</w:t>
            </w:r>
          </w:p>
        </w:tc>
        <w:tc>
          <w:tcPr>
            <w:tcW w:w="1721" w:type="dxa"/>
            <w:tcBorders>
              <w:top w:val="nil"/>
              <w:left w:val="nil"/>
              <w:bottom w:val="nil"/>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136,092.88</w:t>
            </w:r>
          </w:p>
        </w:tc>
        <w:tc>
          <w:tcPr>
            <w:tcW w:w="283"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85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17"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26"/>
              <w:rPr>
                <w:noProof/>
                <w:color w:val="000000"/>
                <w:sz w:val="22"/>
                <w:szCs w:val="22"/>
              </w:rPr>
            </w:pPr>
            <w:r>
              <w:rPr>
                <w:noProof/>
                <w:color w:val="000000"/>
                <w:sz w:val="22"/>
                <w:szCs w:val="22"/>
              </w:rPr>
              <w:t>Short-term deposits (including amounts under settlement)</w:t>
            </w:r>
          </w:p>
        </w:tc>
        <w:tc>
          <w:tcPr>
            <w:tcW w:w="1701"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6"/>
              <w:jc w:val="right"/>
              <w:rPr>
                <w:noProof/>
                <w:color w:val="000000"/>
                <w:sz w:val="22"/>
                <w:szCs w:val="22"/>
              </w:rPr>
            </w:pPr>
            <w:r>
              <w:rPr>
                <w:noProof/>
                <w:color w:val="000000"/>
                <w:sz w:val="22"/>
                <w:szCs w:val="22"/>
              </w:rPr>
              <w:t>0.00</w:t>
            </w:r>
          </w:p>
        </w:tc>
        <w:tc>
          <w:tcPr>
            <w:tcW w:w="1701"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6"/>
              <w:jc w:val="right"/>
              <w:rPr>
                <w:noProof/>
                <w:color w:val="000000"/>
                <w:sz w:val="22"/>
                <w:szCs w:val="22"/>
              </w:rPr>
            </w:pPr>
            <w:r>
              <w:rPr>
                <w:noProof/>
                <w:color w:val="000000"/>
                <w:sz w:val="22"/>
                <w:szCs w:val="22"/>
              </w:rPr>
              <w:t>45,569,131.18</w:t>
            </w:r>
          </w:p>
        </w:tc>
        <w:tc>
          <w:tcPr>
            <w:tcW w:w="1256"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6"/>
              <w:jc w:val="right"/>
              <w:rPr>
                <w:noProof/>
                <w:color w:val="000000"/>
                <w:sz w:val="22"/>
                <w:szCs w:val="22"/>
              </w:rPr>
            </w:pPr>
            <w:r>
              <w:rPr>
                <w:noProof/>
                <w:color w:val="000000"/>
                <w:sz w:val="22"/>
                <w:szCs w:val="22"/>
              </w:rPr>
              <w:t>0.00</w:t>
            </w:r>
          </w:p>
        </w:tc>
        <w:tc>
          <w:tcPr>
            <w:tcW w:w="1721"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45,569,131.18</w:t>
            </w:r>
          </w:p>
        </w:tc>
        <w:tc>
          <w:tcPr>
            <w:tcW w:w="283"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85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1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pStyle w:val="Normal26"/>
              <w:rPr>
                <w:b/>
                <w:noProof/>
                <w:color w:val="000000"/>
                <w:sz w:val="22"/>
                <w:szCs w:val="22"/>
              </w:rPr>
            </w:pPr>
            <w:r>
              <w:rPr>
                <w:b/>
                <w:noProof/>
                <w:color w:val="000000"/>
                <w:sz w:val="22"/>
                <w:szCs w:val="22"/>
              </w:rPr>
              <w:t xml:space="preserve">Total </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0.00</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183,505,946.06</w:t>
            </w:r>
          </w:p>
        </w:tc>
        <w:tc>
          <w:tcPr>
            <w:tcW w:w="1256"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0.00</w:t>
            </w:r>
          </w:p>
        </w:tc>
        <w:tc>
          <w:tcPr>
            <w:tcW w:w="172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183,505,946.06</w:t>
            </w:r>
          </w:p>
        </w:tc>
        <w:tc>
          <w:tcPr>
            <w:tcW w:w="283"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85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17"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pStyle w:val="Normal26"/>
              <w:rPr>
                <w:b/>
                <w:noProof/>
                <w:color w:val="000000"/>
                <w:sz w:val="22"/>
                <w:szCs w:val="22"/>
              </w:rPr>
            </w:pPr>
            <w:r>
              <w:rPr>
                <w:b/>
                <w:noProof/>
                <w:color w:val="000000"/>
                <w:sz w:val="22"/>
                <w:szCs w:val="22"/>
              </w:rPr>
              <w:t>Total financial assets</w:t>
            </w:r>
          </w:p>
        </w:tc>
        <w:tc>
          <w:tcPr>
            <w:tcW w:w="1701" w:type="dxa"/>
            <w:tcBorders>
              <w:top w:val="single" w:sz="4" w:space="0" w:color="000000"/>
              <w:left w:val="nil"/>
              <w:bottom w:val="single" w:sz="4" w:space="0" w:color="000000"/>
              <w:right w:val="nil"/>
              <w:tl2br w:val="nil"/>
              <w:tr2bl w:val="nil"/>
            </w:tcBorders>
            <w:shd w:val="clear" w:color="FFFFFF" w:fill="C0C0C0"/>
            <w:tcMar>
              <w:left w:w="40" w:type="dxa"/>
              <w:right w:w="40" w:type="dxa"/>
            </w:tcMar>
            <w:vAlign w:val="center"/>
          </w:tcPr>
          <w:p>
            <w:pPr>
              <w:pStyle w:val="Normal26"/>
              <w:jc w:val="right"/>
              <w:rPr>
                <w:b/>
                <w:noProof/>
                <w:color w:val="000000"/>
                <w:sz w:val="22"/>
                <w:szCs w:val="22"/>
              </w:rPr>
            </w:pPr>
            <w:r>
              <w:rPr>
                <w:b/>
                <w:noProof/>
                <w:color w:val="000000"/>
                <w:sz w:val="22"/>
                <w:szCs w:val="22"/>
              </w:rPr>
              <w:t>2,198,742,276.84</w:t>
            </w:r>
          </w:p>
        </w:tc>
        <w:tc>
          <w:tcPr>
            <w:tcW w:w="1701" w:type="dxa"/>
            <w:tcBorders>
              <w:top w:val="single" w:sz="4" w:space="0" w:color="000000"/>
              <w:left w:val="nil"/>
              <w:bottom w:val="single" w:sz="4" w:space="0" w:color="000000"/>
              <w:right w:val="nil"/>
              <w:tl2br w:val="nil"/>
              <w:tr2bl w:val="nil"/>
            </w:tcBorders>
            <w:shd w:val="clear" w:color="FFFFFF" w:fill="C0C0C0"/>
            <w:tcMar>
              <w:left w:w="40" w:type="dxa"/>
              <w:right w:w="40" w:type="dxa"/>
            </w:tcMar>
            <w:vAlign w:val="center"/>
          </w:tcPr>
          <w:p>
            <w:pPr>
              <w:pStyle w:val="Normal26"/>
              <w:jc w:val="right"/>
              <w:rPr>
                <w:b/>
                <w:noProof/>
                <w:color w:val="000000"/>
                <w:sz w:val="22"/>
                <w:szCs w:val="22"/>
              </w:rPr>
            </w:pPr>
            <w:r>
              <w:rPr>
                <w:b/>
                <w:noProof/>
                <w:color w:val="000000"/>
                <w:sz w:val="22"/>
                <w:szCs w:val="22"/>
              </w:rPr>
              <w:t>183,505,946.06</w:t>
            </w:r>
          </w:p>
        </w:tc>
        <w:tc>
          <w:tcPr>
            <w:tcW w:w="1256" w:type="dxa"/>
            <w:tcBorders>
              <w:top w:val="single" w:sz="4" w:space="0" w:color="000000"/>
              <w:left w:val="nil"/>
              <w:bottom w:val="single" w:sz="4" w:space="0" w:color="000000"/>
              <w:right w:val="nil"/>
              <w:tl2br w:val="nil"/>
              <w:tr2bl w:val="nil"/>
            </w:tcBorders>
            <w:shd w:val="clear" w:color="FFFFFF" w:fill="C0C0C0"/>
            <w:tcMar>
              <w:left w:w="40" w:type="dxa"/>
              <w:right w:w="40" w:type="dxa"/>
            </w:tcMar>
            <w:vAlign w:val="center"/>
          </w:tcPr>
          <w:p>
            <w:pPr>
              <w:pStyle w:val="Normal26"/>
              <w:jc w:val="right"/>
              <w:rPr>
                <w:b/>
                <w:noProof/>
                <w:color w:val="000000"/>
                <w:sz w:val="22"/>
                <w:szCs w:val="22"/>
              </w:rPr>
            </w:pPr>
            <w:r>
              <w:rPr>
                <w:b/>
                <w:noProof/>
                <w:color w:val="000000"/>
                <w:sz w:val="22"/>
                <w:szCs w:val="22"/>
              </w:rPr>
              <w:t>0.00</w:t>
            </w:r>
          </w:p>
        </w:tc>
        <w:tc>
          <w:tcPr>
            <w:tcW w:w="1721" w:type="dxa"/>
            <w:tcBorders>
              <w:top w:val="single" w:sz="4" w:space="0" w:color="000000"/>
              <w:left w:val="nil"/>
              <w:bottom w:val="single" w:sz="4" w:space="0" w:color="000000"/>
              <w:right w:val="nil"/>
              <w:tl2br w:val="nil"/>
              <w:tr2bl w:val="nil"/>
            </w:tcBorders>
            <w:shd w:val="clear" w:color="FFFFFF" w:fill="C0C0C0"/>
            <w:tcMar>
              <w:left w:w="40" w:type="dxa"/>
              <w:right w:w="40" w:type="dxa"/>
            </w:tcMar>
            <w:vAlign w:val="center"/>
          </w:tcPr>
          <w:p>
            <w:pPr>
              <w:pStyle w:val="Normal26"/>
              <w:jc w:val="right"/>
              <w:rPr>
                <w:b/>
                <w:noProof/>
                <w:color w:val="000000"/>
                <w:sz w:val="22"/>
                <w:szCs w:val="22"/>
              </w:rPr>
            </w:pPr>
            <w:r>
              <w:rPr>
                <w:b/>
                <w:noProof/>
                <w:color w:val="000000"/>
                <w:sz w:val="22"/>
                <w:szCs w:val="22"/>
              </w:rPr>
              <w:t>2,382,248,222.90</w:t>
            </w:r>
          </w:p>
        </w:tc>
        <w:tc>
          <w:tcPr>
            <w:tcW w:w="283"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85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17" w:type="dxa"/>
            <w:tcBorders>
              <w:top w:val="single" w:sz="4" w:space="0" w:color="000000"/>
              <w:left w:val="nil"/>
              <w:bottom w:val="single" w:sz="8" w:space="0" w:color="000000"/>
              <w:right w:val="nil"/>
              <w:tl2br w:val="nil"/>
              <w:tr2bl w:val="nil"/>
            </w:tcBorders>
            <w:shd w:val="clear" w:color="auto" w:fill="auto"/>
            <w:noWrap/>
            <w:tcMar>
              <w:left w:w="0" w:type="dxa"/>
              <w:right w:w="0" w:type="dxa"/>
            </w:tcMar>
            <w:vAlign w:val="center"/>
          </w:tcPr>
          <w:p>
            <w:pPr>
              <w:pStyle w:val="Normal26"/>
              <w:rPr>
                <w:noProof/>
                <w:color w:val="000000"/>
                <w:sz w:val="22"/>
                <w:szCs w:val="22"/>
              </w:rPr>
            </w:pPr>
          </w:p>
        </w:tc>
        <w:tc>
          <w:tcPr>
            <w:tcW w:w="1701" w:type="dxa"/>
            <w:tcBorders>
              <w:top w:val="single" w:sz="4" w:space="0" w:color="000000"/>
              <w:left w:val="nil"/>
              <w:bottom w:val="single" w:sz="8" w:space="0" w:color="000000"/>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single" w:sz="4" w:space="0" w:color="000000"/>
              <w:left w:val="nil"/>
              <w:bottom w:val="single" w:sz="8" w:space="0" w:color="000000"/>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256" w:type="dxa"/>
            <w:tcBorders>
              <w:top w:val="single" w:sz="4" w:space="0" w:color="000000"/>
              <w:left w:val="nil"/>
              <w:bottom w:val="single" w:sz="8" w:space="0" w:color="000000"/>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21" w:type="dxa"/>
            <w:tcBorders>
              <w:top w:val="single" w:sz="4" w:space="0" w:color="000000"/>
              <w:left w:val="nil"/>
              <w:bottom w:val="single" w:sz="8" w:space="0" w:color="000000"/>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283"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85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17"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pStyle w:val="Normal26"/>
              <w:rPr>
                <w:b/>
                <w:noProof/>
                <w:color w:val="000000"/>
                <w:sz w:val="22"/>
                <w:szCs w:val="22"/>
              </w:rPr>
            </w:pPr>
            <w:r>
              <w:rPr>
                <w:b/>
                <w:noProof/>
                <w:color w:val="000000"/>
                <w:sz w:val="22"/>
                <w:szCs w:val="22"/>
              </w:rPr>
              <w:t>Financial liabilities not carried at fair value:</w:t>
            </w:r>
          </w:p>
        </w:tc>
        <w:tc>
          <w:tcPr>
            <w:tcW w:w="170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256"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21" w:type="dxa"/>
            <w:tcBorders>
              <w:top w:val="single" w:sz="8" w:space="0" w:color="000000"/>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283"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85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17" w:type="dxa"/>
            <w:tcBorders>
              <w:top w:val="nil"/>
              <w:left w:val="nil"/>
              <w:bottom w:val="nil"/>
              <w:right w:val="nil"/>
              <w:tl2br w:val="nil"/>
              <w:tr2bl w:val="nil"/>
            </w:tcBorders>
            <w:shd w:val="clear" w:color="auto" w:fill="auto"/>
            <w:noWrap/>
            <w:tcMar>
              <w:left w:w="40" w:type="dxa"/>
              <w:right w:w="40" w:type="dxa"/>
            </w:tcMar>
            <w:vAlign w:val="center"/>
          </w:tcPr>
          <w:p>
            <w:pPr>
              <w:pStyle w:val="Normal26"/>
              <w:rPr>
                <w:noProof/>
                <w:color w:val="000000"/>
                <w:sz w:val="22"/>
                <w:szCs w:val="22"/>
              </w:rPr>
            </w:pPr>
            <w:r>
              <w:rPr>
                <w:noProof/>
                <w:color w:val="000000"/>
                <w:sz w:val="22"/>
                <w:szCs w:val="22"/>
              </w:rPr>
              <w:t>Other payables</w:t>
            </w:r>
          </w:p>
        </w:tc>
        <w:tc>
          <w:tcPr>
            <w:tcW w:w="1701" w:type="dxa"/>
            <w:tcBorders>
              <w:top w:val="nil"/>
              <w:left w:val="nil"/>
              <w:bottom w:val="nil"/>
              <w:right w:val="nil"/>
              <w:tl2br w:val="nil"/>
              <w:tr2bl w:val="nil"/>
            </w:tcBorders>
            <w:shd w:val="clear" w:color="auto" w:fill="auto"/>
            <w:tcMar>
              <w:left w:w="40" w:type="dxa"/>
              <w:right w:w="40" w:type="dxa"/>
            </w:tcMar>
            <w:vAlign w:val="center"/>
          </w:tcPr>
          <w:p>
            <w:pPr>
              <w:pStyle w:val="Normal26"/>
              <w:jc w:val="right"/>
              <w:rPr>
                <w:noProof/>
                <w:color w:val="000000"/>
                <w:sz w:val="22"/>
                <w:szCs w:val="22"/>
              </w:rPr>
            </w:pPr>
            <w:r>
              <w:rPr>
                <w:noProof/>
                <w:color w:val="000000"/>
                <w:sz w:val="22"/>
                <w:szCs w:val="22"/>
              </w:rPr>
              <w:t>0.00</w:t>
            </w:r>
          </w:p>
        </w:tc>
        <w:tc>
          <w:tcPr>
            <w:tcW w:w="1701" w:type="dxa"/>
            <w:tcBorders>
              <w:top w:val="nil"/>
              <w:left w:val="nil"/>
              <w:bottom w:val="nil"/>
              <w:right w:val="nil"/>
              <w:tl2br w:val="nil"/>
              <w:tr2bl w:val="nil"/>
            </w:tcBorders>
            <w:shd w:val="clear" w:color="auto" w:fill="auto"/>
            <w:tcMar>
              <w:left w:w="40" w:type="dxa"/>
              <w:right w:w="40" w:type="dxa"/>
            </w:tcMar>
            <w:vAlign w:val="center"/>
          </w:tcPr>
          <w:p>
            <w:pPr>
              <w:pStyle w:val="Normal26"/>
              <w:jc w:val="right"/>
              <w:rPr>
                <w:noProof/>
                <w:color w:val="000000"/>
                <w:sz w:val="22"/>
                <w:szCs w:val="22"/>
              </w:rPr>
            </w:pPr>
            <w:r>
              <w:rPr>
                <w:noProof/>
                <w:color w:val="000000"/>
                <w:sz w:val="22"/>
                <w:szCs w:val="22"/>
              </w:rPr>
              <w:t>0.00</w:t>
            </w:r>
          </w:p>
        </w:tc>
        <w:tc>
          <w:tcPr>
            <w:tcW w:w="1256" w:type="dxa"/>
            <w:tcBorders>
              <w:top w:val="nil"/>
              <w:left w:val="nil"/>
              <w:bottom w:val="nil"/>
              <w:right w:val="nil"/>
              <w:tl2br w:val="nil"/>
              <w:tr2bl w:val="nil"/>
            </w:tcBorders>
            <w:shd w:val="clear" w:color="auto" w:fill="auto"/>
            <w:tcMar>
              <w:left w:w="40" w:type="dxa"/>
              <w:right w:w="40" w:type="dxa"/>
            </w:tcMar>
            <w:vAlign w:val="center"/>
          </w:tcPr>
          <w:p>
            <w:pPr>
              <w:pStyle w:val="Normal26"/>
              <w:jc w:val="right"/>
              <w:rPr>
                <w:noProof/>
                <w:color w:val="000000"/>
                <w:sz w:val="22"/>
                <w:szCs w:val="22"/>
              </w:rPr>
            </w:pPr>
            <w:r>
              <w:rPr>
                <w:noProof/>
                <w:color w:val="000000"/>
                <w:sz w:val="22"/>
                <w:szCs w:val="22"/>
              </w:rPr>
              <w:t>-954,779.18</w:t>
            </w:r>
          </w:p>
        </w:tc>
        <w:tc>
          <w:tcPr>
            <w:tcW w:w="1721" w:type="dxa"/>
            <w:tcBorders>
              <w:top w:val="nil"/>
              <w:left w:val="nil"/>
              <w:bottom w:val="nil"/>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-954,779.18</w:t>
            </w:r>
          </w:p>
        </w:tc>
        <w:tc>
          <w:tcPr>
            <w:tcW w:w="283"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85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17" w:type="dxa"/>
            <w:tcBorders>
              <w:top w:val="single" w:sz="8" w:space="0" w:color="000000"/>
              <w:left w:val="nil"/>
              <w:bottom w:val="single" w:sz="4" w:space="0" w:color="000000"/>
              <w:right w:val="nil"/>
              <w:tl2br w:val="nil"/>
              <w:tr2bl w:val="nil"/>
            </w:tcBorders>
            <w:shd w:val="clear" w:color="auto" w:fill="auto"/>
            <w:noWrap/>
            <w:tcMar>
              <w:left w:w="40" w:type="dxa"/>
              <w:right w:w="40" w:type="dxa"/>
            </w:tcMar>
            <w:vAlign w:val="center"/>
          </w:tcPr>
          <w:p>
            <w:pPr>
              <w:pStyle w:val="Normal26"/>
              <w:rPr>
                <w:b/>
                <w:noProof/>
                <w:color w:val="000000"/>
                <w:sz w:val="22"/>
                <w:szCs w:val="22"/>
              </w:rPr>
            </w:pPr>
            <w:r>
              <w:rPr>
                <w:b/>
                <w:noProof/>
                <w:color w:val="000000"/>
                <w:sz w:val="22"/>
                <w:szCs w:val="22"/>
              </w:rPr>
              <w:t xml:space="preserve">Total </w:t>
            </w:r>
          </w:p>
        </w:tc>
        <w:tc>
          <w:tcPr>
            <w:tcW w:w="1701" w:type="dxa"/>
            <w:tcBorders>
              <w:top w:val="single" w:sz="8" w:space="0" w:color="000000"/>
              <w:left w:val="nil"/>
              <w:bottom w:val="single" w:sz="4" w:space="0" w:color="000000"/>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0.00</w:t>
            </w:r>
          </w:p>
        </w:tc>
        <w:tc>
          <w:tcPr>
            <w:tcW w:w="1701" w:type="dxa"/>
            <w:tcBorders>
              <w:top w:val="single" w:sz="8" w:space="0" w:color="000000"/>
              <w:left w:val="nil"/>
              <w:bottom w:val="single" w:sz="4" w:space="0" w:color="000000"/>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0.00</w:t>
            </w:r>
          </w:p>
        </w:tc>
        <w:tc>
          <w:tcPr>
            <w:tcW w:w="1256" w:type="dxa"/>
            <w:tcBorders>
              <w:top w:val="single" w:sz="8" w:space="0" w:color="000000"/>
              <w:left w:val="nil"/>
              <w:bottom w:val="single" w:sz="4" w:space="0" w:color="000000"/>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-954,779.18</w:t>
            </w:r>
          </w:p>
        </w:tc>
        <w:tc>
          <w:tcPr>
            <w:tcW w:w="1721" w:type="dxa"/>
            <w:tcBorders>
              <w:top w:val="single" w:sz="8" w:space="0" w:color="000000"/>
              <w:left w:val="nil"/>
              <w:bottom w:val="single" w:sz="4" w:space="0" w:color="000000"/>
              <w:right w:val="nil"/>
              <w:tl2br w:val="nil"/>
              <w:tr2bl w:val="nil"/>
            </w:tcBorders>
            <w:shd w:val="clear" w:color="auto" w:fill="auto"/>
            <w:tcMar>
              <w:left w:w="40" w:type="dxa"/>
              <w:right w:w="40" w:type="dxa"/>
            </w:tcMar>
            <w:vAlign w:val="center"/>
          </w:tcPr>
          <w:p>
            <w:pPr>
              <w:pStyle w:val="Normal26"/>
              <w:jc w:val="right"/>
              <w:rPr>
                <w:b/>
                <w:noProof/>
                <w:color w:val="000000"/>
                <w:sz w:val="22"/>
                <w:szCs w:val="22"/>
              </w:rPr>
            </w:pPr>
            <w:r>
              <w:rPr>
                <w:b/>
                <w:noProof/>
                <w:color w:val="000000"/>
                <w:sz w:val="22"/>
                <w:szCs w:val="22"/>
              </w:rPr>
              <w:t>-954,779.18</w:t>
            </w:r>
          </w:p>
        </w:tc>
        <w:tc>
          <w:tcPr>
            <w:tcW w:w="283"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85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017" w:type="dxa"/>
            <w:tcBorders>
              <w:top w:val="single" w:sz="4" w:space="0" w:color="000000"/>
              <w:left w:val="nil"/>
              <w:bottom w:val="single" w:sz="4" w:space="0" w:color="000000"/>
              <w:right w:val="nil"/>
              <w:tl2br w:val="nil"/>
              <w:tr2bl w:val="nil"/>
            </w:tcBorders>
            <w:shd w:val="clear" w:color="FFFFFF" w:fill="C0C0C0"/>
            <w:noWrap/>
            <w:tcMar>
              <w:left w:w="40" w:type="dxa"/>
              <w:right w:w="40" w:type="dxa"/>
            </w:tcMar>
            <w:vAlign w:val="center"/>
          </w:tcPr>
          <w:p>
            <w:pPr>
              <w:pStyle w:val="Normal26"/>
              <w:rPr>
                <w:b/>
                <w:noProof/>
                <w:color w:val="000000"/>
                <w:sz w:val="22"/>
                <w:szCs w:val="22"/>
              </w:rPr>
            </w:pPr>
            <w:r>
              <w:rPr>
                <w:b/>
                <w:noProof/>
                <w:color w:val="000000"/>
                <w:sz w:val="22"/>
                <w:szCs w:val="22"/>
              </w:rPr>
              <w:t>Total financial liabilities</w:t>
            </w:r>
          </w:p>
        </w:tc>
        <w:tc>
          <w:tcPr>
            <w:tcW w:w="1701" w:type="dxa"/>
            <w:tcBorders>
              <w:top w:val="single" w:sz="4" w:space="0" w:color="000000"/>
              <w:left w:val="nil"/>
              <w:bottom w:val="single" w:sz="4" w:space="0" w:color="000000"/>
              <w:right w:val="nil"/>
              <w:tl2br w:val="nil"/>
              <w:tr2bl w:val="nil"/>
            </w:tcBorders>
            <w:shd w:val="clear" w:color="FFFFFF" w:fill="C0C0C0"/>
            <w:tcMar>
              <w:left w:w="40" w:type="dxa"/>
              <w:right w:w="40" w:type="dxa"/>
            </w:tcMar>
            <w:vAlign w:val="center"/>
          </w:tcPr>
          <w:p>
            <w:pPr>
              <w:pStyle w:val="Normal26"/>
              <w:jc w:val="right"/>
              <w:rPr>
                <w:b/>
                <w:noProof/>
                <w:color w:val="000000"/>
                <w:sz w:val="22"/>
                <w:szCs w:val="22"/>
              </w:rPr>
            </w:pPr>
            <w:r>
              <w:rPr>
                <w:b/>
                <w:noProof/>
                <w:color w:val="000000"/>
                <w:sz w:val="22"/>
                <w:szCs w:val="22"/>
              </w:rPr>
              <w:t>0.00</w:t>
            </w:r>
          </w:p>
        </w:tc>
        <w:tc>
          <w:tcPr>
            <w:tcW w:w="1701" w:type="dxa"/>
            <w:tcBorders>
              <w:top w:val="single" w:sz="4" w:space="0" w:color="000000"/>
              <w:left w:val="nil"/>
              <w:bottom w:val="single" w:sz="4" w:space="0" w:color="000000"/>
              <w:right w:val="nil"/>
              <w:tl2br w:val="nil"/>
              <w:tr2bl w:val="nil"/>
            </w:tcBorders>
            <w:shd w:val="clear" w:color="FFFFFF" w:fill="C0C0C0"/>
            <w:tcMar>
              <w:left w:w="40" w:type="dxa"/>
              <w:right w:w="40" w:type="dxa"/>
            </w:tcMar>
            <w:vAlign w:val="center"/>
          </w:tcPr>
          <w:p>
            <w:pPr>
              <w:pStyle w:val="Normal26"/>
              <w:jc w:val="right"/>
              <w:rPr>
                <w:b/>
                <w:noProof/>
                <w:color w:val="000000"/>
                <w:sz w:val="22"/>
                <w:szCs w:val="22"/>
              </w:rPr>
            </w:pPr>
            <w:r>
              <w:rPr>
                <w:b/>
                <w:noProof/>
                <w:color w:val="000000"/>
                <w:sz w:val="22"/>
                <w:szCs w:val="22"/>
              </w:rPr>
              <w:t>0.00</w:t>
            </w:r>
          </w:p>
        </w:tc>
        <w:tc>
          <w:tcPr>
            <w:tcW w:w="1256" w:type="dxa"/>
            <w:tcBorders>
              <w:top w:val="single" w:sz="4" w:space="0" w:color="000000"/>
              <w:left w:val="nil"/>
              <w:bottom w:val="single" w:sz="4" w:space="0" w:color="000000"/>
              <w:right w:val="nil"/>
              <w:tl2br w:val="nil"/>
              <w:tr2bl w:val="nil"/>
            </w:tcBorders>
            <w:shd w:val="clear" w:color="FFFFFF" w:fill="C0C0C0"/>
            <w:tcMar>
              <w:left w:w="40" w:type="dxa"/>
              <w:right w:w="40" w:type="dxa"/>
            </w:tcMar>
            <w:vAlign w:val="center"/>
          </w:tcPr>
          <w:p>
            <w:pPr>
              <w:pStyle w:val="Normal26"/>
              <w:jc w:val="right"/>
              <w:rPr>
                <w:b/>
                <w:noProof/>
                <w:color w:val="000000"/>
                <w:sz w:val="22"/>
                <w:szCs w:val="22"/>
              </w:rPr>
            </w:pPr>
            <w:r>
              <w:rPr>
                <w:b/>
                <w:noProof/>
                <w:color w:val="000000"/>
                <w:sz w:val="22"/>
                <w:szCs w:val="22"/>
              </w:rPr>
              <w:t>-954,779.18</w:t>
            </w:r>
          </w:p>
        </w:tc>
        <w:tc>
          <w:tcPr>
            <w:tcW w:w="1721" w:type="dxa"/>
            <w:tcBorders>
              <w:top w:val="single" w:sz="4" w:space="0" w:color="000000"/>
              <w:left w:val="nil"/>
              <w:bottom w:val="single" w:sz="4" w:space="0" w:color="000000"/>
              <w:right w:val="nil"/>
              <w:tl2br w:val="nil"/>
              <w:tr2bl w:val="nil"/>
            </w:tcBorders>
            <w:shd w:val="clear" w:color="FFFFFF" w:fill="C0C0C0"/>
            <w:tcMar>
              <w:left w:w="40" w:type="dxa"/>
              <w:right w:w="40" w:type="dxa"/>
            </w:tcMar>
            <w:vAlign w:val="center"/>
          </w:tcPr>
          <w:p>
            <w:pPr>
              <w:pStyle w:val="Normal26"/>
              <w:ind w:left="-15" w:firstLine="15"/>
              <w:jc w:val="right"/>
              <w:rPr>
                <w:b/>
                <w:noProof/>
                <w:color w:val="000000"/>
                <w:sz w:val="22"/>
                <w:szCs w:val="22"/>
              </w:rPr>
            </w:pPr>
            <w:r>
              <w:rPr>
                <w:b/>
                <w:noProof/>
                <w:color w:val="000000"/>
                <w:sz w:val="22"/>
                <w:szCs w:val="22"/>
              </w:rPr>
              <w:t>-954,779.18</w:t>
            </w:r>
          </w:p>
        </w:tc>
        <w:tc>
          <w:tcPr>
            <w:tcW w:w="283"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85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850"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pPr>
              <w:pStyle w:val="Normal26"/>
              <w:jc w:val="right"/>
              <w:rPr>
                <w:b/>
                <w:noProof/>
                <w:color w:val="000000"/>
                <w:sz w:val="22"/>
                <w:szCs w:val="22"/>
              </w:rPr>
            </w:pPr>
          </w:p>
        </w:tc>
      </w:tr>
    </w:tbl>
    <w:p>
      <w:pPr>
        <w:rPr>
          <w:noProof/>
        </w:rPr>
        <w:sectPr>
          <w:headerReference w:type="even" r:id="rId54"/>
          <w:headerReference w:type="default" r:id="rId55"/>
          <w:footerReference w:type="even" r:id="rId56"/>
          <w:footerReference w:type="default" r:id="rId57"/>
          <w:headerReference w:type="first" r:id="rId58"/>
          <w:footerReference w:type="first" r:id="rId59"/>
          <w:pgSz w:w="15840" w:h="12240" w:orient="landscape"/>
          <w:pgMar w:top="1418" w:right="531" w:bottom="1418" w:left="765" w:header="765" w:footer="425" w:gutter="0"/>
          <w:pgBorders>
            <w:top w:val="nil"/>
            <w:left w:val="nil"/>
            <w:bottom w:val="nil"/>
            <w:right w:val="nil"/>
          </w:pgBorders>
          <w:cols w:space="720"/>
          <w:docGrid w:linePitch="360"/>
        </w:sectPr>
      </w:pPr>
    </w:p>
    <w:p>
      <w:pPr>
        <w:pStyle w:val="ManualHeading3"/>
        <w:rPr>
          <w:noProof/>
        </w:rPr>
      </w:pPr>
      <w:bookmarkStart w:id="105" w:name="_Toc478663499"/>
      <w:bookmarkStart w:id="106" w:name="_Toc6923140"/>
      <w:r>
        <w:t>3.4.2.</w:t>
      </w:r>
      <w:r>
        <w:tab/>
      </w:r>
      <w:r>
        <w:rPr>
          <w:noProof/>
        </w:rPr>
        <w:t>Measurement of fair values</w:t>
      </w:r>
      <w:bookmarkEnd w:id="105"/>
      <w:bookmarkEnd w:id="106"/>
    </w:p>
    <w:p>
      <w:pPr>
        <w:pStyle w:val="Normal1"/>
        <w:widowControl w:val="0"/>
        <w:autoSpaceDE w:val="0"/>
        <w:autoSpaceDN w:val="0"/>
        <w:adjustRightInd w:val="0"/>
        <w:spacing w:line="10" w:lineRule="atLeast"/>
        <w:jc w:val="both"/>
        <w:rPr>
          <w:b/>
          <w:noProof/>
          <w:bdr w:val="nil"/>
        </w:rPr>
      </w:pPr>
      <w:bookmarkStart w:id="107" w:name="_Toc478663500"/>
      <w:r>
        <w:rPr>
          <w:rFonts w:ascii="Times New Roman" w:hAnsi="Times New Roman"/>
          <w:b/>
          <w:noProof/>
          <w:sz w:val="24"/>
          <w:szCs w:val="24"/>
          <w:bdr w:val="nil"/>
        </w:rPr>
        <w:t xml:space="preserve">Assets for which carrying value approximates fair </w:t>
      </w:r>
      <w:r>
        <w:rPr>
          <w:rFonts w:ascii="Times New Roman" w:hAnsi="Times New Roman"/>
          <w:b/>
          <w:noProof/>
          <w:sz w:val="24"/>
          <w:szCs w:val="24"/>
        </w:rPr>
        <w:t>value</w:t>
      </w:r>
      <w:bookmarkEnd w:id="107"/>
    </w:p>
    <w:p>
      <w:pPr>
        <w:pStyle w:val="Text1"/>
        <w:rPr>
          <w:noProof/>
          <w:bdr w:val="nil"/>
        </w:rPr>
      </w:pPr>
      <w:r>
        <w:rPr>
          <w:noProof/>
          <w:bdr w:val="nil"/>
        </w:rPr>
        <w:t xml:space="preserve">For financial assets and financial </w:t>
      </w:r>
      <w:r>
        <w:rPr>
          <w:iCs/>
          <w:noProof/>
          <w:bdr w:val="nil"/>
          <w:lang w:eastAsia="en-US"/>
        </w:rPr>
        <w:t>liabilities</w:t>
      </w:r>
      <w:r>
        <w:rPr>
          <w:noProof/>
          <w:bdr w:val="nil"/>
        </w:rPr>
        <w:t xml:space="preserve"> that are liquid or have a short term maturity (less than three months), it is assumed that the carrying amount approximates their fair value.</w:t>
      </w:r>
    </w:p>
    <w:p>
      <w:pPr>
        <w:pStyle w:val="Normal1"/>
        <w:widowControl w:val="0"/>
        <w:autoSpaceDE w:val="0"/>
        <w:autoSpaceDN w:val="0"/>
        <w:adjustRightInd w:val="0"/>
        <w:spacing w:line="10" w:lineRule="atLeast"/>
        <w:jc w:val="both"/>
        <w:rPr>
          <w:b/>
          <w:noProof/>
          <w:bdr w:val="nil"/>
        </w:rPr>
      </w:pPr>
      <w:bookmarkStart w:id="108" w:name="_Toc478663502"/>
      <w:r>
        <w:rPr>
          <w:rFonts w:ascii="Times New Roman" w:hAnsi="Times New Roman"/>
          <w:b/>
          <w:noProof/>
          <w:sz w:val="24"/>
          <w:szCs w:val="24"/>
          <w:bdr w:val="nil"/>
        </w:rPr>
        <w:t>Assets and liabilities carried at fair value</w:t>
      </w:r>
      <w:bookmarkEnd w:id="108"/>
    </w:p>
    <w:p>
      <w:pPr>
        <w:pStyle w:val="Text1"/>
        <w:rPr>
          <w:noProof/>
          <w:bdr w:val="nil"/>
        </w:rPr>
      </w:pPr>
      <w:r>
        <w:rPr>
          <w:noProof/>
          <w:bdr w:val="nil"/>
        </w:rPr>
        <w:t xml:space="preserve">Published price quotations in </w:t>
      </w:r>
      <w:r>
        <w:rPr>
          <w:iCs/>
          <w:noProof/>
          <w:bdr w:val="nil"/>
          <w:lang w:eastAsia="en-US"/>
        </w:rPr>
        <w:t>an</w:t>
      </w:r>
      <w:r>
        <w:rPr>
          <w:noProof/>
          <w:bdr w:val="nil"/>
        </w:rPr>
        <w:t xml:space="preserve"> </w:t>
      </w:r>
      <w:r>
        <w:rPr>
          <w:noProof/>
          <w:lang w:eastAsia="en-US"/>
        </w:rPr>
        <w:t>active</w:t>
      </w:r>
      <w:r>
        <w:rPr>
          <w:noProof/>
          <w:bdr w:val="nil"/>
        </w:rPr>
        <w:t xml:space="preserve"> market are the first source for determining the fair value of a financial instrument. </w:t>
      </w:r>
    </w:p>
    <w:p>
      <w:pPr>
        <w:pStyle w:val="Text1"/>
        <w:rPr>
          <w:noProof/>
          <w:bdr w:val="nil"/>
        </w:rPr>
      </w:pPr>
      <w:r>
        <w:rPr>
          <w:noProof/>
          <w:bdr w:val="nil"/>
        </w:rPr>
        <w:t>For instruments without available market price, the fair value is estimated using a discounted cash flow model based on either directly or indirectly observable market data (discount curves and estimation curves) prevailing at the balance sheet date.</w:t>
      </w:r>
    </w:p>
    <w:p>
      <w:pPr>
        <w:pStyle w:val="ManualHeading3"/>
        <w:rPr>
          <w:noProof/>
        </w:rPr>
      </w:pPr>
      <w:bookmarkStart w:id="109" w:name="_Toc478663505"/>
      <w:bookmarkStart w:id="110" w:name="_Toc6923141"/>
      <w:r>
        <w:t>3.4.3.</w:t>
      </w:r>
      <w:r>
        <w:tab/>
      </w:r>
      <w:r>
        <w:rPr>
          <w:noProof/>
        </w:rPr>
        <w:t>Transfers between level 1 and level 2</w:t>
      </w:r>
      <w:bookmarkEnd w:id="109"/>
      <w:bookmarkEnd w:id="110"/>
      <w:r>
        <w:rPr>
          <w:noProof/>
        </w:rPr>
        <w:t xml:space="preserve"> </w:t>
      </w:r>
    </w:p>
    <w:p>
      <w:pPr>
        <w:pStyle w:val="Text1"/>
        <w:rPr>
          <w:iCs/>
          <w:noProof/>
          <w:bdr w:val="nil"/>
        </w:rPr>
      </w:pPr>
      <w:r>
        <w:rPr>
          <w:noProof/>
          <w:bdr w:val="nil"/>
        </w:rPr>
        <w:t>There were no transfers between level 1 and level 2 of the fair value hierarchy during the financial period.</w:t>
      </w:r>
    </w:p>
    <w:p>
      <w:pPr>
        <w:pStyle w:val="ManualHeading3"/>
        <w:rPr>
          <w:noProof/>
        </w:rPr>
      </w:pPr>
      <w:bookmarkStart w:id="111" w:name="_Toc478663506"/>
      <w:bookmarkStart w:id="112" w:name="_Toc6923142"/>
      <w:r>
        <w:t>3.4.4.</w:t>
      </w:r>
      <w:r>
        <w:tab/>
      </w:r>
      <w:r>
        <w:rPr>
          <w:noProof/>
        </w:rPr>
        <w:t>Level 3 fair value</w:t>
      </w:r>
      <w:bookmarkEnd w:id="111"/>
      <w:bookmarkEnd w:id="112"/>
    </w:p>
    <w:p>
      <w:pPr>
        <w:pStyle w:val="Text1"/>
        <w:rPr>
          <w:b/>
          <w:noProof/>
        </w:rPr>
      </w:pPr>
      <w:r>
        <w:rPr>
          <w:noProof/>
          <w:bdr w:val="nil"/>
        </w:rPr>
        <w:t xml:space="preserve">As at 31 December 2018 </w:t>
      </w:r>
      <w:r>
        <w:rPr>
          <w:iCs/>
          <w:noProof/>
          <w:bdr w:val="nil"/>
          <w:lang w:eastAsia="en-US"/>
        </w:rPr>
        <w:t>and</w:t>
      </w:r>
      <w:r>
        <w:rPr>
          <w:noProof/>
          <w:bdr w:val="nil"/>
        </w:rPr>
        <w:t xml:space="preserve"> 31 December 2017 the Fund has no financial instruments classified under Level 3.</w:t>
      </w:r>
    </w:p>
    <w:p>
      <w:pPr>
        <w:pStyle w:val="ManualHeading2"/>
        <w:rPr>
          <w:noProof/>
        </w:rPr>
      </w:pPr>
      <w:bookmarkStart w:id="113" w:name="_Toc6923143"/>
      <w:r>
        <w:t>3.5.</w:t>
      </w:r>
      <w:r>
        <w:tab/>
      </w:r>
      <w:r>
        <w:rPr>
          <w:noProof/>
        </w:rPr>
        <w:t>Bond portfolio</w:t>
      </w:r>
      <w:bookmarkEnd w:id="113"/>
    </w:p>
    <w:p>
      <w:pPr>
        <w:pStyle w:val="Text1"/>
        <w:rPr>
          <w:noProof/>
        </w:rPr>
      </w:pPr>
      <w:r>
        <w:rPr>
          <w:noProof/>
        </w:rPr>
        <w:t>The following tables show the movements of the Bond portfolio (in EUR):</w:t>
      </w:r>
    </w:p>
    <w:tbl>
      <w:tblPr>
        <w:tblStyle w:val="CDMRange26"/>
        <w:tblW w:w="8475" w:type="dxa"/>
        <w:tblLayout w:type="fixed"/>
        <w:tblLook w:val="0600" w:firstRow="0" w:lastRow="0" w:firstColumn="0" w:lastColumn="0" w:noHBand="1" w:noVBand="1"/>
      </w:tblPr>
      <w:tblGrid>
        <w:gridCol w:w="6300"/>
        <w:gridCol w:w="2175"/>
      </w:tblGrid>
      <w:tr>
        <w:trPr>
          <w:trHeight w:val="255"/>
        </w:trPr>
        <w:tc>
          <w:tcPr>
            <w:tcW w:w="6300" w:type="dxa"/>
            <w:tcBorders>
              <w:top w:val="nil"/>
              <w:left w:val="nil"/>
              <w:bottom w:val="single" w:sz="4" w:space="0" w:color="000000"/>
              <w:right w:val="nil"/>
              <w:tl2br w:val="nil"/>
              <w:tr2bl w:val="nil"/>
            </w:tcBorders>
            <w:shd w:val="clear" w:color="auto" w:fill="auto"/>
            <w:tcMar>
              <w:left w:w="0" w:type="dxa"/>
              <w:right w:w="0" w:type="dxa"/>
            </w:tcMar>
            <w:vAlign w:val="center"/>
          </w:tcPr>
          <w:p>
            <w:pPr>
              <w:pStyle w:val="Normal28"/>
              <w:rPr>
                <w:noProof/>
                <w:color w:val="000000"/>
              </w:rPr>
            </w:pPr>
          </w:p>
        </w:tc>
        <w:tc>
          <w:tcPr>
            <w:tcW w:w="2175" w:type="dxa"/>
            <w:tcBorders>
              <w:top w:val="nil"/>
              <w:left w:val="nil"/>
              <w:bottom w:val="single" w:sz="4" w:space="0" w:color="000000"/>
              <w:right w:val="nil"/>
              <w:tl2br w:val="nil"/>
              <w:tr2bl w:val="nil"/>
            </w:tcBorders>
            <w:shd w:val="clear" w:color="auto" w:fill="auto"/>
            <w:tcMar>
              <w:left w:w="0" w:type="dxa"/>
              <w:right w:w="0" w:type="dxa"/>
            </w:tcMar>
            <w:vAlign w:val="center"/>
          </w:tcPr>
          <w:p>
            <w:pPr>
              <w:pStyle w:val="Normal28"/>
              <w:jc w:val="right"/>
              <w:rPr>
                <w:b/>
                <w:noProof/>
                <w:color w:val="00000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3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pStyle w:val="Normal28"/>
              <w:rPr>
                <w:b/>
                <w:noProof/>
                <w:color w:val="000000"/>
              </w:rPr>
            </w:pPr>
            <w:r>
              <w:rPr>
                <w:b/>
                <w:noProof/>
                <w:color w:val="000000"/>
              </w:rPr>
              <w:t>Balance as at 1 January 2017</w:t>
            </w:r>
          </w:p>
        </w:tc>
        <w:tc>
          <w:tcPr>
            <w:tcW w:w="21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pStyle w:val="Normal28"/>
              <w:jc w:val="right"/>
              <w:rPr>
                <w:b/>
                <w:noProof/>
                <w:color w:val="000000"/>
              </w:rPr>
            </w:pPr>
            <w:r>
              <w:rPr>
                <w:b/>
                <w:noProof/>
                <w:color w:val="000000"/>
              </w:rPr>
              <w:t>2,068,651,104.70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300" w:type="dxa"/>
            <w:tcBorders>
              <w:top w:val="single" w:sz="4" w:space="0" w:color="000000"/>
              <w:left w:val="nil"/>
              <w:bottom w:val="nil"/>
              <w:right w:val="nil"/>
              <w:tl2br w:val="nil"/>
              <w:tr2bl w:val="nil"/>
            </w:tcBorders>
            <w:shd w:val="clear" w:color="auto" w:fill="auto"/>
            <w:tcMar>
              <w:left w:w="40" w:type="dxa"/>
              <w:right w:w="40" w:type="dxa"/>
            </w:tcMar>
            <w:vAlign w:val="center"/>
          </w:tcPr>
          <w:p>
            <w:pPr>
              <w:pStyle w:val="Normal28"/>
              <w:rPr>
                <w:noProof/>
                <w:color w:val="000000"/>
              </w:rPr>
            </w:pPr>
            <w:r>
              <w:rPr>
                <w:noProof/>
                <w:color w:val="000000"/>
              </w:rPr>
              <w:t>Acquisitions</w:t>
            </w:r>
          </w:p>
        </w:tc>
        <w:tc>
          <w:tcPr>
            <w:tcW w:w="2175" w:type="dxa"/>
            <w:tcBorders>
              <w:top w:val="single" w:sz="4" w:space="0" w:color="000000"/>
              <w:left w:val="nil"/>
              <w:bottom w:val="nil"/>
              <w:right w:val="nil"/>
              <w:tl2br w:val="nil"/>
              <w:tr2bl w:val="nil"/>
            </w:tcBorders>
            <w:shd w:val="clear" w:color="auto" w:fill="auto"/>
            <w:tcMar>
              <w:left w:w="40" w:type="dxa"/>
              <w:right w:w="40" w:type="dxa"/>
            </w:tcMar>
            <w:vAlign w:val="center"/>
          </w:tcPr>
          <w:p>
            <w:pPr>
              <w:pStyle w:val="Normal28"/>
              <w:jc w:val="right"/>
              <w:rPr>
                <w:noProof/>
                <w:color w:val="000000"/>
              </w:rPr>
            </w:pPr>
            <w:r>
              <w:rPr>
                <w:noProof/>
                <w:color w:val="000000"/>
              </w:rPr>
              <w:t>831,402,720.51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300" w:type="dxa"/>
            <w:tcBorders>
              <w:top w:val="nil"/>
              <w:left w:val="nil"/>
              <w:bottom w:val="nil"/>
              <w:right w:val="nil"/>
              <w:tl2br w:val="nil"/>
              <w:tr2bl w:val="nil"/>
            </w:tcBorders>
            <w:shd w:val="clear" w:color="auto" w:fill="auto"/>
            <w:tcMar>
              <w:left w:w="40" w:type="dxa"/>
              <w:right w:w="40" w:type="dxa"/>
            </w:tcMar>
            <w:vAlign w:val="center"/>
          </w:tcPr>
          <w:p>
            <w:pPr>
              <w:pStyle w:val="Normal28"/>
              <w:rPr>
                <w:noProof/>
                <w:color w:val="000000"/>
              </w:rPr>
            </w:pPr>
            <w:r>
              <w:rPr>
                <w:noProof/>
                <w:color w:val="000000"/>
              </w:rPr>
              <w:t>Disposals and withdrawals (original acquisition cost)</w:t>
            </w:r>
          </w:p>
        </w:tc>
        <w:tc>
          <w:tcPr>
            <w:tcW w:w="2175" w:type="dxa"/>
            <w:tcBorders>
              <w:top w:val="nil"/>
              <w:left w:val="nil"/>
              <w:bottom w:val="nil"/>
              <w:right w:val="nil"/>
              <w:tl2br w:val="nil"/>
              <w:tr2bl w:val="nil"/>
            </w:tcBorders>
            <w:shd w:val="clear" w:color="auto" w:fill="auto"/>
            <w:tcMar>
              <w:left w:w="40" w:type="dxa"/>
              <w:right w:w="40" w:type="dxa"/>
            </w:tcMar>
            <w:vAlign w:val="center"/>
          </w:tcPr>
          <w:p>
            <w:pPr>
              <w:pStyle w:val="Normal28"/>
              <w:jc w:val="right"/>
              <w:rPr>
                <w:noProof/>
                <w:color w:val="000000"/>
              </w:rPr>
            </w:pPr>
            <w:r>
              <w:rPr>
                <w:noProof/>
                <w:color w:val="000000"/>
              </w:rPr>
              <w:t>-675,778,085.73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300" w:type="dxa"/>
            <w:tcBorders>
              <w:top w:val="nil"/>
              <w:left w:val="nil"/>
              <w:bottom w:val="nil"/>
              <w:right w:val="nil"/>
              <w:tl2br w:val="nil"/>
              <w:tr2bl w:val="nil"/>
            </w:tcBorders>
            <w:shd w:val="clear" w:color="auto" w:fill="auto"/>
            <w:tcMar>
              <w:left w:w="40" w:type="dxa"/>
              <w:right w:w="40" w:type="dxa"/>
            </w:tcMar>
            <w:vAlign w:val="center"/>
          </w:tcPr>
          <w:p>
            <w:pPr>
              <w:pStyle w:val="Normal28"/>
              <w:rPr>
                <w:noProof/>
                <w:color w:val="000000"/>
              </w:rPr>
            </w:pPr>
            <w:r>
              <w:rPr>
                <w:noProof/>
                <w:color w:val="000000"/>
              </w:rPr>
              <w:t>Change in carrying amount -  actuarial difference</w:t>
            </w:r>
          </w:p>
        </w:tc>
        <w:tc>
          <w:tcPr>
            <w:tcW w:w="2175" w:type="dxa"/>
            <w:tcBorders>
              <w:top w:val="nil"/>
              <w:left w:val="nil"/>
              <w:bottom w:val="nil"/>
              <w:right w:val="nil"/>
              <w:tl2br w:val="nil"/>
              <w:tr2bl w:val="nil"/>
            </w:tcBorders>
            <w:shd w:val="clear" w:color="auto" w:fill="auto"/>
            <w:tcMar>
              <w:left w:w="40" w:type="dxa"/>
              <w:right w:w="40" w:type="dxa"/>
            </w:tcMar>
            <w:vAlign w:val="center"/>
          </w:tcPr>
          <w:p>
            <w:pPr>
              <w:pStyle w:val="Normal28"/>
              <w:jc w:val="right"/>
              <w:rPr>
                <w:noProof/>
                <w:color w:val="000000"/>
              </w:rPr>
            </w:pPr>
            <w:r>
              <w:rPr>
                <w:noProof/>
                <w:color w:val="000000"/>
              </w:rPr>
              <w:t>-11,612,501.21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300" w:type="dxa"/>
            <w:tcBorders>
              <w:top w:val="nil"/>
              <w:left w:val="nil"/>
              <w:bottom w:val="nil"/>
              <w:right w:val="nil"/>
              <w:tl2br w:val="nil"/>
              <w:tr2bl w:val="nil"/>
            </w:tcBorders>
            <w:shd w:val="clear" w:color="auto" w:fill="auto"/>
            <w:tcMar>
              <w:left w:w="40" w:type="dxa"/>
              <w:right w:w="40" w:type="dxa"/>
            </w:tcMar>
            <w:vAlign w:val="center"/>
          </w:tcPr>
          <w:p>
            <w:pPr>
              <w:pStyle w:val="Normal28"/>
              <w:rPr>
                <w:noProof/>
                <w:color w:val="000000"/>
              </w:rPr>
            </w:pPr>
            <w:r>
              <w:rPr>
                <w:noProof/>
                <w:color w:val="000000"/>
              </w:rPr>
              <w:t>Change in accrued interest</w:t>
            </w:r>
          </w:p>
        </w:tc>
        <w:tc>
          <w:tcPr>
            <w:tcW w:w="2175" w:type="dxa"/>
            <w:tcBorders>
              <w:top w:val="nil"/>
              <w:left w:val="nil"/>
              <w:bottom w:val="nil"/>
              <w:right w:val="nil"/>
              <w:tl2br w:val="nil"/>
              <w:tr2bl w:val="nil"/>
            </w:tcBorders>
            <w:shd w:val="clear" w:color="auto" w:fill="auto"/>
            <w:tcMar>
              <w:left w:w="40" w:type="dxa"/>
              <w:right w:w="40" w:type="dxa"/>
            </w:tcMar>
            <w:vAlign w:val="center"/>
          </w:tcPr>
          <w:p>
            <w:pPr>
              <w:pStyle w:val="Normal28"/>
              <w:jc w:val="right"/>
              <w:rPr>
                <w:noProof/>
                <w:color w:val="000000"/>
              </w:rPr>
            </w:pPr>
            <w:r>
              <w:rPr>
                <w:noProof/>
                <w:color w:val="000000"/>
              </w:rPr>
              <w:t>-1,127,369.64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300"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8"/>
              <w:rPr>
                <w:noProof/>
                <w:color w:val="000000"/>
              </w:rPr>
            </w:pPr>
            <w:r>
              <w:rPr>
                <w:noProof/>
                <w:color w:val="000000"/>
              </w:rPr>
              <w:t>Change in fair value</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8"/>
              <w:jc w:val="right"/>
              <w:rPr>
                <w:noProof/>
                <w:color w:val="000000"/>
              </w:rPr>
            </w:pPr>
            <w:r>
              <w:rPr>
                <w:noProof/>
                <w:color w:val="000000"/>
              </w:rPr>
              <w:t>-12,793,591.79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3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pStyle w:val="Normal28"/>
              <w:rPr>
                <w:b/>
                <w:noProof/>
                <w:color w:val="000000"/>
              </w:rPr>
            </w:pPr>
            <w:r>
              <w:rPr>
                <w:b/>
                <w:noProof/>
                <w:color w:val="000000"/>
              </w:rPr>
              <w:t>Balance as amount at 31 December 2017</w:t>
            </w:r>
          </w:p>
        </w:tc>
        <w:tc>
          <w:tcPr>
            <w:tcW w:w="21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pStyle w:val="Normal28"/>
              <w:jc w:val="right"/>
              <w:rPr>
                <w:b/>
                <w:noProof/>
                <w:color w:val="000000"/>
              </w:rPr>
            </w:pPr>
            <w:r>
              <w:rPr>
                <w:b/>
                <w:noProof/>
                <w:color w:val="000000"/>
              </w:rPr>
              <w:t>2,198,742,276.84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300"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pStyle w:val="Normal28"/>
              <w:rPr>
                <w:noProof/>
                <w:color w:val="000000"/>
              </w:rPr>
            </w:pPr>
          </w:p>
        </w:tc>
        <w:tc>
          <w:tcPr>
            <w:tcW w:w="2175"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pStyle w:val="Normal28"/>
              <w:rPr>
                <w:noProof/>
                <w:color w:val="00000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300" w:type="dxa"/>
            <w:tcBorders>
              <w:top w:val="nil"/>
              <w:left w:val="nil"/>
              <w:bottom w:val="single" w:sz="4" w:space="0" w:color="000000"/>
              <w:right w:val="nil"/>
              <w:tl2br w:val="nil"/>
              <w:tr2bl w:val="nil"/>
            </w:tcBorders>
            <w:shd w:val="clear" w:color="auto" w:fill="auto"/>
            <w:noWrap/>
            <w:tcMar>
              <w:left w:w="0" w:type="dxa"/>
              <w:right w:w="0" w:type="dxa"/>
            </w:tcMar>
            <w:vAlign w:val="bottom"/>
          </w:tcPr>
          <w:p>
            <w:pPr>
              <w:pStyle w:val="Normal28"/>
              <w:rPr>
                <w:noProof/>
                <w:color w:val="000000"/>
              </w:rPr>
            </w:pPr>
          </w:p>
        </w:tc>
        <w:tc>
          <w:tcPr>
            <w:tcW w:w="2175" w:type="dxa"/>
            <w:tcBorders>
              <w:top w:val="nil"/>
              <w:left w:val="nil"/>
              <w:bottom w:val="single" w:sz="4" w:space="0" w:color="000000"/>
              <w:right w:val="nil"/>
              <w:tl2br w:val="nil"/>
              <w:tr2bl w:val="nil"/>
            </w:tcBorders>
            <w:shd w:val="clear" w:color="auto" w:fill="auto"/>
            <w:noWrap/>
            <w:tcMar>
              <w:left w:w="0" w:type="dxa"/>
              <w:right w:w="0" w:type="dxa"/>
            </w:tcMar>
            <w:vAlign w:val="bottom"/>
          </w:tcPr>
          <w:p>
            <w:pPr>
              <w:pStyle w:val="Normal28"/>
              <w:rPr>
                <w:noProof/>
                <w:color w:val="00000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3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pStyle w:val="Normal28"/>
              <w:rPr>
                <w:b/>
                <w:noProof/>
                <w:color w:val="000000"/>
              </w:rPr>
            </w:pPr>
            <w:r>
              <w:rPr>
                <w:b/>
                <w:noProof/>
                <w:color w:val="000000"/>
              </w:rPr>
              <w:t>Balance as at 1 January 2018</w:t>
            </w:r>
          </w:p>
        </w:tc>
        <w:tc>
          <w:tcPr>
            <w:tcW w:w="21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pStyle w:val="Normal28"/>
              <w:jc w:val="right"/>
              <w:rPr>
                <w:b/>
                <w:noProof/>
                <w:color w:val="000000"/>
              </w:rPr>
            </w:pPr>
            <w:r>
              <w:rPr>
                <w:b/>
                <w:noProof/>
                <w:color w:val="000000"/>
              </w:rPr>
              <w:t>2,198,742,276.84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300" w:type="dxa"/>
            <w:tcBorders>
              <w:top w:val="single" w:sz="4" w:space="0" w:color="000000"/>
              <w:left w:val="nil"/>
              <w:bottom w:val="nil"/>
              <w:right w:val="nil"/>
              <w:tl2br w:val="nil"/>
              <w:tr2bl w:val="nil"/>
            </w:tcBorders>
            <w:shd w:val="clear" w:color="auto" w:fill="auto"/>
            <w:tcMar>
              <w:left w:w="40" w:type="dxa"/>
              <w:right w:w="40" w:type="dxa"/>
            </w:tcMar>
            <w:vAlign w:val="center"/>
          </w:tcPr>
          <w:p>
            <w:pPr>
              <w:pStyle w:val="Normal28"/>
              <w:rPr>
                <w:noProof/>
                <w:color w:val="000000"/>
              </w:rPr>
            </w:pPr>
            <w:r>
              <w:rPr>
                <w:noProof/>
                <w:color w:val="000000"/>
              </w:rPr>
              <w:t>Acquisitions</w:t>
            </w:r>
          </w:p>
        </w:tc>
        <w:tc>
          <w:tcPr>
            <w:tcW w:w="2175" w:type="dxa"/>
            <w:tcBorders>
              <w:top w:val="single" w:sz="4" w:space="0" w:color="000000"/>
              <w:left w:val="nil"/>
              <w:bottom w:val="nil"/>
              <w:right w:val="nil"/>
              <w:tl2br w:val="nil"/>
              <w:tr2bl w:val="nil"/>
            </w:tcBorders>
            <w:shd w:val="clear" w:color="auto" w:fill="auto"/>
            <w:tcMar>
              <w:left w:w="40" w:type="dxa"/>
              <w:right w:w="40" w:type="dxa"/>
            </w:tcMar>
            <w:vAlign w:val="center"/>
          </w:tcPr>
          <w:p>
            <w:pPr>
              <w:pStyle w:val="Normal28"/>
              <w:jc w:val="right"/>
              <w:rPr>
                <w:noProof/>
                <w:color w:val="000000"/>
              </w:rPr>
            </w:pPr>
            <w:r>
              <w:rPr>
                <w:noProof/>
                <w:color w:val="000000"/>
              </w:rPr>
              <w:t>1,067,048,346.00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300" w:type="dxa"/>
            <w:tcBorders>
              <w:top w:val="nil"/>
              <w:left w:val="nil"/>
              <w:bottom w:val="nil"/>
              <w:right w:val="nil"/>
              <w:tl2br w:val="nil"/>
              <w:tr2bl w:val="nil"/>
            </w:tcBorders>
            <w:shd w:val="clear" w:color="auto" w:fill="auto"/>
            <w:tcMar>
              <w:left w:w="40" w:type="dxa"/>
              <w:right w:w="40" w:type="dxa"/>
            </w:tcMar>
            <w:vAlign w:val="center"/>
          </w:tcPr>
          <w:p>
            <w:pPr>
              <w:pStyle w:val="Normal28"/>
              <w:rPr>
                <w:noProof/>
                <w:color w:val="000000"/>
              </w:rPr>
            </w:pPr>
            <w:r>
              <w:rPr>
                <w:noProof/>
                <w:color w:val="000000"/>
              </w:rPr>
              <w:t>Disposals and withdrawals (original acquisition cost)</w:t>
            </w:r>
          </w:p>
        </w:tc>
        <w:tc>
          <w:tcPr>
            <w:tcW w:w="2175" w:type="dxa"/>
            <w:tcBorders>
              <w:top w:val="nil"/>
              <w:left w:val="nil"/>
              <w:bottom w:val="nil"/>
              <w:right w:val="nil"/>
              <w:tl2br w:val="nil"/>
              <w:tr2bl w:val="nil"/>
            </w:tcBorders>
            <w:shd w:val="clear" w:color="auto" w:fill="auto"/>
            <w:tcMar>
              <w:left w:w="40" w:type="dxa"/>
              <w:right w:w="40" w:type="dxa"/>
            </w:tcMar>
            <w:vAlign w:val="center"/>
          </w:tcPr>
          <w:p>
            <w:pPr>
              <w:pStyle w:val="Normal28"/>
              <w:jc w:val="right"/>
              <w:rPr>
                <w:noProof/>
                <w:color w:val="000000"/>
              </w:rPr>
            </w:pPr>
            <w:r>
              <w:rPr>
                <w:noProof/>
                <w:color w:val="000000"/>
              </w:rPr>
              <w:t>-781,103,640.60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300" w:type="dxa"/>
            <w:tcBorders>
              <w:top w:val="nil"/>
              <w:left w:val="nil"/>
              <w:bottom w:val="nil"/>
              <w:right w:val="nil"/>
              <w:tl2br w:val="nil"/>
              <w:tr2bl w:val="nil"/>
            </w:tcBorders>
            <w:shd w:val="clear" w:color="auto" w:fill="auto"/>
            <w:tcMar>
              <w:left w:w="40" w:type="dxa"/>
              <w:right w:w="40" w:type="dxa"/>
            </w:tcMar>
            <w:vAlign w:val="center"/>
          </w:tcPr>
          <w:p>
            <w:pPr>
              <w:pStyle w:val="Normal28"/>
              <w:rPr>
                <w:noProof/>
                <w:color w:val="000000"/>
              </w:rPr>
            </w:pPr>
            <w:r>
              <w:rPr>
                <w:noProof/>
                <w:color w:val="000000"/>
              </w:rPr>
              <w:t>Change in carrying amount -  actuarial difference</w:t>
            </w:r>
          </w:p>
        </w:tc>
        <w:tc>
          <w:tcPr>
            <w:tcW w:w="2175" w:type="dxa"/>
            <w:tcBorders>
              <w:top w:val="nil"/>
              <w:left w:val="nil"/>
              <w:bottom w:val="nil"/>
              <w:right w:val="nil"/>
              <w:tl2br w:val="nil"/>
              <w:tr2bl w:val="nil"/>
            </w:tcBorders>
            <w:shd w:val="clear" w:color="auto" w:fill="auto"/>
            <w:tcMar>
              <w:left w:w="40" w:type="dxa"/>
              <w:right w:w="40" w:type="dxa"/>
            </w:tcMar>
            <w:vAlign w:val="center"/>
          </w:tcPr>
          <w:p>
            <w:pPr>
              <w:pStyle w:val="Normal28"/>
              <w:jc w:val="right"/>
              <w:rPr>
                <w:noProof/>
                <w:color w:val="000000"/>
              </w:rPr>
            </w:pPr>
            <w:r>
              <w:rPr>
                <w:noProof/>
                <w:color w:val="000000"/>
              </w:rPr>
              <w:t>-8,036,194.38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300" w:type="dxa"/>
            <w:tcBorders>
              <w:top w:val="nil"/>
              <w:left w:val="nil"/>
              <w:bottom w:val="nil"/>
              <w:right w:val="nil"/>
              <w:tl2br w:val="nil"/>
              <w:tr2bl w:val="nil"/>
            </w:tcBorders>
            <w:shd w:val="clear" w:color="auto" w:fill="auto"/>
            <w:tcMar>
              <w:left w:w="40" w:type="dxa"/>
              <w:right w:w="40" w:type="dxa"/>
            </w:tcMar>
            <w:vAlign w:val="center"/>
          </w:tcPr>
          <w:p>
            <w:pPr>
              <w:pStyle w:val="Normal28"/>
              <w:rPr>
                <w:noProof/>
                <w:color w:val="000000"/>
              </w:rPr>
            </w:pPr>
            <w:r>
              <w:rPr>
                <w:noProof/>
                <w:color w:val="000000"/>
              </w:rPr>
              <w:t>Change in accrued interest</w:t>
            </w:r>
          </w:p>
        </w:tc>
        <w:tc>
          <w:tcPr>
            <w:tcW w:w="2175" w:type="dxa"/>
            <w:tcBorders>
              <w:top w:val="nil"/>
              <w:left w:val="nil"/>
              <w:bottom w:val="nil"/>
              <w:right w:val="nil"/>
              <w:tl2br w:val="nil"/>
              <w:tr2bl w:val="nil"/>
            </w:tcBorders>
            <w:shd w:val="clear" w:color="auto" w:fill="auto"/>
            <w:tcMar>
              <w:left w:w="40" w:type="dxa"/>
              <w:right w:w="40" w:type="dxa"/>
            </w:tcMar>
            <w:vAlign w:val="center"/>
          </w:tcPr>
          <w:p>
            <w:pPr>
              <w:pStyle w:val="Normal28"/>
              <w:jc w:val="right"/>
              <w:rPr>
                <w:noProof/>
                <w:color w:val="000000"/>
              </w:rPr>
            </w:pPr>
            <w:r>
              <w:rPr>
                <w:noProof/>
                <w:color w:val="000000"/>
              </w:rPr>
              <w:t>-1,077,164.65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300"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8"/>
              <w:rPr>
                <w:noProof/>
                <w:color w:val="000000"/>
              </w:rPr>
            </w:pPr>
            <w:r>
              <w:rPr>
                <w:noProof/>
                <w:color w:val="000000"/>
              </w:rPr>
              <w:t>Change in fair value</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28"/>
              <w:jc w:val="right"/>
              <w:rPr>
                <w:noProof/>
                <w:color w:val="000000"/>
              </w:rPr>
            </w:pPr>
            <w:r>
              <w:rPr>
                <w:noProof/>
                <w:color w:val="000000"/>
              </w:rPr>
              <w:t>-10,472,862.98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6300"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pStyle w:val="Normal28"/>
              <w:rPr>
                <w:b/>
                <w:noProof/>
                <w:color w:val="000000"/>
              </w:rPr>
            </w:pPr>
            <w:r>
              <w:rPr>
                <w:b/>
                <w:noProof/>
                <w:color w:val="000000"/>
              </w:rPr>
              <w:t>Balance as at 31 December 2018</w:t>
            </w:r>
          </w:p>
        </w:tc>
        <w:tc>
          <w:tcPr>
            <w:tcW w:w="21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pStyle w:val="Normal28"/>
              <w:jc w:val="right"/>
              <w:rPr>
                <w:b/>
                <w:noProof/>
                <w:color w:val="000000"/>
              </w:rPr>
            </w:pPr>
            <w:r>
              <w:rPr>
                <w:b/>
                <w:noProof/>
                <w:color w:val="000000"/>
              </w:rPr>
              <w:t>2,465,100,760.23</w:t>
            </w:r>
          </w:p>
        </w:tc>
      </w:tr>
    </w:tbl>
    <w:p>
      <w:pPr>
        <w:pStyle w:val="Normal29"/>
        <w:rPr>
          <w:rFonts w:ascii="Times New Roman" w:hAnsi="Times New Roman"/>
          <w:noProof/>
          <w:sz w:val="24"/>
          <w:szCs w:val="24"/>
        </w:rPr>
      </w:pPr>
    </w:p>
    <w:p>
      <w:pPr>
        <w:pStyle w:val="Text1"/>
        <w:rPr>
          <w:noProof/>
        </w:rPr>
      </w:pPr>
    </w:p>
    <w:p>
      <w:pPr>
        <w:pStyle w:val="Text1"/>
        <w:rPr>
          <w:noProof/>
        </w:rPr>
      </w:pPr>
    </w:p>
    <w:p>
      <w:pPr>
        <w:pStyle w:val="Text1"/>
        <w:rPr>
          <w:noProof/>
        </w:rPr>
      </w:pPr>
    </w:p>
    <w:p>
      <w:pPr>
        <w:pStyle w:val="Text1"/>
        <w:rPr>
          <w:noProof/>
          <w:color w:val="000000"/>
          <w:lang w:eastAsia="en-GB"/>
        </w:rPr>
      </w:pPr>
      <w:r>
        <w:rPr>
          <w:noProof/>
        </w:rPr>
        <w:t>As at 31 December 2018 the nominal value of the investment portfolio was EUR 2,399.4 million (2017: EUR 2,</w:t>
      </w:r>
      <w:r>
        <w:rPr>
          <w:iCs/>
          <w:noProof/>
          <w:bdr w:val="nil"/>
          <w:lang w:eastAsia="en-US"/>
        </w:rPr>
        <w:t>101</w:t>
      </w:r>
      <w:r>
        <w:rPr>
          <w:noProof/>
        </w:rPr>
        <w:t xml:space="preserve">.2 million), </w:t>
      </w:r>
      <w:r>
        <w:rPr>
          <w:iCs/>
          <w:noProof/>
          <w:bdr w:val="nil"/>
          <w:lang w:eastAsia="en-US"/>
        </w:rPr>
        <w:t>against</w:t>
      </w:r>
      <w:r>
        <w:rPr>
          <w:noProof/>
        </w:rPr>
        <w:t xml:space="preserve"> a market value of EUR 2,451.9 million (2017: EUR 2,184.5 million), excluding accrued interest.</w:t>
      </w:r>
    </w:p>
    <w:p>
      <w:pPr>
        <w:pStyle w:val="Text1"/>
        <w:rPr>
          <w:noProof/>
          <w:color w:val="000000"/>
          <w:lang w:eastAsia="en-GB"/>
        </w:rPr>
      </w:pPr>
      <w:r>
        <w:rPr>
          <w:noProof/>
        </w:rPr>
        <w:t>Accrued interest as at 31 December 2018 amounting to EUR 13,186,177.35</w:t>
      </w:r>
      <w:r>
        <w:rPr>
          <w:noProof/>
          <w:color w:val="000000"/>
          <w:lang w:eastAsia="en-GB"/>
        </w:rPr>
        <w:t xml:space="preserve"> </w:t>
      </w:r>
      <w:r>
        <w:rPr>
          <w:noProof/>
        </w:rPr>
        <w:t>(2017: EUR 14,263,342.00) is split between:</w:t>
      </w:r>
    </w:p>
    <w:p>
      <w:pPr>
        <w:pStyle w:val="Normal29"/>
        <w:numPr>
          <w:ilvl w:val="0"/>
          <w:numId w:val="47"/>
        </w:numPr>
        <w:tabs>
          <w:tab w:val="left" w:pos="3119"/>
        </w:tabs>
        <w:rPr>
          <w:rFonts w:ascii="Times New Roman" w:hAnsi="Times New Roman"/>
          <w:noProof/>
          <w:sz w:val="24"/>
          <w:szCs w:val="24"/>
        </w:rPr>
      </w:pPr>
      <w:r>
        <w:rPr>
          <w:rFonts w:ascii="Times New Roman" w:hAnsi="Times New Roman"/>
          <w:noProof/>
          <w:sz w:val="24"/>
          <w:szCs w:val="24"/>
        </w:rPr>
        <w:t>Fixed rate notes</w:t>
      </w:r>
      <w:r>
        <w:rPr>
          <w:rFonts w:ascii="Times New Roman" w:hAnsi="Times New Roman"/>
          <w:noProof/>
          <w:sz w:val="24"/>
          <w:szCs w:val="24"/>
        </w:rPr>
        <w:tab/>
        <w:t>EUR 13,109,531.34 (2017: EUR 14,238,402.84);</w:t>
      </w:r>
    </w:p>
    <w:p>
      <w:pPr>
        <w:pStyle w:val="Normal29"/>
        <w:numPr>
          <w:ilvl w:val="0"/>
          <w:numId w:val="47"/>
        </w:numPr>
        <w:tabs>
          <w:tab w:val="left" w:pos="3119"/>
        </w:tabs>
        <w:rPr>
          <w:rFonts w:ascii="Times New Roman" w:hAnsi="Times New Roman"/>
          <w:noProof/>
          <w:sz w:val="24"/>
          <w:szCs w:val="24"/>
        </w:rPr>
      </w:pPr>
      <w:r>
        <w:rPr>
          <w:rFonts w:ascii="Times New Roman" w:hAnsi="Times New Roman"/>
          <w:noProof/>
          <w:sz w:val="24"/>
          <w:szCs w:val="24"/>
        </w:rPr>
        <w:t>Floating rate notes</w:t>
      </w:r>
      <w:r>
        <w:rPr>
          <w:rFonts w:ascii="Times New Roman" w:hAnsi="Times New Roman"/>
          <w:noProof/>
          <w:sz w:val="24"/>
          <w:szCs w:val="24"/>
        </w:rPr>
        <w:tab/>
        <w:t>EUR 76,646.01 (2017: EUR 24,939.16).</w:t>
      </w:r>
    </w:p>
    <w:p>
      <w:pPr>
        <w:pStyle w:val="Text1"/>
        <w:rPr>
          <w:noProof/>
        </w:rPr>
      </w:pPr>
      <w:r>
        <w:rPr>
          <w:noProof/>
        </w:rPr>
        <w:t>As at 31 December 2018 the market value of securities lent within the automatic security lending agreement with Euroclear (excluding accrued interest) amounts to EUR 11,281,092.69 (2017: EUR 9,521,272.29).</w:t>
      </w:r>
    </w:p>
    <w:p>
      <w:pPr>
        <w:pStyle w:val="ManualHeading2"/>
        <w:rPr>
          <w:noProof/>
        </w:rPr>
      </w:pPr>
      <w:bookmarkStart w:id="114" w:name="_Toc449626538"/>
      <w:bookmarkStart w:id="115" w:name="_Toc449626311"/>
      <w:bookmarkStart w:id="116" w:name="_Toc449022486"/>
      <w:bookmarkStart w:id="117" w:name="_Toc448929188"/>
      <w:bookmarkStart w:id="118" w:name="_Toc6923144"/>
      <w:r>
        <w:t>3.6.</w:t>
      </w:r>
      <w:r>
        <w:tab/>
      </w:r>
      <w:r>
        <w:rPr>
          <w:noProof/>
        </w:rPr>
        <w:t>Cash and cash equivalents</w:t>
      </w:r>
      <w:bookmarkEnd w:id="114"/>
      <w:bookmarkEnd w:id="115"/>
      <w:bookmarkEnd w:id="116"/>
      <w:bookmarkEnd w:id="117"/>
      <w:bookmarkEnd w:id="118"/>
    </w:p>
    <w:p>
      <w:pPr>
        <w:pStyle w:val="Normal30"/>
        <w:rPr>
          <w:rFonts w:ascii="Times New Roman" w:hAnsi="Times New Roman"/>
          <w:noProof/>
          <w:sz w:val="24"/>
          <w:szCs w:val="24"/>
        </w:rPr>
      </w:pPr>
      <w:bookmarkStart w:id="119" w:name="_Toc449626539"/>
      <w:bookmarkStart w:id="120" w:name="_Toc449626312"/>
      <w:bookmarkStart w:id="121" w:name="_Toc449022487"/>
      <w:bookmarkStart w:id="122" w:name="_Toc448929189"/>
      <w:r>
        <w:rPr>
          <w:rFonts w:ascii="Times New Roman" w:hAnsi="Times New Roman"/>
          <w:noProof/>
          <w:sz w:val="24"/>
          <w:szCs w:val="24"/>
        </w:rPr>
        <w:t>The following table shows the split of cash and cash equivalents (including accrued interest) (in EUR):</w:t>
      </w:r>
    </w:p>
    <w:tbl>
      <w:tblPr>
        <w:tblStyle w:val="CDMRange17"/>
        <w:tblW w:w="9975" w:type="dxa"/>
        <w:tblLayout w:type="fixed"/>
        <w:tblLook w:val="0600" w:firstRow="0" w:lastRow="0" w:firstColumn="0" w:lastColumn="0" w:noHBand="1" w:noVBand="1"/>
      </w:tblPr>
      <w:tblGrid>
        <w:gridCol w:w="5625"/>
        <w:gridCol w:w="2175"/>
        <w:gridCol w:w="2175"/>
      </w:tblGrid>
      <w:tr>
        <w:trPr>
          <w:trHeight w:val="255"/>
        </w:trPr>
        <w:tc>
          <w:tcPr>
            <w:tcW w:w="562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31"/>
              <w:rPr>
                <w:b/>
                <w:noProof/>
                <w:color w:val="000000"/>
              </w:rPr>
            </w:pPr>
            <w:r>
              <w:rPr>
                <w:b/>
                <w:noProof/>
                <w:color w:val="000000"/>
              </w:rPr>
              <w:t>Description</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31"/>
              <w:jc w:val="right"/>
              <w:rPr>
                <w:b/>
                <w:noProof/>
                <w:color w:val="000000"/>
              </w:rPr>
            </w:pPr>
            <w:r>
              <w:rPr>
                <w:b/>
                <w:noProof/>
                <w:color w:val="000000"/>
              </w:rPr>
              <w:t>31.12.2018</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31"/>
              <w:jc w:val="right"/>
              <w:rPr>
                <w:b/>
                <w:noProof/>
                <w:color w:val="000000"/>
              </w:rPr>
            </w:pPr>
            <w:r>
              <w:rPr>
                <w:b/>
                <w:noProof/>
                <w:color w:val="000000"/>
              </w:rPr>
              <w:t>31.12.2017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25" w:type="dxa"/>
            <w:tcBorders>
              <w:top w:val="single" w:sz="4" w:space="0" w:color="000000"/>
              <w:left w:val="nil"/>
              <w:bottom w:val="nil"/>
              <w:right w:val="nil"/>
              <w:tl2br w:val="nil"/>
              <w:tr2bl w:val="nil"/>
            </w:tcBorders>
            <w:shd w:val="clear" w:color="auto" w:fill="auto"/>
            <w:tcMar>
              <w:left w:w="0" w:type="dxa"/>
              <w:right w:w="0" w:type="dxa"/>
            </w:tcMar>
            <w:vAlign w:val="center"/>
          </w:tcPr>
          <w:p>
            <w:pPr>
              <w:pStyle w:val="Normal31"/>
              <w:rPr>
                <w:i/>
                <w:noProof/>
                <w:color w:val="000000"/>
              </w:rPr>
            </w:pPr>
          </w:p>
        </w:tc>
        <w:tc>
          <w:tcPr>
            <w:tcW w:w="2175" w:type="dxa"/>
            <w:tcBorders>
              <w:top w:val="single" w:sz="4" w:space="0" w:color="000000"/>
              <w:left w:val="nil"/>
              <w:bottom w:val="nil"/>
              <w:right w:val="nil"/>
              <w:tl2br w:val="nil"/>
              <w:tr2bl w:val="nil"/>
            </w:tcBorders>
            <w:shd w:val="clear" w:color="auto" w:fill="auto"/>
            <w:tcMar>
              <w:left w:w="0" w:type="dxa"/>
              <w:right w:w="0" w:type="dxa"/>
            </w:tcMar>
            <w:vAlign w:val="center"/>
          </w:tcPr>
          <w:p>
            <w:pPr>
              <w:pStyle w:val="Normal31"/>
              <w:rPr>
                <w:noProof/>
                <w:color w:val="000000"/>
              </w:rPr>
            </w:pPr>
          </w:p>
        </w:tc>
        <w:tc>
          <w:tcPr>
            <w:tcW w:w="2175" w:type="dxa"/>
            <w:tcBorders>
              <w:top w:val="single" w:sz="4" w:space="0" w:color="000000"/>
              <w:left w:val="nil"/>
              <w:bottom w:val="nil"/>
              <w:right w:val="nil"/>
              <w:tl2br w:val="nil"/>
              <w:tr2bl w:val="nil"/>
            </w:tcBorders>
            <w:shd w:val="clear" w:color="auto" w:fill="auto"/>
            <w:tcMar>
              <w:left w:w="0" w:type="dxa"/>
              <w:right w:w="0" w:type="dxa"/>
            </w:tcMar>
            <w:vAlign w:val="center"/>
          </w:tcPr>
          <w:p>
            <w:pPr>
              <w:pStyle w:val="Normal31"/>
              <w:rPr>
                <w:noProof/>
                <w:color w:val="00000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25" w:type="dxa"/>
            <w:tcBorders>
              <w:top w:val="nil"/>
              <w:left w:val="nil"/>
              <w:bottom w:val="nil"/>
              <w:right w:val="nil"/>
              <w:tl2br w:val="nil"/>
              <w:tr2bl w:val="nil"/>
            </w:tcBorders>
            <w:shd w:val="clear" w:color="auto" w:fill="auto"/>
            <w:tcMar>
              <w:left w:w="40" w:type="dxa"/>
              <w:right w:w="40" w:type="dxa"/>
            </w:tcMar>
            <w:vAlign w:val="center"/>
          </w:tcPr>
          <w:p>
            <w:pPr>
              <w:pStyle w:val="Normal31"/>
              <w:rPr>
                <w:noProof/>
                <w:color w:val="000000"/>
              </w:rPr>
            </w:pPr>
            <w:r>
              <w:rPr>
                <w:noProof/>
                <w:color w:val="000000"/>
              </w:rPr>
              <w:t>Current accounts</w:t>
            </w:r>
          </w:p>
        </w:tc>
        <w:tc>
          <w:tcPr>
            <w:tcW w:w="2175" w:type="dxa"/>
            <w:tcBorders>
              <w:top w:val="nil"/>
              <w:left w:val="nil"/>
              <w:bottom w:val="nil"/>
              <w:right w:val="nil"/>
              <w:tl2br w:val="nil"/>
              <w:tr2bl w:val="nil"/>
            </w:tcBorders>
            <w:shd w:val="clear" w:color="auto" w:fill="auto"/>
            <w:tcMar>
              <w:left w:w="40" w:type="dxa"/>
              <w:right w:w="40" w:type="dxa"/>
            </w:tcMar>
            <w:vAlign w:val="center"/>
          </w:tcPr>
          <w:p>
            <w:pPr>
              <w:pStyle w:val="Normal31"/>
              <w:jc w:val="right"/>
              <w:rPr>
                <w:noProof/>
                <w:color w:val="000000"/>
              </w:rPr>
            </w:pPr>
            <w:r>
              <w:rPr>
                <w:noProof/>
                <w:color w:val="000000"/>
              </w:rPr>
              <w:t>27,567,035.62</w:t>
            </w:r>
          </w:p>
        </w:tc>
        <w:tc>
          <w:tcPr>
            <w:tcW w:w="2175" w:type="dxa"/>
            <w:tcBorders>
              <w:top w:val="nil"/>
              <w:left w:val="nil"/>
              <w:bottom w:val="nil"/>
              <w:right w:val="nil"/>
              <w:tl2br w:val="nil"/>
              <w:tr2bl w:val="nil"/>
            </w:tcBorders>
            <w:shd w:val="clear" w:color="auto" w:fill="auto"/>
            <w:tcMar>
              <w:left w:w="40" w:type="dxa"/>
              <w:right w:w="40" w:type="dxa"/>
            </w:tcMar>
            <w:vAlign w:val="center"/>
          </w:tcPr>
          <w:p>
            <w:pPr>
              <w:pStyle w:val="Normal31"/>
              <w:jc w:val="right"/>
              <w:rPr>
                <w:noProof/>
                <w:color w:val="000000"/>
              </w:rPr>
            </w:pPr>
            <w:r>
              <w:rPr>
                <w:noProof/>
                <w:color w:val="000000"/>
              </w:rPr>
              <w:t>45,569,131.18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25" w:type="dxa"/>
            <w:tcBorders>
              <w:top w:val="nil"/>
              <w:left w:val="nil"/>
              <w:bottom w:val="nil"/>
              <w:right w:val="nil"/>
              <w:tl2br w:val="nil"/>
              <w:tr2bl w:val="nil"/>
            </w:tcBorders>
            <w:shd w:val="clear" w:color="auto" w:fill="auto"/>
            <w:tcMar>
              <w:left w:w="40" w:type="dxa"/>
              <w:right w:w="40" w:type="dxa"/>
            </w:tcMar>
            <w:vAlign w:val="center"/>
          </w:tcPr>
          <w:p>
            <w:pPr>
              <w:pStyle w:val="Normal31"/>
              <w:rPr>
                <w:noProof/>
                <w:color w:val="000000"/>
              </w:rPr>
            </w:pPr>
            <w:r>
              <w:rPr>
                <w:noProof/>
                <w:color w:val="000000"/>
              </w:rPr>
              <w:t>Short-term deposits</w:t>
            </w:r>
          </w:p>
        </w:tc>
        <w:tc>
          <w:tcPr>
            <w:tcW w:w="2175" w:type="dxa"/>
            <w:tcBorders>
              <w:top w:val="nil"/>
              <w:left w:val="nil"/>
              <w:bottom w:val="nil"/>
              <w:right w:val="nil"/>
              <w:tl2br w:val="nil"/>
              <w:tr2bl w:val="nil"/>
            </w:tcBorders>
            <w:shd w:val="clear" w:color="auto" w:fill="auto"/>
            <w:tcMar>
              <w:left w:w="40" w:type="dxa"/>
              <w:right w:w="40" w:type="dxa"/>
            </w:tcMar>
            <w:vAlign w:val="center"/>
          </w:tcPr>
          <w:p>
            <w:pPr>
              <w:pStyle w:val="Normal31"/>
              <w:jc w:val="right"/>
              <w:rPr>
                <w:noProof/>
                <w:color w:val="000000"/>
              </w:rPr>
            </w:pPr>
            <w:r>
              <w:rPr>
                <w:noProof/>
                <w:color w:val="000000"/>
              </w:rPr>
              <w:t>13,991,016.66</w:t>
            </w:r>
          </w:p>
        </w:tc>
        <w:tc>
          <w:tcPr>
            <w:tcW w:w="2175" w:type="dxa"/>
            <w:tcBorders>
              <w:top w:val="nil"/>
              <w:left w:val="nil"/>
              <w:bottom w:val="nil"/>
              <w:right w:val="nil"/>
              <w:tl2br w:val="nil"/>
              <w:tr2bl w:val="nil"/>
            </w:tcBorders>
            <w:shd w:val="clear" w:color="auto" w:fill="auto"/>
            <w:tcMar>
              <w:left w:w="40" w:type="dxa"/>
              <w:right w:w="40" w:type="dxa"/>
            </w:tcMar>
            <w:vAlign w:val="center"/>
          </w:tcPr>
          <w:p>
            <w:pPr>
              <w:pStyle w:val="Normal31"/>
              <w:jc w:val="right"/>
              <w:rPr>
                <w:noProof/>
                <w:color w:val="000000"/>
              </w:rPr>
            </w:pPr>
            <w:r>
              <w:rPr>
                <w:noProof/>
                <w:color w:val="000000"/>
              </w:rPr>
              <w:t>178,513,621.73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2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31"/>
              <w:rPr>
                <w:i/>
                <w:noProof/>
                <w:color w:val="000000"/>
              </w:rPr>
            </w:pPr>
            <w:r>
              <w:rPr>
                <w:i/>
                <w:noProof/>
                <w:color w:val="000000"/>
              </w:rPr>
              <w:t>of which accrued interest</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31"/>
              <w:jc w:val="right"/>
              <w:rPr>
                <w:i/>
                <w:noProof/>
                <w:color w:val="000000"/>
              </w:rPr>
            </w:pPr>
            <w:r>
              <w:rPr>
                <w:i/>
                <w:noProof/>
                <w:color w:val="000000"/>
              </w:rPr>
              <w:t>-8,983.34</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31"/>
              <w:jc w:val="right"/>
              <w:rPr>
                <w:i/>
                <w:noProof/>
                <w:color w:val="000000"/>
              </w:rPr>
            </w:pPr>
            <w:r>
              <w:rPr>
                <w:i/>
                <w:noProof/>
                <w:color w:val="000000"/>
              </w:rPr>
              <w:t>-86,378.27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2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pStyle w:val="Normal31"/>
              <w:rPr>
                <w:b/>
                <w:noProof/>
                <w:color w:val="000000"/>
              </w:rPr>
            </w:pPr>
            <w:r>
              <w:rPr>
                <w:b/>
                <w:noProof/>
                <w:color w:val="000000"/>
              </w:rPr>
              <w:t>Total</w:t>
            </w:r>
          </w:p>
        </w:tc>
        <w:tc>
          <w:tcPr>
            <w:tcW w:w="21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pStyle w:val="Normal31"/>
              <w:jc w:val="right"/>
              <w:rPr>
                <w:b/>
                <w:noProof/>
                <w:color w:val="000000"/>
              </w:rPr>
            </w:pPr>
            <w:r>
              <w:rPr>
                <w:b/>
                <w:noProof/>
                <w:color w:val="000000"/>
              </w:rPr>
              <w:t>41,558,052.28</w:t>
            </w:r>
          </w:p>
        </w:tc>
        <w:tc>
          <w:tcPr>
            <w:tcW w:w="2175" w:type="dxa"/>
            <w:tcBorders>
              <w:top w:val="single" w:sz="4" w:space="0" w:color="000000"/>
              <w:left w:val="nil"/>
              <w:bottom w:val="single" w:sz="4" w:space="0" w:color="000000"/>
              <w:right w:val="nil"/>
              <w:tl2br w:val="nil"/>
              <w:tr2bl w:val="nil"/>
            </w:tcBorders>
            <w:shd w:val="clear" w:color="FFFFFF" w:fill="BFBFBF"/>
            <w:tcMar>
              <w:left w:w="40" w:type="dxa"/>
              <w:right w:w="40" w:type="dxa"/>
            </w:tcMar>
            <w:vAlign w:val="center"/>
          </w:tcPr>
          <w:p>
            <w:pPr>
              <w:pStyle w:val="Normal31"/>
              <w:jc w:val="right"/>
              <w:rPr>
                <w:b/>
                <w:noProof/>
                <w:color w:val="000000"/>
              </w:rPr>
            </w:pPr>
            <w:r>
              <w:rPr>
                <w:b/>
                <w:noProof/>
                <w:color w:val="000000"/>
              </w:rPr>
              <w:t>224,082,752.91</w:t>
            </w:r>
          </w:p>
        </w:tc>
      </w:tr>
    </w:tbl>
    <w:p>
      <w:pPr>
        <w:pBdr>
          <w:top w:val="nil"/>
          <w:left w:val="nil"/>
          <w:bottom w:val="nil"/>
          <w:right w:val="nil"/>
          <w:between w:val="nil"/>
          <w:bar w:val="nil"/>
        </w:pBdr>
        <w:rPr>
          <w:noProof/>
          <w:bdr w:val="nil"/>
        </w:rPr>
      </w:pPr>
    </w:p>
    <w:p>
      <w:pPr>
        <w:pStyle w:val="ManualHeading2"/>
        <w:rPr>
          <w:noProof/>
        </w:rPr>
      </w:pPr>
      <w:bookmarkStart w:id="123" w:name="_Toc6923145"/>
      <w:r>
        <w:t>3.7.</w:t>
      </w:r>
      <w:r>
        <w:tab/>
      </w:r>
      <w:r>
        <w:rPr>
          <w:noProof/>
        </w:rPr>
        <w:t>Recovery fees</w:t>
      </w:r>
      <w:bookmarkEnd w:id="123"/>
    </w:p>
    <w:p>
      <w:pPr>
        <w:pStyle w:val="Text1"/>
        <w:rPr>
          <w:noProof/>
          <w:bdr w:val="nil"/>
          <w:lang w:val="en-US"/>
        </w:rPr>
      </w:pPr>
      <w:r>
        <w:rPr>
          <w:noProof/>
          <w:bdr w:val="nil"/>
          <w:lang w:val="en-US"/>
        </w:rPr>
        <w:t xml:space="preserve">According to the Recovery Agreement dated 3 October 2018 the EU shall reimburse EIB for external costs and expenses incurred by it </w:t>
      </w:r>
      <w:r>
        <w:rPr>
          <w:noProof/>
        </w:rPr>
        <w:t>in</w:t>
      </w:r>
      <w:r>
        <w:rPr>
          <w:noProof/>
          <w:bdr w:val="nil"/>
          <w:lang w:val="en-US"/>
        </w:rPr>
        <w:t xml:space="preserve"> the course of execution of the recovery proceedings.</w:t>
      </w:r>
    </w:p>
    <w:p>
      <w:pPr>
        <w:pStyle w:val="Text1"/>
        <w:rPr>
          <w:rFonts w:eastAsia="Calibri"/>
          <w:b/>
          <w:noProof/>
          <w:bdr w:val="nil"/>
          <w:lang w:val="en-US"/>
        </w:rPr>
      </w:pPr>
      <w:r>
        <w:rPr>
          <w:rFonts w:eastAsia="Calibri"/>
          <w:noProof/>
          <w:bdr w:val="nil"/>
          <w:lang w:val="en-US"/>
        </w:rPr>
        <w:t xml:space="preserve">During the reporting year 2018, </w:t>
      </w:r>
      <w:r>
        <w:rPr>
          <w:noProof/>
        </w:rPr>
        <w:t>recovery</w:t>
      </w:r>
      <w:r>
        <w:rPr>
          <w:rFonts w:eastAsia="Calibri"/>
          <w:noProof/>
          <w:bdr w:val="nil"/>
          <w:lang w:val="en-US"/>
        </w:rPr>
        <w:t xml:space="preserve"> fees were amounting to EUR 1,901,150.03 (2017: EUR 0.00) of which the amount of EUR 79,212.84 is accrued as at 31 December 2018 (2017: EUR 0.00).</w:t>
      </w:r>
    </w:p>
    <w:p>
      <w:pPr>
        <w:pStyle w:val="ManualHeading2"/>
        <w:rPr>
          <w:noProof/>
        </w:rPr>
      </w:pPr>
      <w:bookmarkStart w:id="124" w:name="_Toc6923146"/>
      <w:r>
        <w:t>3.8.</w:t>
      </w:r>
      <w:r>
        <w:tab/>
      </w:r>
      <w:r>
        <w:rPr>
          <w:noProof/>
        </w:rPr>
        <w:t>Contributions</w:t>
      </w:r>
      <w:bookmarkEnd w:id="119"/>
      <w:bookmarkEnd w:id="120"/>
      <w:bookmarkEnd w:id="121"/>
      <w:bookmarkEnd w:id="122"/>
      <w:bookmarkEnd w:id="124"/>
    </w:p>
    <w:p>
      <w:pPr>
        <w:pStyle w:val="Text1"/>
        <w:rPr>
          <w:noProof/>
        </w:rPr>
      </w:pPr>
      <w:r>
        <w:rPr>
          <w:noProof/>
        </w:rPr>
        <w:t xml:space="preserve">Contributions are increased by contributions from the general budget of the European Union and by the recoveries of previous interventions made by the Fund with regard to defaulted guaranteed loans. Contributions are either decreased by repayments to the general budget of the European Union or by interventions the Fund is paying </w:t>
      </w:r>
      <w:r>
        <w:rPr>
          <w:noProof/>
          <w:lang w:eastAsia="en-US"/>
        </w:rPr>
        <w:t>with</w:t>
      </w:r>
      <w:r>
        <w:rPr>
          <w:noProof/>
        </w:rPr>
        <w:t xml:space="preserve"> regard to defaulted guaranteed loans. Contributions to/from the budget of the European Union are recognised in the balance sheet on the date when they become due or owed according to articles 3, 4, 5 and 6 of the Council Regulation (EC, Euratom) No 480/2009 of 25 May 2009 establishing a Guarantee Fund for external actions.</w:t>
      </w:r>
    </w:p>
    <w:p>
      <w:pPr>
        <w:pStyle w:val="Text1"/>
        <w:rPr>
          <w:noProof/>
        </w:rPr>
      </w:pPr>
      <w:r>
        <w:rPr>
          <w:noProof/>
        </w:rPr>
        <w:t xml:space="preserve">The contribution allocated but not yet paid in as at 31 December 2017 amounting to EUR 137,800,722.00 was paid in cash during the reporting period. In 2018, the Fund has been allocated an additional </w:t>
      </w:r>
      <w:r>
        <w:rPr>
          <w:noProof/>
          <w:lang w:eastAsia="en-US"/>
        </w:rPr>
        <w:t>contribution</w:t>
      </w:r>
      <w:r>
        <w:rPr>
          <w:noProof/>
        </w:rPr>
        <w:t xml:space="preserve"> amount of EUR 103,222,935.00 which has not been paid as at 31 December 2018. </w:t>
      </w:r>
    </w:p>
    <w:p>
      <w:pPr>
        <w:pStyle w:val="Text1"/>
        <w:rPr>
          <w:noProof/>
        </w:rPr>
      </w:pPr>
    </w:p>
    <w:p>
      <w:pPr>
        <w:pStyle w:val="Text1"/>
        <w:rPr>
          <w:noProof/>
        </w:rPr>
      </w:pPr>
    </w:p>
    <w:p>
      <w:pPr>
        <w:pStyle w:val="Text1"/>
        <w:rPr>
          <w:noProof/>
        </w:rPr>
      </w:pPr>
      <w:r>
        <w:rPr>
          <w:noProof/>
        </w:rPr>
        <w:t xml:space="preserve">During 2017 the amount of </w:t>
      </w:r>
      <w:r>
        <w:rPr>
          <w:noProof/>
          <w:lang w:eastAsia="en-US"/>
        </w:rPr>
        <w:t>EUR</w:t>
      </w:r>
      <w:r>
        <w:rPr>
          <w:noProof/>
        </w:rPr>
        <w:t xml:space="preserve"> 136,092.88 was recovered from the historically called amounts by EIB.</w:t>
      </w:r>
    </w:p>
    <w:p>
      <w:pPr>
        <w:pStyle w:val="Text1"/>
        <w:keepNext/>
        <w:rPr>
          <w:noProof/>
        </w:rPr>
      </w:pPr>
      <w:r>
        <w:rPr>
          <w:noProof/>
        </w:rPr>
        <w:t xml:space="preserve">The following table shows the </w:t>
      </w:r>
      <w:r>
        <w:rPr>
          <w:noProof/>
          <w:lang w:eastAsia="en-US"/>
        </w:rPr>
        <w:t>movements</w:t>
      </w:r>
      <w:r>
        <w:rPr>
          <w:noProof/>
        </w:rPr>
        <w:t xml:space="preserve"> of the contributions during the reporting period (in EUR): </w:t>
      </w:r>
    </w:p>
    <w:tbl>
      <w:tblPr>
        <w:tblStyle w:val="CDMRange27"/>
        <w:tblW w:w="9975" w:type="dxa"/>
        <w:tblLayout w:type="fixed"/>
        <w:tblLook w:val="0600" w:firstRow="0" w:lastRow="0" w:firstColumn="0" w:lastColumn="0" w:noHBand="1" w:noVBand="1"/>
      </w:tblPr>
      <w:tblGrid>
        <w:gridCol w:w="7800"/>
        <w:gridCol w:w="2175"/>
      </w:tblGrid>
      <w:tr>
        <w:trPr>
          <w:trHeight w:hRule="exact" w:val="255"/>
        </w:trPr>
        <w:tc>
          <w:tcPr>
            <w:tcW w:w="7800" w:type="dxa"/>
            <w:tcBorders>
              <w:top w:val="nil"/>
              <w:left w:val="nil"/>
              <w:bottom w:val="single" w:sz="4" w:space="0" w:color="000000"/>
              <w:right w:val="nil"/>
              <w:tl2br w:val="nil"/>
              <w:tr2bl w:val="nil"/>
            </w:tcBorders>
            <w:shd w:val="clear" w:color="auto" w:fill="auto"/>
            <w:noWrap/>
            <w:tcMar>
              <w:left w:w="0" w:type="dxa"/>
              <w:right w:w="0" w:type="dxa"/>
            </w:tcMar>
            <w:vAlign w:val="bottom"/>
          </w:tcPr>
          <w:p>
            <w:pPr>
              <w:pStyle w:val="Normal33"/>
              <w:rPr>
                <w:noProof/>
                <w:color w:val="000000"/>
              </w:rPr>
            </w:pPr>
          </w:p>
        </w:tc>
        <w:tc>
          <w:tcPr>
            <w:tcW w:w="2175" w:type="dxa"/>
            <w:tcBorders>
              <w:top w:val="nil"/>
              <w:left w:val="nil"/>
              <w:bottom w:val="single" w:sz="4" w:space="0" w:color="000000"/>
              <w:right w:val="nil"/>
              <w:tl2br w:val="nil"/>
              <w:tr2bl w:val="nil"/>
            </w:tcBorders>
            <w:shd w:val="clear" w:color="auto" w:fill="auto"/>
            <w:noWrap/>
            <w:tcMar>
              <w:left w:w="0" w:type="dxa"/>
              <w:right w:w="0" w:type="dxa"/>
            </w:tcMar>
            <w:vAlign w:val="bottom"/>
          </w:tcPr>
          <w:p>
            <w:pPr>
              <w:pStyle w:val="Normal33"/>
              <w:rPr>
                <w:noProof/>
                <w:color w:val="00000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8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33"/>
              <w:rPr>
                <w:b/>
                <w:noProof/>
                <w:color w:val="000000"/>
              </w:rPr>
            </w:pPr>
            <w:r>
              <w:rPr>
                <w:b/>
                <w:noProof/>
                <w:color w:val="000000"/>
              </w:rPr>
              <w:t>Balance as at 1 January 2017</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33"/>
              <w:jc w:val="right"/>
              <w:rPr>
                <w:b/>
                <w:noProof/>
                <w:color w:val="000000"/>
              </w:rPr>
            </w:pPr>
            <w:r>
              <w:rPr>
                <w:b/>
                <w:noProof/>
                <w:color w:val="000000"/>
              </w:rPr>
              <w:t>1,499,383,804.67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pStyle w:val="Normal33"/>
              <w:rPr>
                <w:noProof/>
                <w:color w:val="000000"/>
              </w:rPr>
            </w:pPr>
            <w:r>
              <w:rPr>
                <w:noProof/>
                <w:color w:val="000000"/>
              </w:rPr>
              <w:t>Contributions from the European Commission allocated but not paid in</w:t>
            </w:r>
          </w:p>
        </w:tc>
        <w:tc>
          <w:tcPr>
            <w:tcW w:w="21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pStyle w:val="Normal33"/>
              <w:jc w:val="right"/>
              <w:rPr>
                <w:noProof/>
                <w:color w:val="000000"/>
              </w:rPr>
            </w:pPr>
            <w:r>
              <w:rPr>
                <w:noProof/>
                <w:color w:val="000000"/>
              </w:rPr>
              <w:t>137,800,722.00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800" w:type="dxa"/>
            <w:tcBorders>
              <w:top w:val="nil"/>
              <w:left w:val="nil"/>
              <w:bottom w:val="nil"/>
              <w:right w:val="nil"/>
              <w:tl2br w:val="nil"/>
              <w:tr2bl w:val="nil"/>
            </w:tcBorders>
            <w:shd w:val="clear" w:color="auto" w:fill="auto"/>
            <w:noWrap/>
            <w:tcMar>
              <w:left w:w="40" w:type="dxa"/>
              <w:right w:w="40" w:type="dxa"/>
            </w:tcMar>
            <w:vAlign w:val="center"/>
          </w:tcPr>
          <w:p>
            <w:pPr>
              <w:pStyle w:val="Normal33"/>
              <w:rPr>
                <w:noProof/>
                <w:color w:val="000000"/>
              </w:rPr>
            </w:pPr>
            <w:r>
              <w:rPr>
                <w:noProof/>
                <w:color w:val="000000"/>
              </w:rPr>
              <w:t>Contributions paid to the EIB as guarantee call</w:t>
            </w:r>
          </w:p>
        </w:tc>
        <w:tc>
          <w:tcPr>
            <w:tcW w:w="2175" w:type="dxa"/>
            <w:tcBorders>
              <w:top w:val="nil"/>
              <w:left w:val="nil"/>
              <w:bottom w:val="nil"/>
              <w:right w:val="nil"/>
              <w:tl2br w:val="nil"/>
              <w:tr2bl w:val="nil"/>
            </w:tcBorders>
            <w:shd w:val="clear" w:color="auto" w:fill="auto"/>
            <w:noWrap/>
            <w:tcMar>
              <w:left w:w="40" w:type="dxa"/>
              <w:right w:w="40" w:type="dxa"/>
            </w:tcMar>
            <w:vAlign w:val="center"/>
          </w:tcPr>
          <w:p>
            <w:pPr>
              <w:pStyle w:val="Normal33"/>
              <w:jc w:val="right"/>
              <w:rPr>
                <w:noProof/>
                <w:color w:val="000000"/>
              </w:rPr>
            </w:pPr>
            <w:r>
              <w:rPr>
                <w:noProof/>
                <w:color w:val="000000"/>
              </w:rPr>
              <w:t>-86,424,605.56</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8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33"/>
              <w:rPr>
                <w:noProof/>
                <w:color w:val="000000"/>
              </w:rPr>
            </w:pPr>
            <w:r>
              <w:rPr>
                <w:noProof/>
                <w:color w:val="000000"/>
              </w:rPr>
              <w:t>Contributions repaid to the Fund</w:t>
            </w: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33"/>
              <w:jc w:val="right"/>
              <w:rPr>
                <w:noProof/>
                <w:color w:val="000000"/>
              </w:rPr>
            </w:pPr>
            <w:r>
              <w:rPr>
                <w:noProof/>
                <w:color w:val="000000"/>
              </w:rPr>
              <w:t>136,092.88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8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33"/>
              <w:rPr>
                <w:b/>
                <w:noProof/>
                <w:color w:val="000000"/>
              </w:rPr>
            </w:pPr>
            <w:r>
              <w:rPr>
                <w:b/>
                <w:noProof/>
                <w:color w:val="000000"/>
              </w:rPr>
              <w:t>Balance as at 31 December 2017</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33"/>
              <w:jc w:val="right"/>
              <w:rPr>
                <w:b/>
                <w:noProof/>
                <w:color w:val="000000"/>
              </w:rPr>
            </w:pPr>
            <w:r>
              <w:rPr>
                <w:b/>
                <w:noProof/>
                <w:color w:val="000000"/>
              </w:rPr>
              <w:t>1,550,896,013.99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800"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pStyle w:val="Normal33"/>
              <w:rPr>
                <w:noProof/>
                <w:color w:val="000000"/>
              </w:rPr>
            </w:pPr>
          </w:p>
        </w:tc>
        <w:tc>
          <w:tcPr>
            <w:tcW w:w="2175" w:type="dxa"/>
            <w:tcBorders>
              <w:top w:val="single" w:sz="4" w:space="0" w:color="000000"/>
              <w:left w:val="nil"/>
              <w:bottom w:val="nil"/>
              <w:right w:val="nil"/>
              <w:tl2br w:val="nil"/>
              <w:tr2bl w:val="nil"/>
            </w:tcBorders>
            <w:shd w:val="clear" w:color="auto" w:fill="auto"/>
            <w:noWrap/>
            <w:tcMar>
              <w:left w:w="0" w:type="dxa"/>
              <w:right w:w="0" w:type="dxa"/>
            </w:tcMar>
            <w:vAlign w:val="bottom"/>
          </w:tcPr>
          <w:p>
            <w:pPr>
              <w:pStyle w:val="Normal33"/>
              <w:rPr>
                <w:noProof/>
                <w:color w:val="00000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800" w:type="dxa"/>
            <w:tcBorders>
              <w:top w:val="nil"/>
              <w:left w:val="nil"/>
              <w:bottom w:val="single" w:sz="4" w:space="0" w:color="000000"/>
              <w:right w:val="nil"/>
              <w:tl2br w:val="nil"/>
              <w:tr2bl w:val="nil"/>
            </w:tcBorders>
            <w:shd w:val="clear" w:color="auto" w:fill="auto"/>
            <w:noWrap/>
            <w:tcMar>
              <w:left w:w="0" w:type="dxa"/>
              <w:right w:w="0" w:type="dxa"/>
            </w:tcMar>
            <w:vAlign w:val="bottom"/>
          </w:tcPr>
          <w:p>
            <w:pPr>
              <w:pStyle w:val="Normal33"/>
              <w:rPr>
                <w:noProof/>
                <w:color w:val="000000"/>
              </w:rPr>
            </w:pPr>
          </w:p>
        </w:tc>
        <w:tc>
          <w:tcPr>
            <w:tcW w:w="2175" w:type="dxa"/>
            <w:tcBorders>
              <w:top w:val="nil"/>
              <w:left w:val="nil"/>
              <w:bottom w:val="single" w:sz="4" w:space="0" w:color="000000"/>
              <w:right w:val="nil"/>
              <w:tl2br w:val="nil"/>
              <w:tr2bl w:val="nil"/>
            </w:tcBorders>
            <w:shd w:val="clear" w:color="auto" w:fill="auto"/>
            <w:noWrap/>
            <w:tcMar>
              <w:left w:w="0" w:type="dxa"/>
              <w:right w:w="0" w:type="dxa"/>
            </w:tcMar>
            <w:vAlign w:val="bottom"/>
          </w:tcPr>
          <w:p>
            <w:pPr>
              <w:pStyle w:val="Normal33"/>
              <w:rPr>
                <w:noProof/>
                <w:color w:val="00000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8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33"/>
              <w:rPr>
                <w:b/>
                <w:noProof/>
                <w:color w:val="000000"/>
              </w:rPr>
            </w:pPr>
            <w:r>
              <w:rPr>
                <w:b/>
                <w:noProof/>
                <w:color w:val="000000"/>
              </w:rPr>
              <w:t>Balance as at 1 January 2018</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33"/>
              <w:jc w:val="right"/>
              <w:rPr>
                <w:b/>
                <w:noProof/>
                <w:color w:val="000000"/>
              </w:rPr>
            </w:pPr>
            <w:r>
              <w:rPr>
                <w:b/>
                <w:noProof/>
                <w:color w:val="000000"/>
              </w:rPr>
              <w:t>1,550,896,013.99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8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pStyle w:val="Normal33"/>
              <w:rPr>
                <w:noProof/>
                <w:color w:val="000000"/>
              </w:rPr>
            </w:pPr>
            <w:r>
              <w:rPr>
                <w:noProof/>
                <w:color w:val="000000"/>
              </w:rPr>
              <w:t>Contributions from the European Commission allocated but not paid in</w:t>
            </w:r>
          </w:p>
        </w:tc>
        <w:tc>
          <w:tcPr>
            <w:tcW w:w="21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pStyle w:val="Normal33"/>
              <w:jc w:val="right"/>
              <w:rPr>
                <w:noProof/>
                <w:color w:val="000000"/>
              </w:rPr>
            </w:pPr>
            <w:r>
              <w:rPr>
                <w:noProof/>
                <w:color w:val="000000"/>
              </w:rPr>
              <w:t>103,222,935.00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800" w:type="dxa"/>
            <w:tcBorders>
              <w:top w:val="nil"/>
              <w:left w:val="nil"/>
              <w:bottom w:val="nil"/>
              <w:right w:val="nil"/>
              <w:tl2br w:val="nil"/>
              <w:tr2bl w:val="nil"/>
            </w:tcBorders>
            <w:shd w:val="clear" w:color="auto" w:fill="auto"/>
            <w:noWrap/>
            <w:tcMar>
              <w:left w:w="40" w:type="dxa"/>
              <w:right w:w="40" w:type="dxa"/>
            </w:tcMar>
            <w:vAlign w:val="center"/>
          </w:tcPr>
          <w:p>
            <w:pPr>
              <w:pStyle w:val="Normal33"/>
              <w:rPr>
                <w:noProof/>
                <w:color w:val="000000"/>
              </w:rPr>
            </w:pPr>
            <w:r>
              <w:rPr>
                <w:noProof/>
                <w:color w:val="000000"/>
              </w:rPr>
              <w:t>Contributions paid to the EIB as guarantee call</w:t>
            </w:r>
          </w:p>
        </w:tc>
        <w:tc>
          <w:tcPr>
            <w:tcW w:w="2175" w:type="dxa"/>
            <w:tcBorders>
              <w:top w:val="nil"/>
              <w:left w:val="nil"/>
              <w:bottom w:val="nil"/>
              <w:right w:val="nil"/>
              <w:tl2br w:val="nil"/>
              <w:tr2bl w:val="nil"/>
            </w:tcBorders>
            <w:shd w:val="clear" w:color="auto" w:fill="auto"/>
            <w:noWrap/>
            <w:tcMar>
              <w:left w:w="40" w:type="dxa"/>
              <w:right w:w="40" w:type="dxa"/>
            </w:tcMar>
            <w:vAlign w:val="center"/>
          </w:tcPr>
          <w:p>
            <w:pPr>
              <w:pStyle w:val="Normal33"/>
              <w:jc w:val="right"/>
              <w:rPr>
                <w:noProof/>
                <w:color w:val="000000"/>
              </w:rPr>
            </w:pPr>
            <w:r>
              <w:rPr>
                <w:noProof/>
                <w:color w:val="000000"/>
              </w:rPr>
              <w:t>-55,725,491.89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800"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33"/>
              <w:rPr>
                <w:b/>
                <w:noProof/>
                <w:color w:val="000000"/>
              </w:rPr>
            </w:pPr>
            <w:r>
              <w:rPr>
                <w:b/>
                <w:noProof/>
                <w:color w:val="000000"/>
              </w:rPr>
              <w:t>Balance as at 31 December 2018</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33"/>
              <w:jc w:val="right"/>
              <w:rPr>
                <w:b/>
                <w:noProof/>
                <w:color w:val="000000"/>
              </w:rPr>
            </w:pPr>
            <w:r>
              <w:rPr>
                <w:b/>
                <w:noProof/>
                <w:color w:val="000000"/>
              </w:rPr>
              <w:t>1,598,393,457.10</w:t>
            </w:r>
          </w:p>
        </w:tc>
      </w:tr>
    </w:tbl>
    <w:p>
      <w:pPr>
        <w:pStyle w:val="ManualHeading2"/>
        <w:rPr>
          <w:noProof/>
        </w:rPr>
      </w:pPr>
      <w:bookmarkStart w:id="125" w:name="_Toc6923147"/>
      <w:bookmarkStart w:id="126" w:name="_Toc6923148"/>
      <w:bookmarkEnd w:id="125"/>
      <w:r>
        <w:t>3.9.</w:t>
      </w:r>
      <w:r>
        <w:tab/>
      </w:r>
      <w:r>
        <w:rPr>
          <w:noProof/>
        </w:rPr>
        <w:t>Other payables (in EUR)</w:t>
      </w:r>
      <w:bookmarkEnd w:id="126"/>
    </w:p>
    <w:tbl>
      <w:tblPr>
        <w:tblStyle w:val="CDMRange18"/>
        <w:tblW w:w="9975" w:type="dxa"/>
        <w:tblLayout w:type="fixed"/>
        <w:tblLook w:val="0600" w:firstRow="0" w:lastRow="0" w:firstColumn="0" w:lastColumn="0" w:noHBand="1" w:noVBand="1"/>
      </w:tblPr>
      <w:tblGrid>
        <w:gridCol w:w="5625"/>
        <w:gridCol w:w="2175"/>
        <w:gridCol w:w="2175"/>
      </w:tblGrid>
      <w:tr>
        <w:trPr>
          <w:trHeight w:val="255"/>
        </w:trPr>
        <w:tc>
          <w:tcPr>
            <w:tcW w:w="56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34"/>
              <w:rPr>
                <w:b/>
                <w:noProof/>
                <w:color w:val="000000"/>
              </w:rPr>
            </w:pPr>
            <w:r>
              <w:rPr>
                <w:b/>
                <w:noProof/>
                <w:color w:val="000000"/>
              </w:rPr>
              <w:t>Description</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34"/>
              <w:jc w:val="right"/>
              <w:rPr>
                <w:b/>
                <w:noProof/>
                <w:color w:val="000000"/>
              </w:rPr>
            </w:pPr>
            <w:r>
              <w:rPr>
                <w:b/>
                <w:noProof/>
                <w:color w:val="000000"/>
              </w:rPr>
              <w:t>31.12.2018</w:t>
            </w:r>
          </w:p>
        </w:tc>
        <w:tc>
          <w:tcPr>
            <w:tcW w:w="2175" w:type="dxa"/>
            <w:tcBorders>
              <w:top w:val="nil"/>
              <w:left w:val="nil"/>
              <w:bottom w:val="single" w:sz="4" w:space="0" w:color="000000"/>
              <w:right w:val="nil"/>
              <w:tl2br w:val="nil"/>
              <w:tr2bl w:val="nil"/>
            </w:tcBorders>
            <w:shd w:val="clear" w:color="auto" w:fill="auto"/>
            <w:tcMar>
              <w:left w:w="40" w:type="dxa"/>
              <w:right w:w="40" w:type="dxa"/>
            </w:tcMar>
            <w:vAlign w:val="center"/>
          </w:tcPr>
          <w:p>
            <w:pPr>
              <w:pStyle w:val="Normal34"/>
              <w:jc w:val="right"/>
              <w:rPr>
                <w:b/>
                <w:noProof/>
                <w:color w:val="000000"/>
              </w:rPr>
            </w:pPr>
            <w:r>
              <w:rPr>
                <w:b/>
                <w:noProof/>
                <w:color w:val="000000"/>
              </w:rPr>
              <w:t>31.12.2017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25" w:type="dxa"/>
            <w:tcBorders>
              <w:top w:val="nil"/>
              <w:left w:val="nil"/>
              <w:bottom w:val="nil"/>
              <w:right w:val="nil"/>
              <w:tl2br w:val="nil"/>
              <w:tr2bl w:val="nil"/>
            </w:tcBorders>
            <w:shd w:val="clear" w:color="auto" w:fill="auto"/>
            <w:noWrap/>
            <w:tcMar>
              <w:left w:w="40" w:type="dxa"/>
              <w:right w:w="40" w:type="dxa"/>
            </w:tcMar>
            <w:vAlign w:val="center"/>
          </w:tcPr>
          <w:p>
            <w:pPr>
              <w:pStyle w:val="Normal34"/>
              <w:rPr>
                <w:noProof/>
                <w:color w:val="000000"/>
              </w:rPr>
            </w:pPr>
            <w:r>
              <w:rPr>
                <w:noProof/>
                <w:color w:val="000000"/>
              </w:rPr>
              <w:t>Treasury management fees</w:t>
            </w:r>
          </w:p>
        </w:tc>
        <w:tc>
          <w:tcPr>
            <w:tcW w:w="2175" w:type="dxa"/>
            <w:tcBorders>
              <w:top w:val="nil"/>
              <w:left w:val="nil"/>
              <w:bottom w:val="nil"/>
              <w:right w:val="nil"/>
              <w:tl2br w:val="nil"/>
              <w:tr2bl w:val="nil"/>
            </w:tcBorders>
            <w:shd w:val="clear" w:color="auto" w:fill="auto"/>
            <w:noWrap/>
            <w:tcMar>
              <w:left w:w="40" w:type="dxa"/>
              <w:right w:w="40" w:type="dxa"/>
            </w:tcMar>
            <w:vAlign w:val="center"/>
          </w:tcPr>
          <w:p>
            <w:pPr>
              <w:pStyle w:val="Normal34"/>
              <w:jc w:val="right"/>
              <w:rPr>
                <w:noProof/>
                <w:color w:val="000000"/>
              </w:rPr>
            </w:pPr>
            <w:r>
              <w:rPr>
                <w:noProof/>
                <w:color w:val="000000"/>
              </w:rPr>
              <w:t>894,626.42</w:t>
            </w:r>
          </w:p>
        </w:tc>
        <w:tc>
          <w:tcPr>
            <w:tcW w:w="2175" w:type="dxa"/>
            <w:tcBorders>
              <w:top w:val="nil"/>
              <w:left w:val="nil"/>
              <w:bottom w:val="nil"/>
              <w:right w:val="nil"/>
              <w:tl2br w:val="nil"/>
              <w:tr2bl w:val="nil"/>
            </w:tcBorders>
            <w:shd w:val="clear" w:color="auto" w:fill="auto"/>
            <w:noWrap/>
            <w:tcMar>
              <w:left w:w="40" w:type="dxa"/>
              <w:right w:w="40" w:type="dxa"/>
            </w:tcMar>
            <w:vAlign w:val="center"/>
          </w:tcPr>
          <w:p>
            <w:pPr>
              <w:pStyle w:val="Normal34"/>
              <w:jc w:val="right"/>
              <w:rPr>
                <w:noProof/>
                <w:color w:val="000000"/>
              </w:rPr>
            </w:pPr>
            <w:r>
              <w:rPr>
                <w:noProof/>
                <w:color w:val="000000"/>
              </w:rPr>
              <w:t>915,279.18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25" w:type="dxa"/>
            <w:tcBorders>
              <w:top w:val="nil"/>
              <w:left w:val="nil"/>
              <w:bottom w:val="nil"/>
              <w:right w:val="nil"/>
              <w:tl2br w:val="nil"/>
              <w:tr2bl w:val="nil"/>
            </w:tcBorders>
            <w:shd w:val="clear" w:color="auto" w:fill="auto"/>
            <w:noWrap/>
            <w:tcMar>
              <w:left w:w="40" w:type="dxa"/>
              <w:right w:w="40" w:type="dxa"/>
            </w:tcMar>
            <w:vAlign w:val="center"/>
          </w:tcPr>
          <w:p>
            <w:pPr>
              <w:pStyle w:val="Normal34"/>
              <w:rPr>
                <w:noProof/>
                <w:color w:val="000000"/>
              </w:rPr>
            </w:pPr>
            <w:r>
              <w:rPr>
                <w:noProof/>
                <w:color w:val="000000"/>
              </w:rPr>
              <w:t>Recovery fees</w:t>
            </w:r>
          </w:p>
        </w:tc>
        <w:tc>
          <w:tcPr>
            <w:tcW w:w="2175" w:type="dxa"/>
            <w:tcBorders>
              <w:top w:val="nil"/>
              <w:left w:val="nil"/>
              <w:bottom w:val="nil"/>
              <w:right w:val="nil"/>
              <w:tl2br w:val="nil"/>
              <w:tr2bl w:val="nil"/>
            </w:tcBorders>
            <w:shd w:val="clear" w:color="auto" w:fill="auto"/>
            <w:noWrap/>
            <w:tcMar>
              <w:left w:w="40" w:type="dxa"/>
              <w:right w:w="40" w:type="dxa"/>
            </w:tcMar>
            <w:vAlign w:val="center"/>
          </w:tcPr>
          <w:p>
            <w:pPr>
              <w:pStyle w:val="Normal34"/>
              <w:jc w:val="right"/>
              <w:rPr>
                <w:noProof/>
                <w:color w:val="000000"/>
              </w:rPr>
            </w:pPr>
            <w:r>
              <w:rPr>
                <w:noProof/>
                <w:color w:val="000000"/>
              </w:rPr>
              <w:t>79,212.84</w:t>
            </w:r>
          </w:p>
        </w:tc>
        <w:tc>
          <w:tcPr>
            <w:tcW w:w="2175" w:type="dxa"/>
            <w:tcBorders>
              <w:top w:val="nil"/>
              <w:left w:val="nil"/>
              <w:bottom w:val="nil"/>
              <w:right w:val="nil"/>
              <w:tl2br w:val="nil"/>
              <w:tr2bl w:val="nil"/>
            </w:tcBorders>
            <w:shd w:val="clear" w:color="auto" w:fill="auto"/>
            <w:noWrap/>
            <w:tcMar>
              <w:left w:w="40" w:type="dxa"/>
              <w:right w:w="40" w:type="dxa"/>
            </w:tcMar>
            <w:vAlign w:val="center"/>
          </w:tcPr>
          <w:p>
            <w:pPr>
              <w:pStyle w:val="Normal34"/>
              <w:jc w:val="right"/>
              <w:rPr>
                <w:noProof/>
                <w:color w:val="000000"/>
              </w:rPr>
            </w:pPr>
            <w:r>
              <w:rPr>
                <w:noProof/>
                <w:color w:val="000000"/>
              </w:rPr>
              <w:t>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2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34"/>
              <w:rPr>
                <w:noProof/>
                <w:color w:val="000000"/>
              </w:rPr>
            </w:pPr>
            <w:r>
              <w:rPr>
                <w:noProof/>
                <w:color w:val="000000"/>
              </w:rPr>
              <w:t>Audit fees</w:t>
            </w: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34"/>
              <w:jc w:val="right"/>
              <w:rPr>
                <w:noProof/>
                <w:color w:val="000000"/>
              </w:rPr>
            </w:pPr>
            <w:r>
              <w:rPr>
                <w:noProof/>
                <w:color w:val="000000"/>
              </w:rPr>
              <w:t>39,500.00</w:t>
            </w:r>
          </w:p>
        </w:tc>
        <w:tc>
          <w:tcPr>
            <w:tcW w:w="2175"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pStyle w:val="Normal34"/>
              <w:jc w:val="right"/>
              <w:rPr>
                <w:noProof/>
                <w:color w:val="000000"/>
              </w:rPr>
            </w:pPr>
            <w:r>
              <w:rPr>
                <w:noProof/>
                <w:color w:val="000000"/>
              </w:rPr>
              <w:t>39,500.00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2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34"/>
              <w:rPr>
                <w:b/>
                <w:noProof/>
                <w:color w:val="000000"/>
              </w:rPr>
            </w:pPr>
            <w:r>
              <w:rPr>
                <w:b/>
                <w:noProof/>
                <w:color w:val="000000"/>
              </w:rPr>
              <w:t>Total</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34"/>
              <w:jc w:val="right"/>
              <w:rPr>
                <w:b/>
                <w:noProof/>
                <w:color w:val="000000"/>
              </w:rPr>
            </w:pPr>
            <w:r>
              <w:rPr>
                <w:b/>
                <w:noProof/>
                <w:color w:val="000000"/>
              </w:rPr>
              <w:t>1,013,339.26</w:t>
            </w:r>
          </w:p>
        </w:tc>
        <w:tc>
          <w:tcPr>
            <w:tcW w:w="2175" w:type="dxa"/>
            <w:tcBorders>
              <w:top w:val="single" w:sz="4" w:space="0" w:color="000000"/>
              <w:left w:val="nil"/>
              <w:bottom w:val="single" w:sz="4" w:space="0" w:color="000000"/>
              <w:right w:val="nil"/>
              <w:tl2br w:val="nil"/>
              <w:tr2bl w:val="nil"/>
            </w:tcBorders>
            <w:shd w:val="clear" w:color="FFFFFF" w:fill="BFBFBF"/>
            <w:noWrap/>
            <w:tcMar>
              <w:left w:w="40" w:type="dxa"/>
              <w:right w:w="40" w:type="dxa"/>
            </w:tcMar>
            <w:vAlign w:val="center"/>
          </w:tcPr>
          <w:p>
            <w:pPr>
              <w:pStyle w:val="Normal34"/>
              <w:jc w:val="right"/>
              <w:rPr>
                <w:b/>
                <w:noProof/>
                <w:color w:val="000000"/>
              </w:rPr>
            </w:pPr>
            <w:r>
              <w:rPr>
                <w:b/>
                <w:noProof/>
                <w:color w:val="000000"/>
              </w:rPr>
              <w:t>954,779.18</w:t>
            </w:r>
          </w:p>
        </w:tc>
      </w:tr>
    </w:tbl>
    <w:p>
      <w:pPr>
        <w:pStyle w:val="Text1"/>
        <w:rPr>
          <w:noProof/>
          <w:bdr w:val="nil"/>
        </w:rPr>
      </w:pPr>
    </w:p>
    <w:p>
      <w:pPr>
        <w:pStyle w:val="Text1"/>
        <w:rPr>
          <w:noProof/>
          <w:bdr w:val="nil"/>
        </w:rPr>
      </w:pPr>
      <w:r>
        <w:rPr>
          <w:noProof/>
          <w:bdr w:val="nil"/>
        </w:rPr>
        <w:t xml:space="preserve">Treasury management fees are payable to the EIB on an annual basis. </w:t>
      </w:r>
    </w:p>
    <w:p>
      <w:pPr>
        <w:pStyle w:val="ManualHeading2"/>
        <w:rPr>
          <w:noProof/>
        </w:rPr>
      </w:pPr>
      <w:bookmarkStart w:id="127" w:name="_Toc6923149"/>
      <w:bookmarkStart w:id="128" w:name="_Toc449626540"/>
      <w:bookmarkStart w:id="129" w:name="_Toc449626313"/>
      <w:bookmarkStart w:id="130" w:name="_Toc449022488"/>
      <w:bookmarkStart w:id="131" w:name="_Toc448929190"/>
      <w:bookmarkStart w:id="132" w:name="_Toc6923150"/>
      <w:bookmarkEnd w:id="127"/>
      <w:r>
        <w:t>3.10.</w:t>
      </w:r>
      <w:r>
        <w:tab/>
      </w:r>
      <w:r>
        <w:rPr>
          <w:noProof/>
        </w:rPr>
        <w:t>Subsequent events</w:t>
      </w:r>
      <w:bookmarkEnd w:id="128"/>
      <w:bookmarkEnd w:id="129"/>
      <w:bookmarkEnd w:id="130"/>
      <w:bookmarkEnd w:id="131"/>
      <w:bookmarkEnd w:id="132"/>
    </w:p>
    <w:p>
      <w:pPr>
        <w:pStyle w:val="Text1"/>
        <w:rPr>
          <w:noProof/>
        </w:rPr>
      </w:pPr>
      <w:r>
        <w:rPr>
          <w:noProof/>
        </w:rPr>
        <w:t>There have been no material post-</w:t>
      </w:r>
      <w:r>
        <w:rPr>
          <w:noProof/>
          <w:lang w:eastAsia="en-US"/>
        </w:rPr>
        <w:t>balance</w:t>
      </w:r>
      <w:r>
        <w:rPr>
          <w:noProof/>
        </w:rPr>
        <w:t xml:space="preserve"> sheet events, which would require disclosure or adjustment to the 31 December 2018 financial </w:t>
      </w:r>
      <w:r>
        <w:rPr>
          <w:noProof/>
          <w:lang w:eastAsia="en-US"/>
        </w:rPr>
        <w:t>statements</w:t>
      </w:r>
      <w:r>
        <w:rPr>
          <w:noProof/>
        </w:rPr>
        <w:t>.</w:t>
      </w:r>
    </w:p>
    <w:sectPr>
      <w:headerReference w:type="even" r:id="rId60"/>
      <w:headerReference w:type="default" r:id="rId61"/>
      <w:footerReference w:type="even" r:id="rId62"/>
      <w:footerReference w:type="default" r:id="rId63"/>
      <w:headerReference w:type="first" r:id="rId64"/>
      <w:footerReference w:type="first" r:id="rId65"/>
      <w:pgSz w:w="12240" w:h="15840"/>
      <w:pgMar w:top="765" w:right="1134" w:bottom="765" w:left="1134" w:header="454" w:footer="170" w:gutter="0"/>
      <w:pgBorders>
        <w:top w:val="nil"/>
        <w:left w:val="nil"/>
        <w:bottom w:val="nil"/>
        <w:right w:val="nil"/>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3"/>
      <w:pBdr>
        <w:top w:val="nil"/>
        <w:left w:val="nil"/>
        <w:bottom w:val="nil"/>
        <w:right w:val="nil"/>
        <w:between w:val="nil"/>
        <w:bar w:val="nil"/>
      </w:pBdr>
      <w:spacing w:after="200" w:line="276" w:lineRule="auto"/>
      <w:ind w:left="720" w:firstLine="720"/>
      <w:rPr>
        <w:rFonts w:ascii="Times New Roman" w:hAnsi="Times New Roman"/>
        <w:bdr w:val="nil"/>
      </w:rPr>
    </w:pPr>
  </w:p>
  <w:p>
    <w:pPr>
      <w:pStyle w:val="Normal3"/>
      <w:pBdr>
        <w:top w:val="nil"/>
        <w:left w:val="nil"/>
        <w:bottom w:val="nil"/>
        <w:right w:val="nil"/>
        <w:between w:val="nil"/>
        <w:bar w:val="nil"/>
      </w:pBdr>
      <w:spacing w:after="200" w:line="276" w:lineRule="auto"/>
      <w:jc w:val="center"/>
      <w:rPr>
        <w:rFonts w:ascii="Times New Roman" w:hAnsi="Times New Roman"/>
        <w:bdr w:val="nil"/>
      </w:rPr>
    </w:pPr>
    <w:r>
      <w:rPr>
        <w:rFonts w:ascii="Times New Roman" w:hAnsi="Times New Roman"/>
        <w:bdr w:val="nil"/>
      </w:rPr>
      <w:t>The accompanying notes form an integral part of these financial statements.</w:t>
    </w:r>
  </w:p>
  <w:p>
    <w:pPr>
      <w:pStyle w:val="Normal3"/>
      <w:pBdr>
        <w:top w:val="nil"/>
        <w:left w:val="nil"/>
        <w:bottom w:val="nil"/>
        <w:right w:val="nil"/>
        <w:between w:val="nil"/>
        <w:bar w:val="nil"/>
      </w:pBdr>
      <w:spacing w:after="200" w:line="276" w:lineRule="auto"/>
      <w:jc w:val="right"/>
      <w:rPr>
        <w:rFonts w:ascii="Times New Roman" w:hAnsi="Times New Roman"/>
        <w:sz w:val="16"/>
        <w:szCs w:val="16"/>
        <w:bdr w:val="nil"/>
      </w:rPr>
    </w:pPr>
    <w:r>
      <w:rPr>
        <w:rFonts w:ascii="Times New Roman" w:hAnsi="Times New Roman"/>
        <w:sz w:val="16"/>
        <w:szCs w:val="16"/>
        <w:bdr w:val="nil"/>
      </w:rPr>
      <w:t xml:space="preserve">Page </w:t>
    </w:r>
    <w:r>
      <w:rPr>
        <w:rFonts w:ascii="Times New Roman" w:hAnsi="Times New Roman"/>
        <w:sz w:val="16"/>
        <w:szCs w:val="16"/>
        <w:bdr w:val="nil"/>
      </w:rPr>
      <w:fldChar w:fldCharType="begin"/>
    </w:r>
    <w:r>
      <w:rPr>
        <w:rFonts w:ascii="Times New Roman" w:hAnsi="Times New Roman"/>
        <w:sz w:val="16"/>
        <w:szCs w:val="16"/>
        <w:bdr w:val="nil"/>
      </w:rPr>
      <w:instrText xml:space="preserve"> PAGE   \* MERGEFORMAT </w:instrText>
    </w:r>
    <w:r>
      <w:rPr>
        <w:rFonts w:ascii="Times New Roman" w:hAnsi="Times New Roman"/>
        <w:sz w:val="16"/>
        <w:szCs w:val="16"/>
        <w:bdr w:val="nil"/>
      </w:rPr>
      <w:fldChar w:fldCharType="separate"/>
    </w:r>
    <w:r>
      <w:rPr>
        <w:rFonts w:ascii="Times New Roman" w:hAnsi="Times New Roman"/>
        <w:noProof/>
        <w:sz w:val="16"/>
        <w:szCs w:val="16"/>
        <w:bdr w:val="nil"/>
      </w:rPr>
      <w:t>1</w:t>
    </w:r>
    <w:r>
      <w:rPr>
        <w:rFonts w:ascii="Times New Roman" w:hAnsi="Times New Roman"/>
        <w:noProof/>
        <w:sz w:val="16"/>
        <w:szCs w:val="16"/>
        <w:bdr w:val="nil"/>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2"/>
      <w:pBdr>
        <w:top w:val="nil"/>
        <w:left w:val="nil"/>
        <w:bottom w:val="nil"/>
        <w:right w:val="nil"/>
        <w:between w:val="nil"/>
        <w:bar w:val="nil"/>
      </w:pBdr>
      <w:spacing w:after="200" w:line="276" w:lineRule="auto"/>
      <w:ind w:left="720" w:firstLine="720"/>
      <w:rPr>
        <w:rFonts w:ascii="Times New Roman" w:hAnsi="Times New Roman"/>
        <w:bdr w:val="nil"/>
      </w:rPr>
    </w:pPr>
  </w:p>
  <w:p>
    <w:pPr>
      <w:pStyle w:val="Normal2"/>
      <w:pBdr>
        <w:top w:val="nil"/>
        <w:left w:val="nil"/>
        <w:bottom w:val="nil"/>
        <w:right w:val="nil"/>
        <w:between w:val="nil"/>
        <w:bar w:val="nil"/>
      </w:pBdr>
      <w:spacing w:after="200" w:line="276" w:lineRule="auto"/>
      <w:jc w:val="center"/>
      <w:rPr>
        <w:rFonts w:ascii="Times New Roman" w:hAnsi="Times New Roman"/>
        <w:bdr w:val="nil"/>
      </w:rPr>
    </w:pPr>
    <w:r>
      <w:rPr>
        <w:rFonts w:ascii="Times New Roman" w:hAnsi="Times New Roman"/>
        <w:bdr w:val="nil"/>
      </w:rPr>
      <w:t>The accompanying notes form an integral part of these financial statements.</w:t>
    </w:r>
  </w:p>
  <w:p>
    <w:pPr>
      <w:pStyle w:val="Normal2"/>
      <w:pBdr>
        <w:top w:val="nil"/>
        <w:left w:val="nil"/>
        <w:bottom w:val="nil"/>
        <w:right w:val="nil"/>
        <w:between w:val="nil"/>
        <w:bar w:val="nil"/>
      </w:pBdr>
      <w:spacing w:after="200" w:line="276" w:lineRule="auto"/>
      <w:jc w:val="right"/>
      <w:rPr>
        <w:rFonts w:ascii="Times New Roman" w:hAnsi="Times New Roman"/>
        <w:sz w:val="16"/>
        <w:szCs w:val="16"/>
        <w:bdr w:val="nil"/>
      </w:rPr>
    </w:pPr>
    <w:r>
      <w:rPr>
        <w:rFonts w:ascii="Times New Roman" w:hAnsi="Times New Roman"/>
        <w:sz w:val="16"/>
        <w:szCs w:val="16"/>
        <w:bdr w:val="nil"/>
      </w:rPr>
      <w:t xml:space="preserve">Page </w:t>
    </w:r>
    <w:r>
      <w:rPr>
        <w:rFonts w:ascii="Times New Roman" w:hAnsi="Times New Roman"/>
        <w:sz w:val="16"/>
        <w:szCs w:val="16"/>
        <w:bdr w:val="nil"/>
      </w:rPr>
      <w:fldChar w:fldCharType="begin"/>
    </w:r>
    <w:r>
      <w:rPr>
        <w:rFonts w:ascii="Times New Roman" w:hAnsi="Times New Roman"/>
        <w:sz w:val="16"/>
        <w:szCs w:val="16"/>
        <w:bdr w:val="nil"/>
      </w:rPr>
      <w:instrText xml:space="preserve"> PAGE   \* MERGEFORMAT </w:instrText>
    </w:r>
    <w:r>
      <w:rPr>
        <w:rFonts w:ascii="Times New Roman" w:hAnsi="Times New Roman"/>
        <w:sz w:val="16"/>
        <w:szCs w:val="16"/>
        <w:bdr w:val="nil"/>
      </w:rPr>
      <w:fldChar w:fldCharType="separate"/>
    </w:r>
    <w:r>
      <w:rPr>
        <w:rFonts w:ascii="Times New Roman" w:hAnsi="Times New Roman"/>
        <w:noProof/>
        <w:sz w:val="16"/>
        <w:szCs w:val="16"/>
        <w:bdr w:val="nil"/>
      </w:rPr>
      <w:t>18</w:t>
    </w:r>
    <w:r>
      <w:rPr>
        <w:rFonts w:ascii="Times New Roman" w:hAnsi="Times New Roman"/>
        <w:noProof/>
        <w:sz w:val="16"/>
        <w:szCs w:val="16"/>
        <w:bdr w:val="nil"/>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rPr>
        <w:bdr w:val="nil"/>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spacing w:after="200" w:line="276" w:lineRule="auto"/>
      <w:ind w:left="720" w:firstLine="720"/>
      <w:rPr>
        <w:rFonts w:eastAsia="Calibri"/>
        <w:sz w:val="20"/>
        <w:bdr w:val="nil"/>
        <w:lang w:val="en-US"/>
      </w:rPr>
    </w:pPr>
  </w:p>
  <w:p>
    <w:pPr>
      <w:pBdr>
        <w:top w:val="nil"/>
        <w:left w:val="nil"/>
        <w:bottom w:val="nil"/>
        <w:right w:val="nil"/>
        <w:between w:val="nil"/>
        <w:bar w:val="nil"/>
      </w:pBdr>
      <w:spacing w:after="200" w:line="276" w:lineRule="auto"/>
      <w:ind w:left="720" w:firstLine="720"/>
      <w:rPr>
        <w:rFonts w:eastAsia="Calibri"/>
        <w:sz w:val="20"/>
        <w:bdr w:val="nil"/>
        <w:lang w:val="en-US"/>
      </w:rPr>
    </w:pPr>
    <w:r>
      <w:rPr>
        <w:rFonts w:eastAsia="Calibri"/>
        <w:sz w:val="20"/>
        <w:bdr w:val="nil"/>
        <w:lang w:val="en-US"/>
      </w:rPr>
      <w:t>The accompanying notes form an integral part of these financial statements.</w:t>
    </w:r>
  </w:p>
  <w:p>
    <w:pPr>
      <w:pBdr>
        <w:top w:val="nil"/>
        <w:left w:val="nil"/>
        <w:bottom w:val="nil"/>
        <w:right w:val="nil"/>
        <w:between w:val="nil"/>
        <w:bar w:val="nil"/>
      </w:pBdr>
      <w:spacing w:after="200" w:line="276" w:lineRule="auto"/>
      <w:jc w:val="right"/>
      <w:rPr>
        <w:rFonts w:eastAsia="Calibri"/>
        <w:sz w:val="16"/>
        <w:szCs w:val="16"/>
        <w:bdr w:val="nil"/>
        <w:lang w:val="en-US"/>
      </w:rPr>
    </w:pPr>
    <w:r>
      <w:rPr>
        <w:rFonts w:eastAsia="Calibri"/>
        <w:sz w:val="16"/>
        <w:szCs w:val="16"/>
        <w:bdr w:val="nil"/>
        <w:lang w:val="en-US"/>
      </w:rPr>
      <w:t xml:space="preserve">Page </w:t>
    </w:r>
    <w:r>
      <w:rPr>
        <w:rFonts w:eastAsia="Calibri"/>
        <w:sz w:val="16"/>
        <w:szCs w:val="16"/>
        <w:bdr w:val="nil"/>
        <w:lang w:val="en-US"/>
      </w:rPr>
      <w:fldChar w:fldCharType="begin"/>
    </w:r>
    <w:r>
      <w:rPr>
        <w:rFonts w:eastAsia="Calibri"/>
        <w:sz w:val="16"/>
        <w:szCs w:val="16"/>
        <w:bdr w:val="nil"/>
        <w:lang w:val="en-US"/>
      </w:rPr>
      <w:instrText xml:space="preserve"> PAGE   \* MERGEFORMAT </w:instrText>
    </w:r>
    <w:r>
      <w:rPr>
        <w:rFonts w:eastAsia="Calibri"/>
        <w:sz w:val="16"/>
        <w:szCs w:val="16"/>
        <w:bdr w:val="nil"/>
        <w:lang w:val="en-US"/>
      </w:rPr>
      <w:fldChar w:fldCharType="separate"/>
    </w:r>
    <w:r>
      <w:rPr>
        <w:rFonts w:eastAsia="Calibri"/>
        <w:noProof/>
        <w:sz w:val="16"/>
        <w:szCs w:val="16"/>
        <w:bdr w:val="nil"/>
        <w:lang w:val="en-US"/>
      </w:rPr>
      <w:t>1</w:t>
    </w:r>
    <w:r>
      <w:rPr>
        <w:rFonts w:eastAsia="Calibri"/>
        <w:noProof/>
        <w:sz w:val="16"/>
        <w:szCs w:val="16"/>
        <w:bdr w:val="nil"/>
        <w:lang w:val="en-US"/>
      </w:rPr>
      <w:fldChar w:fldCharType="end"/>
    </w:r>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2"/>
      <w:pBdr>
        <w:top w:val="nil"/>
        <w:left w:val="nil"/>
        <w:bottom w:val="nil"/>
        <w:right w:val="nil"/>
        <w:between w:val="nil"/>
        <w:bar w:val="nil"/>
      </w:pBdr>
      <w:spacing w:after="200" w:line="276" w:lineRule="auto"/>
      <w:ind w:left="720" w:firstLine="720"/>
      <w:rPr>
        <w:rFonts w:ascii="Times New Roman" w:hAnsi="Times New Roman"/>
        <w:bdr w:val="nil"/>
      </w:rPr>
    </w:pPr>
  </w:p>
  <w:p>
    <w:pPr>
      <w:pStyle w:val="Normal2"/>
      <w:pBdr>
        <w:top w:val="nil"/>
        <w:left w:val="nil"/>
        <w:bottom w:val="nil"/>
        <w:right w:val="nil"/>
        <w:between w:val="nil"/>
        <w:bar w:val="nil"/>
      </w:pBdr>
      <w:spacing w:after="200" w:line="276" w:lineRule="auto"/>
      <w:jc w:val="center"/>
      <w:rPr>
        <w:rFonts w:ascii="Times New Roman" w:hAnsi="Times New Roman"/>
        <w:bdr w:val="nil"/>
      </w:rPr>
    </w:pPr>
    <w:r>
      <w:rPr>
        <w:rFonts w:ascii="Times New Roman" w:hAnsi="Times New Roman"/>
        <w:bdr w:val="nil"/>
      </w:rPr>
      <w:t>The accompanying notes form an integral part of these financial statements.</w:t>
    </w:r>
  </w:p>
  <w:p>
    <w:pPr>
      <w:pStyle w:val="Normal2"/>
      <w:pBdr>
        <w:top w:val="nil"/>
        <w:left w:val="nil"/>
        <w:bottom w:val="nil"/>
        <w:right w:val="nil"/>
        <w:between w:val="nil"/>
        <w:bar w:val="nil"/>
      </w:pBdr>
      <w:spacing w:after="200" w:line="276" w:lineRule="auto"/>
      <w:jc w:val="right"/>
      <w:rPr>
        <w:rFonts w:ascii="Times New Roman" w:hAnsi="Times New Roman"/>
        <w:sz w:val="16"/>
        <w:szCs w:val="16"/>
        <w:bdr w:val="nil"/>
      </w:rPr>
    </w:pPr>
    <w:r>
      <w:rPr>
        <w:rFonts w:ascii="Times New Roman" w:hAnsi="Times New Roman"/>
        <w:sz w:val="16"/>
        <w:szCs w:val="16"/>
        <w:bdr w:val="nil"/>
      </w:rPr>
      <w:t xml:space="preserve">Page </w:t>
    </w:r>
    <w:r>
      <w:rPr>
        <w:rFonts w:ascii="Times New Roman" w:hAnsi="Times New Roman"/>
        <w:sz w:val="16"/>
        <w:szCs w:val="16"/>
        <w:bdr w:val="nil"/>
      </w:rPr>
      <w:fldChar w:fldCharType="begin"/>
    </w:r>
    <w:r>
      <w:rPr>
        <w:rFonts w:ascii="Times New Roman" w:hAnsi="Times New Roman"/>
        <w:sz w:val="16"/>
        <w:szCs w:val="16"/>
        <w:bdr w:val="nil"/>
      </w:rPr>
      <w:instrText xml:space="preserve"> PAGE   \* MERGEFORMAT </w:instrText>
    </w:r>
    <w:r>
      <w:rPr>
        <w:rFonts w:ascii="Times New Roman" w:hAnsi="Times New Roman"/>
        <w:sz w:val="16"/>
        <w:szCs w:val="16"/>
        <w:bdr w:val="nil"/>
      </w:rPr>
      <w:fldChar w:fldCharType="separate"/>
    </w:r>
    <w:r>
      <w:rPr>
        <w:rFonts w:ascii="Times New Roman" w:hAnsi="Times New Roman"/>
        <w:noProof/>
        <w:sz w:val="16"/>
        <w:szCs w:val="16"/>
        <w:bdr w:val="nil"/>
      </w:rPr>
      <w:t>19</w:t>
    </w:r>
    <w:r>
      <w:rPr>
        <w:rFonts w:ascii="Times New Roman" w:hAnsi="Times New Roman"/>
        <w:noProof/>
        <w:sz w:val="16"/>
        <w:szCs w:val="16"/>
        <w:bdr w:val="nil"/>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rPr>
        <w:bdr w:val="nil"/>
      </w:rPr>
    </w:pPr>
  </w:p>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Bdr>
        <w:top w:val="nil"/>
        <w:left w:val="nil"/>
        <w:bottom w:val="nil"/>
        <w:right w:val="nil"/>
        <w:between w:val="nil"/>
        <w:bar w:val="nil"/>
      </w:pBdr>
      <w:spacing w:after="200" w:line="276" w:lineRule="auto"/>
      <w:jc w:val="right"/>
      <w:rPr>
        <w:rFonts w:ascii="Times New Roman" w:eastAsia="Calibri" w:hAnsi="Times New Roman"/>
        <w:sz w:val="16"/>
        <w:szCs w:val="16"/>
        <w:bdr w:val="nil"/>
        <w:lang w:val="en-US"/>
      </w:rPr>
    </w:pPr>
    <w:r>
      <w:rPr>
        <w:rFonts w:ascii="Times New Roman" w:eastAsia="Calibri" w:hAnsi="Times New Roman"/>
        <w:sz w:val="16"/>
        <w:szCs w:val="16"/>
        <w:bdr w:val="nil"/>
        <w:lang w:val="en-US"/>
      </w:rPr>
      <w:t xml:space="preserve">Page </w:t>
    </w:r>
    <w:r>
      <w:rPr>
        <w:rFonts w:ascii="Times New Roman" w:eastAsia="Calibri" w:hAnsi="Times New Roman"/>
        <w:sz w:val="16"/>
        <w:szCs w:val="16"/>
        <w:bdr w:val="nil"/>
        <w:lang w:val="en-US"/>
      </w:rPr>
      <w:fldChar w:fldCharType="begin"/>
    </w:r>
    <w:r>
      <w:rPr>
        <w:rFonts w:ascii="Times New Roman" w:eastAsia="Calibri" w:hAnsi="Times New Roman"/>
        <w:sz w:val="16"/>
        <w:szCs w:val="16"/>
        <w:bdr w:val="nil"/>
        <w:lang w:val="en-US"/>
      </w:rPr>
      <w:instrText xml:space="preserve"> PAGE   \* MERGEFORMAT </w:instrText>
    </w:r>
    <w:r>
      <w:rPr>
        <w:rFonts w:ascii="Times New Roman" w:eastAsia="Calibri" w:hAnsi="Times New Roman"/>
        <w:sz w:val="16"/>
        <w:szCs w:val="16"/>
        <w:bdr w:val="nil"/>
        <w:lang w:val="en-US"/>
      </w:rPr>
      <w:fldChar w:fldCharType="separate"/>
    </w:r>
    <w:r>
      <w:rPr>
        <w:rFonts w:ascii="Times New Roman" w:eastAsia="Calibri" w:hAnsi="Times New Roman"/>
        <w:noProof/>
        <w:sz w:val="16"/>
        <w:szCs w:val="16"/>
        <w:bdr w:val="nil"/>
        <w:lang w:val="en-US"/>
      </w:rPr>
      <w:t>18</w:t>
    </w:r>
    <w:r>
      <w:rPr>
        <w:rFonts w:ascii="Times New Roman" w:eastAsia="Calibri" w:hAnsi="Times New Roman"/>
        <w:noProof/>
        <w:sz w:val="16"/>
        <w:szCs w:val="16"/>
        <w:bdr w:val="nil"/>
        <w:lang w:val="en-US"/>
      </w:rPr>
      <w:fldChar w:fldCharType="end"/>
    </w:r>
  </w:p>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2"/>
      <w:pBdr>
        <w:top w:val="nil"/>
        <w:left w:val="nil"/>
        <w:bottom w:val="nil"/>
        <w:right w:val="nil"/>
        <w:between w:val="nil"/>
        <w:bar w:val="nil"/>
      </w:pBdr>
      <w:spacing w:after="200" w:line="276" w:lineRule="auto"/>
      <w:ind w:left="720" w:firstLine="720"/>
      <w:rPr>
        <w:rFonts w:ascii="Times New Roman" w:hAnsi="Times New Roman"/>
        <w:bdr w:val="nil"/>
      </w:rPr>
    </w:pPr>
  </w:p>
  <w:p>
    <w:pPr>
      <w:pStyle w:val="Normal2"/>
      <w:pBdr>
        <w:top w:val="nil"/>
        <w:left w:val="nil"/>
        <w:bottom w:val="nil"/>
        <w:right w:val="nil"/>
        <w:between w:val="nil"/>
        <w:bar w:val="nil"/>
      </w:pBdr>
      <w:spacing w:after="200" w:line="276" w:lineRule="auto"/>
      <w:jc w:val="center"/>
      <w:rPr>
        <w:rFonts w:ascii="Times New Roman" w:hAnsi="Times New Roman"/>
        <w:bdr w:val="nil"/>
      </w:rPr>
    </w:pPr>
    <w:r>
      <w:rPr>
        <w:rFonts w:ascii="Times New Roman" w:hAnsi="Times New Roman"/>
        <w:bdr w:val="nil"/>
      </w:rPr>
      <w:t>The accompanying notes form an integral part of these financial statements.</w:t>
    </w:r>
  </w:p>
  <w:p>
    <w:pPr>
      <w:pStyle w:val="Normal2"/>
      <w:pBdr>
        <w:top w:val="nil"/>
        <w:left w:val="nil"/>
        <w:bottom w:val="nil"/>
        <w:right w:val="nil"/>
        <w:between w:val="nil"/>
        <w:bar w:val="nil"/>
      </w:pBdr>
      <w:spacing w:after="200" w:line="276" w:lineRule="auto"/>
      <w:jc w:val="right"/>
      <w:rPr>
        <w:rFonts w:ascii="Times New Roman" w:hAnsi="Times New Roman"/>
        <w:sz w:val="16"/>
        <w:szCs w:val="16"/>
        <w:bdr w:val="nil"/>
      </w:rPr>
    </w:pPr>
    <w:r>
      <w:rPr>
        <w:rFonts w:ascii="Times New Roman" w:hAnsi="Times New Roman"/>
        <w:sz w:val="16"/>
        <w:szCs w:val="16"/>
        <w:bdr w:val="nil"/>
      </w:rPr>
      <w:t xml:space="preserve">Page </w:t>
    </w:r>
    <w:r>
      <w:rPr>
        <w:rFonts w:ascii="Times New Roman" w:hAnsi="Times New Roman"/>
        <w:sz w:val="16"/>
        <w:szCs w:val="16"/>
        <w:bdr w:val="nil"/>
      </w:rPr>
      <w:fldChar w:fldCharType="begin"/>
    </w:r>
    <w:r>
      <w:rPr>
        <w:rFonts w:ascii="Times New Roman" w:hAnsi="Times New Roman"/>
        <w:sz w:val="16"/>
        <w:szCs w:val="16"/>
        <w:bdr w:val="nil"/>
      </w:rPr>
      <w:instrText xml:space="preserve"> PAGE   \* MERGEFORMAT </w:instrText>
    </w:r>
    <w:r>
      <w:rPr>
        <w:rFonts w:ascii="Times New Roman" w:hAnsi="Times New Roman"/>
        <w:sz w:val="16"/>
        <w:szCs w:val="16"/>
        <w:bdr w:val="nil"/>
      </w:rPr>
      <w:fldChar w:fldCharType="separate"/>
    </w:r>
    <w:r>
      <w:rPr>
        <w:rFonts w:ascii="Times New Roman" w:hAnsi="Times New Roman"/>
        <w:noProof/>
        <w:sz w:val="16"/>
        <w:szCs w:val="16"/>
        <w:bdr w:val="nil"/>
      </w:rPr>
      <w:t>33</w:t>
    </w:r>
    <w:r>
      <w:rPr>
        <w:rFonts w:ascii="Times New Roman" w:hAnsi="Times New Roman"/>
        <w:noProof/>
        <w:sz w:val="16"/>
        <w:szCs w:val="16"/>
        <w:bdr w:val="nil"/>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Pr>
  </w:p>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6"/>
      <w:pBdr>
        <w:top w:val="nil"/>
        <w:left w:val="nil"/>
        <w:bottom w:val="nil"/>
        <w:right w:val="nil"/>
        <w:between w:val="nil"/>
        <w:bar w:val="nil"/>
      </w:pBdr>
      <w:spacing w:after="200" w:line="276" w:lineRule="auto"/>
      <w:jc w:val="right"/>
      <w:rPr>
        <w:rFonts w:ascii="Times New Roman" w:eastAsia="Calibri" w:hAnsi="Times New Roman"/>
        <w:sz w:val="16"/>
        <w:szCs w:val="16"/>
        <w:bdr w:val="nil"/>
        <w:lang w:val="en-US"/>
      </w:rPr>
    </w:pPr>
    <w:r>
      <w:rPr>
        <w:rFonts w:ascii="Times New Roman" w:eastAsia="Calibri" w:hAnsi="Times New Roman"/>
        <w:sz w:val="16"/>
        <w:szCs w:val="16"/>
        <w:bdr w:val="nil"/>
        <w:lang w:val="en-US"/>
      </w:rPr>
      <w:t xml:space="preserve">Page </w:t>
    </w:r>
    <w:r>
      <w:rPr>
        <w:rFonts w:ascii="Times New Roman" w:eastAsia="Calibri" w:hAnsi="Times New Roman"/>
        <w:sz w:val="16"/>
        <w:szCs w:val="16"/>
        <w:bdr w:val="nil"/>
        <w:lang w:val="en-US"/>
      </w:rPr>
      <w:fldChar w:fldCharType="begin"/>
    </w:r>
    <w:r>
      <w:rPr>
        <w:rFonts w:ascii="Times New Roman" w:eastAsia="Calibri" w:hAnsi="Times New Roman"/>
        <w:sz w:val="16"/>
        <w:szCs w:val="16"/>
        <w:bdr w:val="nil"/>
        <w:lang w:val="en-US"/>
      </w:rPr>
      <w:instrText xml:space="preserve"> PAGE   \* MERGEFORMAT </w:instrText>
    </w:r>
    <w:r>
      <w:rPr>
        <w:rFonts w:ascii="Times New Roman" w:eastAsia="Calibri" w:hAnsi="Times New Roman"/>
        <w:sz w:val="16"/>
        <w:szCs w:val="16"/>
        <w:bdr w:val="nil"/>
        <w:lang w:val="en-US"/>
      </w:rPr>
      <w:fldChar w:fldCharType="separate"/>
    </w:r>
    <w:r>
      <w:rPr>
        <w:rFonts w:ascii="Times New Roman" w:eastAsia="Calibri" w:hAnsi="Times New Roman"/>
        <w:noProof/>
        <w:sz w:val="16"/>
        <w:szCs w:val="16"/>
        <w:bdr w:val="nil"/>
        <w:lang w:val="en-US"/>
      </w:rPr>
      <w:t>20</w:t>
    </w:r>
    <w:r>
      <w:rPr>
        <w:rFonts w:ascii="Times New Roman" w:eastAsia="Calibri" w:hAnsi="Times New Roman"/>
        <w:noProof/>
        <w:sz w:val="16"/>
        <w:szCs w:val="16"/>
        <w:bdr w:val="ni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2"/>
      <w:pBdr>
        <w:top w:val="nil"/>
        <w:left w:val="nil"/>
        <w:bottom w:val="nil"/>
        <w:right w:val="nil"/>
        <w:between w:val="nil"/>
        <w:bar w:val="nil"/>
      </w:pBdr>
      <w:spacing w:after="200" w:line="276" w:lineRule="auto"/>
      <w:ind w:left="720" w:firstLine="720"/>
      <w:rPr>
        <w:rFonts w:ascii="Times New Roman" w:hAnsi="Times New Roman"/>
        <w:bdr w:val="nil"/>
      </w:rPr>
    </w:pPr>
  </w:p>
  <w:p>
    <w:pPr>
      <w:pStyle w:val="Normal2"/>
      <w:pBdr>
        <w:top w:val="nil"/>
        <w:left w:val="nil"/>
        <w:bottom w:val="nil"/>
        <w:right w:val="nil"/>
        <w:between w:val="nil"/>
        <w:bar w:val="nil"/>
      </w:pBdr>
      <w:spacing w:after="200" w:line="276" w:lineRule="auto"/>
      <w:jc w:val="center"/>
      <w:rPr>
        <w:rFonts w:ascii="Times New Roman" w:hAnsi="Times New Roman"/>
        <w:bdr w:val="nil"/>
      </w:rPr>
    </w:pPr>
    <w:r>
      <w:rPr>
        <w:rFonts w:ascii="Times New Roman" w:hAnsi="Times New Roman"/>
        <w:bdr w:val="nil"/>
      </w:rPr>
      <w:t>The accompanying notes form an integral part of these financial statements.</w:t>
    </w:r>
  </w:p>
  <w:p>
    <w:pPr>
      <w:pStyle w:val="Normal2"/>
      <w:pBdr>
        <w:top w:val="nil"/>
        <w:left w:val="nil"/>
        <w:bottom w:val="nil"/>
        <w:right w:val="nil"/>
        <w:between w:val="nil"/>
        <w:bar w:val="nil"/>
      </w:pBdr>
      <w:spacing w:after="200" w:line="276" w:lineRule="auto"/>
      <w:jc w:val="right"/>
      <w:rPr>
        <w:rFonts w:ascii="Times New Roman" w:hAnsi="Times New Roman"/>
        <w:sz w:val="16"/>
        <w:szCs w:val="16"/>
        <w:bdr w:val="nil"/>
      </w:rPr>
    </w:pPr>
    <w:r>
      <w:rPr>
        <w:rFonts w:ascii="Times New Roman" w:hAnsi="Times New Roman"/>
        <w:sz w:val="16"/>
        <w:szCs w:val="16"/>
        <w:bdr w:val="nil"/>
      </w:rPr>
      <w:t xml:space="preserve">Page </w:t>
    </w:r>
    <w:r>
      <w:rPr>
        <w:rFonts w:ascii="Times New Roman" w:hAnsi="Times New Roman"/>
        <w:sz w:val="16"/>
        <w:szCs w:val="16"/>
        <w:bdr w:val="nil"/>
      </w:rPr>
      <w:fldChar w:fldCharType="begin"/>
    </w:r>
    <w:r>
      <w:rPr>
        <w:rFonts w:ascii="Times New Roman" w:hAnsi="Times New Roman"/>
        <w:sz w:val="16"/>
        <w:szCs w:val="16"/>
        <w:bdr w:val="nil"/>
      </w:rPr>
      <w:instrText xml:space="preserve"> PAGE   \* MERGEFORMAT </w:instrText>
    </w:r>
    <w:r>
      <w:rPr>
        <w:rFonts w:ascii="Times New Roman" w:hAnsi="Times New Roman"/>
        <w:sz w:val="16"/>
        <w:szCs w:val="16"/>
        <w:bdr w:val="nil"/>
      </w:rPr>
      <w:fldChar w:fldCharType="separate"/>
    </w:r>
    <w:r>
      <w:rPr>
        <w:rFonts w:ascii="Times New Roman" w:hAnsi="Times New Roman"/>
        <w:noProof/>
        <w:sz w:val="16"/>
        <w:szCs w:val="16"/>
        <w:bdr w:val="nil"/>
      </w:rPr>
      <w:t>35</w:t>
    </w:r>
    <w:r>
      <w:rPr>
        <w:rFonts w:ascii="Times New Roman" w:hAnsi="Times New Roman"/>
        <w:noProof/>
        <w:sz w:val="16"/>
        <w:szCs w:val="16"/>
        <w:bdr w:val="nil"/>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6"/>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p/>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2"/>
      <w:pBdr>
        <w:top w:val="nil"/>
        <w:left w:val="nil"/>
        <w:bottom w:val="nil"/>
        <w:right w:val="nil"/>
        <w:between w:val="nil"/>
        <w:bar w:val="nil"/>
      </w:pBdr>
      <w:spacing w:after="200" w:line="276" w:lineRule="auto"/>
      <w:ind w:left="720" w:firstLine="720"/>
      <w:rPr>
        <w:rFonts w:ascii="Times New Roman" w:hAnsi="Times New Roman"/>
        <w:bdr w:val="nil"/>
      </w:rPr>
    </w:pPr>
  </w:p>
  <w:p>
    <w:pPr>
      <w:pStyle w:val="Normal2"/>
      <w:pBdr>
        <w:top w:val="nil"/>
        <w:left w:val="nil"/>
        <w:bottom w:val="nil"/>
        <w:right w:val="nil"/>
        <w:between w:val="nil"/>
        <w:bar w:val="nil"/>
      </w:pBdr>
      <w:spacing w:after="200" w:line="276" w:lineRule="auto"/>
      <w:jc w:val="center"/>
      <w:rPr>
        <w:rFonts w:ascii="Times New Roman" w:hAnsi="Times New Roman"/>
        <w:bdr w:val="nil"/>
      </w:rPr>
    </w:pPr>
    <w:r>
      <w:rPr>
        <w:rFonts w:ascii="Times New Roman" w:hAnsi="Times New Roman"/>
        <w:bdr w:val="nil"/>
      </w:rPr>
      <w:t>The accompanying notes form an integral part of these financial statements.</w:t>
    </w:r>
  </w:p>
  <w:p>
    <w:pPr>
      <w:pStyle w:val="Normal2"/>
      <w:pBdr>
        <w:top w:val="nil"/>
        <w:left w:val="nil"/>
        <w:bottom w:val="nil"/>
        <w:right w:val="nil"/>
        <w:between w:val="nil"/>
        <w:bar w:val="nil"/>
      </w:pBdr>
      <w:spacing w:after="200" w:line="276" w:lineRule="auto"/>
      <w:jc w:val="right"/>
      <w:rPr>
        <w:rFonts w:ascii="Times New Roman" w:hAnsi="Times New Roman"/>
        <w:sz w:val="16"/>
        <w:szCs w:val="16"/>
        <w:bdr w:val="nil"/>
      </w:rPr>
    </w:pPr>
    <w:r>
      <w:rPr>
        <w:rFonts w:ascii="Times New Roman" w:hAnsi="Times New Roman"/>
        <w:sz w:val="16"/>
        <w:szCs w:val="16"/>
        <w:bdr w:val="nil"/>
      </w:rPr>
      <w:t xml:space="preserve">Page </w:t>
    </w:r>
    <w:r>
      <w:rPr>
        <w:rFonts w:ascii="Times New Roman" w:hAnsi="Times New Roman"/>
        <w:sz w:val="16"/>
        <w:szCs w:val="16"/>
        <w:bdr w:val="nil"/>
      </w:rPr>
      <w:fldChar w:fldCharType="begin"/>
    </w:r>
    <w:r>
      <w:rPr>
        <w:rFonts w:ascii="Times New Roman" w:hAnsi="Times New Roman"/>
        <w:sz w:val="16"/>
        <w:szCs w:val="16"/>
        <w:bdr w:val="nil"/>
      </w:rPr>
      <w:instrText xml:space="preserve"> PAGE   \* MERGEFORMAT </w:instrText>
    </w:r>
    <w:r>
      <w:rPr>
        <w:rFonts w:ascii="Times New Roman" w:hAnsi="Times New Roman"/>
        <w:sz w:val="16"/>
        <w:szCs w:val="16"/>
        <w:bdr w:val="nil"/>
      </w:rPr>
      <w:fldChar w:fldCharType="separate"/>
    </w:r>
    <w:r>
      <w:rPr>
        <w:rFonts w:ascii="Times New Roman" w:hAnsi="Times New Roman"/>
        <w:noProof/>
        <w:sz w:val="16"/>
        <w:szCs w:val="16"/>
        <w:bdr w:val="nil"/>
      </w:rPr>
      <w:t>38</w:t>
    </w:r>
    <w:r>
      <w:rPr>
        <w:rFonts w:ascii="Times New Roman" w:hAnsi="Times New Roman"/>
        <w:noProof/>
        <w:sz w:val="16"/>
        <w:szCs w:val="16"/>
        <w:bdr w:val="nil"/>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3"/>
      <w:pBdr>
        <w:top w:val="nil"/>
        <w:left w:val="nil"/>
        <w:bottom w:val="nil"/>
        <w:right w:val="nil"/>
        <w:between w:val="nil"/>
        <w:bar w:val="nil"/>
      </w:pBdr>
      <w:spacing w:after="200" w:line="276" w:lineRule="auto"/>
      <w:ind w:left="720" w:firstLine="720"/>
      <w:rPr>
        <w:rFonts w:ascii="Times New Roman" w:hAnsi="Times New Roman"/>
        <w:bdr w:val="nil"/>
      </w:rPr>
    </w:pPr>
  </w:p>
  <w:p>
    <w:pPr>
      <w:pStyle w:val="Normal3"/>
      <w:pBdr>
        <w:top w:val="nil"/>
        <w:left w:val="nil"/>
        <w:bottom w:val="nil"/>
        <w:right w:val="nil"/>
        <w:between w:val="nil"/>
        <w:bar w:val="nil"/>
      </w:pBdr>
      <w:spacing w:after="200" w:line="276" w:lineRule="auto"/>
      <w:jc w:val="center"/>
      <w:rPr>
        <w:rFonts w:ascii="Times New Roman" w:hAnsi="Times New Roman"/>
        <w:bdr w:val="nil"/>
      </w:rPr>
    </w:pPr>
    <w:r>
      <w:rPr>
        <w:rFonts w:ascii="Times New Roman" w:hAnsi="Times New Roman"/>
        <w:bdr w:val="nil"/>
      </w:rPr>
      <w:t>The accompanying notes form an integral part of these financial statements.</w:t>
    </w:r>
  </w:p>
  <w:p>
    <w:pPr>
      <w:pStyle w:val="Normal3"/>
      <w:pBdr>
        <w:top w:val="nil"/>
        <w:left w:val="nil"/>
        <w:bottom w:val="nil"/>
        <w:right w:val="nil"/>
        <w:between w:val="nil"/>
        <w:bar w:val="nil"/>
      </w:pBdr>
      <w:spacing w:after="200" w:line="276" w:lineRule="auto"/>
      <w:jc w:val="right"/>
      <w:rPr>
        <w:rFonts w:ascii="Times New Roman" w:hAnsi="Times New Roman"/>
        <w:sz w:val="16"/>
        <w:szCs w:val="16"/>
        <w:bdr w:val="nil"/>
      </w:rPr>
    </w:pPr>
    <w:r>
      <w:rPr>
        <w:rFonts w:ascii="Times New Roman" w:hAnsi="Times New Roman"/>
        <w:sz w:val="16"/>
        <w:szCs w:val="16"/>
        <w:bdr w:val="nil"/>
      </w:rPr>
      <w:t xml:space="preserve">Page </w:t>
    </w:r>
    <w:r>
      <w:rPr>
        <w:rFonts w:ascii="Times New Roman" w:hAnsi="Times New Roman"/>
        <w:sz w:val="16"/>
        <w:szCs w:val="16"/>
        <w:bdr w:val="nil"/>
      </w:rPr>
      <w:fldChar w:fldCharType="begin"/>
    </w:r>
    <w:r>
      <w:rPr>
        <w:rFonts w:ascii="Times New Roman" w:hAnsi="Times New Roman"/>
        <w:sz w:val="16"/>
        <w:szCs w:val="16"/>
        <w:bdr w:val="nil"/>
      </w:rPr>
      <w:instrText xml:space="preserve"> PAGE   \* MERGEFORMAT </w:instrText>
    </w:r>
    <w:r>
      <w:rPr>
        <w:rFonts w:ascii="Times New Roman" w:hAnsi="Times New Roman"/>
        <w:sz w:val="16"/>
        <w:szCs w:val="16"/>
        <w:bdr w:val="nil"/>
      </w:rPr>
      <w:fldChar w:fldCharType="separate"/>
    </w:r>
    <w:r>
      <w:rPr>
        <w:rFonts w:ascii="Times New Roman" w:hAnsi="Times New Roman"/>
        <w:noProof/>
        <w:sz w:val="16"/>
        <w:szCs w:val="16"/>
        <w:bdr w:val="nil"/>
      </w:rPr>
      <w:t>1</w:t>
    </w:r>
    <w:r>
      <w:rPr>
        <w:rFonts w:ascii="Times New Roman" w:hAnsi="Times New Roman"/>
        <w:noProof/>
        <w:sz w:val="16"/>
        <w:szCs w:val="16"/>
        <w:bdr w:val="nil"/>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2"/>
      <w:pBdr>
        <w:top w:val="nil"/>
        <w:left w:val="nil"/>
        <w:bottom w:val="nil"/>
        <w:right w:val="nil"/>
        <w:between w:val="nil"/>
        <w:bar w:val="nil"/>
      </w:pBdr>
      <w:spacing w:line="276" w:lineRule="auto"/>
      <w:jc w:val="center"/>
      <w:rPr>
        <w:rFonts w:ascii="Times New Roman" w:hAnsi="Times New Roman"/>
        <w:bdr w:val="nil"/>
      </w:rPr>
    </w:pPr>
    <w:r>
      <w:rPr>
        <w:rFonts w:ascii="Times New Roman" w:hAnsi="Times New Roman"/>
        <w:bdr w:val="nil"/>
      </w:rPr>
      <w:t>The accompanying notes form an integral part of these financial statements.</w:t>
    </w:r>
  </w:p>
  <w:p>
    <w:pPr>
      <w:pStyle w:val="Normal2"/>
      <w:pBdr>
        <w:top w:val="nil"/>
        <w:left w:val="nil"/>
        <w:bottom w:val="nil"/>
        <w:right w:val="nil"/>
        <w:between w:val="nil"/>
        <w:bar w:val="nil"/>
      </w:pBdr>
      <w:spacing w:after="200" w:line="276" w:lineRule="auto"/>
      <w:jc w:val="right"/>
      <w:rPr>
        <w:rFonts w:ascii="Times New Roman" w:hAnsi="Times New Roman"/>
        <w:sz w:val="16"/>
        <w:szCs w:val="16"/>
        <w:bdr w:val="nil"/>
      </w:rPr>
    </w:pPr>
    <w:r>
      <w:rPr>
        <w:rFonts w:ascii="Times New Roman" w:hAnsi="Times New Roman"/>
        <w:sz w:val="16"/>
        <w:szCs w:val="16"/>
        <w:bdr w:val="nil"/>
      </w:rPr>
      <w:t xml:space="preserve">Page </w:t>
    </w:r>
    <w:r>
      <w:rPr>
        <w:rFonts w:ascii="Times New Roman" w:hAnsi="Times New Roman"/>
        <w:sz w:val="16"/>
        <w:szCs w:val="16"/>
        <w:bdr w:val="nil"/>
      </w:rPr>
      <w:fldChar w:fldCharType="begin"/>
    </w:r>
    <w:r>
      <w:rPr>
        <w:rFonts w:ascii="Times New Roman" w:hAnsi="Times New Roman"/>
        <w:sz w:val="16"/>
        <w:szCs w:val="16"/>
        <w:bdr w:val="nil"/>
      </w:rPr>
      <w:instrText xml:space="preserve"> PAGE   \* MERGEFORMAT </w:instrText>
    </w:r>
    <w:r>
      <w:rPr>
        <w:rFonts w:ascii="Times New Roman" w:hAnsi="Times New Roman"/>
        <w:sz w:val="16"/>
        <w:szCs w:val="16"/>
        <w:bdr w:val="nil"/>
      </w:rPr>
      <w:fldChar w:fldCharType="separate"/>
    </w:r>
    <w:r>
      <w:rPr>
        <w:rFonts w:ascii="Times New Roman" w:hAnsi="Times New Roman"/>
        <w:noProof/>
        <w:sz w:val="16"/>
        <w:szCs w:val="16"/>
        <w:bdr w:val="nil"/>
      </w:rPr>
      <w:t>17</w:t>
    </w:r>
    <w:r>
      <w:rPr>
        <w:rFonts w:ascii="Times New Roman" w:hAnsi="Times New Roman"/>
        <w:noProof/>
        <w:sz w:val="16"/>
        <w:szCs w:val="16"/>
        <w:bdr w:val="ni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rPr>
        <w:bdr w:val="ni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ind w:left="426" w:hanging="426"/>
        <w:rPr>
          <w:sz w:val="18"/>
          <w:szCs w:val="18"/>
        </w:rPr>
      </w:pPr>
      <w:r>
        <w:rPr>
          <w:rStyle w:val="FootnoteReference"/>
          <w:sz w:val="18"/>
          <w:szCs w:val="18"/>
        </w:rPr>
        <w:footnoteRef/>
      </w:r>
      <w:r>
        <w:rPr>
          <w:sz w:val="18"/>
          <w:szCs w:val="18"/>
        </w:rPr>
        <w:tab/>
        <w:t>The balance of total assets includes a contribution receivable of EUR 103.2 million which is due to be paid in 2019 (2018: EUR 137.8 million). In the chart presented in figure 1 contributions receivable are recognized as assets in December of the corresponding years.</w:t>
      </w:r>
    </w:p>
  </w:footnote>
  <w:footnote w:id="2">
    <w:p>
      <w:pPr>
        <w:pStyle w:val="FootnoteText"/>
        <w:ind w:left="426" w:hanging="426"/>
      </w:pPr>
      <w:r>
        <w:rPr>
          <w:rStyle w:val="FootnoteReference"/>
          <w:sz w:val="18"/>
          <w:szCs w:val="18"/>
        </w:rPr>
        <w:footnoteRef/>
      </w:r>
      <w:r>
        <w:rPr>
          <w:sz w:val="18"/>
          <w:szCs w:val="18"/>
        </w:rPr>
        <w:tab/>
      </w:r>
      <w:r>
        <w:t>The Available for Sale portfolio also includes the zero-coupon bonds and commercial papers with original maturities of more than three months.</w:t>
      </w:r>
    </w:p>
  </w:footnote>
  <w:footnote w:id="3">
    <w:p>
      <w:pPr>
        <w:pStyle w:val="FootnoteText"/>
        <w:ind w:left="426" w:hanging="426"/>
      </w:pPr>
      <w:r>
        <w:rPr>
          <w:rStyle w:val="FootnoteReference"/>
          <w:sz w:val="18"/>
        </w:rPr>
        <w:footnoteRef/>
      </w:r>
      <w:r>
        <w:rPr>
          <w:sz w:val="18"/>
        </w:rPr>
        <w:tab/>
        <w:t>The fixed rate portfolio includes the zero-coupon bonds and commercial papers.</w:t>
      </w:r>
    </w:p>
  </w:footnote>
  <w:footnote w:id="4">
    <w:p>
      <w:pPr>
        <w:pStyle w:val="FootnoteText"/>
        <w:ind w:left="426" w:hanging="426"/>
        <w:rPr>
          <w:sz w:val="18"/>
          <w:szCs w:val="18"/>
        </w:rPr>
      </w:pPr>
      <w:r>
        <w:rPr>
          <w:rStyle w:val="FootnoteReference"/>
        </w:rPr>
        <w:footnoteRef/>
      </w:r>
      <w:r>
        <w:tab/>
      </w:r>
      <w:r>
        <w:rPr>
          <w:sz w:val="18"/>
          <w:szCs w:val="18"/>
        </w:rPr>
        <w:t>The second best rating of the three rating agencies: S&amp;P, Moody’s and Fitch</w:t>
      </w:r>
    </w:p>
  </w:footnote>
  <w:footnote w:id="5">
    <w:p>
      <w:pPr>
        <w:pStyle w:val="FootnoteText"/>
        <w:ind w:left="426" w:hanging="426"/>
        <w:rPr>
          <w:sz w:val="18"/>
          <w:szCs w:val="18"/>
        </w:rPr>
      </w:pPr>
      <w:r>
        <w:rPr>
          <w:rStyle w:val="FootnoteReference"/>
          <w:sz w:val="18"/>
          <w:szCs w:val="18"/>
        </w:rPr>
        <w:footnoteRef/>
      </w:r>
      <w:r>
        <w:rPr>
          <w:sz w:val="18"/>
          <w:szCs w:val="18"/>
        </w:rPr>
        <w:tab/>
        <w:t>The second best rating of the three rating agencies: S&amp;P, Moody’s and Fitch Member States securities (including securities guaranteed by Member States) may be kept in an event of downgrade below the minimum requirements. This applies also to cases where the rating downgrade would trigger a lower limit</w:t>
      </w:r>
      <w:r>
        <w:rPr>
          <w:color w:val="000000"/>
          <w:sz w:val="18"/>
          <w:szCs w:val="18"/>
        </w:rPr>
        <w:t>.</w:t>
      </w:r>
    </w:p>
  </w:footnote>
  <w:footnote w:id="6">
    <w:p>
      <w:pPr>
        <w:pStyle w:val="FootnoteText"/>
        <w:ind w:left="426" w:hanging="426"/>
        <w:rPr>
          <w:sz w:val="18"/>
          <w:szCs w:val="18"/>
          <w:highlight w:val="red"/>
          <w:lang w:val="en-US"/>
        </w:rPr>
      </w:pPr>
      <w:r>
        <w:rPr>
          <w:rStyle w:val="FootnoteReference"/>
        </w:rPr>
        <w:footnoteRef/>
      </w:r>
      <w:r>
        <w:tab/>
      </w:r>
      <w:r>
        <w:rPr>
          <w:sz w:val="18"/>
          <w:szCs w:val="18"/>
        </w:rPr>
        <w:t>Reported ratings are ratings of the respective issues. In the absence of all bond/issue ratings, the respective issuer ratings (in case of guaranteed positions the guarantor ratings) have been reported.</w:t>
      </w:r>
    </w:p>
  </w:footnote>
  <w:footnote w:id="7">
    <w:p>
      <w:pPr>
        <w:pStyle w:val="FootnoteText"/>
        <w:ind w:left="426" w:hanging="426"/>
        <w:rPr>
          <w:lang w:val="en-IE"/>
        </w:rPr>
      </w:pPr>
      <w:r>
        <w:rPr>
          <w:rStyle w:val="FootnoteReference"/>
        </w:rPr>
        <w:footnoteRef/>
      </w:r>
      <w:r>
        <w:rPr>
          <w:lang w:val="en-IE"/>
        </w:rPr>
        <w:tab/>
      </w:r>
      <w:r>
        <w:rPr>
          <w:sz w:val="18"/>
          <w:szCs w:val="18"/>
        </w:rPr>
        <w:t>The “Other” category presented in figure 8 includes: Member State Baa2 (1.67%), Member State Aa1 (1.65%), Member State A3 (1.61%), Supranational Aaa (1.46%), Corporates A3 (1.08%), Corporates Aa1 (1.04%), Banks Aa3 (1.04%), Corporates A1 (0.96%), Non-EU Public Institution A1 (0.84%), Banks A1 (0.83%), Supranational Aa1 (0.80%), Banks Baa1 (0.61%), Corporates A2 (0.54%), Banks A2 (0.43%), Supranational Aa2 (0.42%), Corporates Baa2 (0.29%), Public Institution A3 (0.21%), Non-EU Public Institution Aa3 (0.21%), Non-EU Public Institution Aaa (0.17%), Corporates Aa3 (0.10%).</w:t>
      </w:r>
    </w:p>
  </w:footnote>
  <w:footnote w:id="8">
    <w:p>
      <w:pPr>
        <w:pStyle w:val="FootnoteText"/>
        <w:ind w:left="426" w:hanging="426"/>
        <w:rPr>
          <w:sz w:val="18"/>
          <w:szCs w:val="18"/>
        </w:rPr>
      </w:pPr>
      <w:r>
        <w:rPr>
          <w:rStyle w:val="FootnoteReference"/>
          <w:sz w:val="18"/>
          <w:szCs w:val="18"/>
        </w:rPr>
        <w:footnoteRef/>
      </w:r>
      <w:r>
        <w:rPr>
          <w:sz w:val="18"/>
          <w:szCs w:val="18"/>
        </w:rPr>
        <w:tab/>
        <w:t>The Benchmark comprises independently calculated IBOXX indexes. The prices of the securities represented in the IBOXX indexes are sourced from Markit, which is the same source used for the prices of the correspondent securities in the table. These prices are different from the ones used for the financial reporting purposes. CBBT/BGN+ quotes (Bloomberg) is the source of pricing of the securities for the year-end financial reporting.The Benchmark comprises independently calculated IBOXX indexes. The prices of the securities represented in the IBOXX indexes are sourced from Markit, which is the same source used for the prices of the correspondent securities in the table. These prices are different from the ones used for the financial reporting purposes. CBBT/BGN+ quotes (Bloomberg) is the source of pricing of the securities for the year-end financial reporting.</w:t>
      </w:r>
    </w:p>
  </w:footnote>
  <w:footnote w:id="9">
    <w:p>
      <w:pPr>
        <w:pStyle w:val="FootnoteText"/>
        <w:ind w:left="426" w:hanging="426"/>
        <w:rPr>
          <w:sz w:val="18"/>
          <w:szCs w:val="18"/>
        </w:rPr>
      </w:pPr>
      <w:r>
        <w:rPr>
          <w:rStyle w:val="FootnoteReference"/>
        </w:rPr>
        <w:footnoteRef/>
      </w:r>
      <w:r>
        <w:tab/>
      </w:r>
      <w:r>
        <w:rPr>
          <w:sz w:val="18"/>
          <w:szCs w:val="18"/>
        </w:rPr>
        <w:t>Supplementary Agreement no 5 to the Agreement relating to the Management of the Guarantee Fund between the European Union and the European Investment Fund - Ref. Ares(2018)5207374 - 10/10/2018.</w:t>
      </w:r>
    </w:p>
  </w:footnote>
  <w:footnote w:id="10">
    <w:p>
      <w:pPr>
        <w:pStyle w:val="FootnoteText"/>
        <w:ind w:left="426" w:hanging="426"/>
        <w:rPr>
          <w:lang w:val="fr-BE"/>
        </w:rPr>
      </w:pPr>
      <w:r>
        <w:rPr>
          <w:rStyle w:val="FootnoteReference"/>
        </w:rPr>
        <w:footnoteRef/>
      </w:r>
      <w:r>
        <w:tab/>
      </w:r>
      <w:r>
        <w:rPr>
          <w:sz w:val="18"/>
          <w:szCs w:val="18"/>
        </w:rPr>
        <w:t>Decision of the Accounting Officer. Subject: Presentation of the Guarantee Fund for external actions and other available for sale portfolios (Ref. Ares (2013) 122752 – 31/01/2013).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1"/>
      <w:pBdr>
        <w:top w:val="nil"/>
        <w:left w:val="nil"/>
        <w:bottom w:val="nil"/>
        <w:right w:val="nil"/>
        <w:between w:val="nil"/>
        <w:bar w:val="nil"/>
      </w:pBdr>
      <w:spacing w:line="276" w:lineRule="auto"/>
      <w:jc w:val="center"/>
      <w:rPr>
        <w:rFonts w:ascii="Times New Roman" w:hAnsi="Times New Roman"/>
        <w:bdr w:val="nil"/>
      </w:rPr>
    </w:pPr>
    <w:r>
      <w:rPr>
        <w:rFonts w:ascii="Times New Roman" w:hAnsi="Times New Roman"/>
        <w:bdr w:val="nil"/>
      </w:rPr>
      <w:t>GUARANTEE FUND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Bdr>
        <w:top w:val="nil"/>
        <w:left w:val="nil"/>
        <w:bottom w:val="nil"/>
        <w:right w:val="nil"/>
        <w:between w:val="nil"/>
        <w:bar w:val="nil"/>
      </w:pBdr>
      <w:spacing w:line="276" w:lineRule="auto"/>
      <w:jc w:val="center"/>
      <w:rPr>
        <w:rFonts w:ascii="Times New Roman" w:eastAsia="Calibri" w:hAnsi="Times New Roman"/>
        <w:bdr w:val="nil"/>
      </w:rPr>
    </w:pPr>
    <w:r>
      <w:rPr>
        <w:rFonts w:ascii="Times New Roman" w:eastAsia="Calibri" w:hAnsi="Times New Roman"/>
        <w:bdr w:val="nil"/>
        <w:lang w:val="en-US"/>
      </w:rPr>
      <w:t>GUARANTEE FUND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rPr>
        <w:bdr w:val="ni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spacing w:line="276" w:lineRule="auto"/>
      <w:jc w:val="center"/>
      <w:rPr>
        <w:rFonts w:eastAsia="Calibri"/>
        <w:bdr w:val="nil"/>
        <w:lang w:val="en-US"/>
      </w:rPr>
    </w:pPr>
    <w:r>
      <w:rPr>
        <w:rFonts w:eastAsia="Calibri"/>
        <w:bdr w:val="nil"/>
        <w:lang w:val="en-US"/>
      </w:rPr>
      <w:t>GUARANTEE FUND</w:t>
    </w: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Bdr>
        <w:top w:val="nil"/>
        <w:left w:val="nil"/>
        <w:bottom w:val="nil"/>
        <w:right w:val="nil"/>
        <w:between w:val="nil"/>
        <w:bar w:val="nil"/>
      </w:pBdr>
      <w:spacing w:line="276" w:lineRule="auto"/>
      <w:jc w:val="center"/>
      <w:rPr>
        <w:rFonts w:ascii="Times New Roman" w:eastAsia="Calibri" w:hAnsi="Times New Roman"/>
        <w:bdr w:val="nil"/>
      </w:rPr>
    </w:pPr>
    <w:r>
      <w:rPr>
        <w:rFonts w:ascii="Times New Roman" w:eastAsia="Calibri" w:hAnsi="Times New Roman"/>
        <w:bdr w:val="nil"/>
        <w:lang w:val="en-US"/>
      </w:rPr>
      <w:t>GUARANTEE FUND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rPr>
        <w:bdr w:val="nil"/>
      </w:rPr>
    </w:pPr>
  </w:p>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Bdr>
        <w:top w:val="nil"/>
        <w:left w:val="nil"/>
        <w:bottom w:val="nil"/>
        <w:right w:val="nil"/>
        <w:between w:val="nil"/>
        <w:bar w:val="nil"/>
      </w:pBdr>
      <w:spacing w:line="276" w:lineRule="auto"/>
      <w:jc w:val="center"/>
      <w:rPr>
        <w:rFonts w:ascii="Times New Roman" w:eastAsia="Calibri" w:hAnsi="Times New Roman"/>
        <w:bdr w:val="nil"/>
        <w:lang w:val="en-US"/>
      </w:rPr>
    </w:pPr>
    <w:r>
      <w:rPr>
        <w:rFonts w:ascii="Times New Roman" w:eastAsia="Calibri" w:hAnsi="Times New Roman"/>
        <w:bdr w:val="nil"/>
        <w:lang w:val="en-US"/>
      </w:rPr>
      <w:t>GUARANTEE FUND</w:t>
    </w:r>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Bdr>
        <w:top w:val="nil"/>
        <w:left w:val="nil"/>
        <w:bottom w:val="nil"/>
        <w:right w:val="nil"/>
        <w:between w:val="nil"/>
        <w:bar w:val="nil"/>
      </w:pBdr>
      <w:spacing w:line="276" w:lineRule="auto"/>
      <w:jc w:val="center"/>
      <w:rPr>
        <w:rFonts w:ascii="Times New Roman" w:eastAsia="Calibri" w:hAnsi="Times New Roman"/>
        <w:bdr w:val="nil"/>
      </w:rPr>
    </w:pPr>
    <w:r>
      <w:rPr>
        <w:rFonts w:ascii="Times New Roman" w:eastAsia="Calibri" w:hAnsi="Times New Roman"/>
        <w:bdr w:val="nil"/>
        <w:lang w:val="en-US"/>
      </w:rPr>
      <w:t>GUARANTEE FUND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Pr>
  </w:p>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6"/>
      <w:pBdr>
        <w:top w:val="nil"/>
        <w:left w:val="nil"/>
        <w:bottom w:val="nil"/>
        <w:right w:val="nil"/>
        <w:between w:val="nil"/>
        <w:bar w:val="nil"/>
      </w:pBdr>
      <w:spacing w:line="276" w:lineRule="auto"/>
      <w:jc w:val="center"/>
      <w:rPr>
        <w:rFonts w:ascii="Times New Roman" w:eastAsia="Calibri" w:hAnsi="Times New Roman"/>
        <w:bdr w:val="nil"/>
        <w:lang w:val="en-US"/>
      </w:rPr>
    </w:pPr>
    <w:r>
      <w:rPr>
        <w:rFonts w:ascii="Times New Roman" w:eastAsia="Calibri" w:hAnsi="Times New Roman"/>
        <w:bdr w:val="nil"/>
        <w:lang w:val="en-US"/>
      </w:rPr>
      <w:t>GUARANTEE FUND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Bdr>
        <w:top w:val="nil"/>
        <w:left w:val="nil"/>
        <w:bottom w:val="nil"/>
        <w:right w:val="nil"/>
        <w:between w:val="nil"/>
        <w:bar w:val="nil"/>
      </w:pBdr>
      <w:spacing w:line="276" w:lineRule="auto"/>
      <w:jc w:val="center"/>
      <w:rPr>
        <w:rFonts w:ascii="Times New Roman" w:eastAsia="Calibri" w:hAnsi="Times New Roman"/>
        <w:bdr w:val="nil"/>
      </w:rPr>
    </w:pPr>
    <w:r>
      <w:rPr>
        <w:rFonts w:ascii="Times New Roman" w:eastAsia="Calibri" w:hAnsi="Times New Roman"/>
        <w:bdr w:val="nil"/>
        <w:lang w:val="en-US"/>
      </w:rPr>
      <w:t>GUARANTEE FUND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6"/>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Bdr>
        <w:top w:val="nil"/>
        <w:left w:val="nil"/>
        <w:bottom w:val="nil"/>
        <w:right w:val="nil"/>
        <w:between w:val="nil"/>
        <w:bar w:val="nil"/>
      </w:pBdr>
      <w:spacing w:line="276" w:lineRule="auto"/>
      <w:jc w:val="center"/>
      <w:rPr>
        <w:rFonts w:ascii="Times New Roman" w:eastAsia="Calibri" w:hAnsi="Times New Roman"/>
        <w:bdr w:val="nil"/>
      </w:rPr>
    </w:pPr>
    <w:r>
      <w:rPr>
        <w:rFonts w:ascii="Times New Roman" w:eastAsia="Calibri" w:hAnsi="Times New Roman"/>
        <w:bdr w:val="nil"/>
        <w:lang w:val="en-US"/>
      </w:rPr>
      <w:t>GUARANTEE FUND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1"/>
      <w:pBdr>
        <w:top w:val="nil"/>
        <w:left w:val="nil"/>
        <w:bottom w:val="nil"/>
        <w:right w:val="nil"/>
        <w:between w:val="nil"/>
        <w:bar w:val="nil"/>
      </w:pBdr>
      <w:spacing w:line="276" w:lineRule="auto"/>
      <w:jc w:val="center"/>
      <w:rPr>
        <w:rFonts w:ascii="Times New Roman" w:hAnsi="Times New Roman"/>
        <w:bdr w:val="nil"/>
      </w:rPr>
    </w:pPr>
    <w:r>
      <w:rPr>
        <w:rFonts w:ascii="Times New Roman" w:hAnsi="Times New Roman"/>
        <w:bdr w:val="nil"/>
      </w:rPr>
      <w:t>GUARANTEE FUND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Bdr>
        <w:top w:val="nil"/>
        <w:left w:val="nil"/>
        <w:bottom w:val="nil"/>
        <w:right w:val="nil"/>
        <w:between w:val="nil"/>
        <w:bar w:val="nil"/>
      </w:pBdr>
      <w:spacing w:after="0" w:line="276" w:lineRule="auto"/>
      <w:jc w:val="center"/>
      <w:rPr>
        <w:rFonts w:ascii="Times New Roman" w:eastAsia="Calibri" w:hAnsi="Times New Roman"/>
        <w:color w:val="808080" w:themeColor="background1" w:themeShade="80"/>
        <w:bdr w:val="nil"/>
      </w:rPr>
    </w:pPr>
    <w:r>
      <w:rPr>
        <w:rFonts w:ascii="Times New Roman" w:eastAsia="Calibri" w:hAnsi="Times New Roman"/>
        <w:color w:val="808080" w:themeColor="background1" w:themeShade="80"/>
        <w:bdr w:val="nil"/>
        <w:lang w:val="en-US"/>
      </w:rPr>
      <w:t>GUARANTEE FUND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rPr>
        <w:bdr w:val="ni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
    <w:nsid w:val="00000005"/>
    <w:multiLevelType w:val="singleLevel"/>
    <w:tmpl w:val="C6FC2404"/>
    <w:lvl w:ilvl="0">
      <w:start w:val="1"/>
      <w:numFmt w:val="bullet"/>
      <w:lvlText w:val="–"/>
      <w:lvlJc w:val="left"/>
      <w:pPr>
        <w:ind w:left="1004" w:hanging="360"/>
      </w:pPr>
      <w:rPr>
        <w:rFonts w:ascii="Times New Roman" w:hAnsi="Times New Roman" w:cs="Times New Roman" w:hint="default"/>
      </w:rPr>
    </w:lvl>
  </w:abstractNum>
  <w:abstractNum w:abstractNumId="2">
    <w:nsid w:val="00000006"/>
    <w:multiLevelType w:val="singleLevel"/>
    <w:tmpl w:val="C6FC2404"/>
    <w:lvl w:ilvl="0">
      <w:start w:val="1"/>
      <w:numFmt w:val="bullet"/>
      <w:lvlText w:val="–"/>
      <w:lvlJc w:val="left"/>
      <w:pPr>
        <w:ind w:left="360" w:hanging="360"/>
      </w:pPr>
      <w:rPr>
        <w:rFonts w:ascii="Times New Roman" w:hAnsi="Times New Roman" w:cs="Times New Roman" w:hint="default"/>
      </w:rPr>
    </w:lvl>
  </w:abstractNum>
  <w:abstractNum w:abstractNumId="3">
    <w:nsid w:val="00000007"/>
    <w:multiLevelType w:val="hybridMultilevel"/>
    <w:tmpl w:val="21C03D92"/>
    <w:lvl w:ilvl="0" w:tplc="C6FC2404">
      <w:start w:val="1"/>
      <w:numFmt w:val="bullet"/>
      <w:lvlText w:val="–"/>
      <w:lvlJc w:val="left"/>
      <w:pPr>
        <w:ind w:left="720" w:hanging="360"/>
      </w:pPr>
      <w:rPr>
        <w:rFonts w:ascii="Times New Roman" w:hAnsi="Times New Roman" w:cs="Times New Roman" w:hint="default"/>
        <w:b/>
        <w:i w:val="0"/>
      </w:rPr>
    </w:lvl>
    <w:lvl w:ilvl="1" w:tplc="3A60E16C" w:tentative="1">
      <w:start w:val="1"/>
      <w:numFmt w:val="bullet"/>
      <w:lvlText w:val="o"/>
      <w:lvlJc w:val="left"/>
      <w:pPr>
        <w:ind w:left="1440" w:hanging="360"/>
      </w:pPr>
      <w:rPr>
        <w:rFonts w:ascii="Courier New" w:hAnsi="Courier New" w:cs="Courier New" w:hint="default"/>
      </w:rPr>
    </w:lvl>
    <w:lvl w:ilvl="2" w:tplc="7284CF72" w:tentative="1">
      <w:start w:val="1"/>
      <w:numFmt w:val="bullet"/>
      <w:lvlText w:val=""/>
      <w:lvlJc w:val="left"/>
      <w:pPr>
        <w:ind w:left="2160" w:hanging="360"/>
      </w:pPr>
      <w:rPr>
        <w:rFonts w:ascii="Wingdings" w:hAnsi="Wingdings" w:hint="default"/>
      </w:rPr>
    </w:lvl>
    <w:lvl w:ilvl="3" w:tplc="CCF6A48A" w:tentative="1">
      <w:start w:val="1"/>
      <w:numFmt w:val="bullet"/>
      <w:lvlText w:val=""/>
      <w:lvlJc w:val="left"/>
      <w:pPr>
        <w:ind w:left="2880" w:hanging="360"/>
      </w:pPr>
      <w:rPr>
        <w:rFonts w:ascii="Symbol" w:hAnsi="Symbol" w:hint="default"/>
      </w:rPr>
    </w:lvl>
    <w:lvl w:ilvl="4" w:tplc="E280EC7E" w:tentative="1">
      <w:start w:val="1"/>
      <w:numFmt w:val="bullet"/>
      <w:lvlText w:val="o"/>
      <w:lvlJc w:val="left"/>
      <w:pPr>
        <w:ind w:left="3600" w:hanging="360"/>
      </w:pPr>
      <w:rPr>
        <w:rFonts w:ascii="Courier New" w:hAnsi="Courier New" w:cs="Courier New" w:hint="default"/>
      </w:rPr>
    </w:lvl>
    <w:lvl w:ilvl="5" w:tplc="22B288B4" w:tentative="1">
      <w:start w:val="1"/>
      <w:numFmt w:val="bullet"/>
      <w:lvlText w:val=""/>
      <w:lvlJc w:val="left"/>
      <w:pPr>
        <w:ind w:left="4320" w:hanging="360"/>
      </w:pPr>
      <w:rPr>
        <w:rFonts w:ascii="Wingdings" w:hAnsi="Wingdings" w:hint="default"/>
      </w:rPr>
    </w:lvl>
    <w:lvl w:ilvl="6" w:tplc="D7C8BC38" w:tentative="1">
      <w:start w:val="1"/>
      <w:numFmt w:val="bullet"/>
      <w:lvlText w:val=""/>
      <w:lvlJc w:val="left"/>
      <w:pPr>
        <w:ind w:left="5040" w:hanging="360"/>
      </w:pPr>
      <w:rPr>
        <w:rFonts w:ascii="Symbol" w:hAnsi="Symbol" w:hint="default"/>
      </w:rPr>
    </w:lvl>
    <w:lvl w:ilvl="7" w:tplc="557C107A" w:tentative="1">
      <w:start w:val="1"/>
      <w:numFmt w:val="bullet"/>
      <w:lvlText w:val="o"/>
      <w:lvlJc w:val="left"/>
      <w:pPr>
        <w:ind w:left="5760" w:hanging="360"/>
      </w:pPr>
      <w:rPr>
        <w:rFonts w:ascii="Courier New" w:hAnsi="Courier New" w:cs="Courier New" w:hint="default"/>
      </w:rPr>
    </w:lvl>
    <w:lvl w:ilvl="8" w:tplc="9DC65BDE" w:tentative="1">
      <w:start w:val="1"/>
      <w:numFmt w:val="bullet"/>
      <w:lvlText w:val=""/>
      <w:lvlJc w:val="left"/>
      <w:pPr>
        <w:ind w:left="6480" w:hanging="360"/>
      </w:pPr>
      <w:rPr>
        <w:rFonts w:ascii="Wingdings" w:hAnsi="Wingdings" w:hint="default"/>
      </w:rPr>
    </w:lvl>
  </w:abstractNum>
  <w:abstractNum w:abstractNumId="4">
    <w:nsid w:val="00000009"/>
    <w:multiLevelType w:val="hybridMultilevel"/>
    <w:tmpl w:val="95A2DE0A"/>
    <w:lvl w:ilvl="0" w:tplc="C6FC2404">
      <w:start w:val="1"/>
      <w:numFmt w:val="bullet"/>
      <w:lvlText w:val="–"/>
      <w:lvlJc w:val="left"/>
      <w:pPr>
        <w:tabs>
          <w:tab w:val="num" w:pos="1080"/>
        </w:tabs>
        <w:ind w:left="1080" w:hanging="360"/>
      </w:pPr>
      <w:rPr>
        <w:rFonts w:ascii="Times New Roman" w:hAnsi="Times New Roman" w:cs="Times New Roman" w:hint="default"/>
      </w:rPr>
    </w:lvl>
    <w:lvl w:ilvl="1" w:tplc="80129A42" w:tentative="1">
      <w:start w:val="1"/>
      <w:numFmt w:val="bullet"/>
      <w:lvlText w:val="o"/>
      <w:lvlJc w:val="left"/>
      <w:pPr>
        <w:tabs>
          <w:tab w:val="num" w:pos="1800"/>
        </w:tabs>
        <w:ind w:left="1800" w:hanging="360"/>
      </w:pPr>
      <w:rPr>
        <w:rFonts w:ascii="Courier New" w:hAnsi="Courier New" w:cs="Courier New" w:hint="default"/>
      </w:rPr>
    </w:lvl>
    <w:lvl w:ilvl="2" w:tplc="76449592" w:tentative="1">
      <w:start w:val="1"/>
      <w:numFmt w:val="bullet"/>
      <w:lvlText w:val=""/>
      <w:lvlJc w:val="left"/>
      <w:pPr>
        <w:tabs>
          <w:tab w:val="num" w:pos="2520"/>
        </w:tabs>
        <w:ind w:left="2520" w:hanging="360"/>
      </w:pPr>
      <w:rPr>
        <w:rFonts w:ascii="Wingdings" w:hAnsi="Wingdings" w:hint="default"/>
      </w:rPr>
    </w:lvl>
    <w:lvl w:ilvl="3" w:tplc="76DC6AF2" w:tentative="1">
      <w:start w:val="1"/>
      <w:numFmt w:val="bullet"/>
      <w:lvlText w:val=""/>
      <w:lvlJc w:val="left"/>
      <w:pPr>
        <w:tabs>
          <w:tab w:val="num" w:pos="3240"/>
        </w:tabs>
        <w:ind w:left="3240" w:hanging="360"/>
      </w:pPr>
      <w:rPr>
        <w:rFonts w:ascii="Symbol" w:hAnsi="Symbol" w:hint="default"/>
      </w:rPr>
    </w:lvl>
    <w:lvl w:ilvl="4" w:tplc="30BABC0E" w:tentative="1">
      <w:start w:val="1"/>
      <w:numFmt w:val="bullet"/>
      <w:lvlText w:val="o"/>
      <w:lvlJc w:val="left"/>
      <w:pPr>
        <w:tabs>
          <w:tab w:val="num" w:pos="3960"/>
        </w:tabs>
        <w:ind w:left="3960" w:hanging="360"/>
      </w:pPr>
      <w:rPr>
        <w:rFonts w:ascii="Courier New" w:hAnsi="Courier New" w:cs="Courier New" w:hint="default"/>
      </w:rPr>
    </w:lvl>
    <w:lvl w:ilvl="5" w:tplc="02AE2A28" w:tentative="1">
      <w:start w:val="1"/>
      <w:numFmt w:val="bullet"/>
      <w:lvlText w:val=""/>
      <w:lvlJc w:val="left"/>
      <w:pPr>
        <w:tabs>
          <w:tab w:val="num" w:pos="4680"/>
        </w:tabs>
        <w:ind w:left="4680" w:hanging="360"/>
      </w:pPr>
      <w:rPr>
        <w:rFonts w:ascii="Wingdings" w:hAnsi="Wingdings" w:hint="default"/>
      </w:rPr>
    </w:lvl>
    <w:lvl w:ilvl="6" w:tplc="9B626F30" w:tentative="1">
      <w:start w:val="1"/>
      <w:numFmt w:val="bullet"/>
      <w:lvlText w:val=""/>
      <w:lvlJc w:val="left"/>
      <w:pPr>
        <w:tabs>
          <w:tab w:val="num" w:pos="5400"/>
        </w:tabs>
        <w:ind w:left="5400" w:hanging="360"/>
      </w:pPr>
      <w:rPr>
        <w:rFonts w:ascii="Symbol" w:hAnsi="Symbol" w:hint="default"/>
      </w:rPr>
    </w:lvl>
    <w:lvl w:ilvl="7" w:tplc="08088B00" w:tentative="1">
      <w:start w:val="1"/>
      <w:numFmt w:val="bullet"/>
      <w:lvlText w:val="o"/>
      <w:lvlJc w:val="left"/>
      <w:pPr>
        <w:tabs>
          <w:tab w:val="num" w:pos="6120"/>
        </w:tabs>
        <w:ind w:left="6120" w:hanging="360"/>
      </w:pPr>
      <w:rPr>
        <w:rFonts w:ascii="Courier New" w:hAnsi="Courier New" w:cs="Courier New" w:hint="default"/>
      </w:rPr>
    </w:lvl>
    <w:lvl w:ilvl="8" w:tplc="17BCE9F2" w:tentative="1">
      <w:start w:val="1"/>
      <w:numFmt w:val="bullet"/>
      <w:lvlText w:val=""/>
      <w:lvlJc w:val="left"/>
      <w:pPr>
        <w:tabs>
          <w:tab w:val="num" w:pos="6840"/>
        </w:tabs>
        <w:ind w:left="6840" w:hanging="360"/>
      </w:pPr>
      <w:rPr>
        <w:rFonts w:ascii="Wingdings" w:hAnsi="Wingdings" w:hint="default"/>
      </w:rPr>
    </w:lvl>
  </w:abstractNum>
  <w:abstractNum w:abstractNumId="5">
    <w:nsid w:val="0000000C"/>
    <w:multiLevelType w:val="multilevel"/>
    <w:tmpl w:val="99F02EDC"/>
    <w:lvl w:ilvl="0">
      <w:start w:val="3"/>
      <w:numFmt w:val="decimal"/>
      <w:lvlText w:val="%1.3.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0000000D"/>
    <w:multiLevelType w:val="hybridMultilevel"/>
    <w:tmpl w:val="54D00BD4"/>
    <w:lvl w:ilvl="0" w:tplc="C6FC2404">
      <w:start w:val="1"/>
      <w:numFmt w:val="bullet"/>
      <w:lvlText w:val="–"/>
      <w:lvlJc w:val="left"/>
      <w:pPr>
        <w:tabs>
          <w:tab w:val="num" w:pos="720"/>
        </w:tabs>
        <w:ind w:left="720" w:hanging="360"/>
      </w:pPr>
      <w:rPr>
        <w:rFonts w:ascii="Times New Roman" w:hAnsi="Times New Roman" w:cs="Times New Roman" w:hint="default"/>
      </w:rPr>
    </w:lvl>
    <w:lvl w:ilvl="1" w:tplc="3FA6381C" w:tentative="1">
      <w:start w:val="1"/>
      <w:numFmt w:val="bullet"/>
      <w:lvlText w:val="o"/>
      <w:lvlJc w:val="left"/>
      <w:pPr>
        <w:tabs>
          <w:tab w:val="num" w:pos="1440"/>
        </w:tabs>
        <w:ind w:left="1440" w:hanging="360"/>
      </w:pPr>
      <w:rPr>
        <w:rFonts w:ascii="Courier New" w:hAnsi="Courier New" w:hint="default"/>
      </w:rPr>
    </w:lvl>
    <w:lvl w:ilvl="2" w:tplc="E80A712E" w:tentative="1">
      <w:start w:val="1"/>
      <w:numFmt w:val="bullet"/>
      <w:lvlText w:val=""/>
      <w:lvlJc w:val="left"/>
      <w:pPr>
        <w:tabs>
          <w:tab w:val="num" w:pos="2160"/>
        </w:tabs>
        <w:ind w:left="2160" w:hanging="360"/>
      </w:pPr>
      <w:rPr>
        <w:rFonts w:ascii="Wingdings" w:hAnsi="Wingdings" w:hint="default"/>
      </w:rPr>
    </w:lvl>
    <w:lvl w:ilvl="3" w:tplc="4A4E22E4" w:tentative="1">
      <w:start w:val="1"/>
      <w:numFmt w:val="bullet"/>
      <w:lvlText w:val=""/>
      <w:lvlJc w:val="left"/>
      <w:pPr>
        <w:tabs>
          <w:tab w:val="num" w:pos="2880"/>
        </w:tabs>
        <w:ind w:left="2880" w:hanging="360"/>
      </w:pPr>
      <w:rPr>
        <w:rFonts w:ascii="Symbol" w:hAnsi="Symbol" w:hint="default"/>
      </w:rPr>
    </w:lvl>
    <w:lvl w:ilvl="4" w:tplc="F8F6B324" w:tentative="1">
      <w:start w:val="1"/>
      <w:numFmt w:val="bullet"/>
      <w:lvlText w:val="o"/>
      <w:lvlJc w:val="left"/>
      <w:pPr>
        <w:tabs>
          <w:tab w:val="num" w:pos="3600"/>
        </w:tabs>
        <w:ind w:left="3600" w:hanging="360"/>
      </w:pPr>
      <w:rPr>
        <w:rFonts w:ascii="Courier New" w:hAnsi="Courier New" w:hint="default"/>
      </w:rPr>
    </w:lvl>
    <w:lvl w:ilvl="5" w:tplc="0E32EABC" w:tentative="1">
      <w:start w:val="1"/>
      <w:numFmt w:val="bullet"/>
      <w:lvlText w:val=""/>
      <w:lvlJc w:val="left"/>
      <w:pPr>
        <w:tabs>
          <w:tab w:val="num" w:pos="4320"/>
        </w:tabs>
        <w:ind w:left="4320" w:hanging="360"/>
      </w:pPr>
      <w:rPr>
        <w:rFonts w:ascii="Wingdings" w:hAnsi="Wingdings" w:hint="default"/>
      </w:rPr>
    </w:lvl>
    <w:lvl w:ilvl="6" w:tplc="C5EA1612" w:tentative="1">
      <w:start w:val="1"/>
      <w:numFmt w:val="bullet"/>
      <w:lvlText w:val=""/>
      <w:lvlJc w:val="left"/>
      <w:pPr>
        <w:tabs>
          <w:tab w:val="num" w:pos="5040"/>
        </w:tabs>
        <w:ind w:left="5040" w:hanging="360"/>
      </w:pPr>
      <w:rPr>
        <w:rFonts w:ascii="Symbol" w:hAnsi="Symbol" w:hint="default"/>
      </w:rPr>
    </w:lvl>
    <w:lvl w:ilvl="7" w:tplc="EDFA523A" w:tentative="1">
      <w:start w:val="1"/>
      <w:numFmt w:val="bullet"/>
      <w:lvlText w:val="o"/>
      <w:lvlJc w:val="left"/>
      <w:pPr>
        <w:tabs>
          <w:tab w:val="num" w:pos="5760"/>
        </w:tabs>
        <w:ind w:left="5760" w:hanging="360"/>
      </w:pPr>
      <w:rPr>
        <w:rFonts w:ascii="Courier New" w:hAnsi="Courier New" w:hint="default"/>
      </w:rPr>
    </w:lvl>
    <w:lvl w:ilvl="8" w:tplc="E0E2DED4" w:tentative="1">
      <w:start w:val="1"/>
      <w:numFmt w:val="bullet"/>
      <w:lvlText w:val=""/>
      <w:lvlJc w:val="left"/>
      <w:pPr>
        <w:tabs>
          <w:tab w:val="num" w:pos="6480"/>
        </w:tabs>
        <w:ind w:left="6480" w:hanging="360"/>
      </w:pPr>
      <w:rPr>
        <w:rFonts w:ascii="Wingdings" w:hAnsi="Wingdings" w:hint="default"/>
      </w:rPr>
    </w:lvl>
  </w:abstractNum>
  <w:abstractNum w:abstractNumId="7">
    <w:nsid w:val="00000011"/>
    <w:multiLevelType w:val="hybridMultilevel"/>
    <w:tmpl w:val="5A2CB0A2"/>
    <w:lvl w:ilvl="0" w:tplc="F480619E">
      <w:start w:val="1"/>
      <w:numFmt w:val="bullet"/>
      <w:lvlText w:val=""/>
      <w:lvlJc w:val="left"/>
      <w:pPr>
        <w:tabs>
          <w:tab w:val="num" w:pos="720"/>
        </w:tabs>
        <w:ind w:left="720" w:hanging="360"/>
      </w:pPr>
      <w:rPr>
        <w:rFonts w:ascii="Symbol" w:hAnsi="Symbol" w:hint="default"/>
      </w:rPr>
    </w:lvl>
    <w:lvl w:ilvl="1" w:tplc="45FC29AE" w:tentative="1">
      <w:start w:val="1"/>
      <w:numFmt w:val="bullet"/>
      <w:lvlText w:val="o"/>
      <w:lvlJc w:val="left"/>
      <w:pPr>
        <w:tabs>
          <w:tab w:val="num" w:pos="1440"/>
        </w:tabs>
        <w:ind w:left="1440" w:hanging="360"/>
      </w:pPr>
      <w:rPr>
        <w:rFonts w:ascii="Courier New" w:hAnsi="Courier New" w:hint="default"/>
      </w:rPr>
    </w:lvl>
    <w:lvl w:ilvl="2" w:tplc="81DEB42C" w:tentative="1">
      <w:start w:val="1"/>
      <w:numFmt w:val="bullet"/>
      <w:lvlText w:val=""/>
      <w:lvlJc w:val="left"/>
      <w:pPr>
        <w:tabs>
          <w:tab w:val="num" w:pos="2160"/>
        </w:tabs>
        <w:ind w:left="2160" w:hanging="360"/>
      </w:pPr>
      <w:rPr>
        <w:rFonts w:ascii="Wingdings" w:hAnsi="Wingdings" w:hint="default"/>
      </w:rPr>
    </w:lvl>
    <w:lvl w:ilvl="3" w:tplc="930A58BE" w:tentative="1">
      <w:start w:val="1"/>
      <w:numFmt w:val="bullet"/>
      <w:lvlText w:val=""/>
      <w:lvlJc w:val="left"/>
      <w:pPr>
        <w:tabs>
          <w:tab w:val="num" w:pos="2880"/>
        </w:tabs>
        <w:ind w:left="2880" w:hanging="360"/>
      </w:pPr>
      <w:rPr>
        <w:rFonts w:ascii="Symbol" w:hAnsi="Symbol" w:hint="default"/>
      </w:rPr>
    </w:lvl>
    <w:lvl w:ilvl="4" w:tplc="D9D4549E" w:tentative="1">
      <w:start w:val="1"/>
      <w:numFmt w:val="bullet"/>
      <w:lvlText w:val="o"/>
      <w:lvlJc w:val="left"/>
      <w:pPr>
        <w:tabs>
          <w:tab w:val="num" w:pos="3600"/>
        </w:tabs>
        <w:ind w:left="3600" w:hanging="360"/>
      </w:pPr>
      <w:rPr>
        <w:rFonts w:ascii="Courier New" w:hAnsi="Courier New" w:hint="default"/>
      </w:rPr>
    </w:lvl>
    <w:lvl w:ilvl="5" w:tplc="9B186670" w:tentative="1">
      <w:start w:val="1"/>
      <w:numFmt w:val="bullet"/>
      <w:lvlText w:val=""/>
      <w:lvlJc w:val="left"/>
      <w:pPr>
        <w:tabs>
          <w:tab w:val="num" w:pos="4320"/>
        </w:tabs>
        <w:ind w:left="4320" w:hanging="360"/>
      </w:pPr>
      <w:rPr>
        <w:rFonts w:ascii="Wingdings" w:hAnsi="Wingdings" w:hint="default"/>
      </w:rPr>
    </w:lvl>
    <w:lvl w:ilvl="6" w:tplc="59FA450C" w:tentative="1">
      <w:start w:val="1"/>
      <w:numFmt w:val="bullet"/>
      <w:lvlText w:val=""/>
      <w:lvlJc w:val="left"/>
      <w:pPr>
        <w:tabs>
          <w:tab w:val="num" w:pos="5040"/>
        </w:tabs>
        <w:ind w:left="5040" w:hanging="360"/>
      </w:pPr>
      <w:rPr>
        <w:rFonts w:ascii="Symbol" w:hAnsi="Symbol" w:hint="default"/>
      </w:rPr>
    </w:lvl>
    <w:lvl w:ilvl="7" w:tplc="3B48AFB8" w:tentative="1">
      <w:start w:val="1"/>
      <w:numFmt w:val="bullet"/>
      <w:lvlText w:val="o"/>
      <w:lvlJc w:val="left"/>
      <w:pPr>
        <w:tabs>
          <w:tab w:val="num" w:pos="5760"/>
        </w:tabs>
        <w:ind w:left="5760" w:hanging="360"/>
      </w:pPr>
      <w:rPr>
        <w:rFonts w:ascii="Courier New" w:hAnsi="Courier New" w:hint="default"/>
      </w:rPr>
    </w:lvl>
    <w:lvl w:ilvl="8" w:tplc="969A0020" w:tentative="1">
      <w:start w:val="1"/>
      <w:numFmt w:val="bullet"/>
      <w:lvlText w:val=""/>
      <w:lvlJc w:val="left"/>
      <w:pPr>
        <w:tabs>
          <w:tab w:val="num" w:pos="6480"/>
        </w:tabs>
        <w:ind w:left="6480" w:hanging="360"/>
      </w:pPr>
      <w:rPr>
        <w:rFonts w:ascii="Wingdings" w:hAnsi="Wingdings" w:hint="default"/>
      </w:rPr>
    </w:lvl>
  </w:abstractNum>
  <w:abstractNum w:abstractNumId="8">
    <w:nsid w:val="00000013"/>
    <w:multiLevelType w:val="multilevel"/>
    <w:tmpl w:val="94225C24"/>
    <w:lvl w:ilvl="0">
      <w:start w:val="2"/>
      <w:numFmt w:val="decimal"/>
      <w:pStyle w:val="Notes00"/>
      <w:lvlText w:val="%1"/>
      <w:lvlJc w:val="left"/>
      <w:pPr>
        <w:tabs>
          <w:tab w:val="num" w:pos="1425"/>
        </w:tabs>
        <w:ind w:left="1425" w:hanging="432"/>
      </w:pPr>
      <w:rPr>
        <w:lang w:val="en-G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rPr>
        <w:b/>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5E43525"/>
    <w:multiLevelType w:val="multilevel"/>
    <w:tmpl w:val="76202BFE"/>
    <w:name w:val="List Bullet 2__2"/>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2DD5905"/>
    <w:multiLevelType w:val="singleLevel"/>
    <w:tmpl w:val="6CB4B73E"/>
    <w:name w:val="List Number 3"/>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12">
    <w:nsid w:val="149674C4"/>
    <w:multiLevelType w:val="singleLevel"/>
    <w:tmpl w:val="8A2AF054"/>
    <w:lvl w:ilvl="0">
      <w:start w:val="1"/>
      <w:numFmt w:val="bullet"/>
      <w:lvlRestart w:val="0"/>
      <w:lvlText w:val="–"/>
      <w:lvlJc w:val="left"/>
      <w:pPr>
        <w:tabs>
          <w:tab w:val="num" w:pos="1417"/>
        </w:tabs>
        <w:ind w:left="1417" w:hanging="567"/>
      </w:pPr>
    </w:lvl>
  </w:abstractNum>
  <w:abstractNum w:abstractNumId="13">
    <w:nsid w:val="15592001"/>
    <w:multiLevelType w:val="singleLevel"/>
    <w:tmpl w:val="3C6C7C7E"/>
    <w:lvl w:ilvl="0">
      <w:start w:val="1"/>
      <w:numFmt w:val="bullet"/>
      <w:lvlRestart w:val="0"/>
      <w:lvlText w:val=""/>
      <w:lvlJc w:val="left"/>
      <w:pPr>
        <w:tabs>
          <w:tab w:val="num" w:pos="850"/>
        </w:tabs>
        <w:ind w:left="850" w:hanging="850"/>
      </w:pPr>
      <w:rPr>
        <w:rFonts w:ascii="Symbol" w:hAnsi="Symbol" w:hint="default"/>
      </w:rPr>
    </w:lvl>
  </w:abstractNum>
  <w:abstractNum w:abstractNumId="1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1FC0C14"/>
    <w:multiLevelType w:val="hybridMultilevel"/>
    <w:tmpl w:val="1BDACAF8"/>
    <w:lvl w:ilvl="0" w:tplc="7CA6864A">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Times New Roman"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Times New Roman"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Times New Roman"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16">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4E930D7"/>
    <w:multiLevelType w:val="multilevel"/>
    <w:tmpl w:val="EFD2E05E"/>
    <w:name w:val="List Dash 3__2"/>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5642397"/>
    <w:multiLevelType w:val="hybridMultilevel"/>
    <w:tmpl w:val="399C7774"/>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9">
    <w:nsid w:val="2A2C149C"/>
    <w:multiLevelType w:val="hybridMultilevel"/>
    <w:tmpl w:val="B07051CA"/>
    <w:lvl w:ilvl="0" w:tplc="C6FC2404">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nsid w:val="2B9240FE"/>
    <w:multiLevelType w:val="multilevel"/>
    <w:tmpl w:val="7CB6E706"/>
    <w:lvl w:ilvl="0">
      <w:start w:val="1"/>
      <w:numFmt w:val="decimal"/>
      <w:pStyle w:val="Notes"/>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32A52C4F"/>
    <w:multiLevelType w:val="singleLevel"/>
    <w:tmpl w:val="CEFC5A24"/>
    <w:name w:val="List Bullet 3__2"/>
    <w:lvl w:ilvl="0">
      <w:start w:val="1"/>
      <w:numFmt w:val="bullet"/>
      <w:lvlRestart w:val="0"/>
      <w:pStyle w:val="Tiret0"/>
      <w:lvlText w:val="–"/>
      <w:lvlJc w:val="left"/>
      <w:pPr>
        <w:tabs>
          <w:tab w:val="num" w:pos="850"/>
        </w:tabs>
        <w:ind w:left="850" w:hanging="850"/>
      </w:pPr>
    </w:lvl>
  </w:abstractNum>
  <w:abstractNum w:abstractNumId="23">
    <w:nsid w:val="332A0652"/>
    <w:multiLevelType w:val="hybridMultilevel"/>
    <w:tmpl w:val="324A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95128B6"/>
    <w:multiLevelType w:val="singleLevel"/>
    <w:tmpl w:val="4F70CA0A"/>
    <w:name w:val="Tiret 1__2"/>
    <w:lvl w:ilvl="0">
      <w:start w:val="1"/>
      <w:numFmt w:val="bullet"/>
      <w:lvlRestart w:val="0"/>
      <w:pStyle w:val="Tiret2"/>
      <w:lvlText w:val="–"/>
      <w:lvlJc w:val="left"/>
      <w:pPr>
        <w:tabs>
          <w:tab w:val="num" w:pos="1984"/>
        </w:tabs>
        <w:ind w:left="1984" w:hanging="567"/>
      </w:pPr>
    </w:lvl>
  </w:abstractNum>
  <w:abstractNum w:abstractNumId="25">
    <w:nsid w:val="3E191884"/>
    <w:multiLevelType w:val="singleLevel"/>
    <w:tmpl w:val="3020C764"/>
    <w:name w:val="Tiret 3__2"/>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6">
    <w:nsid w:val="40315490"/>
    <w:multiLevelType w:val="singleLevel"/>
    <w:tmpl w:val="1F86C700"/>
    <w:name w:val="List Dash 2__2"/>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7">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28">
    <w:nsid w:val="42FC0772"/>
    <w:multiLevelType w:val="singleLevel"/>
    <w:tmpl w:val="4128FCF8"/>
    <w:name w:val="Tiret 4"/>
    <w:lvl w:ilvl="0">
      <w:start w:val="1"/>
      <w:numFmt w:val="bullet"/>
      <w:lvlRestart w:val="0"/>
      <w:lvlText w:val="–"/>
      <w:lvlJc w:val="left"/>
      <w:pPr>
        <w:tabs>
          <w:tab w:val="num" w:pos="3118"/>
        </w:tabs>
        <w:ind w:left="3118" w:hanging="567"/>
      </w:pPr>
    </w:lvl>
  </w:abstractNum>
  <w:abstractNum w:abstractNumId="2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46416817"/>
    <w:multiLevelType w:val="singleLevel"/>
    <w:tmpl w:val="ABE4C590"/>
    <w:name w:val="Considérant__2"/>
    <w:lvl w:ilvl="0">
      <w:start w:val="1"/>
      <w:numFmt w:val="bullet"/>
      <w:lvlRestart w:val="0"/>
      <w:pStyle w:val="Tiret3"/>
      <w:lvlText w:val="–"/>
      <w:lvlJc w:val="left"/>
      <w:pPr>
        <w:tabs>
          <w:tab w:val="num" w:pos="2551"/>
        </w:tabs>
        <w:ind w:left="2551" w:hanging="567"/>
      </w:pPr>
    </w:lvl>
  </w:abstractNum>
  <w:abstractNum w:abstractNumId="31">
    <w:nsid w:val="47D50235"/>
    <w:multiLevelType w:val="hybridMultilevel"/>
    <w:tmpl w:val="B9F8D58C"/>
    <w:lvl w:ilvl="0" w:tplc="C6FC2404">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nsid w:val="49D47C56"/>
    <w:multiLevelType w:val="multilevel"/>
    <w:tmpl w:val="77E0331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7230"/>
        </w:tabs>
        <w:ind w:left="723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4C1B7A6F"/>
    <w:multiLevelType w:val="singleLevel"/>
    <w:tmpl w:val="0A7CB49A"/>
    <w:name w:val="List Number 3__2"/>
    <w:lvl w:ilvl="0">
      <w:start w:val="1"/>
      <w:numFmt w:val="bullet"/>
      <w:lvlRestart w:val="0"/>
      <w:pStyle w:val="Tiret4"/>
      <w:lvlText w:val="–"/>
      <w:lvlJc w:val="left"/>
      <w:pPr>
        <w:tabs>
          <w:tab w:val="num" w:pos="3118"/>
        </w:tabs>
        <w:ind w:left="3118" w:hanging="567"/>
      </w:pPr>
    </w:lvl>
  </w:abstractNum>
  <w:abstractNum w:abstractNumId="34">
    <w:nsid w:val="53F47367"/>
    <w:multiLevelType w:val="singleLevel"/>
    <w:tmpl w:val="B4E8C9F0"/>
    <w:name w:val="List Bullet 2"/>
    <w:lvl w:ilvl="0">
      <w:start w:val="1"/>
      <w:numFmt w:val="bullet"/>
      <w:lvlRestart w:val="0"/>
      <w:pStyle w:val="Tiret1"/>
      <w:lvlText w:val="–"/>
      <w:lvlJc w:val="left"/>
      <w:pPr>
        <w:tabs>
          <w:tab w:val="num" w:pos="1417"/>
        </w:tabs>
        <w:ind w:left="1417" w:hanging="567"/>
      </w:pPr>
    </w:lvl>
  </w:abstractNum>
  <w:abstractNum w:abstractNumId="3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nsid w:val="564D0F29"/>
    <w:multiLevelType w:val="hybridMultilevel"/>
    <w:tmpl w:val="7A603B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1">
      <w:start w:val="1"/>
      <w:numFmt w:val="bullet"/>
      <w:lvlText w:val=""/>
      <w:lvlJc w:val="left"/>
      <w:pPr>
        <w:ind w:left="3600" w:hanging="360"/>
      </w:pPr>
      <w:rPr>
        <w:rFonts w:ascii="Symbol" w:hAnsi="Symbo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56CB74B4"/>
    <w:multiLevelType w:val="multilevel"/>
    <w:tmpl w:val="C0AC24D6"/>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1134"/>
        </w:tabs>
        <w:ind w:left="1134"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96D67A1"/>
    <w:multiLevelType w:val="singleLevel"/>
    <w:tmpl w:val="9AC8831A"/>
    <w:name w:val="List Number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3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1">
    <w:nsid w:val="5EF779A6"/>
    <w:multiLevelType w:val="singleLevel"/>
    <w:tmpl w:val="C4347D46"/>
    <w:name w:val="Tiret 0"/>
    <w:lvl w:ilvl="0">
      <w:start w:val="1"/>
      <w:numFmt w:val="decimal"/>
      <w:lvlRestart w:val="0"/>
      <w:pStyle w:val="Considrant"/>
      <w:lvlText w:val="(%1)"/>
      <w:lvlJc w:val="left"/>
      <w:pPr>
        <w:tabs>
          <w:tab w:val="num" w:pos="709"/>
        </w:tabs>
        <w:ind w:left="709" w:hanging="709"/>
      </w:pPr>
    </w:lvl>
  </w:abstractNum>
  <w:abstractNum w:abstractNumId="42">
    <w:nsid w:val="5F8C3B69"/>
    <w:multiLevelType w:val="multilevel"/>
    <w:tmpl w:val="9B14DAA8"/>
    <w:name w:val="List Bullet 4__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2397B4F"/>
    <w:multiLevelType w:val="hybridMultilevel"/>
    <w:tmpl w:val="AE8CE2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2A8042C"/>
    <w:multiLevelType w:val="singleLevel"/>
    <w:tmpl w:val="CCF20C06"/>
    <w:name w:val="List Number 4__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45">
    <w:nsid w:val="64A12FA4"/>
    <w:multiLevelType w:val="multilevel"/>
    <w:tmpl w:val="428ECF3E"/>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6A6901C1"/>
    <w:multiLevelType w:val="singleLevel"/>
    <w:tmpl w:val="208841AE"/>
    <w:name w:val="List Number 1__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7">
    <w:nsid w:val="6D2B5511"/>
    <w:multiLevelType w:val="singleLevel"/>
    <w:tmpl w:val="74A09970"/>
    <w:name w:val="Tiret 4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48">
    <w:nsid w:val="78A241BD"/>
    <w:multiLevelType w:val="singleLevel"/>
    <w:tmpl w:val="53C4DF32"/>
    <w:name w:val="Tiret 2__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9">
    <w:nsid w:val="79C96D36"/>
    <w:multiLevelType w:val="multilevel"/>
    <w:tmpl w:val="BE983CE4"/>
    <w:name w:val="Tiret 2"/>
    <w:lvl w:ilvl="0">
      <w:start w:val="1"/>
      <w:numFmt w:val="decimal"/>
      <w:lvlRestart w:val="0"/>
      <w:pStyle w:val="ListNumber1Level3"/>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7C91095B"/>
    <w:multiLevelType w:val="hybridMultilevel"/>
    <w:tmpl w:val="A6C20CCC"/>
    <w:lvl w:ilvl="0" w:tplc="C6FC2404">
      <w:start w:val="1"/>
      <w:numFmt w:val="bullet"/>
      <w:lvlText w:val="–"/>
      <w:lvlJc w:val="left"/>
      <w:pPr>
        <w:ind w:left="1004" w:hanging="360"/>
      </w:pPr>
      <w:rPr>
        <w:rFonts w:ascii="Times New Roman"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51">
    <w:nsid w:val="7C966381"/>
    <w:multiLevelType w:val="multilevel"/>
    <w:tmpl w:val="DCC88062"/>
    <w:name w:val="List Bullet 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7CBE4812"/>
    <w:multiLevelType w:val="singleLevel"/>
    <w:tmpl w:val="23C821E4"/>
    <w:name w:val="Considérant"/>
    <w:lvl w:ilvl="0">
      <w:start w:val="1"/>
      <w:numFmt w:val="decimal"/>
      <w:lvlRestart w:val="0"/>
      <w:lvlText w:val="(%1)"/>
      <w:lvlJc w:val="left"/>
      <w:pPr>
        <w:tabs>
          <w:tab w:val="num" w:pos="709"/>
        </w:tabs>
        <w:ind w:left="709" w:hanging="709"/>
      </w:pPr>
    </w:lvl>
  </w:abstractNum>
  <w:abstractNum w:abstractNumId="53">
    <w:nsid w:val="7D381AC7"/>
    <w:multiLevelType w:val="hybridMultilevel"/>
    <w:tmpl w:val="04661BFA"/>
    <w:lvl w:ilvl="0" w:tplc="080C0005">
      <w:start w:val="1"/>
      <w:numFmt w:val="bullet"/>
      <w:lvlText w:val=""/>
      <w:lvlJc w:val="left"/>
      <w:pPr>
        <w:ind w:left="1210" w:hanging="360"/>
      </w:pPr>
      <w:rPr>
        <w:rFonts w:ascii="Wingdings" w:hAnsi="Wingdings"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54">
    <w:nsid w:val="7D8820A0"/>
    <w:multiLevelType w:val="singleLevel"/>
    <w:tmpl w:val="54F6C7B4"/>
    <w:name w:val="List Dash"/>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55">
    <w:nsid w:val="7E8224EA"/>
    <w:multiLevelType w:val="singleLevel"/>
    <w:tmpl w:val="C6FC2404"/>
    <w:lvl w:ilvl="0">
      <w:start w:val="1"/>
      <w:numFmt w:val="bullet"/>
      <w:lvlText w:val="–"/>
      <w:lvlJc w:val="left"/>
      <w:pPr>
        <w:ind w:left="360" w:hanging="360"/>
      </w:pPr>
      <w:rPr>
        <w:rFonts w:ascii="Times New Roman" w:hAnsi="Times New Roman" w:cs="Times New Roman" w:hint="default"/>
      </w:rPr>
    </w:lvl>
  </w:abstractNum>
  <w:abstractNum w:abstractNumId="56">
    <w:nsid w:val="7F7154E1"/>
    <w:multiLevelType w:val="singleLevel"/>
    <w:tmpl w:val="E3F6D2C6"/>
    <w:name w:val="Tiret 3"/>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2"/>
  </w:num>
  <w:num w:numId="2">
    <w:abstractNumId w:val="34"/>
  </w:num>
  <w:num w:numId="3">
    <w:abstractNumId w:val="24"/>
  </w:num>
  <w:num w:numId="4">
    <w:abstractNumId w:val="30"/>
  </w:num>
  <w:num w:numId="5">
    <w:abstractNumId w:val="33"/>
  </w:num>
  <w:num w:numId="6">
    <w:abstractNumId w:val="51"/>
  </w:num>
  <w:num w:numId="7">
    <w:abstractNumId w:val="37"/>
  </w:num>
  <w:num w:numId="8">
    <w:abstractNumId w:val="47"/>
  </w:num>
  <w:num w:numId="9">
    <w:abstractNumId w:val="46"/>
  </w:num>
  <w:num w:numId="10">
    <w:abstractNumId w:val="11"/>
  </w:num>
  <w:num w:numId="11">
    <w:abstractNumId w:val="25"/>
  </w:num>
  <w:num w:numId="12">
    <w:abstractNumId w:val="56"/>
  </w:num>
  <w:num w:numId="13">
    <w:abstractNumId w:val="26"/>
  </w:num>
  <w:num w:numId="14">
    <w:abstractNumId w:val="44"/>
  </w:num>
  <w:num w:numId="15">
    <w:abstractNumId w:val="38"/>
  </w:num>
  <w:num w:numId="16">
    <w:abstractNumId w:val="48"/>
  </w:num>
  <w:num w:numId="17">
    <w:abstractNumId w:val="54"/>
  </w:num>
  <w:num w:numId="18">
    <w:abstractNumId w:val="42"/>
  </w:num>
  <w:num w:numId="19">
    <w:abstractNumId w:val="49"/>
  </w:num>
  <w:num w:numId="20">
    <w:abstractNumId w:val="17"/>
  </w:num>
  <w:num w:numId="21">
    <w:abstractNumId w:val="10"/>
  </w:num>
  <w:num w:numId="22">
    <w:abstractNumId w:val="9"/>
  </w:num>
  <w:num w:numId="23">
    <w:abstractNumId w:val="41"/>
  </w:num>
  <w:num w:numId="24">
    <w:abstractNumId w:val="0"/>
  </w:num>
  <w:num w:numId="25">
    <w:abstractNumId w:val="1"/>
  </w:num>
  <w:num w:numId="26">
    <w:abstractNumId w:val="2"/>
  </w:num>
  <w:num w:numId="27">
    <w:abstractNumId w:val="20"/>
  </w:num>
  <w:num w:numId="28">
    <w:abstractNumId w:val="29"/>
    <w:lvlOverride w:ilvl="0">
      <w:startOverride w:val="1"/>
    </w:lvlOverride>
  </w:num>
  <w:num w:numId="29">
    <w:abstractNumId w:val="43"/>
  </w:num>
  <w:num w:numId="30">
    <w:abstractNumId w:val="15"/>
  </w:num>
  <w:num w:numId="31">
    <w:abstractNumId w:val="14"/>
  </w:num>
  <w:num w:numId="32">
    <w:abstractNumId w:val="39"/>
  </w:num>
  <w:num w:numId="33">
    <w:abstractNumId w:val="40"/>
  </w:num>
  <w:num w:numId="34">
    <w:abstractNumId w:val="21"/>
  </w:num>
  <w:num w:numId="35">
    <w:abstractNumId w:val="35"/>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3"/>
  </w:num>
  <w:num w:numId="39">
    <w:abstractNumId w:val="18"/>
  </w:num>
  <w:num w:numId="40">
    <w:abstractNumId w:val="12"/>
  </w:num>
  <w:num w:numId="41">
    <w:abstractNumId w:val="55"/>
  </w:num>
  <w:num w:numId="42">
    <w:abstractNumId w:val="3"/>
  </w:num>
  <w:num w:numId="43">
    <w:abstractNumId w:val="4"/>
  </w:num>
  <w:num w:numId="44">
    <w:abstractNumId w:val="5"/>
  </w:num>
  <w:num w:numId="45">
    <w:abstractNumId w:val="6"/>
  </w:num>
  <w:num w:numId="4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31"/>
  </w:num>
  <w:num w:numId="49">
    <w:abstractNumId w:val="19"/>
  </w:num>
  <w:num w:numId="50">
    <w:abstractNumId w:val="53"/>
  </w:num>
  <w:num w:numId="51">
    <w:abstractNumId w:val="36"/>
  </w:num>
  <w:num w:numId="52">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2DocOpenMode" w:val="AS2DocumentEdit"/>
    <w:docVar w:name="DocStatus" w:val="Green"/>
    <w:docVar w:name="LW_ACCOMPAGNANT.CP" w:val="Accompanying the document"/>
    <w:docVar w:name="LW_CORRIGENDUM" w:val="&lt;UNUSED&gt;"/>
    <w:docVar w:name="LW_COVERPAGE_EXISTS" w:val="True"/>
    <w:docVar w:name="LW_COVERPAGE_GUID" w:val="837858B3-B2B3-4BF7-8DFD-0C68A9957D99"/>
    <w:docVar w:name="LW_COVERPAGE_TYPE" w:val="1"/>
    <w:docVar w:name="LW_CROSSREFERENCE" w:val="{COM(2019) 363 final}"/>
    <w:docVar w:name="LW_DocType" w:val="NORMAL"/>
    <w:docVar w:name="LW_EMISSION" w:val="5.8.2019"/>
    <w:docVar w:name="LW_EMISSION_ISODATE" w:val="2019-08-05"/>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GUARANTEE FUND FOR EXTERNAL ACTION AND ITS MANAGEMENT IN 2018_x000b_"/>
    <w:docVar w:name="LW_PART_NBR" w:val="1"/>
    <w:docVar w:name="LW_PART_NBR_TOTAL" w:val="1"/>
    <w:docVar w:name="LW_REF.INST.NEW" w:val="SWD"/>
    <w:docVar w:name="LW_REF.INST.NEW_ADOPTED" w:val="final"/>
    <w:docVar w:name="LW_REF.INST.NEW_TEXT" w:val="(2019) 3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ITRE.OBJ.CP_PREVIOUS" w:val="&lt;UNUSED&gt;"/>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numPr>
        <w:numId w:val="7"/>
      </w:numPr>
      <w:spacing w:before="360" w:after="240"/>
      <w:ind w:left="851" w:hanging="851"/>
      <w:jc w:val="both"/>
      <w:outlineLvl w:val="0"/>
    </w:pPr>
    <w:rPr>
      <w:b/>
      <w:bCs/>
      <w:smallCaps/>
      <w:sz w:val="28"/>
      <w:szCs w:val="32"/>
      <w:lang w:eastAsia="de-DE"/>
    </w:rPr>
  </w:style>
  <w:style w:type="paragraph" w:styleId="Heading2">
    <w:name w:val="heading 2"/>
    <w:basedOn w:val="Normal"/>
    <w:next w:val="Text2"/>
    <w:link w:val="Heading2Char"/>
    <w:qFormat/>
    <w:pPr>
      <w:keepNext/>
      <w:numPr>
        <w:ilvl w:val="1"/>
        <w:numId w:val="7"/>
      </w:numPr>
      <w:spacing w:before="240" w:after="240"/>
      <w:ind w:left="851" w:hanging="851"/>
      <w:jc w:val="both"/>
      <w:outlineLvl w:val="1"/>
    </w:pPr>
    <w:rPr>
      <w:b/>
      <w:bCs/>
      <w:iCs/>
      <w:sz w:val="26"/>
      <w:szCs w:val="28"/>
      <w:lang w:eastAsia="de-DE"/>
    </w:rPr>
  </w:style>
  <w:style w:type="paragraph" w:styleId="Heading3">
    <w:name w:val="heading 3"/>
    <w:basedOn w:val="Normal"/>
    <w:next w:val="Text3"/>
    <w:link w:val="Heading3Char"/>
    <w:qFormat/>
    <w:pPr>
      <w:keepNext/>
      <w:numPr>
        <w:ilvl w:val="2"/>
        <w:numId w:val="7"/>
      </w:numPr>
      <w:spacing w:before="240" w:after="240"/>
      <w:ind w:left="851" w:hanging="851"/>
      <w:jc w:val="both"/>
      <w:outlineLvl w:val="2"/>
    </w:pPr>
    <w:rPr>
      <w:b/>
      <w:bCs/>
      <w:szCs w:val="26"/>
      <w:lang w:eastAsia="de-DE"/>
    </w:rPr>
  </w:style>
  <w:style w:type="paragraph" w:styleId="Heading4">
    <w:name w:val="heading 4"/>
    <w:basedOn w:val="Normal"/>
    <w:next w:val="Text4"/>
    <w:link w:val="Heading4Char"/>
    <w:qFormat/>
    <w:pPr>
      <w:keepNext/>
      <w:numPr>
        <w:ilvl w:val="3"/>
        <w:numId w:val="7"/>
      </w:numPr>
      <w:spacing w:before="240" w:after="240"/>
      <w:ind w:left="851" w:hanging="851"/>
      <w:jc w:val="both"/>
      <w:outlineLvl w:val="3"/>
    </w:pPr>
    <w:rPr>
      <w:b/>
      <w:bCs/>
      <w:i/>
      <w:szCs w:val="28"/>
      <w:lang w:eastAsia="de-DE"/>
    </w:rPr>
  </w:style>
  <w:style w:type="paragraph" w:styleId="Heading5">
    <w:name w:val="heading 5"/>
    <w:basedOn w:val="Normal"/>
    <w:next w:val="NormalIndent"/>
    <w:link w:val="Heading5Char"/>
    <w:qFormat/>
    <w:pPr>
      <w:spacing w:after="120" w:line="240" w:lineRule="atLeast"/>
      <w:ind w:left="720"/>
      <w:outlineLvl w:val="4"/>
    </w:pPr>
    <w:rPr>
      <w:b/>
      <w:sz w:val="22"/>
      <w:szCs w:val="20"/>
      <w:lang w:eastAsia="en-US"/>
    </w:rPr>
  </w:style>
  <w:style w:type="paragraph" w:styleId="Heading6">
    <w:name w:val="heading 6"/>
    <w:basedOn w:val="Normal"/>
    <w:next w:val="NormalIndent"/>
    <w:link w:val="Heading6Char"/>
    <w:qFormat/>
    <w:pPr>
      <w:spacing w:after="120" w:line="240" w:lineRule="atLeast"/>
      <w:ind w:left="720"/>
      <w:outlineLvl w:val="5"/>
    </w:pPr>
    <w:rPr>
      <w:sz w:val="22"/>
      <w:szCs w:val="20"/>
      <w:u w:val="single"/>
      <w:lang w:eastAsia="en-US"/>
    </w:rPr>
  </w:style>
  <w:style w:type="paragraph" w:styleId="Heading7">
    <w:name w:val="heading 7"/>
    <w:basedOn w:val="Normal"/>
    <w:next w:val="NormalIndent"/>
    <w:link w:val="Heading7Char"/>
    <w:qFormat/>
    <w:pPr>
      <w:spacing w:after="120" w:line="240" w:lineRule="atLeast"/>
      <w:ind w:left="720"/>
      <w:outlineLvl w:val="6"/>
    </w:pPr>
    <w:rPr>
      <w:i/>
      <w:sz w:val="22"/>
      <w:szCs w:val="20"/>
      <w:lang w:eastAsia="en-US"/>
    </w:rPr>
  </w:style>
  <w:style w:type="paragraph" w:styleId="Heading8">
    <w:name w:val="heading 8"/>
    <w:basedOn w:val="Normal"/>
    <w:next w:val="NormalIndent"/>
    <w:link w:val="Heading8Char"/>
    <w:qFormat/>
    <w:pPr>
      <w:spacing w:after="120" w:line="240" w:lineRule="atLeast"/>
      <w:ind w:left="720"/>
      <w:outlineLvl w:val="7"/>
    </w:pPr>
    <w:rPr>
      <w:i/>
      <w:sz w:val="22"/>
      <w:szCs w:val="20"/>
      <w:lang w:eastAsia="en-US"/>
    </w:rPr>
  </w:style>
  <w:style w:type="paragraph" w:styleId="Heading9">
    <w:name w:val="heading 9"/>
    <w:basedOn w:val="Normal"/>
    <w:next w:val="NormalIndent"/>
    <w:link w:val="Heading9Char"/>
    <w:qFormat/>
    <w:pPr>
      <w:spacing w:after="120" w:line="240" w:lineRule="atLeast"/>
      <w:ind w:left="720"/>
      <w:outlineLvl w:val="8"/>
    </w:pPr>
    <w:rPr>
      <w:i/>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jc w:val="both"/>
    </w:pPr>
    <w:rPr>
      <w:lang w:eastAsia="de-DE"/>
    </w:rPr>
  </w:style>
  <w:style w:type="paragraph" w:customStyle="1" w:styleId="Text2">
    <w:name w:val="Text 2"/>
    <w:basedOn w:val="Normal"/>
    <w:pPr>
      <w:spacing w:before="120" w:after="120"/>
      <w:ind w:left="850"/>
      <w:jc w:val="both"/>
    </w:pPr>
    <w:rPr>
      <w:lang w:eastAsia="de-DE"/>
    </w:rPr>
  </w:style>
  <w:style w:type="paragraph" w:customStyle="1" w:styleId="Text3">
    <w:name w:val="Text 3"/>
    <w:basedOn w:val="Normal"/>
    <w:pPr>
      <w:spacing w:before="120" w:after="120"/>
      <w:ind w:left="850"/>
      <w:jc w:val="both"/>
    </w:pPr>
    <w:rPr>
      <w:lang w:eastAsia="de-DE"/>
    </w:rPr>
  </w:style>
  <w:style w:type="paragraph" w:customStyle="1" w:styleId="Text4">
    <w:name w:val="Text 4"/>
    <w:basedOn w:val="Normal"/>
    <w:pPr>
      <w:spacing w:before="120" w:after="120"/>
      <w:ind w:left="850"/>
      <w:jc w:val="both"/>
    </w:pPr>
    <w:rPr>
      <w:lang w:eastAsia="de-DE"/>
    </w:rPr>
  </w:style>
  <w:style w:type="paragraph" w:styleId="NormalIndent">
    <w:name w:val="Normal Indent"/>
    <w:basedOn w:val="Normal"/>
    <w:pPr>
      <w:spacing w:after="120" w:line="240" w:lineRule="atLeast"/>
      <w:ind w:left="720"/>
    </w:pPr>
    <w:rPr>
      <w:rFonts w:ascii="Arial" w:hAnsi="Arial"/>
      <w:sz w:val="22"/>
      <w:szCs w:val="20"/>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Calibr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Calibr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paragraph" w:customStyle="1" w:styleId="HeaderCoverPage">
    <w:name w:val="Header Cover Page"/>
    <w:basedOn w:val="Normal"/>
    <w:link w:val="HeaderCoverPageChar"/>
    <w:pPr>
      <w:tabs>
        <w:tab w:val="center" w:pos="4535"/>
        <w:tab w:val="right" w:pos="9071"/>
      </w:tabs>
      <w:spacing w:after="120"/>
      <w:jc w:val="both"/>
    </w:pPr>
  </w:style>
  <w:style w:type="paragraph" w:styleId="FootnoteText">
    <w:name w:val="footnote text"/>
    <w:basedOn w:val="Normal"/>
    <w:link w:val="FootnoteTextChar"/>
    <w:uiPriority w:val="99"/>
    <w:pPr>
      <w:ind w:left="720" w:hanging="720"/>
      <w:jc w:val="both"/>
    </w:pPr>
    <w:rPr>
      <w:sz w:val="20"/>
      <w:szCs w:val="20"/>
      <w:lang w:eastAsia="de-DE"/>
    </w:rPr>
  </w:style>
  <w:style w:type="paragraph" w:styleId="ListBullet">
    <w:name w:val="List Bullet"/>
    <w:basedOn w:val="Normal"/>
    <w:pPr>
      <w:numPr>
        <w:numId w:val="8"/>
      </w:numPr>
      <w:spacing w:before="120" w:after="120"/>
      <w:jc w:val="both"/>
    </w:pPr>
    <w:rPr>
      <w:lang w:eastAsia="de-DE"/>
    </w:rPr>
  </w:style>
  <w:style w:type="paragraph" w:styleId="ListBullet2">
    <w:name w:val="List Bullet 2"/>
    <w:basedOn w:val="Normal"/>
    <w:pPr>
      <w:numPr>
        <w:numId w:val="10"/>
      </w:numPr>
      <w:spacing w:before="120" w:after="120"/>
      <w:jc w:val="both"/>
    </w:pPr>
    <w:rPr>
      <w:lang w:eastAsia="de-DE"/>
    </w:rPr>
  </w:style>
  <w:style w:type="paragraph" w:styleId="ListBullet3">
    <w:name w:val="List Bullet 3"/>
    <w:basedOn w:val="Normal"/>
    <w:pPr>
      <w:numPr>
        <w:numId w:val="11"/>
      </w:numPr>
      <w:spacing w:before="120" w:after="120"/>
      <w:jc w:val="both"/>
    </w:pPr>
    <w:rPr>
      <w:lang w:eastAsia="de-DE"/>
    </w:rPr>
  </w:style>
  <w:style w:type="paragraph" w:styleId="ListBullet4">
    <w:name w:val="List Bullet 4"/>
    <w:basedOn w:val="Normal"/>
    <w:pPr>
      <w:numPr>
        <w:numId w:val="12"/>
      </w:numPr>
      <w:spacing w:before="120" w:after="120"/>
      <w:jc w:val="both"/>
    </w:pPr>
    <w:rPr>
      <w:lang w:eastAsia="de-DE"/>
    </w:rPr>
  </w:style>
  <w:style w:type="paragraph" w:styleId="ListNumber">
    <w:name w:val="List Number"/>
    <w:basedOn w:val="Normal"/>
    <w:pPr>
      <w:numPr>
        <w:numId w:val="18"/>
      </w:numPr>
      <w:spacing w:before="120" w:after="120"/>
      <w:jc w:val="both"/>
    </w:pPr>
    <w:rPr>
      <w:lang w:eastAsia="de-DE"/>
    </w:rPr>
  </w:style>
  <w:style w:type="paragraph" w:styleId="ListNumber2">
    <w:name w:val="List Number 2"/>
    <w:basedOn w:val="Normal"/>
    <w:pPr>
      <w:numPr>
        <w:numId w:val="20"/>
      </w:numPr>
      <w:spacing w:before="120" w:after="120"/>
      <w:jc w:val="both"/>
    </w:pPr>
    <w:rPr>
      <w:lang w:eastAsia="de-DE"/>
    </w:rPr>
  </w:style>
  <w:style w:type="paragraph" w:styleId="ListNumber3">
    <w:name w:val="List Number 3"/>
    <w:basedOn w:val="Normal"/>
    <w:pPr>
      <w:numPr>
        <w:numId w:val="21"/>
      </w:numPr>
      <w:spacing w:before="120" w:after="120"/>
      <w:jc w:val="both"/>
    </w:pPr>
    <w:rPr>
      <w:lang w:eastAsia="de-DE"/>
    </w:rPr>
  </w:style>
  <w:style w:type="paragraph" w:styleId="ListNumber4">
    <w:name w:val="List Number 4"/>
    <w:basedOn w:val="Normal"/>
    <w:pPr>
      <w:numPr>
        <w:numId w:val="22"/>
      </w:numPr>
      <w:spacing w:before="120" w:after="120"/>
      <w:jc w:val="both"/>
    </w:pPr>
    <w:rPr>
      <w:lang w:eastAsia="de-DE"/>
    </w:rPr>
  </w:style>
  <w:style w:type="paragraph" w:styleId="TOC5">
    <w:name w:val="toc 5"/>
    <w:basedOn w:val="Normal"/>
    <w:next w:val="Normal"/>
    <w:uiPriority w:val="39"/>
    <w:semiHidden/>
    <w:pPr>
      <w:tabs>
        <w:tab w:val="right" w:leader="dot" w:pos="9071"/>
      </w:tabs>
      <w:spacing w:before="300" w:after="120"/>
    </w:pPr>
    <w:rPr>
      <w:lang w:eastAsia="de-DE"/>
    </w:rPr>
  </w:style>
  <w:style w:type="paragraph" w:styleId="TOC8">
    <w:name w:val="toc 8"/>
    <w:basedOn w:val="Normal"/>
    <w:next w:val="Normal"/>
    <w:uiPriority w:val="39"/>
    <w:semiHidden/>
    <w:pPr>
      <w:tabs>
        <w:tab w:val="right" w:leader="dot" w:pos="9071"/>
      </w:tabs>
      <w:spacing w:before="120" w:after="120"/>
    </w:pPr>
    <w:rPr>
      <w:lang w:eastAsia="de-DE"/>
    </w:rPr>
  </w:style>
  <w:style w:type="paragraph" w:customStyle="1" w:styleId="HeaderLandscape">
    <w:name w:val="HeaderLandscape"/>
    <w:basedOn w:val="Normal"/>
    <w:pPr>
      <w:tabs>
        <w:tab w:val="center" w:pos="7285"/>
        <w:tab w:val="right" w:pos="14003"/>
      </w:tabs>
      <w:spacing w:after="120"/>
      <w:jc w:val="both"/>
    </w:pPr>
    <w:rPr>
      <w:rFonts w:eastAsia="Calibri"/>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Calibri"/>
      <w:szCs w:val="22"/>
      <w:lang w:eastAsia="en-US"/>
    </w:rPr>
  </w:style>
  <w:style w:type="character" w:styleId="FootnoteReference">
    <w:name w:val="footnote reference"/>
    <w:semiHidden/>
    <w:rPr>
      <w:vertAlign w:val="superscript"/>
    </w:rPr>
  </w:style>
  <w:style w:type="paragraph" w:customStyle="1" w:styleId="NormalCentered">
    <w:name w:val="Normal Centered"/>
    <w:basedOn w:val="Normal"/>
    <w:pPr>
      <w:spacing w:before="120" w:after="120"/>
      <w:jc w:val="center"/>
    </w:pPr>
    <w:rPr>
      <w:lang w:eastAsia="de-DE"/>
    </w:rPr>
  </w:style>
  <w:style w:type="paragraph" w:customStyle="1" w:styleId="NormalLeft">
    <w:name w:val="Normal Left"/>
    <w:basedOn w:val="Normal"/>
    <w:pPr>
      <w:spacing w:before="120" w:after="120"/>
    </w:pPr>
    <w:rPr>
      <w:lang w:eastAsia="de-DE"/>
    </w:rPr>
  </w:style>
  <w:style w:type="paragraph" w:customStyle="1" w:styleId="NormalRight">
    <w:name w:val="Normal Right"/>
    <w:basedOn w:val="Normal"/>
    <w:pPr>
      <w:spacing w:before="120" w:after="120"/>
      <w:jc w:val="right"/>
    </w:pPr>
    <w:rPr>
      <w:lang w:eastAsia="de-DE"/>
    </w:rPr>
  </w:style>
  <w:style w:type="paragraph" w:customStyle="1" w:styleId="QuotedText">
    <w:name w:val="Quoted Text"/>
    <w:basedOn w:val="Normal"/>
    <w:pPr>
      <w:spacing w:before="120" w:after="120"/>
      <w:ind w:left="1417"/>
      <w:jc w:val="both"/>
    </w:pPr>
    <w:rPr>
      <w:lang w:eastAsia="de-DE"/>
    </w:rPr>
  </w:style>
  <w:style w:type="paragraph" w:customStyle="1" w:styleId="Point0">
    <w:name w:val="Point 0"/>
    <w:basedOn w:val="Normal"/>
    <w:pPr>
      <w:spacing w:before="120" w:after="120"/>
      <w:ind w:left="850" w:hanging="850"/>
      <w:jc w:val="both"/>
    </w:pPr>
    <w:rPr>
      <w:lang w:eastAsia="de-DE"/>
    </w:rPr>
  </w:style>
  <w:style w:type="paragraph" w:customStyle="1" w:styleId="Point1">
    <w:name w:val="Point 1"/>
    <w:basedOn w:val="Normal"/>
    <w:pPr>
      <w:spacing w:before="120" w:after="120"/>
      <w:ind w:left="1417" w:hanging="567"/>
      <w:jc w:val="both"/>
    </w:pPr>
    <w:rPr>
      <w:lang w:eastAsia="de-DE"/>
    </w:rPr>
  </w:style>
  <w:style w:type="paragraph" w:customStyle="1" w:styleId="Point2">
    <w:name w:val="Point 2"/>
    <w:basedOn w:val="Normal"/>
    <w:pPr>
      <w:spacing w:before="120" w:after="120"/>
      <w:ind w:left="1984" w:hanging="567"/>
      <w:jc w:val="both"/>
    </w:pPr>
    <w:rPr>
      <w:lang w:eastAsia="de-DE"/>
    </w:rPr>
  </w:style>
  <w:style w:type="paragraph" w:customStyle="1" w:styleId="Point3">
    <w:name w:val="Point 3"/>
    <w:basedOn w:val="Normal"/>
    <w:pPr>
      <w:spacing w:before="120" w:after="120"/>
      <w:ind w:left="2551" w:hanging="567"/>
      <w:jc w:val="both"/>
    </w:pPr>
    <w:rPr>
      <w:lang w:eastAsia="de-DE"/>
    </w:rPr>
  </w:style>
  <w:style w:type="paragraph" w:customStyle="1" w:styleId="Point4">
    <w:name w:val="Point 4"/>
    <w:basedOn w:val="Normal"/>
    <w:pPr>
      <w:spacing w:before="120" w:after="120"/>
      <w:ind w:left="3118" w:hanging="567"/>
      <w:jc w:val="both"/>
    </w:pPr>
    <w:rPr>
      <w:lang w:eastAsia="de-DE"/>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ind w:left="1417" w:hanging="1417"/>
      <w:jc w:val="both"/>
    </w:pPr>
    <w:rPr>
      <w:lang w:eastAsia="de-DE"/>
    </w:rPr>
  </w:style>
  <w:style w:type="paragraph" w:customStyle="1" w:styleId="PointDouble1">
    <w:name w:val="PointDouble 1"/>
    <w:basedOn w:val="Normal"/>
    <w:pPr>
      <w:tabs>
        <w:tab w:val="left" w:pos="1417"/>
      </w:tabs>
      <w:spacing w:before="120" w:after="120"/>
      <w:ind w:left="1984" w:hanging="1134"/>
      <w:jc w:val="both"/>
    </w:pPr>
    <w:rPr>
      <w:lang w:eastAsia="de-DE"/>
    </w:rPr>
  </w:style>
  <w:style w:type="paragraph" w:customStyle="1" w:styleId="PointDouble2">
    <w:name w:val="PointDouble 2"/>
    <w:basedOn w:val="Normal"/>
    <w:pPr>
      <w:tabs>
        <w:tab w:val="left" w:pos="1984"/>
      </w:tabs>
      <w:spacing w:before="120" w:after="120"/>
      <w:ind w:left="2551" w:hanging="1134"/>
      <w:jc w:val="both"/>
    </w:pPr>
    <w:rPr>
      <w:lang w:eastAsia="de-DE"/>
    </w:rPr>
  </w:style>
  <w:style w:type="paragraph" w:customStyle="1" w:styleId="PointDouble3">
    <w:name w:val="PointDouble 3"/>
    <w:basedOn w:val="Normal"/>
    <w:pPr>
      <w:tabs>
        <w:tab w:val="left" w:pos="2551"/>
      </w:tabs>
      <w:spacing w:before="120" w:after="120"/>
      <w:ind w:left="3118" w:hanging="1134"/>
      <w:jc w:val="both"/>
    </w:pPr>
    <w:rPr>
      <w:lang w:eastAsia="de-DE"/>
    </w:rPr>
  </w:style>
  <w:style w:type="paragraph" w:customStyle="1" w:styleId="PointDouble4">
    <w:name w:val="PointDouble 4"/>
    <w:basedOn w:val="Normal"/>
    <w:pPr>
      <w:tabs>
        <w:tab w:val="left" w:pos="3118"/>
      </w:tabs>
      <w:spacing w:before="120" w:after="120"/>
      <w:ind w:left="3685" w:hanging="1134"/>
      <w:jc w:val="both"/>
    </w:pPr>
    <w:rPr>
      <w:lang w:eastAsia="de-DE"/>
    </w:rPr>
  </w:style>
  <w:style w:type="paragraph" w:customStyle="1" w:styleId="PointTriple0">
    <w:name w:val="PointTriple 0"/>
    <w:basedOn w:val="Normal"/>
    <w:pPr>
      <w:tabs>
        <w:tab w:val="left" w:pos="850"/>
        <w:tab w:val="left" w:pos="1417"/>
      </w:tabs>
      <w:spacing w:before="120" w:after="120"/>
      <w:ind w:left="1984" w:hanging="1984"/>
      <w:jc w:val="both"/>
    </w:pPr>
    <w:rPr>
      <w:lang w:eastAsia="de-DE"/>
    </w:rPr>
  </w:style>
  <w:style w:type="paragraph" w:customStyle="1" w:styleId="PointTriple1">
    <w:name w:val="PointTriple 1"/>
    <w:basedOn w:val="Normal"/>
    <w:pPr>
      <w:tabs>
        <w:tab w:val="left" w:pos="1417"/>
        <w:tab w:val="left" w:pos="1984"/>
      </w:tabs>
      <w:spacing w:before="120" w:after="120"/>
      <w:ind w:left="2551" w:hanging="1701"/>
      <w:jc w:val="both"/>
    </w:pPr>
    <w:rPr>
      <w:lang w:eastAsia="de-DE"/>
    </w:rPr>
  </w:style>
  <w:style w:type="paragraph" w:customStyle="1" w:styleId="PointTriple2">
    <w:name w:val="PointTriple 2"/>
    <w:basedOn w:val="Normal"/>
    <w:pPr>
      <w:tabs>
        <w:tab w:val="left" w:pos="1984"/>
        <w:tab w:val="left" w:pos="2551"/>
      </w:tabs>
      <w:spacing w:before="120" w:after="120"/>
      <w:ind w:left="3118" w:hanging="1701"/>
      <w:jc w:val="both"/>
    </w:pPr>
    <w:rPr>
      <w:lang w:eastAsia="de-DE"/>
    </w:rPr>
  </w:style>
  <w:style w:type="paragraph" w:customStyle="1" w:styleId="PointTriple3">
    <w:name w:val="PointTriple 3"/>
    <w:basedOn w:val="Normal"/>
    <w:pPr>
      <w:tabs>
        <w:tab w:val="left" w:pos="2551"/>
        <w:tab w:val="left" w:pos="3118"/>
      </w:tabs>
      <w:spacing w:before="120" w:after="120"/>
      <w:ind w:left="3685" w:hanging="1701"/>
      <w:jc w:val="both"/>
    </w:pPr>
    <w:rPr>
      <w:lang w:eastAsia="de-DE"/>
    </w:rPr>
  </w:style>
  <w:style w:type="paragraph" w:customStyle="1" w:styleId="PointTriple4">
    <w:name w:val="PointTriple 4"/>
    <w:basedOn w:val="Normal"/>
    <w:pPr>
      <w:tabs>
        <w:tab w:val="left" w:pos="3118"/>
        <w:tab w:val="left" w:pos="3685"/>
      </w:tabs>
      <w:spacing w:before="120" w:after="120"/>
      <w:ind w:left="4252" w:hanging="1701"/>
      <w:jc w:val="both"/>
    </w:pPr>
    <w:rPr>
      <w:lang w:eastAsia="de-DE"/>
    </w:rPr>
  </w:style>
  <w:style w:type="paragraph" w:customStyle="1" w:styleId="NumPar1">
    <w:name w:val="NumPar 1"/>
    <w:basedOn w:val="Normal"/>
    <w:next w:val="Text1"/>
    <w:pPr>
      <w:numPr>
        <w:numId w:val="6"/>
      </w:numPr>
      <w:spacing w:before="120" w:after="120"/>
      <w:jc w:val="both"/>
    </w:pPr>
    <w:rPr>
      <w:lang w:eastAsia="de-DE"/>
    </w:rPr>
  </w:style>
  <w:style w:type="paragraph" w:customStyle="1" w:styleId="NumPar2">
    <w:name w:val="NumPar 2"/>
    <w:basedOn w:val="Normal"/>
    <w:next w:val="Text2"/>
    <w:pPr>
      <w:numPr>
        <w:ilvl w:val="1"/>
        <w:numId w:val="6"/>
      </w:numPr>
      <w:spacing w:before="120" w:after="120"/>
      <w:jc w:val="both"/>
    </w:pPr>
    <w:rPr>
      <w:lang w:eastAsia="de-DE"/>
    </w:rPr>
  </w:style>
  <w:style w:type="paragraph" w:customStyle="1" w:styleId="NumPar3">
    <w:name w:val="NumPar 3"/>
    <w:basedOn w:val="Normal"/>
    <w:next w:val="Text3"/>
    <w:pPr>
      <w:numPr>
        <w:ilvl w:val="2"/>
        <w:numId w:val="6"/>
      </w:numPr>
      <w:spacing w:before="120" w:after="120"/>
      <w:jc w:val="both"/>
    </w:pPr>
    <w:rPr>
      <w:lang w:eastAsia="de-DE"/>
    </w:rPr>
  </w:style>
  <w:style w:type="paragraph" w:customStyle="1" w:styleId="NumPar4">
    <w:name w:val="NumPar 4"/>
    <w:basedOn w:val="Normal"/>
    <w:next w:val="Text4"/>
    <w:pPr>
      <w:numPr>
        <w:ilvl w:val="3"/>
        <w:numId w:val="6"/>
      </w:numPr>
      <w:spacing w:before="120" w:after="120"/>
      <w:jc w:val="both"/>
    </w:pPr>
    <w:rPr>
      <w:lang w:eastAsia="de-DE"/>
    </w:rPr>
  </w:style>
  <w:style w:type="paragraph" w:customStyle="1" w:styleId="ManualNumPar1">
    <w:name w:val="Manual NumPar 1"/>
    <w:basedOn w:val="Normal"/>
    <w:next w:val="Text1"/>
    <w:pPr>
      <w:spacing w:before="120" w:after="120"/>
      <w:ind w:left="850" w:hanging="850"/>
      <w:jc w:val="both"/>
    </w:pPr>
    <w:rPr>
      <w:lang w:eastAsia="de-DE"/>
    </w:rPr>
  </w:style>
  <w:style w:type="paragraph" w:customStyle="1" w:styleId="ManualNumPar2">
    <w:name w:val="Manual NumPar 2"/>
    <w:basedOn w:val="Normal"/>
    <w:next w:val="Text2"/>
    <w:pPr>
      <w:spacing w:before="120" w:after="120"/>
      <w:ind w:left="850" w:hanging="850"/>
      <w:jc w:val="both"/>
    </w:pPr>
    <w:rPr>
      <w:lang w:eastAsia="de-DE"/>
    </w:rPr>
  </w:style>
  <w:style w:type="paragraph" w:customStyle="1" w:styleId="ManualNumPar3">
    <w:name w:val="Manual NumPar 3"/>
    <w:basedOn w:val="Normal"/>
    <w:next w:val="Text3"/>
    <w:pPr>
      <w:spacing w:before="120" w:after="120"/>
      <w:ind w:left="850" w:hanging="850"/>
      <w:jc w:val="both"/>
    </w:pPr>
    <w:rPr>
      <w:lang w:eastAsia="de-DE"/>
    </w:rPr>
  </w:style>
  <w:style w:type="paragraph" w:customStyle="1" w:styleId="ManualNumPar4">
    <w:name w:val="Manual NumPar 4"/>
    <w:basedOn w:val="Normal"/>
    <w:next w:val="Text4"/>
    <w:pPr>
      <w:spacing w:before="120" w:after="120"/>
      <w:ind w:left="850" w:hanging="850"/>
      <w:jc w:val="both"/>
    </w:pPr>
    <w:rPr>
      <w:lang w:eastAsia="de-DE"/>
    </w:rPr>
  </w:style>
  <w:style w:type="paragraph" w:customStyle="1" w:styleId="QuotedNumPar">
    <w:name w:val="Quoted NumPar"/>
    <w:basedOn w:val="Normal"/>
    <w:pPr>
      <w:spacing w:before="120" w:after="120"/>
      <w:ind w:left="1417" w:hanging="567"/>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lang w:eastAsia="de-DE"/>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lang w:eastAsia="de-DE"/>
    </w:rPr>
  </w:style>
  <w:style w:type="paragraph" w:customStyle="1" w:styleId="ManualHeading4">
    <w:name w:val="Manual Heading 4"/>
    <w:basedOn w:val="Normal"/>
    <w:next w:val="Text4"/>
    <w:pPr>
      <w:keepNext/>
      <w:tabs>
        <w:tab w:val="left" w:pos="850"/>
      </w:tabs>
      <w:spacing w:before="120" w:after="120"/>
      <w:ind w:left="850" w:hanging="850"/>
      <w:jc w:val="both"/>
      <w:outlineLvl w:val="3"/>
    </w:pPr>
    <w:rPr>
      <w:lang w:eastAsia="de-DE"/>
    </w:rPr>
  </w:style>
  <w:style w:type="paragraph" w:customStyle="1" w:styleId="ChapterTitle">
    <w:name w:val="ChapterTitle"/>
    <w:basedOn w:val="Normal"/>
    <w:next w:val="Normal"/>
    <w:pPr>
      <w:keepNext/>
      <w:spacing w:before="120" w:after="360"/>
      <w:jc w:val="center"/>
    </w:pPr>
    <w:rPr>
      <w:b/>
      <w:sz w:val="32"/>
      <w:lang w:eastAsia="de-DE"/>
    </w:rPr>
  </w:style>
  <w:style w:type="paragraph" w:customStyle="1" w:styleId="PartTitle">
    <w:name w:val="PartTitle"/>
    <w:basedOn w:val="Normal"/>
    <w:next w:val="ChapterTitle"/>
    <w:pPr>
      <w:keepNext/>
      <w:pageBreakBefore/>
      <w:spacing w:before="120" w:after="360"/>
      <w:jc w:val="center"/>
    </w:pPr>
    <w:rPr>
      <w:b/>
      <w:sz w:val="36"/>
      <w:lang w:eastAsia="de-DE"/>
    </w:rPr>
  </w:style>
  <w:style w:type="paragraph" w:customStyle="1" w:styleId="SectionTitle">
    <w:name w:val="SectionTitle"/>
    <w:basedOn w:val="Normal"/>
    <w:next w:val="Heading1"/>
    <w:pPr>
      <w:keepNext/>
      <w:spacing w:before="120" w:after="360"/>
      <w:jc w:val="center"/>
    </w:pPr>
    <w:rPr>
      <w:b/>
      <w:smallCaps/>
      <w:sz w:val="28"/>
      <w:lang w:eastAsia="de-DE"/>
    </w:rPr>
  </w:style>
  <w:style w:type="paragraph" w:customStyle="1" w:styleId="ListBullet1">
    <w:name w:val="List Bullet 1"/>
    <w:basedOn w:val="Normal"/>
    <w:pPr>
      <w:numPr>
        <w:numId w:val="9"/>
      </w:numPr>
      <w:spacing w:before="120" w:after="120"/>
      <w:jc w:val="both"/>
    </w:pPr>
    <w:rPr>
      <w:lang w:eastAsia="de-DE"/>
    </w:rPr>
  </w:style>
  <w:style w:type="paragraph" w:customStyle="1" w:styleId="ListDash">
    <w:name w:val="List Dash"/>
    <w:basedOn w:val="Normal"/>
    <w:pPr>
      <w:numPr>
        <w:numId w:val="13"/>
      </w:numPr>
      <w:spacing w:before="120" w:after="120"/>
      <w:jc w:val="both"/>
    </w:pPr>
    <w:rPr>
      <w:lang w:eastAsia="de-DE"/>
    </w:rPr>
  </w:style>
  <w:style w:type="paragraph" w:customStyle="1" w:styleId="ListDash1">
    <w:name w:val="List Dash 1"/>
    <w:basedOn w:val="Normal"/>
    <w:pPr>
      <w:numPr>
        <w:numId w:val="14"/>
      </w:numPr>
      <w:spacing w:before="120" w:after="120"/>
      <w:jc w:val="both"/>
    </w:pPr>
    <w:rPr>
      <w:lang w:eastAsia="de-DE"/>
    </w:rPr>
  </w:style>
  <w:style w:type="paragraph" w:customStyle="1" w:styleId="ListDash2">
    <w:name w:val="List Dash 2"/>
    <w:basedOn w:val="Normal"/>
    <w:pPr>
      <w:numPr>
        <w:numId w:val="15"/>
      </w:numPr>
      <w:spacing w:before="120" w:after="120"/>
      <w:jc w:val="both"/>
    </w:pPr>
    <w:rPr>
      <w:lang w:eastAsia="de-DE"/>
    </w:rPr>
  </w:style>
  <w:style w:type="paragraph" w:customStyle="1" w:styleId="ListDash3">
    <w:name w:val="List Dash 3"/>
    <w:basedOn w:val="Normal"/>
    <w:pPr>
      <w:numPr>
        <w:numId w:val="16"/>
      </w:numPr>
      <w:spacing w:before="120" w:after="120"/>
      <w:jc w:val="both"/>
    </w:pPr>
    <w:rPr>
      <w:lang w:eastAsia="de-DE"/>
    </w:rPr>
  </w:style>
  <w:style w:type="paragraph" w:customStyle="1" w:styleId="ListDash4">
    <w:name w:val="List Dash 4"/>
    <w:basedOn w:val="Normal"/>
    <w:pPr>
      <w:numPr>
        <w:numId w:val="17"/>
      </w:numPr>
      <w:spacing w:before="120" w:after="120"/>
      <w:jc w:val="both"/>
    </w:pPr>
    <w:rPr>
      <w:lang w:eastAsia="de-DE"/>
    </w:rPr>
  </w:style>
  <w:style w:type="paragraph" w:customStyle="1" w:styleId="ListNumber1">
    <w:name w:val="List Number 1"/>
    <w:basedOn w:val="Text1"/>
    <w:pPr>
      <w:tabs>
        <w:tab w:val="num" w:pos="1560"/>
      </w:tabs>
      <w:ind w:left="1560" w:hanging="709"/>
    </w:pPr>
  </w:style>
  <w:style w:type="paragraph" w:customStyle="1" w:styleId="ListNumberLevel2">
    <w:name w:val="List Number (Level 2)"/>
    <w:basedOn w:val="Normal"/>
    <w:pPr>
      <w:numPr>
        <w:ilvl w:val="1"/>
        <w:numId w:val="18"/>
      </w:numPr>
      <w:spacing w:before="120" w:after="120"/>
      <w:jc w:val="both"/>
    </w:pPr>
    <w:rPr>
      <w:lang w:eastAsia="de-DE"/>
    </w:rPr>
  </w:style>
  <w:style w:type="paragraph" w:customStyle="1" w:styleId="ListNumber1Level2">
    <w:name w:val="List Number 1 (Level 2)"/>
    <w:basedOn w:val="Text1"/>
    <w:pPr>
      <w:numPr>
        <w:ilvl w:val="1"/>
        <w:numId w:val="19"/>
      </w:numPr>
    </w:pPr>
  </w:style>
  <w:style w:type="paragraph" w:customStyle="1" w:styleId="ListNumber2Level2">
    <w:name w:val="List Number 2 (Level 2)"/>
    <w:basedOn w:val="Text2"/>
    <w:pPr>
      <w:numPr>
        <w:ilvl w:val="1"/>
        <w:numId w:val="20"/>
      </w:numPr>
    </w:pPr>
  </w:style>
  <w:style w:type="paragraph" w:customStyle="1" w:styleId="ListNumber3Level2">
    <w:name w:val="List Number 3 (Level 2)"/>
    <w:basedOn w:val="Text3"/>
    <w:pPr>
      <w:numPr>
        <w:ilvl w:val="1"/>
        <w:numId w:val="21"/>
      </w:numPr>
    </w:pPr>
  </w:style>
  <w:style w:type="paragraph" w:customStyle="1" w:styleId="ListNumber4Level2">
    <w:name w:val="List Number 4 (Level 2)"/>
    <w:basedOn w:val="Text4"/>
    <w:pPr>
      <w:numPr>
        <w:ilvl w:val="1"/>
        <w:numId w:val="22"/>
      </w:numPr>
    </w:pPr>
  </w:style>
  <w:style w:type="paragraph" w:customStyle="1" w:styleId="ListNumberLevel3">
    <w:name w:val="List Number (Level 3)"/>
    <w:basedOn w:val="Normal"/>
    <w:pPr>
      <w:numPr>
        <w:ilvl w:val="2"/>
        <w:numId w:val="18"/>
      </w:numPr>
      <w:spacing w:before="120" w:after="120"/>
      <w:jc w:val="both"/>
    </w:pPr>
    <w:rPr>
      <w:lang w:eastAsia="de-DE"/>
    </w:rPr>
  </w:style>
  <w:style w:type="paragraph" w:customStyle="1" w:styleId="ListNumber1Level3">
    <w:name w:val="List Number 1 (Level 3)"/>
    <w:basedOn w:val="Text1"/>
    <w:pPr>
      <w:numPr>
        <w:ilvl w:val="2"/>
        <w:numId w:val="19"/>
      </w:numPr>
    </w:pPr>
  </w:style>
  <w:style w:type="paragraph" w:customStyle="1" w:styleId="ListNumber2Level3">
    <w:name w:val="List Number 2 (Level 3)"/>
    <w:basedOn w:val="Text2"/>
    <w:pPr>
      <w:numPr>
        <w:ilvl w:val="2"/>
        <w:numId w:val="20"/>
      </w:numPr>
    </w:pPr>
  </w:style>
  <w:style w:type="paragraph" w:customStyle="1" w:styleId="ListNumber3Level3">
    <w:name w:val="List Number 3 (Level 3)"/>
    <w:basedOn w:val="Text3"/>
    <w:pPr>
      <w:numPr>
        <w:ilvl w:val="2"/>
        <w:numId w:val="21"/>
      </w:numPr>
    </w:pPr>
  </w:style>
  <w:style w:type="paragraph" w:customStyle="1" w:styleId="ListNumber4Level3">
    <w:name w:val="List Number 4 (Level 3)"/>
    <w:basedOn w:val="Text4"/>
    <w:pPr>
      <w:numPr>
        <w:ilvl w:val="2"/>
        <w:numId w:val="22"/>
      </w:numPr>
    </w:pPr>
  </w:style>
  <w:style w:type="paragraph" w:customStyle="1" w:styleId="ListNumberLevel4">
    <w:name w:val="List Number (Level 4)"/>
    <w:basedOn w:val="Normal"/>
    <w:pPr>
      <w:numPr>
        <w:ilvl w:val="3"/>
        <w:numId w:val="18"/>
      </w:numPr>
      <w:spacing w:before="120" w:after="120"/>
      <w:jc w:val="both"/>
    </w:pPr>
    <w:rPr>
      <w:lang w:eastAsia="de-DE"/>
    </w:rPr>
  </w:style>
  <w:style w:type="paragraph" w:customStyle="1" w:styleId="ListNumber1Level4">
    <w:name w:val="List Number 1 (Level 4)"/>
    <w:basedOn w:val="Text1"/>
    <w:pPr>
      <w:numPr>
        <w:ilvl w:val="3"/>
        <w:numId w:val="19"/>
      </w:numPr>
    </w:pPr>
  </w:style>
  <w:style w:type="paragraph" w:customStyle="1" w:styleId="ListNumber2Level4">
    <w:name w:val="List Number 2 (Level 4)"/>
    <w:basedOn w:val="Text2"/>
    <w:pPr>
      <w:numPr>
        <w:ilvl w:val="3"/>
        <w:numId w:val="20"/>
      </w:numPr>
    </w:pPr>
  </w:style>
  <w:style w:type="paragraph" w:customStyle="1" w:styleId="ListNumber3Level4">
    <w:name w:val="List Number 3 (Level 4)"/>
    <w:basedOn w:val="Text3"/>
    <w:pPr>
      <w:numPr>
        <w:ilvl w:val="3"/>
        <w:numId w:val="21"/>
      </w:numPr>
    </w:pPr>
  </w:style>
  <w:style w:type="paragraph" w:customStyle="1" w:styleId="ListNumber4Level4">
    <w:name w:val="List Number 4 (Level 4)"/>
    <w:basedOn w:val="Text4"/>
    <w:pPr>
      <w:numPr>
        <w:ilvl w:val="3"/>
        <w:numId w:val="22"/>
      </w:numPr>
    </w:pPr>
  </w:style>
  <w:style w:type="paragraph" w:customStyle="1" w:styleId="TableTitle">
    <w:name w:val="Table Title"/>
    <w:basedOn w:val="Normal"/>
    <w:next w:val="Normal"/>
    <w:pPr>
      <w:spacing w:before="120" w:after="120"/>
      <w:jc w:val="center"/>
    </w:pPr>
    <w:rPr>
      <w:b/>
      <w:lang w:eastAsia="de-DE"/>
    </w:rPr>
  </w:style>
  <w:style w:type="character" w:customStyle="1" w:styleId="Marker1">
    <w:name w:val="Marker1"/>
    <w:rPr>
      <w:color w:val="008000"/>
    </w:rPr>
  </w:style>
  <w:style w:type="character" w:customStyle="1" w:styleId="Marker2">
    <w:name w:val="Marker2"/>
    <w:rPr>
      <w:color w:val="FF0000"/>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Annexetitreacte">
    <w:name w:val="Annexe titre (acte)"/>
    <w:basedOn w:val="Normal"/>
    <w:next w:val="Normal"/>
    <w:pPr>
      <w:spacing w:before="120" w:after="120"/>
      <w:jc w:val="center"/>
    </w:pPr>
    <w:rPr>
      <w:b/>
      <w:u w:val="single"/>
      <w:lang w:eastAsia="de-DE"/>
    </w:rPr>
  </w:style>
  <w:style w:type="paragraph" w:customStyle="1" w:styleId="Annexetitreexposglobal">
    <w:name w:val="Annexe titre (exposé global)"/>
    <w:basedOn w:val="Normal"/>
    <w:next w:val="Normal"/>
    <w:pPr>
      <w:spacing w:before="120" w:after="120"/>
      <w:jc w:val="center"/>
    </w:pPr>
    <w:rPr>
      <w:b/>
      <w:u w:val="single"/>
      <w:lang w:eastAsia="de-DE"/>
    </w:rPr>
  </w:style>
  <w:style w:type="paragraph" w:customStyle="1" w:styleId="Annexetitreexpos">
    <w:name w:val="Annexe titre (exposé)"/>
    <w:basedOn w:val="Normal"/>
    <w:next w:val="Normal"/>
    <w:pPr>
      <w:spacing w:before="120" w:after="120"/>
      <w:jc w:val="center"/>
    </w:pPr>
    <w:rPr>
      <w:b/>
      <w:u w:val="single"/>
      <w:lang w:eastAsia="de-DE"/>
    </w:rPr>
  </w:style>
  <w:style w:type="paragraph" w:customStyle="1" w:styleId="Annexetitrefichefinacte">
    <w:name w:val="Annexe titre (fiche fin. acte)"/>
    <w:basedOn w:val="Normal"/>
    <w:next w:val="Normal"/>
    <w:pPr>
      <w:spacing w:before="120" w:after="120"/>
      <w:jc w:val="center"/>
    </w:pPr>
    <w:rPr>
      <w:b/>
      <w:u w:val="single"/>
      <w:lang w:eastAsia="de-DE"/>
    </w:rPr>
  </w:style>
  <w:style w:type="paragraph" w:customStyle="1" w:styleId="Annexetitrefichefinglobale">
    <w:name w:val="Annexe titre (fiche fin. globale)"/>
    <w:basedOn w:val="Normal"/>
    <w:next w:val="Normal"/>
    <w:pPr>
      <w:spacing w:before="120" w:after="120"/>
      <w:jc w:val="center"/>
    </w:pPr>
    <w:rPr>
      <w:b/>
      <w:u w:val="single"/>
      <w:lang w:eastAsia="de-DE"/>
    </w:rPr>
  </w:style>
  <w:style w:type="paragraph" w:customStyle="1" w:styleId="Annexetitreglobale">
    <w:name w:val="Annexe titre (globale)"/>
    <w:basedOn w:val="Normal"/>
    <w:next w:val="Normal"/>
    <w:pPr>
      <w:spacing w:before="120" w:after="120"/>
      <w:jc w:val="center"/>
    </w:pPr>
    <w:rPr>
      <w:b/>
      <w:u w:val="single"/>
      <w:lang w:eastAsia="de-DE"/>
    </w:rPr>
  </w:style>
  <w:style w:type="paragraph" w:customStyle="1" w:styleId="Applicationdirecte">
    <w:name w:val="Application directe"/>
    <w:basedOn w:val="Normal"/>
    <w:next w:val="Fait"/>
    <w:pPr>
      <w:spacing w:before="480" w:after="120"/>
      <w:jc w:val="both"/>
    </w:pPr>
    <w:rPr>
      <w:lang w:eastAsia="de-DE"/>
    </w:rPr>
  </w:style>
  <w:style w:type="paragraph" w:customStyle="1" w:styleId="Fait">
    <w:name w:val="Fait à"/>
    <w:basedOn w:val="Normal"/>
    <w:next w:val="Institutionquisigne"/>
    <w:pPr>
      <w:keepNext/>
      <w:spacing w:before="120"/>
      <w:jc w:val="both"/>
    </w:pPr>
    <w:rPr>
      <w:lang w:eastAsia="de-DE"/>
    </w:rPr>
  </w:style>
  <w:style w:type="paragraph" w:customStyle="1" w:styleId="Institutionquisigne">
    <w:name w:val="Institution qui signe"/>
    <w:basedOn w:val="Normal"/>
    <w:next w:val="Personnequisigne"/>
    <w:pPr>
      <w:keepNext/>
      <w:tabs>
        <w:tab w:val="left" w:pos="4252"/>
      </w:tabs>
      <w:spacing w:before="720"/>
      <w:jc w:val="both"/>
    </w:pPr>
    <w:rPr>
      <w:i/>
      <w:lang w:eastAsia="de-DE"/>
    </w:rPr>
  </w:style>
  <w:style w:type="paragraph" w:customStyle="1" w:styleId="Personnequisigne">
    <w:name w:val="Personne qui signe"/>
    <w:basedOn w:val="Normal"/>
    <w:next w:val="Institutionquisigne"/>
    <w:pPr>
      <w:tabs>
        <w:tab w:val="left" w:pos="4252"/>
      </w:tabs>
    </w:pPr>
    <w:rPr>
      <w:i/>
      <w:lang w:eastAsia="de-DE"/>
    </w:rPr>
  </w:style>
  <w:style w:type="paragraph" w:customStyle="1" w:styleId="Avertissementtitre">
    <w:name w:val="Avertissement titre"/>
    <w:basedOn w:val="Normal"/>
    <w:next w:val="Normal"/>
    <w:pPr>
      <w:keepNext/>
      <w:spacing w:before="480" w:after="120"/>
      <w:jc w:val="both"/>
    </w:pPr>
    <w:rPr>
      <w:u w:val="single"/>
      <w:lang w:eastAsia="de-DE"/>
    </w:rPr>
  </w:style>
  <w:style w:type="paragraph" w:customStyle="1" w:styleId="Confidence">
    <w:name w:val="Confidence"/>
    <w:basedOn w:val="Normal"/>
    <w:next w:val="Normal"/>
    <w:pPr>
      <w:spacing w:before="360" w:after="120"/>
      <w:jc w:val="center"/>
    </w:pPr>
    <w:rPr>
      <w:lang w:eastAsia="de-DE"/>
    </w:rPr>
  </w:style>
  <w:style w:type="paragraph" w:customStyle="1" w:styleId="Confidentialit">
    <w:name w:val="Confidentialité"/>
    <w:basedOn w:val="Normal"/>
    <w:next w:val="Statut"/>
    <w:pPr>
      <w:spacing w:before="240" w:after="240"/>
      <w:ind w:left="5103"/>
      <w:jc w:val="both"/>
    </w:pPr>
    <w:rPr>
      <w:u w:val="single"/>
      <w:lang w:eastAsia="de-DE"/>
    </w:rPr>
  </w:style>
  <w:style w:type="paragraph" w:customStyle="1" w:styleId="Statut">
    <w:name w:val="Statut"/>
    <w:basedOn w:val="Normal"/>
    <w:next w:val="Typedudocument"/>
    <w:pPr>
      <w:spacing w:before="360"/>
      <w:jc w:val="center"/>
    </w:pPr>
    <w:rPr>
      <w:lang w:eastAsia="de-DE"/>
    </w:rPr>
  </w:style>
  <w:style w:type="paragraph" w:customStyle="1" w:styleId="Typedudocument">
    <w:name w:val="Type du document"/>
    <w:basedOn w:val="Normal"/>
    <w:next w:val="Datedadoption"/>
    <w:pPr>
      <w:spacing w:before="360"/>
      <w:jc w:val="center"/>
    </w:pPr>
    <w:rPr>
      <w:b/>
      <w:lang w:eastAsia="de-DE"/>
    </w:rPr>
  </w:style>
  <w:style w:type="paragraph" w:customStyle="1" w:styleId="Datedadoption">
    <w:name w:val="Date d'adoption"/>
    <w:basedOn w:val="Normal"/>
    <w:next w:val="Titreobjet"/>
    <w:pPr>
      <w:spacing w:before="360"/>
      <w:jc w:val="center"/>
    </w:pPr>
    <w:rPr>
      <w:b/>
      <w:lang w:eastAsia="de-DE"/>
    </w:rPr>
  </w:style>
  <w:style w:type="paragraph" w:customStyle="1" w:styleId="Titreobjet">
    <w:name w:val="Titre objet"/>
    <w:basedOn w:val="Normal"/>
    <w:next w:val="Sous-titreobjet"/>
    <w:pPr>
      <w:spacing w:before="360" w:after="360"/>
      <w:jc w:val="center"/>
    </w:pPr>
    <w:rPr>
      <w:b/>
      <w:lang w:eastAsia="de-DE"/>
    </w:rPr>
  </w:style>
  <w:style w:type="paragraph" w:customStyle="1" w:styleId="Sous-titreobjet">
    <w:name w:val="Sous-titre objet"/>
    <w:basedOn w:val="Normal"/>
    <w:pPr>
      <w:jc w:val="center"/>
    </w:pPr>
    <w:rPr>
      <w:b/>
      <w:lang w:eastAsia="de-DE"/>
    </w:rPr>
  </w:style>
  <w:style w:type="paragraph" w:customStyle="1" w:styleId="Considrant">
    <w:name w:val="Considérant"/>
    <w:basedOn w:val="Normal"/>
    <w:pPr>
      <w:numPr>
        <w:numId w:val="23"/>
      </w:numPr>
      <w:spacing w:before="120" w:after="120"/>
      <w:jc w:val="both"/>
    </w:pPr>
    <w:rPr>
      <w:lang w:eastAsia="de-DE"/>
    </w:rPr>
  </w:style>
  <w:style w:type="paragraph" w:customStyle="1" w:styleId="Corrigendum">
    <w:name w:val="Corrigendum"/>
    <w:basedOn w:val="Normal"/>
    <w:next w:val="Normal"/>
    <w:pPr>
      <w:spacing w:after="240"/>
    </w:pPr>
    <w:rPr>
      <w:lang w:eastAsia="de-DE"/>
    </w:rPr>
  </w:style>
  <w:style w:type="paragraph" w:customStyle="1" w:styleId="Emission">
    <w:name w:val="Emission"/>
    <w:basedOn w:val="Normal"/>
    <w:next w:val="Rfrenceinstitutionelle"/>
    <w:pPr>
      <w:ind w:left="5103"/>
    </w:pPr>
    <w:rPr>
      <w:lang w:eastAsia="de-DE"/>
    </w:rPr>
  </w:style>
  <w:style w:type="paragraph" w:customStyle="1" w:styleId="Rfrenceinstitutionelle">
    <w:name w:val="Référence institutionelle"/>
    <w:basedOn w:val="Normal"/>
    <w:next w:val="Statut"/>
    <w:pPr>
      <w:spacing w:after="240"/>
      <w:ind w:left="5103"/>
    </w:pPr>
    <w:rPr>
      <w:lang w:eastAsia="de-DE"/>
    </w:rPr>
  </w:style>
  <w:style w:type="paragraph" w:customStyle="1" w:styleId="Exposdesmotifstitre">
    <w:name w:val="Exposé des motifs titre"/>
    <w:basedOn w:val="Normal"/>
    <w:next w:val="Normal"/>
    <w:pPr>
      <w:spacing w:before="120" w:after="120"/>
      <w:jc w:val="center"/>
    </w:pPr>
    <w:rPr>
      <w:b/>
      <w:u w:val="single"/>
      <w:lang w:eastAsia="de-DE"/>
    </w:rPr>
  </w:style>
  <w:style w:type="paragraph" w:customStyle="1" w:styleId="Exposdesmotifstitreglobal">
    <w:name w:val="Exposé des motifs titre (global)"/>
    <w:basedOn w:val="Normal"/>
    <w:next w:val="Normal"/>
    <w:pPr>
      <w:spacing w:before="120" w:after="120"/>
      <w:jc w:val="center"/>
    </w:pPr>
    <w:rPr>
      <w:b/>
      <w:u w:val="single"/>
      <w:lang w:eastAsia="de-DE"/>
    </w:rPr>
  </w:style>
  <w:style w:type="paragraph" w:customStyle="1" w:styleId="Formuledadoption">
    <w:name w:val="Formule d'adoption"/>
    <w:basedOn w:val="Normal"/>
    <w:next w:val="Titrearticle"/>
    <w:pPr>
      <w:keepNext/>
      <w:spacing w:before="120" w:after="120"/>
      <w:jc w:val="both"/>
    </w:pPr>
    <w:rPr>
      <w:lang w:eastAsia="de-DE"/>
    </w:rPr>
  </w:style>
  <w:style w:type="paragraph" w:customStyle="1" w:styleId="Titrearticle">
    <w:name w:val="Titre article"/>
    <w:basedOn w:val="Normal"/>
    <w:next w:val="Normal"/>
    <w:pPr>
      <w:keepNext/>
      <w:spacing w:before="360" w:after="120"/>
      <w:jc w:val="center"/>
    </w:pPr>
    <w:rPr>
      <w:i/>
      <w:lang w:eastAsia="de-DE"/>
    </w:rPr>
  </w:style>
  <w:style w:type="paragraph" w:customStyle="1" w:styleId="Institutionquiagit">
    <w:name w:val="Institution qui agit"/>
    <w:basedOn w:val="Normal"/>
    <w:next w:val="Normal"/>
    <w:pPr>
      <w:keepNext/>
      <w:spacing w:before="600" w:after="120"/>
      <w:jc w:val="both"/>
    </w:pPr>
    <w:rPr>
      <w:lang w:eastAsia="de-DE"/>
    </w:rPr>
  </w:style>
  <w:style w:type="paragraph" w:customStyle="1" w:styleId="Langue">
    <w:name w:val="Langue"/>
    <w:basedOn w:val="Normal"/>
    <w:next w:val="Rfrenceinterne"/>
    <w:pPr>
      <w:spacing w:after="600"/>
      <w:jc w:val="center"/>
    </w:pPr>
    <w:rPr>
      <w:b/>
      <w:caps/>
      <w:lang w:eastAsia="de-DE"/>
    </w:rPr>
  </w:style>
  <w:style w:type="paragraph" w:customStyle="1" w:styleId="Rfrenceinterne">
    <w:name w:val="Référence interne"/>
    <w:basedOn w:val="Normal"/>
    <w:next w:val="Nomdelinstitution"/>
    <w:pPr>
      <w:spacing w:after="600"/>
      <w:jc w:val="center"/>
    </w:pPr>
    <w:rPr>
      <w:b/>
      <w:lang w:eastAsia="de-DE"/>
    </w:rPr>
  </w:style>
  <w:style w:type="paragraph" w:customStyle="1" w:styleId="Nomdelinstitution">
    <w:name w:val="Nom de l'institution"/>
    <w:basedOn w:val="Normal"/>
    <w:next w:val="Emission"/>
    <w:rPr>
      <w:rFonts w:ascii="Arial" w:hAnsi="Arial" w:cs="Arial"/>
      <w:lang w:eastAsia="de-DE"/>
    </w:rPr>
  </w:style>
  <w:style w:type="paragraph" w:customStyle="1" w:styleId="Langueoriginale">
    <w:name w:val="Langue originale"/>
    <w:basedOn w:val="Normal"/>
    <w:next w:val="Phrasefinale"/>
    <w:pPr>
      <w:spacing w:before="360" w:after="120"/>
      <w:jc w:val="center"/>
    </w:pPr>
    <w:rPr>
      <w:caps/>
      <w:lang w:eastAsia="de-DE"/>
    </w:rPr>
  </w:style>
  <w:style w:type="paragraph" w:customStyle="1" w:styleId="Phrasefinale">
    <w:name w:val="Phrase finale"/>
    <w:basedOn w:val="Normal"/>
    <w:next w:val="Normal"/>
    <w:pPr>
      <w:spacing w:before="360"/>
      <w:jc w:val="center"/>
    </w:pPr>
    <w:rPr>
      <w:lang w:eastAsia="de-DE"/>
    </w:rPr>
  </w:style>
  <w:style w:type="paragraph" w:customStyle="1" w:styleId="ManualConsidrant">
    <w:name w:val="Manual Considérant"/>
    <w:basedOn w:val="Normal"/>
    <w:pPr>
      <w:spacing w:before="120" w:after="120"/>
      <w:ind w:left="709" w:hanging="709"/>
      <w:jc w:val="both"/>
    </w:pPr>
    <w:rPr>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paragraph" w:customStyle="1" w:styleId="Rfrenceinterinstitutionelle">
    <w:name w:val="Référence interinstitutionelle"/>
    <w:basedOn w:val="Normal"/>
    <w:next w:val="Statut"/>
    <w:pPr>
      <w:ind w:left="5103"/>
    </w:pPr>
    <w:rPr>
      <w:lang w:eastAsia="de-DE"/>
    </w:rPr>
  </w:style>
  <w:style w:type="paragraph" w:customStyle="1" w:styleId="Rfrenceinterinstitutionelleprliminaire">
    <w:name w:val="Référence interinstitutionelle (préliminaire)"/>
    <w:basedOn w:val="Normal"/>
    <w:next w:val="Normal"/>
    <w:pPr>
      <w:ind w:left="5103"/>
    </w:pPr>
    <w:rPr>
      <w:lang w:eastAsia="de-DE"/>
    </w:rPr>
  </w:style>
  <w:style w:type="paragraph" w:customStyle="1" w:styleId="Sous-titreobjetprliminaire">
    <w:name w:val="Sous-titre objet (préliminaire)"/>
    <w:basedOn w:val="Normal"/>
    <w:pPr>
      <w:jc w:val="center"/>
    </w:pPr>
    <w:rPr>
      <w:b/>
      <w:lang w:eastAsia="de-DE"/>
    </w:rPr>
  </w:style>
  <w:style w:type="paragraph" w:customStyle="1" w:styleId="Statutprliminaire">
    <w:name w:val="Statut (préliminaire)"/>
    <w:basedOn w:val="Normal"/>
    <w:next w:val="Normal"/>
    <w:pPr>
      <w:spacing w:before="36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jc w:val="center"/>
    </w:pPr>
    <w:rPr>
      <w:b/>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spacing w:before="120" w:after="120" w:line="360" w:lineRule="auto"/>
      <w:ind w:left="3402"/>
    </w:pPr>
    <w:rPr>
      <w:lang w:eastAsia="de-DE"/>
    </w:rPr>
  </w:style>
  <w:style w:type="paragraph" w:customStyle="1" w:styleId="Fichefinancirestandardtitre">
    <w:name w:val="Fiche financière (standard) titre"/>
    <w:basedOn w:val="Normal"/>
    <w:next w:val="Normal"/>
    <w:pPr>
      <w:spacing w:before="120" w:after="120"/>
      <w:jc w:val="center"/>
    </w:pPr>
    <w:rPr>
      <w:b/>
      <w:u w:val="single"/>
      <w:lang w:eastAsia="de-DE"/>
    </w:rPr>
  </w:style>
  <w:style w:type="paragraph" w:customStyle="1" w:styleId="Fichefinancirestandardtitreacte">
    <w:name w:val="Fiche financière (standard) titre (acte)"/>
    <w:basedOn w:val="Normal"/>
    <w:next w:val="Normal"/>
    <w:pPr>
      <w:spacing w:before="120" w:after="120"/>
      <w:jc w:val="center"/>
    </w:pPr>
    <w:rPr>
      <w:b/>
      <w:u w:val="single"/>
      <w:lang w:eastAsia="de-DE"/>
    </w:rPr>
  </w:style>
  <w:style w:type="paragraph" w:customStyle="1" w:styleId="Fichefinanciretravailtitre">
    <w:name w:val="Fiche financière (travail) titre"/>
    <w:basedOn w:val="Normal"/>
    <w:next w:val="Normal"/>
    <w:pPr>
      <w:spacing w:before="120" w:after="120"/>
      <w:jc w:val="center"/>
    </w:pPr>
    <w:rPr>
      <w:b/>
      <w:u w:val="single"/>
      <w:lang w:eastAsia="de-DE"/>
    </w:rPr>
  </w:style>
  <w:style w:type="paragraph" w:customStyle="1" w:styleId="Fichefinanciretravailtitreacte">
    <w:name w:val="Fiche financière (travail) titre (acte)"/>
    <w:basedOn w:val="Normal"/>
    <w:next w:val="Normal"/>
    <w:pPr>
      <w:spacing w:before="120" w:after="120"/>
      <w:jc w:val="center"/>
    </w:pPr>
    <w:rPr>
      <w:b/>
      <w:u w:val="single"/>
      <w:lang w:eastAsia="de-DE"/>
    </w:rPr>
  </w:style>
  <w:style w:type="paragraph" w:customStyle="1" w:styleId="Fichefinancireattributiontitre">
    <w:name w:val="Fiche financière (attribution) titre"/>
    <w:basedOn w:val="Normal"/>
    <w:next w:val="Normal"/>
    <w:pPr>
      <w:spacing w:before="120" w:after="120"/>
      <w:jc w:val="center"/>
    </w:pPr>
    <w:rPr>
      <w:b/>
      <w:u w:val="single"/>
      <w:lang w:eastAsia="de-DE"/>
    </w:rPr>
  </w:style>
  <w:style w:type="paragraph" w:customStyle="1" w:styleId="Fichefinancireattributiontitreacte">
    <w:name w:val="Fiche financière (attribution) titre (acte)"/>
    <w:basedOn w:val="Normal"/>
    <w:next w:val="Normal"/>
    <w:pPr>
      <w:spacing w:before="120" w:after="120"/>
      <w:jc w:val="center"/>
    </w:pPr>
    <w:rPr>
      <w:b/>
      <w:u w:val="single"/>
      <w:lang w:eastAsia="de-DE"/>
    </w:rPr>
  </w:style>
  <w:style w:type="paragraph" w:customStyle="1" w:styleId="Objetexterne">
    <w:name w:val="Objet externe"/>
    <w:basedOn w:val="Normal"/>
    <w:next w:val="Normal"/>
    <w:pPr>
      <w:spacing w:before="120" w:after="120"/>
      <w:jc w:val="both"/>
    </w:pPr>
    <w:rPr>
      <w:i/>
      <w:caps/>
      <w:lang w:eastAsia="de-DE"/>
    </w:rPr>
  </w:style>
  <w:style w:type="paragraph" w:customStyle="1" w:styleId="FichedimpactPMEtitre">
    <w:name w:val="Fiche d'impact PME titre"/>
    <w:basedOn w:val="Normal"/>
    <w:next w:val="Normal"/>
    <w:pPr>
      <w:spacing w:before="120" w:after="120"/>
      <w:jc w:val="center"/>
    </w:pPr>
    <w:rPr>
      <w:rFonts w:ascii="Arial" w:hAnsi="Arial"/>
      <w:b/>
      <w:szCs w:val="20"/>
      <w:lang w:eastAsia="en-US"/>
    </w:rPr>
  </w:style>
  <w:style w:type="paragraph" w:customStyle="1" w:styleId="Fichefinanciretextetable">
    <w:name w:val="Fiche financière texte (table)"/>
    <w:basedOn w:val="Normal"/>
    <w:rPr>
      <w:rFonts w:ascii="Arial" w:hAnsi="Arial"/>
      <w:sz w:val="20"/>
      <w:szCs w:val="20"/>
      <w:lang w:eastAsia="en-US"/>
    </w:rPr>
  </w:style>
  <w:style w:type="paragraph" w:customStyle="1" w:styleId="Fichefinanciretitre">
    <w:name w:val="Fiche financière titre"/>
    <w:basedOn w:val="Normal"/>
    <w:next w:val="Normal"/>
    <w:pPr>
      <w:spacing w:before="120" w:after="120"/>
      <w:jc w:val="center"/>
    </w:pPr>
    <w:rPr>
      <w:rFonts w:ascii="Arial" w:hAnsi="Arial"/>
      <w:b/>
      <w:szCs w:val="20"/>
      <w:u w:val="single"/>
      <w:lang w:eastAsia="en-US"/>
    </w:rPr>
  </w:style>
  <w:style w:type="paragraph" w:customStyle="1" w:styleId="Fichefinanciretitreactetable">
    <w:name w:val="Fiche financière titre (acte table)"/>
    <w:basedOn w:val="Normal"/>
    <w:next w:val="Normal"/>
    <w:pPr>
      <w:spacing w:before="120" w:after="120"/>
      <w:jc w:val="center"/>
    </w:pPr>
    <w:rPr>
      <w:rFonts w:ascii="Arial" w:hAnsi="Arial"/>
      <w:b/>
      <w:sz w:val="40"/>
      <w:szCs w:val="20"/>
      <w:lang w:eastAsia="en-US"/>
    </w:rPr>
  </w:style>
  <w:style w:type="paragraph" w:customStyle="1" w:styleId="Fichefinanciretitreacte">
    <w:name w:val="Fiche financière titre (acte)"/>
    <w:basedOn w:val="Normal"/>
    <w:next w:val="Normal"/>
    <w:pPr>
      <w:spacing w:before="120" w:after="120"/>
      <w:jc w:val="center"/>
    </w:pPr>
    <w:rPr>
      <w:rFonts w:ascii="Arial" w:hAnsi="Arial"/>
      <w:b/>
      <w:szCs w:val="20"/>
      <w:u w:val="single"/>
      <w:lang w:eastAsia="en-US"/>
    </w:rPr>
  </w:style>
  <w:style w:type="paragraph" w:customStyle="1" w:styleId="Fichefinanciretitretable">
    <w:name w:val="Fiche financière titre (table)"/>
    <w:basedOn w:val="Normal"/>
    <w:pPr>
      <w:spacing w:before="120" w:after="120"/>
      <w:jc w:val="center"/>
    </w:pPr>
    <w:rPr>
      <w:rFonts w:ascii="Arial" w:hAnsi="Arial"/>
      <w:b/>
      <w:sz w:val="40"/>
      <w:szCs w:val="20"/>
      <w:lang w:eastAsia="en-US"/>
    </w:rPr>
  </w:style>
  <w:style w:type="character" w:styleId="Hyperlink">
    <w:name w:val="Hyperlink"/>
    <w:uiPriority w:val="99"/>
    <w:rPr>
      <w:rFonts w:cs="Times New Roman"/>
      <w:color w:val="0000FF"/>
      <w:u w:val="single"/>
    </w:rPr>
  </w:style>
  <w:style w:type="paragraph" w:customStyle="1" w:styleId="xl24">
    <w:name w:val="xl24"/>
    <w:basedOn w:val="Normal"/>
    <w:pPr>
      <w:spacing w:before="100" w:beforeAutospacing="1" w:after="100" w:afterAutospacing="1"/>
    </w:pPr>
    <w:rPr>
      <w:rFonts w:ascii="Arial" w:eastAsia="Arial Unicode MS" w:hAnsi="Arial" w:cs="Arial"/>
      <w:lang w:val="en-US" w:eastAsia="en-US"/>
    </w:rPr>
  </w:style>
  <w:style w:type="paragraph" w:customStyle="1" w:styleId="Style1">
    <w:name w:val="Style1"/>
    <w:basedOn w:val="Normal"/>
    <w:autoRedefine/>
    <w:pPr>
      <w:spacing w:before="120" w:after="120"/>
      <w:jc w:val="both"/>
    </w:pPr>
    <w:rPr>
      <w:rFonts w:ascii="Arial" w:hAnsi="Arial"/>
      <w:szCs w:val="20"/>
      <w:lang w:eastAsia="en-US"/>
    </w:rPr>
  </w:style>
  <w:style w:type="paragraph" w:styleId="BodyText">
    <w:name w:val="Body Text"/>
    <w:basedOn w:val="Normal"/>
    <w:link w:val="BodyTextChar"/>
    <w:pPr>
      <w:snapToGrid w:val="0"/>
      <w:spacing w:after="260" w:line="260" w:lineRule="atLeast"/>
      <w:jc w:val="both"/>
    </w:pPr>
    <w:rPr>
      <w:sz w:val="22"/>
      <w:szCs w:val="22"/>
    </w:rPr>
  </w:style>
  <w:style w:type="paragraph" w:styleId="BodyText2">
    <w:name w:val="Body Text 2"/>
    <w:basedOn w:val="Normal"/>
    <w:link w:val="BodyText2Char"/>
    <w:pPr>
      <w:spacing w:after="120" w:line="240" w:lineRule="atLeast"/>
    </w:pPr>
    <w:rPr>
      <w:rFonts w:ascii="Arial" w:hAnsi="Arial"/>
      <w:sz w:val="22"/>
      <w:szCs w:val="20"/>
      <w:lang w:eastAsia="en-US"/>
    </w:rPr>
  </w:style>
  <w:style w:type="paragraph" w:styleId="BodyText3">
    <w:name w:val="Body Text 3"/>
    <w:basedOn w:val="Normal"/>
    <w:link w:val="BodyText3Char"/>
    <w:pPr>
      <w:tabs>
        <w:tab w:val="left" w:pos="11340"/>
      </w:tabs>
      <w:spacing w:after="120" w:line="240" w:lineRule="atLeast"/>
    </w:pPr>
    <w:rPr>
      <w:rFonts w:ascii="Arial" w:hAnsi="Arial"/>
      <w:b/>
      <w:szCs w:val="20"/>
      <w:u w:val="single"/>
      <w:lang w:eastAsia="en-US"/>
    </w:rPr>
  </w:style>
  <w:style w:type="character" w:styleId="PageNumber">
    <w:name w:val="page number"/>
    <w:rPr>
      <w:rFonts w:cs="Times New Roman"/>
    </w:rPr>
  </w:style>
  <w:style w:type="paragraph" w:styleId="Title">
    <w:name w:val="Title"/>
    <w:basedOn w:val="Normal"/>
    <w:link w:val="TitleChar"/>
    <w:qFormat/>
    <w:pPr>
      <w:spacing w:after="120" w:line="240" w:lineRule="atLeast"/>
      <w:jc w:val="center"/>
    </w:pPr>
    <w:rPr>
      <w:rFonts w:ascii="Comic Sans MS" w:hAnsi="Comic Sans MS"/>
      <w:b/>
      <w:szCs w:val="20"/>
      <w:lang w:eastAsia="en-US"/>
    </w:rPr>
  </w:style>
  <w:style w:type="paragraph" w:customStyle="1" w:styleId="Left">
    <w:name w:val="Left"/>
    <w:basedOn w:val="Normal"/>
    <w:pPr>
      <w:spacing w:before="240" w:after="120" w:line="240" w:lineRule="atLeast"/>
    </w:pPr>
    <w:rPr>
      <w:rFonts w:ascii="Arial" w:hAnsi="Arial"/>
      <w:sz w:val="22"/>
      <w:szCs w:val="20"/>
      <w:lang w:eastAsia="en-US"/>
    </w:rPr>
  </w:style>
  <w:style w:type="paragraph" w:customStyle="1" w:styleId="Notes8">
    <w:name w:val="Notes 8"/>
    <w:basedOn w:val="Normal"/>
    <w:pPr>
      <w:jc w:val="both"/>
    </w:pPr>
    <w:rPr>
      <w:rFonts w:ascii="Arial" w:hAnsi="Arial"/>
      <w:sz w:val="16"/>
      <w:szCs w:val="20"/>
      <w:lang w:eastAsia="en-US"/>
    </w:rPr>
  </w:style>
  <w:style w:type="paragraph" w:customStyle="1" w:styleId="xl25">
    <w:name w:val="xl25"/>
    <w:basedOn w:val="Normal"/>
    <w:pPr>
      <w:spacing w:before="100" w:beforeAutospacing="1" w:after="100" w:afterAutospacing="1"/>
    </w:pPr>
    <w:rPr>
      <w:rFonts w:ascii="Arial" w:eastAsia="Arial Unicode MS" w:hAnsi="Arial" w:cs="Arial"/>
      <w:b/>
      <w:bCs/>
      <w:lang w:val="en-US" w:eastAsia="en-US"/>
    </w:rPr>
  </w:style>
  <w:style w:type="paragraph" w:customStyle="1" w:styleId="xl26">
    <w:name w:val="xl26"/>
    <w:basedOn w:val="Normal"/>
    <w:pPr>
      <w:spacing w:before="100" w:beforeAutospacing="1" w:after="100" w:afterAutospacing="1"/>
    </w:pPr>
    <w:rPr>
      <w:rFonts w:ascii="Arial" w:eastAsia="Arial Unicode MS" w:hAnsi="Arial" w:cs="Arial"/>
      <w:u w:val="single"/>
      <w:lang w:val="en-US" w:eastAsia="en-US"/>
    </w:rPr>
  </w:style>
  <w:style w:type="paragraph" w:customStyle="1" w:styleId="xl27">
    <w:name w:val="xl27"/>
    <w:basedOn w:val="Normal"/>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28">
    <w:name w:val="xl28"/>
    <w:basedOn w:val="Normal"/>
    <w:pPr>
      <w:pBdr>
        <w:top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n-US" w:eastAsia="en-US"/>
    </w:rPr>
  </w:style>
  <w:style w:type="paragraph" w:customStyle="1" w:styleId="xl29">
    <w:name w:val="xl29"/>
    <w:basedOn w:val="Normal"/>
    <w:pPr>
      <w:pBdr>
        <w:top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0">
    <w:name w:val="xl30"/>
    <w:basedOn w:val="Normal"/>
    <w:pPr>
      <w:pBdr>
        <w:top w:val="single" w:sz="8" w:space="0" w:color="auto"/>
        <w:bottom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1">
    <w:name w:val="xl31"/>
    <w:basedOn w:val="Normal"/>
    <w:pPr>
      <w:pBdr>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2">
    <w:name w:val="xl32"/>
    <w:basedOn w:val="Normal"/>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33">
    <w:name w:val="xl33"/>
    <w:basedOn w:val="Normal"/>
    <w:pPr>
      <w:pBdr>
        <w:right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34">
    <w:name w:val="xl34"/>
    <w:basedOn w:val="Normal"/>
    <w:pPr>
      <w:pBdr>
        <w:bottom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5">
    <w:name w:val="xl35"/>
    <w:basedOn w:val="Normal"/>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Arial" w:eastAsia="Arial Unicode MS" w:hAnsi="Arial" w:cs="Arial"/>
      <w:lang w:val="en-US" w:eastAsia="en-US"/>
    </w:rPr>
  </w:style>
  <w:style w:type="paragraph" w:customStyle="1" w:styleId="xl36">
    <w:name w:val="xl36"/>
    <w:basedOn w:val="Normal"/>
    <w:pPr>
      <w:pBdr>
        <w:left w:val="single" w:sz="8" w:space="0" w:color="auto"/>
      </w:pBdr>
      <w:shd w:val="clear" w:color="auto" w:fill="FFFFFF"/>
      <w:spacing w:before="100" w:beforeAutospacing="1" w:after="100" w:afterAutospacing="1"/>
      <w:jc w:val="both"/>
    </w:pPr>
    <w:rPr>
      <w:rFonts w:ascii="Arial" w:eastAsia="Arial Unicode MS" w:hAnsi="Arial" w:cs="Arial"/>
      <w:lang w:val="en-US" w:eastAsia="en-US"/>
    </w:rPr>
  </w:style>
  <w:style w:type="paragraph" w:customStyle="1" w:styleId="xl37">
    <w:name w:val="xl37"/>
    <w:basedOn w:val="Normal"/>
    <w:pPr>
      <w:pBdr>
        <w:left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38">
    <w:name w:val="xl38"/>
    <w:basedOn w:val="Normal"/>
    <w:pPr>
      <w:pBdr>
        <w:top w:val="single" w:sz="8" w:space="0" w:color="auto"/>
        <w:left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9">
    <w:name w:val="xl39"/>
    <w:basedOn w:val="Normal"/>
    <w:pPr>
      <w:pBdr>
        <w:left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40">
    <w:name w:val="xl40"/>
    <w:basedOn w:val="Normal"/>
    <w:pPr>
      <w:pBdr>
        <w:left w:val="single" w:sz="8" w:space="0" w:color="auto"/>
      </w:pBdr>
      <w:shd w:val="clear" w:color="auto" w:fill="FFFFFF"/>
      <w:spacing w:before="100" w:beforeAutospacing="1" w:after="100" w:afterAutospacing="1"/>
      <w:jc w:val="both"/>
    </w:pPr>
    <w:rPr>
      <w:rFonts w:ascii="Arial" w:eastAsia="Arial Unicode MS" w:hAnsi="Arial" w:cs="Arial"/>
      <w:b/>
      <w:bCs/>
      <w:lang w:val="en-US" w:eastAsia="en-US"/>
    </w:rPr>
  </w:style>
  <w:style w:type="paragraph" w:customStyle="1" w:styleId="xl41">
    <w:name w:val="xl41"/>
    <w:basedOn w:val="Normal"/>
    <w:pPr>
      <w:pBdr>
        <w:right w:val="single" w:sz="8" w:space="0" w:color="auto"/>
      </w:pBdr>
      <w:shd w:val="clear" w:color="auto" w:fill="FFFFFF"/>
      <w:spacing w:before="100" w:beforeAutospacing="1" w:after="100" w:afterAutospacing="1"/>
      <w:jc w:val="right"/>
    </w:pPr>
    <w:rPr>
      <w:rFonts w:ascii="Arial" w:eastAsia="Arial Unicode MS" w:hAnsi="Arial" w:cs="Arial"/>
      <w:sz w:val="18"/>
      <w:szCs w:val="18"/>
      <w:lang w:val="en-US" w:eastAsia="en-US"/>
    </w:rPr>
  </w:style>
  <w:style w:type="paragraph" w:customStyle="1" w:styleId="xl42">
    <w:name w:val="xl42"/>
    <w:basedOn w:val="Normal"/>
    <w:pPr>
      <w:pBdr>
        <w:top w:val="single" w:sz="8" w:space="0" w:color="auto"/>
        <w:left w:val="single" w:sz="8" w:space="0" w:color="auto"/>
        <w:bottom w:val="single" w:sz="8" w:space="0" w:color="auto"/>
      </w:pBdr>
      <w:shd w:val="clear" w:color="auto" w:fill="FFFFFF"/>
      <w:spacing w:before="100" w:beforeAutospacing="1" w:after="100" w:afterAutospacing="1"/>
      <w:jc w:val="both"/>
    </w:pPr>
    <w:rPr>
      <w:rFonts w:ascii="Arial" w:eastAsia="Arial Unicode MS" w:hAnsi="Arial" w:cs="Arial"/>
      <w:b/>
      <w:bCs/>
      <w:lang w:val="en-US" w:eastAsia="en-US"/>
    </w:rPr>
  </w:style>
  <w:style w:type="paragraph" w:customStyle="1" w:styleId="xl43">
    <w:name w:val="xl43"/>
    <w:basedOn w:val="Normal"/>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44">
    <w:name w:val="xl44"/>
    <w:basedOn w:val="Normal"/>
    <w:pPr>
      <w:pBdr>
        <w:left w:val="single" w:sz="8" w:space="0" w:color="auto"/>
        <w:bottom w:val="single" w:sz="8" w:space="0" w:color="auto"/>
      </w:pBdr>
      <w:shd w:val="clear" w:color="auto" w:fill="FFFFFF"/>
      <w:spacing w:before="100" w:beforeAutospacing="1" w:after="100" w:afterAutospacing="1"/>
      <w:jc w:val="both"/>
    </w:pPr>
    <w:rPr>
      <w:rFonts w:ascii="Arial" w:eastAsia="Arial Unicode MS" w:hAnsi="Arial" w:cs="Arial"/>
      <w:b/>
      <w:bCs/>
      <w:i/>
      <w:iCs/>
      <w:lang w:val="en-US" w:eastAsia="en-US"/>
    </w:rPr>
  </w:style>
  <w:style w:type="paragraph" w:customStyle="1" w:styleId="xl45">
    <w:name w:val="xl45"/>
    <w:basedOn w:val="Normal"/>
    <w:pPr>
      <w:pBdr>
        <w:left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46">
    <w:name w:val="xl46"/>
    <w:basedOn w:val="Normal"/>
    <w:pPr>
      <w:pBdr>
        <w:left w:val="single" w:sz="8" w:space="0" w:color="auto"/>
        <w:bottom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47">
    <w:name w:val="xl47"/>
    <w:basedOn w:val="Normal"/>
    <w:pPr>
      <w:pBdr>
        <w:left w:val="single" w:sz="8" w:space="0" w:color="auto"/>
        <w:bottom w:val="single" w:sz="8" w:space="0" w:color="auto"/>
      </w:pBdr>
      <w:shd w:val="clear" w:color="auto" w:fill="FFFFFF"/>
      <w:spacing w:before="100" w:beforeAutospacing="1" w:after="100" w:afterAutospacing="1"/>
      <w:jc w:val="both"/>
    </w:pPr>
    <w:rPr>
      <w:rFonts w:ascii="Arial" w:eastAsia="Arial Unicode MS" w:hAnsi="Arial" w:cs="Arial"/>
      <w:b/>
      <w:bCs/>
      <w:lang w:val="en-US" w:eastAsia="en-US"/>
    </w:rPr>
  </w:style>
  <w:style w:type="paragraph" w:customStyle="1" w:styleId="xl48">
    <w:name w:val="xl48"/>
    <w:basedOn w:val="Normal"/>
    <w:pPr>
      <w:pBdr>
        <w:left w:val="single" w:sz="8" w:space="0" w:color="auto"/>
        <w:right w:val="single" w:sz="8" w:space="0" w:color="auto"/>
      </w:pBdr>
      <w:shd w:val="clear" w:color="auto" w:fill="FFFFFF"/>
      <w:spacing w:before="100" w:beforeAutospacing="1" w:after="100" w:afterAutospacing="1"/>
      <w:jc w:val="both"/>
    </w:pPr>
    <w:rPr>
      <w:rFonts w:ascii="Arial" w:eastAsia="Arial Unicode MS" w:hAnsi="Arial" w:cs="Arial"/>
      <w:b/>
      <w:bCs/>
      <w:lang w:val="en-US" w:eastAsia="en-US"/>
    </w:rPr>
  </w:style>
  <w:style w:type="paragraph" w:customStyle="1" w:styleId="xl49">
    <w:name w:val="xl49"/>
    <w:basedOn w:val="Normal"/>
    <w:pPr>
      <w:pBdr>
        <w:left w:val="single" w:sz="8" w:space="0" w:color="auto"/>
        <w:right w:val="single" w:sz="8" w:space="0" w:color="auto"/>
      </w:pBdr>
      <w:shd w:val="clear" w:color="auto" w:fill="FFFFFF"/>
      <w:spacing w:before="100" w:beforeAutospacing="1" w:after="100" w:afterAutospacing="1"/>
      <w:jc w:val="both"/>
    </w:pPr>
    <w:rPr>
      <w:rFonts w:ascii="Arial" w:eastAsia="Arial Unicode MS" w:hAnsi="Arial" w:cs="Arial"/>
      <w:lang w:val="en-US" w:eastAsia="en-US"/>
    </w:rPr>
  </w:style>
  <w:style w:type="paragraph" w:customStyle="1" w:styleId="xl50">
    <w:name w:val="xl50"/>
    <w:basedOn w:val="Normal"/>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51">
    <w:name w:val="xl51"/>
    <w:basedOn w:val="Normal"/>
    <w:pPr>
      <w:shd w:val="clear" w:color="auto" w:fill="FFFFFF"/>
      <w:spacing w:before="100" w:beforeAutospacing="1" w:after="100" w:afterAutospacing="1"/>
      <w:jc w:val="both"/>
    </w:pPr>
    <w:rPr>
      <w:rFonts w:ascii="Arial" w:eastAsia="Arial Unicode MS" w:hAnsi="Arial" w:cs="Arial"/>
      <w:lang w:val="en-US" w:eastAsia="en-US"/>
    </w:rPr>
  </w:style>
  <w:style w:type="paragraph" w:customStyle="1" w:styleId="xl52">
    <w:name w:val="xl52"/>
    <w:basedOn w:val="Normal"/>
    <w:pP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53">
    <w:name w:val="xl53"/>
    <w:basedOn w:val="Normal"/>
    <w:pP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54">
    <w:name w:val="xl54"/>
    <w:basedOn w:val="Normal"/>
    <w:pPr>
      <w:pBdr>
        <w:left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sz w:val="18"/>
      <w:szCs w:val="18"/>
      <w:lang w:val="en-US" w:eastAsia="en-US"/>
    </w:rPr>
  </w:style>
  <w:style w:type="paragraph" w:customStyle="1" w:styleId="Style10">
    <w:name w:val="Style 1"/>
    <w:basedOn w:val="Normal"/>
    <w:pPr>
      <w:widowControl w:val="0"/>
      <w:autoSpaceDE w:val="0"/>
      <w:autoSpaceDN w:val="0"/>
      <w:adjustRightInd w:val="0"/>
    </w:pPr>
    <w:rPr>
      <w:sz w:val="20"/>
      <w:lang w:val="en-US" w:eastAsia="en-US"/>
    </w:rPr>
  </w:style>
  <w:style w:type="paragraph" w:styleId="NormalWeb">
    <w:name w:val="Normal (Web)"/>
    <w:basedOn w:val="Normal"/>
    <w:uiPriority w:val="99"/>
    <w:pPr>
      <w:spacing w:before="100" w:beforeAutospacing="1" w:after="100" w:afterAutospacing="1" w:line="220" w:lineRule="atLeast"/>
    </w:pPr>
    <w:rPr>
      <w:rFonts w:ascii="Verdana" w:hAnsi="Verdana"/>
      <w:color w:val="000000"/>
      <w:sz w:val="16"/>
      <w:szCs w:val="16"/>
      <w:lang w:val="en-US" w:eastAsia="en-US"/>
    </w:rPr>
  </w:style>
  <w:style w:type="paragraph" w:styleId="BodyTextIndent">
    <w:name w:val="Body Text Indent"/>
    <w:basedOn w:val="Normal"/>
    <w:pPr>
      <w:spacing w:before="120" w:after="120"/>
      <w:ind w:left="284" w:hanging="284"/>
      <w:jc w:val="both"/>
    </w:pPr>
    <w:rPr>
      <w:rFonts w:ascii="Arial" w:hAnsi="Arial" w:cs="Arial"/>
      <w:szCs w:val="20"/>
      <w:lang w:eastAsia="en-US"/>
    </w:rPr>
  </w:style>
  <w:style w:type="character" w:styleId="FollowedHyperlink">
    <w:name w:val="FollowedHyperlink"/>
    <w:uiPriority w:val="99"/>
    <w:rPr>
      <w:color w:val="800080"/>
      <w:u w:val="single"/>
    </w:rPr>
  </w:style>
  <w:style w:type="paragraph" w:styleId="Closing">
    <w:name w:val="Closing"/>
    <w:basedOn w:val="Normal"/>
    <w:pPr>
      <w:spacing w:line="290" w:lineRule="atLeast"/>
    </w:pPr>
    <w:rPr>
      <w:szCs w:val="20"/>
      <w:lang w:eastAsia="en-US"/>
    </w:rPr>
  </w:style>
  <w:style w:type="paragraph" w:styleId="ListNumber5">
    <w:name w:val="List Number 5"/>
    <w:basedOn w:val="Normal"/>
    <w:pPr>
      <w:tabs>
        <w:tab w:val="num" w:pos="2976"/>
      </w:tabs>
      <w:spacing w:after="290" w:line="288" w:lineRule="auto"/>
      <w:ind w:left="2976" w:hanging="595"/>
    </w:pPr>
    <w:rPr>
      <w:szCs w:val="20"/>
      <w:lang w:eastAsia="en-US"/>
    </w:rPr>
  </w:style>
  <w:style w:type="paragraph" w:customStyle="1" w:styleId="TableColumnHeader">
    <w:name w:val="Table Column Header"/>
    <w:basedOn w:val="Normal"/>
    <w:pPr>
      <w:spacing w:before="120" w:after="170" w:line="290" w:lineRule="atLeast"/>
    </w:pPr>
    <w:rPr>
      <w:b/>
      <w:szCs w:val="20"/>
      <w:lang w:eastAsia="en-US"/>
    </w:rPr>
  </w:style>
  <w:style w:type="paragraph" w:customStyle="1" w:styleId="DefaultText">
    <w:name w:val="Default Text"/>
    <w:basedOn w:val="Normal"/>
    <w:rPr>
      <w:szCs w:val="20"/>
      <w:lang w:eastAsia="en-US"/>
    </w:rPr>
  </w:style>
  <w:style w:type="paragraph" w:customStyle="1" w:styleId="Disclaimer">
    <w:name w:val="Disclaimer"/>
    <w:basedOn w:val="Normal"/>
    <w:pPr>
      <w:spacing w:line="200" w:lineRule="exact"/>
    </w:pPr>
    <w:rPr>
      <w:sz w:val="16"/>
      <w:szCs w:val="20"/>
      <w:lang w:eastAsia="en-US"/>
    </w:rPr>
  </w:style>
  <w:style w:type="character" w:styleId="CommentReference">
    <w:name w:val="annotation reference"/>
    <w:rPr>
      <w:sz w:val="16"/>
      <w:szCs w:val="1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Revision">
    <w:name w:val="Revision"/>
    <w:hidden/>
    <w:uiPriority w:val="99"/>
    <w:semiHidden/>
    <w:rPr>
      <w:sz w:val="24"/>
      <w:szCs w:val="24"/>
    </w:rPr>
  </w:style>
  <w:style w:type="paragraph" w:styleId="TOC2">
    <w:name w:val="toc 2"/>
    <w:basedOn w:val="Normal"/>
    <w:next w:val="Normal"/>
    <w:autoRedefine/>
    <w:uiPriority w:val="39"/>
    <w:pPr>
      <w:tabs>
        <w:tab w:val="left" w:pos="1134"/>
        <w:tab w:val="right" w:leader="dot" w:pos="9061"/>
      </w:tabs>
      <w:spacing w:before="120" w:after="120"/>
      <w:ind w:left="238"/>
    </w:pPr>
  </w:style>
  <w:style w:type="paragraph" w:styleId="TOC3">
    <w:name w:val="toc 3"/>
    <w:basedOn w:val="Normal"/>
    <w:next w:val="Normal"/>
    <w:autoRedefine/>
    <w:uiPriority w:val="39"/>
    <w:pPr>
      <w:tabs>
        <w:tab w:val="left" w:pos="851"/>
        <w:tab w:val="right" w:leader="dot" w:pos="9061"/>
      </w:tabs>
      <w:spacing w:before="100" w:beforeAutospacing="1" w:after="100" w:afterAutospacing="1"/>
    </w:pPr>
  </w:style>
  <w:style w:type="numbering" w:customStyle="1" w:styleId="NoList1">
    <w:name w:val="No List1"/>
    <w:next w:val="NoList"/>
    <w:uiPriority w:val="99"/>
    <w:semiHidden/>
    <w:unhideWhenUsed/>
  </w:style>
  <w:style w:type="character" w:customStyle="1" w:styleId="Heading1Char">
    <w:name w:val="Heading 1 Char"/>
    <w:link w:val="Heading1"/>
    <w:rPr>
      <w:b/>
      <w:bCs/>
      <w:smallCaps/>
      <w:sz w:val="28"/>
      <w:szCs w:val="32"/>
      <w:lang w:eastAsia="de-DE"/>
    </w:rPr>
  </w:style>
  <w:style w:type="character" w:customStyle="1" w:styleId="Heading2Char">
    <w:name w:val="Heading 2 Char"/>
    <w:link w:val="Heading2"/>
    <w:rPr>
      <w:b/>
      <w:bCs/>
      <w:iCs/>
      <w:sz w:val="26"/>
      <w:szCs w:val="28"/>
      <w:lang w:eastAsia="de-DE"/>
    </w:rPr>
  </w:style>
  <w:style w:type="character" w:customStyle="1" w:styleId="Heading3Char">
    <w:name w:val="Heading 3 Char"/>
    <w:link w:val="Heading3"/>
    <w:rPr>
      <w:b/>
      <w:bCs/>
      <w:sz w:val="24"/>
      <w:szCs w:val="26"/>
      <w:lang w:eastAsia="de-DE"/>
    </w:rPr>
  </w:style>
  <w:style w:type="character" w:customStyle="1" w:styleId="Heading4Char">
    <w:name w:val="Heading 4 Char"/>
    <w:link w:val="Heading4"/>
    <w:rPr>
      <w:b/>
      <w:bCs/>
      <w:i/>
      <w:sz w:val="24"/>
      <w:szCs w:val="28"/>
      <w:lang w:eastAsia="de-DE"/>
    </w:rPr>
  </w:style>
  <w:style w:type="character" w:customStyle="1" w:styleId="Heading5Char">
    <w:name w:val="Heading 5 Char"/>
    <w:link w:val="Heading5"/>
    <w:rPr>
      <w:b/>
      <w:sz w:val="22"/>
      <w:lang w:eastAsia="en-US"/>
    </w:rPr>
  </w:style>
  <w:style w:type="character" w:customStyle="1" w:styleId="Heading6Char">
    <w:name w:val="Heading 6 Char"/>
    <w:link w:val="Heading6"/>
    <w:rPr>
      <w:sz w:val="22"/>
      <w:u w:val="single"/>
      <w:lang w:eastAsia="en-US"/>
    </w:rPr>
  </w:style>
  <w:style w:type="character" w:customStyle="1" w:styleId="Heading7Char">
    <w:name w:val="Heading 7 Char"/>
    <w:link w:val="Heading7"/>
    <w:rPr>
      <w:i/>
      <w:sz w:val="22"/>
      <w:lang w:eastAsia="en-US"/>
    </w:rPr>
  </w:style>
  <w:style w:type="character" w:customStyle="1" w:styleId="Heading8Char">
    <w:name w:val="Heading 8 Char"/>
    <w:link w:val="Heading8"/>
    <w:rPr>
      <w:i/>
      <w:sz w:val="22"/>
      <w:lang w:eastAsia="en-US"/>
    </w:rPr>
  </w:style>
  <w:style w:type="character" w:customStyle="1" w:styleId="Heading9Char">
    <w:name w:val="Heading 9 Char"/>
    <w:link w:val="Heading9"/>
    <w:rPr>
      <w:i/>
      <w:sz w:val="22"/>
      <w:lang w:eastAsia="en-US"/>
    </w:rPr>
  </w:style>
  <w:style w:type="character" w:customStyle="1" w:styleId="FootnoteCharacters">
    <w:name w:val="Footnote Characters"/>
    <w:rPr>
      <w:rFonts w:cs="Times New Roman"/>
      <w:position w:val="6"/>
      <w:sz w:val="16"/>
      <w:shd w:val="clear" w:color="auto" w:fill="auto"/>
    </w:rPr>
  </w:style>
  <w:style w:type="character" w:customStyle="1" w:styleId="BodyTextChar">
    <w:name w:val="Body Text Char"/>
    <w:link w:val="BodyText"/>
    <w:rPr>
      <w:sz w:val="22"/>
      <w:szCs w:val="22"/>
    </w:rPr>
  </w:style>
  <w:style w:type="character" w:customStyle="1" w:styleId="BodyText2Char">
    <w:name w:val="Body Text 2 Char"/>
    <w:link w:val="BodyText2"/>
    <w:rPr>
      <w:rFonts w:ascii="Arial" w:hAnsi="Arial"/>
      <w:sz w:val="22"/>
      <w:lang w:eastAsia="en-US"/>
    </w:rPr>
  </w:style>
  <w:style w:type="paragraph" w:customStyle="1" w:styleId="Para1">
    <w:name w:val="Para1"/>
    <w:basedOn w:val="Normal"/>
    <w:pPr>
      <w:tabs>
        <w:tab w:val="left" w:pos="1134"/>
        <w:tab w:val="left" w:pos="1418"/>
      </w:tabs>
      <w:suppressAutoHyphens/>
      <w:spacing w:before="240"/>
      <w:ind w:left="1418" w:hanging="1418"/>
    </w:pPr>
    <w:rPr>
      <w:rFonts w:ascii="Arial" w:hAnsi="Arial"/>
      <w:sz w:val="20"/>
      <w:szCs w:val="20"/>
      <w:lang w:eastAsia="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link w:val="BodyText3"/>
    <w:rPr>
      <w:rFonts w:ascii="Arial" w:hAnsi="Arial"/>
      <w:b/>
      <w:sz w:val="24"/>
      <w:u w:val="single"/>
      <w:lang w:eastAsia="en-US"/>
    </w:rPr>
  </w:style>
  <w:style w:type="character" w:customStyle="1" w:styleId="TitleChar">
    <w:name w:val="Title Char"/>
    <w:link w:val="Title"/>
    <w:rPr>
      <w:rFonts w:ascii="Comic Sans MS" w:hAnsi="Comic Sans MS"/>
      <w:b/>
      <w:sz w:val="24"/>
      <w:lang w:eastAsia="en-US"/>
    </w:rPr>
  </w:style>
  <w:style w:type="paragraph" w:styleId="CommentText">
    <w:name w:val="annotation text"/>
    <w:basedOn w:val="Normal"/>
    <w:link w:val="CommentTextChar"/>
    <w:pPr>
      <w:spacing w:after="120" w:line="240" w:lineRule="atLeast"/>
    </w:pPr>
    <w:rPr>
      <w:rFonts w:ascii="Arial" w:hAnsi="Arial"/>
      <w:sz w:val="22"/>
      <w:szCs w:val="20"/>
    </w:rPr>
  </w:style>
  <w:style w:type="character" w:customStyle="1" w:styleId="CommentTextChar">
    <w:name w:val="Comment Text Char"/>
    <w:link w:val="CommentText"/>
    <w:uiPriority w:val="99"/>
    <w:rPr>
      <w:rFonts w:ascii="Arial" w:hAnsi="Arial"/>
      <w:sz w:val="22"/>
    </w:rPr>
  </w:style>
  <w:style w:type="paragraph" w:customStyle="1" w:styleId="NotesText">
    <w:name w:val="Notes Text"/>
    <w:basedOn w:val="Normal"/>
    <w:autoRedefine/>
    <w:pPr>
      <w:spacing w:after="60" w:line="180" w:lineRule="atLeast"/>
      <w:jc w:val="both"/>
    </w:pPr>
    <w:rPr>
      <w:rFonts w:ascii="Arial" w:hAnsi="Arial" w:cs="Arial"/>
      <w:color w:val="000000"/>
      <w:sz w:val="15"/>
      <w:szCs w:val="20"/>
    </w:rPr>
  </w:style>
  <w:style w:type="paragraph" w:customStyle="1" w:styleId="Notes">
    <w:name w:val="Notes"/>
    <w:basedOn w:val="Header"/>
    <w:link w:val="NotesChar"/>
    <w:pPr>
      <w:numPr>
        <w:numId w:val="27"/>
      </w:numPr>
      <w:tabs>
        <w:tab w:val="clear" w:pos="4535"/>
        <w:tab w:val="clear" w:pos="9071"/>
        <w:tab w:val="center" w:pos="4320"/>
        <w:tab w:val="right" w:pos="8640"/>
      </w:tabs>
    </w:pPr>
    <w:rPr>
      <w:rFonts w:ascii="Arial" w:hAnsi="Arial"/>
      <w:b/>
      <w:sz w:val="20"/>
      <w:lang w:val="en-US"/>
    </w:rPr>
  </w:style>
  <w:style w:type="paragraph" w:styleId="CommentSubject">
    <w:name w:val="annotation subject"/>
    <w:basedOn w:val="CommentText"/>
    <w:next w:val="CommentText"/>
    <w:link w:val="CommentSubjectChar"/>
    <w:rPr>
      <w:b/>
      <w:bCs/>
      <w:sz w:val="20"/>
    </w:rPr>
  </w:style>
  <w:style w:type="character" w:customStyle="1" w:styleId="CommentSubjectChar">
    <w:name w:val="Comment Subject Char"/>
    <w:link w:val="CommentSubject"/>
    <w:rPr>
      <w:rFonts w:ascii="Arial" w:hAnsi="Arial"/>
      <w:b/>
      <w:bCs/>
      <w:sz w:val="22"/>
    </w:rPr>
  </w:style>
  <w:style w:type="character" w:styleId="Emphasis">
    <w:name w:val="Emphasis"/>
    <w:qFormat/>
    <w:rPr>
      <w:i/>
      <w:iCs/>
    </w:rPr>
  </w:style>
  <w:style w:type="paragraph" w:styleId="NoSpacing">
    <w:name w:val="No Spacing"/>
    <w:link w:val="NoSpacingChar"/>
    <w:uiPriority w:val="1"/>
    <w:qFormat/>
    <w:pPr>
      <w:spacing w:after="200" w:line="276" w:lineRule="auto"/>
    </w:pPr>
    <w:rPr>
      <w:rFonts w:ascii="Calibri" w:eastAsia="MS Mincho" w:hAnsi="Calibri" w:cs="Arial"/>
      <w:sz w:val="22"/>
      <w:szCs w:val="22"/>
      <w:lang w:val="en-US" w:eastAsia="ja-JP"/>
    </w:rPr>
  </w:style>
  <w:style w:type="character" w:customStyle="1" w:styleId="NoSpacingChar">
    <w:name w:val="No Spacing Char"/>
    <w:link w:val="NoSpacing"/>
    <w:uiPriority w:val="1"/>
    <w:rPr>
      <w:rFonts w:ascii="Calibri" w:eastAsia="MS Mincho" w:hAnsi="Calibri" w:cs="Arial"/>
      <w:sz w:val="22"/>
      <w:szCs w:val="22"/>
      <w:lang w:val="en-US" w:eastAsia="ja-JP"/>
    </w:rPr>
  </w:style>
  <w:style w:type="paragraph" w:styleId="EndnoteText">
    <w:name w:val="endnote text"/>
    <w:basedOn w:val="Normal"/>
    <w:link w:val="EndnoteTextChar"/>
    <w:uiPriority w:val="99"/>
    <w:pPr>
      <w:spacing w:before="120" w:after="120"/>
      <w:jc w:val="both"/>
    </w:pPr>
    <w:rPr>
      <w:sz w:val="20"/>
      <w:szCs w:val="20"/>
    </w:rPr>
  </w:style>
  <w:style w:type="character" w:customStyle="1" w:styleId="EndnoteTextChar">
    <w:name w:val="Endnote Text Char"/>
    <w:basedOn w:val="DefaultParagraphFont"/>
    <w:link w:val="EndnoteText"/>
    <w:uiPriority w:val="99"/>
  </w:style>
  <w:style w:type="character" w:styleId="EndnoteReference">
    <w:name w:val="endnote reference"/>
    <w:uiPriority w:val="99"/>
    <w:rPr>
      <w:vertAlign w:val="superscript"/>
    </w:rPr>
  </w:style>
  <w:style w:type="character" w:styleId="LineNumber">
    <w:name w:val="line number"/>
  </w:style>
  <w:style w:type="paragraph" w:styleId="Caption">
    <w:name w:val="caption"/>
    <w:basedOn w:val="Normal"/>
    <w:next w:val="Normal"/>
    <w:qFormat/>
    <w:pPr>
      <w:spacing w:before="120" w:after="120"/>
      <w:jc w:val="both"/>
    </w:pPr>
    <w:rPr>
      <w:b/>
      <w:bCs/>
      <w:sz w:val="20"/>
      <w:szCs w:val="20"/>
    </w:rPr>
  </w:style>
  <w:style w:type="paragraph" w:styleId="TableofFigures">
    <w:name w:val="table of figures"/>
    <w:basedOn w:val="Normal"/>
    <w:next w:val="Normal"/>
    <w:pPr>
      <w:spacing w:before="120" w:after="120"/>
      <w:jc w:val="both"/>
    </w:pPr>
    <w:rPr>
      <w:szCs w:val="22"/>
    </w:rPr>
  </w:style>
  <w:style w:type="character" w:customStyle="1" w:styleId="TOCHeadingChar">
    <w:name w:val="TOC Heading Char"/>
    <w:uiPriority w:val="39"/>
    <w:rPr>
      <w:b/>
      <w:sz w:val="28"/>
      <w:szCs w:val="24"/>
      <w:lang w:eastAsia="en-US"/>
    </w:rPr>
  </w:style>
  <w:style w:type="character" w:customStyle="1" w:styleId="FooterCoverPageChar">
    <w:name w:val="Footer Cover Page Char"/>
    <w:link w:val="FooterCoverPage"/>
    <w:rPr>
      <w:sz w:val="24"/>
      <w:szCs w:val="24"/>
    </w:rPr>
  </w:style>
  <w:style w:type="character" w:customStyle="1" w:styleId="HeaderCoverPageChar">
    <w:name w:val="Header Cover Page Char"/>
    <w:link w:val="HeaderCoverPage"/>
    <w:rPr>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NotesChar">
    <w:name w:val="Notes Char"/>
    <w:link w:val="Notes"/>
    <w:rPr>
      <w:rFonts w:ascii="Arial" w:eastAsia="Calibri" w:hAnsi="Arial"/>
      <w:b/>
      <w:szCs w:val="22"/>
      <w:lang w:val="en-US" w:eastAsia="en-US"/>
    </w:rPr>
  </w:style>
  <w:style w:type="paragraph" w:customStyle="1" w:styleId="Title11">
    <w:name w:val="Title 1.1"/>
    <w:basedOn w:val="Notes"/>
    <w:pPr>
      <w:numPr>
        <w:numId w:val="0"/>
      </w:numPr>
      <w:tabs>
        <w:tab w:val="clear" w:pos="4320"/>
        <w:tab w:val="clear" w:pos="8640"/>
        <w:tab w:val="right" w:pos="-2700"/>
        <w:tab w:val="num" w:pos="431"/>
        <w:tab w:val="right" w:pos="720"/>
      </w:tabs>
      <w:suppressAutoHyphens/>
      <w:spacing w:after="0"/>
      <w:ind w:left="431" w:hanging="431"/>
    </w:pPr>
    <w:rPr>
      <w:b w:val="0"/>
      <w:szCs w:val="20"/>
      <w:lang w:val="en-GB" w:eastAsia="ar-SA"/>
    </w:rPr>
  </w:style>
  <w:style w:type="paragraph" w:customStyle="1" w:styleId="Normal0">
    <w:name w:val="Normal_0"/>
    <w:qFormat/>
    <w:pPr>
      <w:spacing w:after="120" w:line="240" w:lineRule="atLeast"/>
    </w:pPr>
    <w:rPr>
      <w:rFonts w:ascii="Arial" w:hAnsi="Arial"/>
      <w:sz w:val="22"/>
      <w:szCs w:val="22"/>
      <w:lang w:eastAsia="en-US"/>
    </w:rPr>
  </w:style>
  <w:style w:type="paragraph" w:customStyle="1" w:styleId="Heading20">
    <w:name w:val="Heading 2_0"/>
    <w:basedOn w:val="Normal0"/>
    <w:next w:val="Normal0"/>
    <w:qFormat/>
    <w:pPr>
      <w:spacing w:before="120"/>
      <w:outlineLvl w:val="1"/>
    </w:pPr>
    <w:rPr>
      <w:b/>
    </w:rPr>
  </w:style>
  <w:style w:type="character" w:customStyle="1" w:styleId="Heading2Char0">
    <w:name w:val="Heading 2 Char_0"/>
    <w:rPr>
      <w:rFonts w:ascii="Arial" w:hAnsi="Arial"/>
      <w:b/>
      <w:sz w:val="22"/>
      <w:szCs w:val="22"/>
      <w:lang w:eastAsia="en-US"/>
    </w:rPr>
  </w:style>
  <w:style w:type="paragraph" w:customStyle="1" w:styleId="BodyText0">
    <w:name w:val="Body Text_0"/>
    <w:basedOn w:val="Normal0"/>
    <w:pPr>
      <w:jc w:val="both"/>
    </w:pPr>
    <w:rPr>
      <w:sz w:val="20"/>
    </w:rPr>
  </w:style>
  <w:style w:type="character" w:customStyle="1" w:styleId="BodyTextChar0">
    <w:name w:val="Body Text Char_0"/>
    <w:rPr>
      <w:rFonts w:ascii="Arial" w:hAnsi="Arial"/>
      <w:szCs w:val="22"/>
      <w:lang w:eastAsia="en-US"/>
    </w:rPr>
  </w:style>
  <w:style w:type="paragraph" w:customStyle="1" w:styleId="Heading21">
    <w:name w:val="Heading 2_1"/>
    <w:basedOn w:val="Normal1"/>
    <w:next w:val="Normal1"/>
    <w:qFormat/>
    <w:pPr>
      <w:spacing w:before="120"/>
      <w:outlineLvl w:val="1"/>
    </w:pPr>
    <w:rPr>
      <w:b/>
    </w:rPr>
  </w:style>
  <w:style w:type="paragraph" w:customStyle="1" w:styleId="Normal1">
    <w:name w:val="Normal_1"/>
    <w:qFormat/>
    <w:pPr>
      <w:spacing w:after="120" w:line="240" w:lineRule="atLeast"/>
    </w:pPr>
    <w:rPr>
      <w:rFonts w:ascii="Arial" w:hAnsi="Arial"/>
      <w:sz w:val="22"/>
      <w:szCs w:val="22"/>
      <w:lang w:eastAsia="en-US"/>
    </w:rPr>
  </w:style>
  <w:style w:type="character" w:customStyle="1" w:styleId="Heading2Char1">
    <w:name w:val="Heading 2 Char_1"/>
    <w:rPr>
      <w:rFonts w:ascii="Arial" w:hAnsi="Arial"/>
      <w:b/>
      <w:sz w:val="22"/>
      <w:szCs w:val="22"/>
      <w:lang w:eastAsia="en-US"/>
    </w:rPr>
  </w:style>
  <w:style w:type="character" w:customStyle="1" w:styleId="FootnoteReference0">
    <w:name w:val="Footnote Reference_0"/>
    <w:uiPriority w:val="99"/>
    <w:semiHidden/>
    <w:rPr>
      <w:rFonts w:cs="Times New Roman"/>
      <w:position w:val="6"/>
      <w:sz w:val="16"/>
    </w:rPr>
  </w:style>
  <w:style w:type="paragraph" w:customStyle="1" w:styleId="FootnoteText0">
    <w:name w:val="Footnote Text_0"/>
    <w:basedOn w:val="Normal1"/>
    <w:uiPriority w:val="99"/>
    <w:semiHidden/>
  </w:style>
  <w:style w:type="character" w:customStyle="1" w:styleId="FootnoteTextChar0">
    <w:name w:val="Footnote Text Char_0"/>
    <w:uiPriority w:val="99"/>
    <w:semiHidden/>
    <w:rPr>
      <w:rFonts w:ascii="Arial" w:hAnsi="Arial"/>
      <w:sz w:val="22"/>
      <w:szCs w:val="22"/>
      <w:lang w:eastAsia="en-US"/>
    </w:rPr>
  </w:style>
  <w:style w:type="paragraph" w:customStyle="1" w:styleId="BodyText1">
    <w:name w:val="Body Text_1"/>
    <w:basedOn w:val="Normal1"/>
    <w:pPr>
      <w:jc w:val="both"/>
    </w:pPr>
    <w:rPr>
      <w:sz w:val="20"/>
    </w:rPr>
  </w:style>
  <w:style w:type="character" w:customStyle="1" w:styleId="BodyTextChar1">
    <w:name w:val="Body Text Char_1"/>
    <w:rPr>
      <w:rFonts w:ascii="Arial" w:hAnsi="Arial"/>
      <w:szCs w:val="22"/>
      <w:lang w:eastAsia="en-US"/>
    </w:rPr>
  </w:style>
  <w:style w:type="paragraph" w:customStyle="1" w:styleId="NotesText0">
    <w:name w:val="Notes Text_0"/>
    <w:basedOn w:val="Normal1"/>
    <w:autoRedefine/>
    <w:pPr>
      <w:spacing w:after="60" w:line="180" w:lineRule="atLeast"/>
      <w:jc w:val="both"/>
    </w:pPr>
    <w:rPr>
      <w:rFonts w:cs="Arial"/>
      <w:color w:val="000000"/>
      <w:sz w:val="15"/>
    </w:rPr>
  </w:style>
  <w:style w:type="paragraph" w:customStyle="1" w:styleId="Heading22">
    <w:name w:val="Heading 2_2"/>
    <w:basedOn w:val="Normal2"/>
    <w:next w:val="Normal2"/>
    <w:qFormat/>
    <w:pPr>
      <w:spacing w:before="120"/>
      <w:outlineLvl w:val="1"/>
    </w:pPr>
    <w:rPr>
      <w:b/>
    </w:rPr>
  </w:style>
  <w:style w:type="paragraph" w:customStyle="1" w:styleId="Normal2">
    <w:name w:val="Normal_2"/>
    <w:qFormat/>
    <w:pPr>
      <w:spacing w:after="120" w:line="240" w:lineRule="atLeast"/>
    </w:pPr>
    <w:rPr>
      <w:rFonts w:ascii="Arial" w:hAnsi="Arial"/>
      <w:sz w:val="22"/>
      <w:szCs w:val="22"/>
      <w:lang w:eastAsia="en-US"/>
    </w:rPr>
  </w:style>
  <w:style w:type="character" w:customStyle="1" w:styleId="Heading2Char2">
    <w:name w:val="Heading 2 Char_2"/>
    <w:rPr>
      <w:rFonts w:ascii="Arial" w:hAnsi="Arial"/>
      <w:b/>
      <w:sz w:val="22"/>
      <w:szCs w:val="22"/>
      <w:lang w:eastAsia="en-US"/>
    </w:rPr>
  </w:style>
  <w:style w:type="paragraph" w:customStyle="1" w:styleId="Notes0">
    <w:name w:val="Notes_0"/>
    <w:basedOn w:val="Header0"/>
    <w:pPr>
      <w:tabs>
        <w:tab w:val="clear" w:pos="4819"/>
        <w:tab w:val="clear" w:pos="9071"/>
        <w:tab w:val="center" w:pos="4320"/>
        <w:tab w:val="right" w:pos="8640"/>
      </w:tabs>
      <w:spacing w:before="120" w:line="240" w:lineRule="auto"/>
      <w:jc w:val="both"/>
    </w:pPr>
    <w:rPr>
      <w:b/>
      <w:sz w:val="20"/>
      <w:szCs w:val="24"/>
      <w:lang w:val="en-US"/>
    </w:rPr>
  </w:style>
  <w:style w:type="paragraph" w:customStyle="1" w:styleId="Header0">
    <w:name w:val="Header_0"/>
    <w:basedOn w:val="Normal2"/>
    <w:pPr>
      <w:tabs>
        <w:tab w:val="center" w:pos="4819"/>
        <w:tab w:val="right" w:pos="9071"/>
      </w:tabs>
    </w:pPr>
  </w:style>
  <w:style w:type="character" w:customStyle="1" w:styleId="HeaderChar0">
    <w:name w:val="Header Char_0"/>
    <w:rPr>
      <w:rFonts w:ascii="Arial" w:hAnsi="Arial"/>
      <w:sz w:val="22"/>
      <w:szCs w:val="22"/>
      <w:lang w:eastAsia="en-US"/>
    </w:rPr>
  </w:style>
  <w:style w:type="character" w:customStyle="1" w:styleId="NotesChar0">
    <w:name w:val="Notes Char_0"/>
    <w:rPr>
      <w:rFonts w:ascii="Arial" w:hAnsi="Arial"/>
      <w:b/>
      <w:szCs w:val="24"/>
      <w:lang w:val="en-US" w:eastAsia="en-US"/>
    </w:rPr>
  </w:style>
  <w:style w:type="paragraph" w:customStyle="1" w:styleId="Normal3">
    <w:name w:val="Normal_3"/>
    <w:qFormat/>
    <w:pPr>
      <w:spacing w:after="120" w:line="240" w:lineRule="atLeast"/>
    </w:pPr>
    <w:rPr>
      <w:rFonts w:ascii="Arial" w:hAnsi="Arial"/>
      <w:sz w:val="22"/>
      <w:szCs w:val="22"/>
      <w:lang w:eastAsia="en-US"/>
    </w:rPr>
  </w:style>
  <w:style w:type="paragraph" w:customStyle="1" w:styleId="Notes1">
    <w:name w:val="Notes_1"/>
    <w:basedOn w:val="Header1"/>
    <w:pPr>
      <w:tabs>
        <w:tab w:val="clear" w:pos="4819"/>
        <w:tab w:val="clear" w:pos="9071"/>
        <w:tab w:val="center" w:pos="4320"/>
        <w:tab w:val="right" w:pos="8640"/>
      </w:tabs>
      <w:spacing w:before="120" w:line="240" w:lineRule="auto"/>
      <w:jc w:val="both"/>
    </w:pPr>
    <w:rPr>
      <w:b/>
      <w:sz w:val="20"/>
      <w:szCs w:val="24"/>
      <w:lang w:val="en-US"/>
    </w:rPr>
  </w:style>
  <w:style w:type="paragraph" w:customStyle="1" w:styleId="Header1">
    <w:name w:val="Header_1"/>
    <w:basedOn w:val="Normal3"/>
    <w:pPr>
      <w:tabs>
        <w:tab w:val="center" w:pos="4819"/>
        <w:tab w:val="right" w:pos="9071"/>
      </w:tabs>
    </w:pPr>
  </w:style>
  <w:style w:type="character" w:customStyle="1" w:styleId="HeaderChar1">
    <w:name w:val="Header Char_1"/>
    <w:rPr>
      <w:rFonts w:ascii="Arial" w:hAnsi="Arial"/>
      <w:sz w:val="22"/>
      <w:szCs w:val="22"/>
      <w:lang w:eastAsia="en-US"/>
    </w:rPr>
  </w:style>
  <w:style w:type="character" w:customStyle="1" w:styleId="NotesChar1">
    <w:name w:val="Notes Char_1"/>
    <w:rPr>
      <w:rFonts w:ascii="Arial" w:hAnsi="Arial"/>
      <w:b/>
      <w:szCs w:val="24"/>
      <w:lang w:val="en-US" w:eastAsia="en-US"/>
    </w:rPr>
  </w:style>
  <w:style w:type="paragraph" w:customStyle="1" w:styleId="Normal4">
    <w:name w:val="Normal_4"/>
    <w:qFormat/>
    <w:pPr>
      <w:spacing w:after="120" w:line="240" w:lineRule="atLeast"/>
    </w:pPr>
    <w:rPr>
      <w:rFonts w:ascii="Arial" w:hAnsi="Arial"/>
      <w:sz w:val="22"/>
      <w:szCs w:val="22"/>
      <w:lang w:eastAsia="en-US"/>
    </w:rPr>
  </w:style>
  <w:style w:type="paragraph" w:customStyle="1" w:styleId="ListParagraph0">
    <w:name w:val="List Paragraph_0"/>
    <w:basedOn w:val="Normal4"/>
    <w:uiPriority w:val="34"/>
    <w:qFormat/>
    <w:pPr>
      <w:spacing w:after="200" w:line="276" w:lineRule="auto"/>
      <w:ind w:left="720"/>
      <w:contextualSpacing/>
    </w:pPr>
    <w:rPr>
      <w:rFonts w:ascii="Calibri" w:eastAsia="Calibri" w:hAnsi="Calibri"/>
    </w:rPr>
  </w:style>
  <w:style w:type="paragraph" w:customStyle="1" w:styleId="Notes2">
    <w:name w:val="Notes_2"/>
    <w:basedOn w:val="Header2"/>
    <w:pPr>
      <w:tabs>
        <w:tab w:val="clear" w:pos="4819"/>
        <w:tab w:val="clear" w:pos="9071"/>
        <w:tab w:val="center" w:pos="4320"/>
        <w:tab w:val="right" w:pos="8640"/>
      </w:tabs>
      <w:spacing w:before="120" w:line="240" w:lineRule="auto"/>
      <w:jc w:val="both"/>
    </w:pPr>
    <w:rPr>
      <w:b/>
      <w:sz w:val="20"/>
      <w:szCs w:val="24"/>
      <w:lang w:val="en-US"/>
    </w:rPr>
  </w:style>
  <w:style w:type="paragraph" w:customStyle="1" w:styleId="Header2">
    <w:name w:val="Header_2"/>
    <w:basedOn w:val="Normal5"/>
    <w:pPr>
      <w:tabs>
        <w:tab w:val="center" w:pos="4819"/>
        <w:tab w:val="right" w:pos="9071"/>
      </w:tabs>
    </w:pPr>
  </w:style>
  <w:style w:type="paragraph" w:customStyle="1" w:styleId="Normal5">
    <w:name w:val="Normal_5"/>
    <w:qFormat/>
    <w:pPr>
      <w:spacing w:after="120" w:line="240" w:lineRule="atLeast"/>
    </w:pPr>
    <w:rPr>
      <w:rFonts w:ascii="Arial" w:hAnsi="Arial"/>
      <w:sz w:val="22"/>
      <w:szCs w:val="22"/>
      <w:lang w:eastAsia="en-US"/>
    </w:rPr>
  </w:style>
  <w:style w:type="character" w:customStyle="1" w:styleId="HeaderChar2">
    <w:name w:val="Header Char_2"/>
    <w:rPr>
      <w:rFonts w:ascii="Arial" w:hAnsi="Arial"/>
      <w:sz w:val="22"/>
      <w:szCs w:val="22"/>
      <w:lang w:eastAsia="en-US"/>
    </w:rPr>
  </w:style>
  <w:style w:type="character" w:customStyle="1" w:styleId="NotesChar2">
    <w:name w:val="Notes Char_2"/>
    <w:rPr>
      <w:rFonts w:ascii="Arial" w:hAnsi="Arial"/>
      <w:b/>
      <w:szCs w:val="24"/>
      <w:lang w:val="en-US" w:eastAsia="en-US"/>
    </w:rPr>
  </w:style>
  <w:style w:type="paragraph" w:customStyle="1" w:styleId="BodyText20">
    <w:name w:val="Body Text_2"/>
    <w:basedOn w:val="Normal5"/>
    <w:pPr>
      <w:jc w:val="both"/>
    </w:pPr>
    <w:rPr>
      <w:sz w:val="20"/>
    </w:rPr>
  </w:style>
  <w:style w:type="character" w:customStyle="1" w:styleId="BodyTextChar2">
    <w:name w:val="Body Text Char_2"/>
    <w:rPr>
      <w:rFonts w:ascii="Arial" w:hAnsi="Arial"/>
      <w:szCs w:val="22"/>
      <w:lang w:eastAsia="en-US"/>
    </w:rPr>
  </w:style>
  <w:style w:type="paragraph" w:customStyle="1" w:styleId="BodyText30">
    <w:name w:val="Body Text_3"/>
    <w:basedOn w:val="Normal6"/>
    <w:pPr>
      <w:jc w:val="both"/>
    </w:pPr>
    <w:rPr>
      <w:sz w:val="20"/>
    </w:rPr>
  </w:style>
  <w:style w:type="paragraph" w:customStyle="1" w:styleId="Normal6">
    <w:name w:val="Normal_6"/>
    <w:qFormat/>
    <w:pPr>
      <w:spacing w:after="120" w:line="240" w:lineRule="atLeast"/>
    </w:pPr>
    <w:rPr>
      <w:rFonts w:ascii="Arial" w:hAnsi="Arial"/>
      <w:sz w:val="22"/>
      <w:szCs w:val="22"/>
      <w:lang w:eastAsia="en-US"/>
    </w:rPr>
  </w:style>
  <w:style w:type="character" w:customStyle="1" w:styleId="BodyTextChar3">
    <w:name w:val="Body Text Char_3"/>
    <w:rPr>
      <w:rFonts w:ascii="Arial" w:hAnsi="Arial"/>
      <w:szCs w:val="22"/>
      <w:lang w:eastAsia="en-US"/>
    </w:rPr>
  </w:style>
  <w:style w:type="paragraph" w:customStyle="1" w:styleId="Normal7">
    <w:name w:val="Normal_7"/>
    <w:qFormat/>
    <w:pPr>
      <w:spacing w:after="120" w:line="240" w:lineRule="atLeast"/>
    </w:pPr>
    <w:rPr>
      <w:rFonts w:ascii="Arial" w:hAnsi="Arial"/>
      <w:sz w:val="22"/>
      <w:szCs w:val="22"/>
      <w:lang w:eastAsia="en-US"/>
    </w:rPr>
  </w:style>
  <w:style w:type="paragraph" w:customStyle="1" w:styleId="Heading23">
    <w:name w:val="Heading 2_3"/>
    <w:basedOn w:val="Normal7"/>
    <w:next w:val="Normal7"/>
    <w:qFormat/>
    <w:pPr>
      <w:spacing w:before="120"/>
      <w:outlineLvl w:val="1"/>
    </w:pPr>
    <w:rPr>
      <w:b/>
    </w:rPr>
  </w:style>
  <w:style w:type="character" w:customStyle="1" w:styleId="Heading2Char3">
    <w:name w:val="Heading 2 Char_3"/>
    <w:rPr>
      <w:rFonts w:ascii="Arial" w:hAnsi="Arial"/>
      <w:b/>
      <w:sz w:val="22"/>
      <w:szCs w:val="22"/>
      <w:lang w:eastAsia="en-US"/>
    </w:rPr>
  </w:style>
  <w:style w:type="paragraph" w:customStyle="1" w:styleId="Normal8">
    <w:name w:val="Normal_8"/>
    <w:qFormat/>
    <w:pPr>
      <w:spacing w:after="120" w:line="240" w:lineRule="atLeast"/>
    </w:pPr>
    <w:rPr>
      <w:rFonts w:ascii="Arial" w:hAnsi="Arial"/>
      <w:sz w:val="22"/>
      <w:szCs w:val="22"/>
      <w:lang w:eastAsia="en-US"/>
    </w:rPr>
  </w:style>
  <w:style w:type="paragraph" w:customStyle="1" w:styleId="Heading24">
    <w:name w:val="Heading 2_4"/>
    <w:basedOn w:val="Normal9"/>
    <w:next w:val="Normal9"/>
    <w:qFormat/>
    <w:pPr>
      <w:spacing w:before="120"/>
      <w:outlineLvl w:val="1"/>
    </w:pPr>
    <w:rPr>
      <w:b/>
    </w:rPr>
  </w:style>
  <w:style w:type="paragraph" w:customStyle="1" w:styleId="Normal9">
    <w:name w:val="Normal_9"/>
    <w:qFormat/>
    <w:pPr>
      <w:spacing w:after="120" w:line="240" w:lineRule="atLeast"/>
    </w:pPr>
    <w:rPr>
      <w:rFonts w:ascii="Arial" w:hAnsi="Arial"/>
      <w:sz w:val="22"/>
      <w:szCs w:val="22"/>
      <w:lang w:eastAsia="en-US"/>
    </w:rPr>
  </w:style>
  <w:style w:type="character" w:customStyle="1" w:styleId="Heading2Char4">
    <w:name w:val="Heading 2 Char_4"/>
    <w:rPr>
      <w:rFonts w:ascii="Arial" w:hAnsi="Arial"/>
      <w:b/>
      <w:sz w:val="22"/>
      <w:szCs w:val="22"/>
      <w:lang w:eastAsia="en-US"/>
    </w:rPr>
  </w:style>
  <w:style w:type="paragraph" w:customStyle="1" w:styleId="Normal10">
    <w:name w:val="Normal_10"/>
    <w:qFormat/>
    <w:pPr>
      <w:spacing w:after="120" w:line="240" w:lineRule="atLeast"/>
    </w:pPr>
    <w:rPr>
      <w:rFonts w:ascii="Arial" w:hAnsi="Arial"/>
      <w:sz w:val="22"/>
      <w:szCs w:val="22"/>
      <w:lang w:eastAsia="en-US"/>
    </w:rPr>
  </w:style>
  <w:style w:type="paragraph" w:customStyle="1" w:styleId="Heading25">
    <w:name w:val="Heading 2_5"/>
    <w:basedOn w:val="Normal10"/>
    <w:next w:val="Normal10"/>
    <w:qFormat/>
    <w:pPr>
      <w:spacing w:before="120"/>
      <w:outlineLvl w:val="1"/>
    </w:pPr>
    <w:rPr>
      <w:b/>
    </w:rPr>
  </w:style>
  <w:style w:type="character" w:customStyle="1" w:styleId="Heading2Char5">
    <w:name w:val="Heading 2 Char_5"/>
    <w:rPr>
      <w:rFonts w:ascii="Arial" w:hAnsi="Arial"/>
      <w:b/>
      <w:sz w:val="22"/>
      <w:szCs w:val="22"/>
      <w:lang w:eastAsia="en-US"/>
    </w:rPr>
  </w:style>
  <w:style w:type="paragraph" w:customStyle="1" w:styleId="Heading26">
    <w:name w:val="Heading 2_6"/>
    <w:basedOn w:val="Normal11"/>
    <w:next w:val="Normal11"/>
    <w:qFormat/>
    <w:pPr>
      <w:spacing w:before="120"/>
      <w:outlineLvl w:val="1"/>
    </w:pPr>
    <w:rPr>
      <w:b/>
    </w:rPr>
  </w:style>
  <w:style w:type="paragraph" w:customStyle="1" w:styleId="Normal11">
    <w:name w:val="Normal_11"/>
    <w:qFormat/>
    <w:pPr>
      <w:spacing w:after="120" w:line="240" w:lineRule="atLeast"/>
    </w:pPr>
    <w:rPr>
      <w:rFonts w:ascii="Arial" w:hAnsi="Arial"/>
      <w:sz w:val="22"/>
      <w:szCs w:val="22"/>
      <w:lang w:eastAsia="en-US"/>
    </w:rPr>
  </w:style>
  <w:style w:type="character" w:customStyle="1" w:styleId="Heading2Char6">
    <w:name w:val="Heading 2 Char_6"/>
    <w:rPr>
      <w:rFonts w:ascii="Arial" w:hAnsi="Arial"/>
      <w:b/>
      <w:sz w:val="22"/>
      <w:szCs w:val="22"/>
      <w:lang w:eastAsia="en-US"/>
    </w:rPr>
  </w:style>
  <w:style w:type="paragraph" w:customStyle="1" w:styleId="Heading27">
    <w:name w:val="Heading 2_7"/>
    <w:basedOn w:val="Normal12"/>
    <w:next w:val="Normal12"/>
    <w:qFormat/>
    <w:pPr>
      <w:spacing w:before="120"/>
      <w:outlineLvl w:val="1"/>
    </w:pPr>
    <w:rPr>
      <w:b/>
    </w:rPr>
  </w:style>
  <w:style w:type="paragraph" w:customStyle="1" w:styleId="Normal12">
    <w:name w:val="Normal_12"/>
    <w:qFormat/>
    <w:pPr>
      <w:spacing w:after="120" w:line="240" w:lineRule="atLeast"/>
    </w:pPr>
    <w:rPr>
      <w:rFonts w:ascii="Arial" w:hAnsi="Arial"/>
      <w:sz w:val="22"/>
      <w:szCs w:val="22"/>
      <w:lang w:eastAsia="en-US"/>
    </w:rPr>
  </w:style>
  <w:style w:type="character" w:customStyle="1" w:styleId="Heading2Char7">
    <w:name w:val="Heading 2 Char_7"/>
    <w:rPr>
      <w:rFonts w:ascii="Arial" w:hAnsi="Arial"/>
      <w:b/>
      <w:sz w:val="22"/>
      <w:szCs w:val="22"/>
      <w:lang w:eastAsia="en-US"/>
    </w:rPr>
  </w:style>
  <w:style w:type="paragraph" w:customStyle="1" w:styleId="BodyText4">
    <w:name w:val="Body Text_4"/>
    <w:basedOn w:val="Normal12"/>
    <w:pPr>
      <w:jc w:val="both"/>
    </w:pPr>
    <w:rPr>
      <w:sz w:val="20"/>
    </w:rPr>
  </w:style>
  <w:style w:type="character" w:customStyle="1" w:styleId="BodyTextChar4">
    <w:name w:val="Body Text Char_4"/>
    <w:rPr>
      <w:rFonts w:ascii="Arial" w:hAnsi="Arial"/>
      <w:szCs w:val="22"/>
      <w:lang w:eastAsia="en-US"/>
    </w:rPr>
  </w:style>
  <w:style w:type="paragraph" w:customStyle="1" w:styleId="Normal13">
    <w:name w:val="Normal_13"/>
    <w:qFormat/>
    <w:pPr>
      <w:spacing w:after="120" w:line="240" w:lineRule="atLeast"/>
    </w:pPr>
    <w:rPr>
      <w:rFonts w:ascii="Arial" w:hAnsi="Arial"/>
      <w:sz w:val="22"/>
      <w:szCs w:val="22"/>
      <w:lang w:eastAsia="en-US"/>
    </w:rPr>
  </w:style>
  <w:style w:type="paragraph" w:customStyle="1" w:styleId="Heading28">
    <w:name w:val="Heading 2_8"/>
    <w:basedOn w:val="Normal13"/>
    <w:next w:val="Normal13"/>
    <w:qFormat/>
    <w:pPr>
      <w:spacing w:before="120"/>
      <w:outlineLvl w:val="1"/>
    </w:pPr>
    <w:rPr>
      <w:b/>
    </w:rPr>
  </w:style>
  <w:style w:type="character" w:customStyle="1" w:styleId="Heading2Char8">
    <w:name w:val="Heading 2 Char_8"/>
    <w:rPr>
      <w:rFonts w:ascii="Arial" w:hAnsi="Arial"/>
      <w:b/>
      <w:sz w:val="22"/>
      <w:szCs w:val="22"/>
      <w:lang w:eastAsia="en-US"/>
    </w:rPr>
  </w:style>
  <w:style w:type="character" w:customStyle="1" w:styleId="HeaderChar">
    <w:name w:val="Header Char"/>
    <w:link w:val="Header"/>
    <w:uiPriority w:val="99"/>
    <w:rPr>
      <w:rFonts w:eastAsia="Calibri"/>
      <w:sz w:val="24"/>
      <w:szCs w:val="22"/>
      <w:lang w:eastAsia="en-US"/>
    </w:rPr>
  </w:style>
  <w:style w:type="character" w:customStyle="1" w:styleId="FooterChar">
    <w:name w:val="Footer Char"/>
    <w:link w:val="Footer"/>
    <w:uiPriority w:val="99"/>
    <w:rPr>
      <w:rFonts w:eastAsia="Calibri"/>
      <w:sz w:val="24"/>
      <w:szCs w:val="22"/>
      <w:lang w:eastAsia="en-US"/>
    </w:rPr>
  </w:style>
  <w:style w:type="character" w:customStyle="1" w:styleId="FootnoteTextChar">
    <w:name w:val="Footnote Text Char"/>
    <w:link w:val="FootnoteText"/>
    <w:uiPriority w:val="99"/>
    <w:rPr>
      <w:lang w:eastAsia="de-DE"/>
    </w:rPr>
  </w:style>
  <w:style w:type="paragraph" w:styleId="TOC1">
    <w:name w:val="toc 1"/>
    <w:basedOn w:val="Normal"/>
    <w:next w:val="Normal"/>
    <w:uiPriority w:val="39"/>
    <w:unhideWhenUsed/>
    <w:pPr>
      <w:tabs>
        <w:tab w:val="right" w:leader="dot" w:pos="9071"/>
      </w:tabs>
      <w:spacing w:before="60" w:after="120"/>
      <w:ind w:left="850" w:hanging="850"/>
    </w:pPr>
    <w:rPr>
      <w:szCs w:val="22"/>
    </w:rPr>
  </w:style>
  <w:style w:type="paragraph" w:styleId="TOC4">
    <w:name w:val="toc 4"/>
    <w:basedOn w:val="Normal"/>
    <w:next w:val="Normal"/>
    <w:uiPriority w:val="39"/>
    <w:unhideWhenUsed/>
    <w:pPr>
      <w:tabs>
        <w:tab w:val="right" w:leader="dot" w:pos="9071"/>
      </w:tabs>
      <w:spacing w:before="60" w:after="120"/>
      <w:ind w:left="850" w:hanging="850"/>
    </w:pPr>
    <w:rPr>
      <w:szCs w:val="22"/>
    </w:rPr>
  </w:style>
  <w:style w:type="paragraph" w:styleId="TOC6">
    <w:name w:val="toc 6"/>
    <w:basedOn w:val="Normal"/>
    <w:next w:val="Normal"/>
    <w:uiPriority w:val="39"/>
    <w:unhideWhenUsed/>
    <w:pPr>
      <w:tabs>
        <w:tab w:val="right" w:leader="dot" w:pos="9071"/>
      </w:tabs>
      <w:spacing w:before="240" w:after="120"/>
    </w:pPr>
    <w:rPr>
      <w:szCs w:val="22"/>
    </w:rPr>
  </w:style>
  <w:style w:type="paragraph" w:styleId="TOC7">
    <w:name w:val="toc 7"/>
    <w:basedOn w:val="Normal"/>
    <w:next w:val="Normal"/>
    <w:uiPriority w:val="39"/>
    <w:unhideWhenUsed/>
    <w:pPr>
      <w:tabs>
        <w:tab w:val="right" w:leader="dot" w:pos="9071"/>
      </w:tabs>
      <w:spacing w:before="180" w:after="120"/>
    </w:pPr>
    <w:rPr>
      <w:szCs w:val="22"/>
    </w:rPr>
  </w:style>
  <w:style w:type="paragraph" w:styleId="TOC9">
    <w:name w:val="toc 9"/>
    <w:basedOn w:val="Normal"/>
    <w:next w:val="Normal"/>
    <w:uiPriority w:val="39"/>
    <w:unhideWhenUsed/>
    <w:pPr>
      <w:tabs>
        <w:tab w:val="right" w:leader="dot" w:pos="9071"/>
      </w:tabs>
      <w:spacing w:before="120" w:after="120"/>
      <w:jc w:val="both"/>
    </w:pPr>
    <w:rPr>
      <w:szCs w:val="22"/>
    </w:rPr>
  </w:style>
  <w:style w:type="paragraph" w:customStyle="1" w:styleId="Point0number">
    <w:name w:val="Point 0 (number)"/>
    <w:basedOn w:val="Normal"/>
    <w:pPr>
      <w:numPr>
        <w:numId w:val="31"/>
      </w:numPr>
      <w:spacing w:before="120" w:after="120"/>
      <w:jc w:val="both"/>
    </w:pPr>
    <w:rPr>
      <w:szCs w:val="22"/>
    </w:rPr>
  </w:style>
  <w:style w:type="paragraph" w:customStyle="1" w:styleId="Point1number">
    <w:name w:val="Point 1 (number)"/>
    <w:basedOn w:val="Normal"/>
    <w:pPr>
      <w:numPr>
        <w:ilvl w:val="2"/>
        <w:numId w:val="31"/>
      </w:numPr>
      <w:spacing w:before="120" w:after="120"/>
      <w:jc w:val="both"/>
    </w:pPr>
    <w:rPr>
      <w:szCs w:val="22"/>
    </w:rPr>
  </w:style>
  <w:style w:type="paragraph" w:customStyle="1" w:styleId="Point2number">
    <w:name w:val="Point 2 (number)"/>
    <w:basedOn w:val="Normal"/>
    <w:pPr>
      <w:numPr>
        <w:ilvl w:val="4"/>
        <w:numId w:val="31"/>
      </w:numPr>
      <w:spacing w:before="120" w:after="120"/>
      <w:jc w:val="both"/>
    </w:pPr>
    <w:rPr>
      <w:szCs w:val="22"/>
    </w:rPr>
  </w:style>
  <w:style w:type="paragraph" w:customStyle="1" w:styleId="Point3number">
    <w:name w:val="Point 3 (number)"/>
    <w:basedOn w:val="Normal"/>
    <w:pPr>
      <w:numPr>
        <w:ilvl w:val="6"/>
        <w:numId w:val="31"/>
      </w:numPr>
      <w:spacing w:before="120" w:after="120"/>
      <w:jc w:val="both"/>
    </w:pPr>
    <w:rPr>
      <w:szCs w:val="22"/>
    </w:rPr>
  </w:style>
  <w:style w:type="paragraph" w:customStyle="1" w:styleId="Point0letter">
    <w:name w:val="Point 0 (letter)"/>
    <w:basedOn w:val="Normal"/>
    <w:pPr>
      <w:numPr>
        <w:ilvl w:val="1"/>
        <w:numId w:val="31"/>
      </w:numPr>
      <w:spacing w:before="120" w:after="120"/>
      <w:jc w:val="both"/>
    </w:pPr>
    <w:rPr>
      <w:szCs w:val="22"/>
    </w:rPr>
  </w:style>
  <w:style w:type="paragraph" w:customStyle="1" w:styleId="Point1letter">
    <w:name w:val="Point 1 (letter)"/>
    <w:basedOn w:val="Normal"/>
    <w:pPr>
      <w:numPr>
        <w:ilvl w:val="3"/>
        <w:numId w:val="31"/>
      </w:numPr>
      <w:spacing w:before="120" w:after="120"/>
      <w:jc w:val="both"/>
    </w:pPr>
    <w:rPr>
      <w:szCs w:val="22"/>
    </w:rPr>
  </w:style>
  <w:style w:type="paragraph" w:customStyle="1" w:styleId="Point2letter">
    <w:name w:val="Point 2 (letter)"/>
    <w:basedOn w:val="Normal"/>
    <w:pPr>
      <w:numPr>
        <w:ilvl w:val="5"/>
        <w:numId w:val="31"/>
      </w:numPr>
      <w:spacing w:before="120" w:after="120"/>
      <w:jc w:val="both"/>
    </w:pPr>
    <w:rPr>
      <w:szCs w:val="22"/>
    </w:rPr>
  </w:style>
  <w:style w:type="paragraph" w:customStyle="1" w:styleId="Point3letter">
    <w:name w:val="Point 3 (letter)"/>
    <w:basedOn w:val="Normal"/>
    <w:pPr>
      <w:numPr>
        <w:ilvl w:val="7"/>
        <w:numId w:val="31"/>
      </w:numPr>
      <w:spacing w:before="120" w:after="120"/>
      <w:jc w:val="both"/>
    </w:pPr>
    <w:rPr>
      <w:szCs w:val="22"/>
    </w:rPr>
  </w:style>
  <w:style w:type="paragraph" w:customStyle="1" w:styleId="Point4letter">
    <w:name w:val="Point 4 (letter)"/>
    <w:basedOn w:val="Normal"/>
    <w:pPr>
      <w:numPr>
        <w:ilvl w:val="8"/>
        <w:numId w:val="31"/>
      </w:numPr>
      <w:spacing w:before="120" w:after="120"/>
      <w:jc w:val="both"/>
    </w:pPr>
    <w:rPr>
      <w:szCs w:val="22"/>
    </w:rPr>
  </w:style>
  <w:style w:type="paragraph" w:customStyle="1" w:styleId="Bullet0">
    <w:name w:val="Bullet 0"/>
    <w:basedOn w:val="Normal"/>
    <w:pPr>
      <w:numPr>
        <w:numId w:val="28"/>
      </w:numPr>
      <w:spacing w:before="120" w:after="120"/>
      <w:jc w:val="both"/>
    </w:pPr>
    <w:rPr>
      <w:szCs w:val="22"/>
    </w:rPr>
  </w:style>
  <w:style w:type="paragraph" w:customStyle="1" w:styleId="Bullet1">
    <w:name w:val="Bullet 1"/>
    <w:basedOn w:val="Normal"/>
    <w:pPr>
      <w:numPr>
        <w:numId w:val="32"/>
      </w:numPr>
      <w:spacing w:before="120" w:after="120"/>
      <w:jc w:val="both"/>
    </w:pPr>
    <w:rPr>
      <w:szCs w:val="22"/>
    </w:rPr>
  </w:style>
  <w:style w:type="paragraph" w:customStyle="1" w:styleId="Bullet2">
    <w:name w:val="Bullet 2"/>
    <w:basedOn w:val="Normal"/>
    <w:pPr>
      <w:numPr>
        <w:numId w:val="33"/>
      </w:numPr>
      <w:spacing w:before="120" w:after="120"/>
      <w:jc w:val="both"/>
    </w:pPr>
    <w:rPr>
      <w:szCs w:val="22"/>
    </w:rPr>
  </w:style>
  <w:style w:type="paragraph" w:customStyle="1" w:styleId="Bullet3">
    <w:name w:val="Bullet 3"/>
    <w:basedOn w:val="Normal"/>
    <w:pPr>
      <w:numPr>
        <w:numId w:val="34"/>
      </w:numPr>
      <w:spacing w:before="120" w:after="120"/>
      <w:jc w:val="both"/>
    </w:pPr>
    <w:rPr>
      <w:szCs w:val="22"/>
    </w:rPr>
  </w:style>
  <w:style w:type="paragraph" w:customStyle="1" w:styleId="Bullet4">
    <w:name w:val="Bullet 4"/>
    <w:basedOn w:val="Normal"/>
    <w:pPr>
      <w:numPr>
        <w:numId w:val="35"/>
      </w:numPr>
      <w:spacing w:before="120" w:after="120"/>
      <w:jc w:val="both"/>
    </w:pPr>
    <w:rPr>
      <w:szCs w:val="22"/>
    </w:rPr>
  </w:style>
  <w:style w:type="paragraph" w:customStyle="1" w:styleId="Annexetitre">
    <w:name w:val="Annexe titre"/>
    <w:basedOn w:val="Normal"/>
    <w:next w:val="Normal"/>
    <w:pPr>
      <w:spacing w:before="120" w:after="120"/>
      <w:jc w:val="center"/>
    </w:pPr>
    <w:rPr>
      <w:b/>
      <w:szCs w:val="22"/>
      <w:u w:val="single"/>
    </w:rPr>
  </w:style>
  <w:style w:type="paragraph" w:customStyle="1" w:styleId="Annexetitrefichefinancire">
    <w:name w:val="Annexe titre (fiche financière)"/>
    <w:basedOn w:val="Normal"/>
    <w:next w:val="Normal"/>
    <w:pPr>
      <w:spacing w:before="120" w:after="120"/>
      <w:jc w:val="center"/>
    </w:pPr>
    <w:rPr>
      <w:b/>
      <w:szCs w:val="22"/>
      <w:u w:val="single"/>
    </w:rPr>
  </w:style>
  <w:style w:type="paragraph" w:customStyle="1" w:styleId="Rfrenceinstitutionnelle">
    <w:name w:val="Référence institutionnelle"/>
    <w:basedOn w:val="Normal"/>
    <w:next w:val="Confidentialit"/>
    <w:pPr>
      <w:spacing w:after="240"/>
      <w:ind w:left="5103"/>
    </w:pPr>
    <w:rPr>
      <w:szCs w:val="22"/>
    </w:rPr>
  </w:style>
  <w:style w:type="paragraph" w:customStyle="1" w:styleId="Rfrenceinterinstitutionnelle">
    <w:name w:val="Référence interinstitutionnelle"/>
    <w:basedOn w:val="Normal"/>
    <w:next w:val="Statut"/>
    <w:pPr>
      <w:ind w:left="5103"/>
    </w:pPr>
    <w:rPr>
      <w:szCs w:val="22"/>
    </w:rPr>
  </w:style>
  <w:style w:type="paragraph" w:customStyle="1" w:styleId="Supertitre">
    <w:name w:val="Supertitre"/>
    <w:basedOn w:val="Normal"/>
    <w:next w:val="Normal"/>
    <w:pPr>
      <w:spacing w:after="600"/>
      <w:jc w:val="center"/>
    </w:pPr>
    <w:rPr>
      <w:b/>
      <w:szCs w:val="22"/>
    </w:rPr>
  </w:style>
  <w:style w:type="paragraph" w:customStyle="1" w:styleId="Languesfaisantfoi">
    <w:name w:val="Langues faisant foi"/>
    <w:basedOn w:val="Normal"/>
    <w:next w:val="Normal"/>
    <w:pPr>
      <w:spacing w:before="360"/>
      <w:jc w:val="center"/>
    </w:pPr>
    <w:rPr>
      <w:szCs w:val="22"/>
    </w:rPr>
  </w:style>
  <w:style w:type="paragraph" w:customStyle="1" w:styleId="Rfrencecroise">
    <w:name w:val="Référence croisée"/>
    <w:basedOn w:val="Normal"/>
    <w:pPr>
      <w:jc w:val="center"/>
    </w:pPr>
    <w:rPr>
      <w:szCs w:val="22"/>
    </w:rPr>
  </w:style>
  <w:style w:type="paragraph" w:customStyle="1" w:styleId="DatedadoptionPagedecouverture">
    <w:name w:val="Date d'adoption (Page de couverture)"/>
    <w:basedOn w:val="Datedadoption"/>
    <w:next w:val="TitreobjetPagedecouverture"/>
    <w:rPr>
      <w:szCs w:val="22"/>
      <w:lang w:eastAsia="en-GB"/>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rPr>
      <w:szCs w:val="22"/>
      <w:lang w:eastAsia="en-GB"/>
    </w:rPr>
  </w:style>
  <w:style w:type="paragraph" w:customStyle="1" w:styleId="StatutPagedecouverture">
    <w:name w:val="Statut (Page de couverture)"/>
    <w:basedOn w:val="Statut"/>
    <w:next w:val="TypedudocumentPagedecouverture"/>
    <w:rPr>
      <w:szCs w:val="22"/>
      <w:lang w:eastAsia="en-GB"/>
    </w:rPr>
  </w:style>
  <w:style w:type="paragraph" w:customStyle="1" w:styleId="TitreobjetPagedecouverture">
    <w:name w:val="Titre objet (Page de couverture)"/>
    <w:basedOn w:val="Titreobjet"/>
    <w:next w:val="Sous-titreobjetPagedecouverture"/>
    <w:rPr>
      <w:szCs w:val="22"/>
      <w:lang w:eastAsia="en-GB"/>
    </w:rPr>
  </w:style>
  <w:style w:type="paragraph" w:customStyle="1" w:styleId="TypedudocumentPagedecouverture">
    <w:name w:val="Type du document (Page de couverture)"/>
    <w:basedOn w:val="Typedudocument"/>
    <w:next w:val="TitreobjetPagedecouverture"/>
    <w:rPr>
      <w:szCs w:val="22"/>
      <w:lang w:eastAsia="en-GB"/>
    </w:rPr>
  </w:style>
  <w:style w:type="paragraph" w:customStyle="1" w:styleId="Volume">
    <w:name w:val="Volume"/>
    <w:basedOn w:val="Normal"/>
    <w:next w:val="Confidentialit"/>
    <w:pPr>
      <w:spacing w:after="240"/>
      <w:ind w:left="5103"/>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jc w:val="center"/>
    </w:pPr>
    <w:rPr>
      <w:b/>
      <w:i/>
      <w:szCs w:val="22"/>
    </w:rPr>
  </w:style>
  <w:style w:type="paragraph" w:customStyle="1" w:styleId="Typeacteprincipal">
    <w:name w:val="Type acte principal"/>
    <w:basedOn w:val="Normal"/>
    <w:next w:val="Objetacteprincipal"/>
    <w:pPr>
      <w:spacing w:after="240"/>
      <w:jc w:val="center"/>
    </w:pPr>
    <w:rPr>
      <w:b/>
      <w:szCs w:val="22"/>
    </w:rPr>
  </w:style>
  <w:style w:type="paragraph" w:customStyle="1" w:styleId="Objetacteprincipal">
    <w:name w:val="Objet acte principal"/>
    <w:basedOn w:val="Normal"/>
    <w:next w:val="Titrearticle"/>
    <w:pPr>
      <w:spacing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szCs w:val="22"/>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numbering" w:customStyle="1" w:styleId="NoList6">
    <w:name w:val="No List6"/>
    <w:next w:val="NoList"/>
    <w:uiPriority w:val="99"/>
    <w:semiHidden/>
    <w:unhideWhenUsed/>
  </w:style>
  <w:style w:type="paragraph" w:customStyle="1" w:styleId="Declassification">
    <w:name w:val="Declassification"/>
    <w:basedOn w:val="Normal"/>
    <w:next w:val="Normal"/>
    <w:pPr>
      <w:jc w:val="both"/>
    </w:pPr>
    <w:rPr>
      <w:rFonts w:eastAsia="Calibr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table" w:customStyle="1" w:styleId="CDMRange1">
    <w:name w:val="CDM Range 1"/>
    <w:basedOn w:val="TableNormal"/>
    <w:next w:val="TableNormal"/>
    <w:semiHidden/>
    <w:tblPr/>
  </w:style>
  <w:style w:type="table" w:customStyle="1" w:styleId="CDMRange2">
    <w:name w:val="CDM Range 2"/>
    <w:basedOn w:val="TableNormal"/>
    <w:next w:val="TableNormal"/>
    <w:semiHidden/>
    <w:tblPr/>
  </w:style>
  <w:style w:type="table" w:customStyle="1" w:styleId="CDMRange10">
    <w:name w:val="CDM Range 1_0"/>
    <w:basedOn w:val="TableNormal"/>
    <w:next w:val="TableNormal"/>
    <w:semiHidden/>
    <w:tblPr/>
  </w:style>
  <w:style w:type="table" w:customStyle="1" w:styleId="CDMRange20">
    <w:name w:val="CDM Range 2_0"/>
    <w:basedOn w:val="TableNormal"/>
    <w:next w:val="TableNormal"/>
    <w:semiHidden/>
    <w:tblPr/>
  </w:style>
  <w:style w:type="table" w:customStyle="1" w:styleId="CDMRange11">
    <w:name w:val="CDM Range 1_1"/>
    <w:basedOn w:val="TableNormal"/>
    <w:next w:val="TableNormal"/>
    <w:semiHidden/>
    <w:tblPr/>
  </w:style>
  <w:style w:type="table" w:customStyle="1" w:styleId="CDMRange21">
    <w:name w:val="CDM Range 2_1"/>
    <w:basedOn w:val="TableNormal"/>
    <w:next w:val="TableNormal"/>
    <w:semiHidden/>
    <w:tblPr/>
  </w:style>
  <w:style w:type="table" w:customStyle="1" w:styleId="CDMRange12">
    <w:name w:val="CDM Range 1_2"/>
    <w:basedOn w:val="TableNormal"/>
    <w:next w:val="TableNormal"/>
    <w:semiHidden/>
    <w:tblPr/>
  </w:style>
  <w:style w:type="paragraph" w:customStyle="1" w:styleId="Normal19">
    <w:name w:val="Normal_19"/>
    <w:qFormat/>
    <w:pPr>
      <w:spacing w:after="120" w:line="240" w:lineRule="atLeast"/>
    </w:pPr>
    <w:rPr>
      <w:rFonts w:ascii="Arial" w:hAnsi="Arial"/>
      <w:sz w:val="22"/>
      <w:lang w:eastAsia="en-US"/>
    </w:rPr>
  </w:style>
  <w:style w:type="table" w:customStyle="1" w:styleId="CDMRange22">
    <w:name w:val="CDM Range 2_2"/>
    <w:basedOn w:val="TableNormal"/>
    <w:next w:val="TableNormal"/>
    <w:semiHidden/>
    <w:tblPr/>
  </w:style>
  <w:style w:type="paragraph" w:customStyle="1" w:styleId="Normal15">
    <w:name w:val="Normal_15"/>
    <w:qFormat/>
    <w:pPr>
      <w:spacing w:after="120" w:line="240" w:lineRule="atLeast"/>
    </w:pPr>
    <w:rPr>
      <w:rFonts w:ascii="Arial" w:hAnsi="Arial"/>
      <w:sz w:val="22"/>
      <w:lang w:eastAsia="en-US"/>
    </w:rPr>
  </w:style>
  <w:style w:type="table" w:customStyle="1" w:styleId="CDMRange13">
    <w:name w:val="CDM Range 1_3"/>
    <w:basedOn w:val="TableNormal"/>
    <w:next w:val="TableNormal"/>
    <w:semiHidden/>
    <w:tblPr/>
  </w:style>
  <w:style w:type="table" w:customStyle="1" w:styleId="CDMRange23">
    <w:name w:val="CDM Range 2_3"/>
    <w:basedOn w:val="TableNormal"/>
    <w:next w:val="TableNormal"/>
    <w:semiHidden/>
    <w:tblPr/>
  </w:style>
  <w:style w:type="table" w:customStyle="1" w:styleId="CDMRange14">
    <w:name w:val="CDM Range 1_4"/>
    <w:basedOn w:val="TableNormal"/>
    <w:next w:val="TableNormal"/>
    <w:semiHidden/>
    <w:tblPr/>
  </w:style>
  <w:style w:type="paragraph" w:customStyle="1" w:styleId="Normal20">
    <w:name w:val="Normal_20"/>
    <w:qFormat/>
    <w:rPr>
      <w:sz w:val="24"/>
      <w:szCs w:val="24"/>
    </w:rPr>
  </w:style>
  <w:style w:type="table" w:customStyle="1" w:styleId="CDMRange24">
    <w:name w:val="CDM Range 2_4"/>
    <w:basedOn w:val="TableNormal"/>
    <w:next w:val="TableNormal"/>
    <w:semiHidden/>
    <w:tblPr/>
  </w:style>
  <w:style w:type="paragraph" w:customStyle="1" w:styleId="Normal21">
    <w:name w:val="Normal_21"/>
    <w:qFormat/>
    <w:rPr>
      <w:sz w:val="24"/>
      <w:szCs w:val="24"/>
    </w:rPr>
  </w:style>
  <w:style w:type="table" w:customStyle="1" w:styleId="CDMRange15">
    <w:name w:val="CDM Range 1_5"/>
    <w:basedOn w:val="TableNormal"/>
    <w:next w:val="TableNormal"/>
    <w:semiHidden/>
    <w:tblPr/>
  </w:style>
  <w:style w:type="paragraph" w:customStyle="1" w:styleId="Normal22">
    <w:name w:val="Normal_22"/>
    <w:qFormat/>
    <w:pPr>
      <w:spacing w:after="120" w:line="240" w:lineRule="atLeast"/>
    </w:pPr>
    <w:rPr>
      <w:rFonts w:ascii="Arial" w:hAnsi="Arial"/>
      <w:sz w:val="22"/>
      <w:lang w:eastAsia="en-US"/>
    </w:rPr>
  </w:style>
  <w:style w:type="paragraph" w:customStyle="1" w:styleId="Normal23">
    <w:name w:val="Normal_23"/>
    <w:qFormat/>
    <w:pPr>
      <w:spacing w:after="120" w:line="240" w:lineRule="atLeast"/>
    </w:pPr>
    <w:rPr>
      <w:rFonts w:ascii="Arial" w:hAnsi="Arial"/>
      <w:sz w:val="22"/>
      <w:lang w:eastAsia="en-US"/>
    </w:rPr>
  </w:style>
  <w:style w:type="paragraph" w:customStyle="1" w:styleId="Normal24">
    <w:name w:val="Normal_24"/>
    <w:qFormat/>
    <w:rPr>
      <w:sz w:val="24"/>
      <w:szCs w:val="24"/>
    </w:rPr>
  </w:style>
  <w:style w:type="table" w:customStyle="1" w:styleId="CDMRange25">
    <w:name w:val="CDM Range 2_5"/>
    <w:basedOn w:val="TableNormal"/>
    <w:next w:val="TableNormal"/>
    <w:semiHidden/>
    <w:tblPr/>
  </w:style>
  <w:style w:type="paragraph" w:customStyle="1" w:styleId="Notes00">
    <w:name w:val="Notes_0_0"/>
    <w:basedOn w:val="Normal"/>
    <w:pPr>
      <w:numPr>
        <w:numId w:val="46"/>
      </w:numPr>
      <w:tabs>
        <w:tab w:val="center" w:pos="4320"/>
        <w:tab w:val="right" w:pos="8640"/>
      </w:tabs>
      <w:spacing w:before="120" w:after="120"/>
      <w:jc w:val="both"/>
    </w:pPr>
    <w:rPr>
      <w:rFonts w:ascii="Arial" w:eastAsia="Calibri" w:hAnsi="Arial" w:cs="Arial"/>
      <w:b/>
      <w:sz w:val="22"/>
      <w:lang w:val="en-US" w:eastAsia="en-US"/>
    </w:rPr>
  </w:style>
  <w:style w:type="paragraph" w:customStyle="1" w:styleId="Normal25">
    <w:name w:val="Normal_25"/>
    <w:qFormat/>
    <w:pPr>
      <w:spacing w:after="120" w:line="240" w:lineRule="atLeast"/>
    </w:pPr>
    <w:rPr>
      <w:rFonts w:ascii="Arial" w:hAnsi="Arial"/>
      <w:sz w:val="22"/>
      <w:lang w:eastAsia="en-US"/>
    </w:rPr>
  </w:style>
  <w:style w:type="paragraph" w:customStyle="1" w:styleId="Normal26">
    <w:name w:val="Normal_26"/>
    <w:qFormat/>
    <w:rPr>
      <w:sz w:val="24"/>
      <w:szCs w:val="24"/>
    </w:rPr>
  </w:style>
  <w:style w:type="table" w:customStyle="1" w:styleId="CDMRange16">
    <w:name w:val="CDM Range 1_6"/>
    <w:basedOn w:val="TableNormal"/>
    <w:next w:val="TableNormal"/>
    <w:semiHidden/>
    <w:tblPr/>
  </w:style>
  <w:style w:type="paragraph" w:customStyle="1" w:styleId="Normal27">
    <w:name w:val="Normal_27"/>
    <w:qFormat/>
    <w:pPr>
      <w:spacing w:after="120" w:line="240" w:lineRule="atLeast"/>
    </w:pPr>
    <w:rPr>
      <w:rFonts w:ascii="Arial" w:hAnsi="Arial"/>
      <w:sz w:val="22"/>
      <w:lang w:eastAsia="en-US"/>
    </w:rPr>
  </w:style>
  <w:style w:type="paragraph" w:customStyle="1" w:styleId="Normal28">
    <w:name w:val="Normal_28"/>
    <w:qFormat/>
    <w:rPr>
      <w:sz w:val="24"/>
      <w:szCs w:val="24"/>
    </w:rPr>
  </w:style>
  <w:style w:type="table" w:customStyle="1" w:styleId="CDMRange26">
    <w:name w:val="CDM Range 2_6"/>
    <w:basedOn w:val="TableNormal"/>
    <w:next w:val="TableNormal"/>
    <w:semiHidden/>
    <w:tblPr/>
  </w:style>
  <w:style w:type="paragraph" w:customStyle="1" w:styleId="Normal29">
    <w:name w:val="Normal_29"/>
    <w:qFormat/>
    <w:pPr>
      <w:spacing w:after="120" w:line="240" w:lineRule="atLeast"/>
    </w:pPr>
    <w:rPr>
      <w:rFonts w:ascii="Arial" w:hAnsi="Arial"/>
      <w:sz w:val="22"/>
      <w:lang w:eastAsia="en-US"/>
    </w:rPr>
  </w:style>
  <w:style w:type="paragraph" w:customStyle="1" w:styleId="Normal30">
    <w:name w:val="Normal_30"/>
    <w:qFormat/>
    <w:pPr>
      <w:spacing w:after="120" w:line="240" w:lineRule="atLeast"/>
    </w:pPr>
    <w:rPr>
      <w:rFonts w:ascii="Arial" w:hAnsi="Arial"/>
      <w:sz w:val="22"/>
      <w:lang w:eastAsia="en-US"/>
    </w:rPr>
  </w:style>
  <w:style w:type="paragraph" w:customStyle="1" w:styleId="Normal31">
    <w:name w:val="Normal_31"/>
    <w:qFormat/>
    <w:rPr>
      <w:sz w:val="24"/>
      <w:szCs w:val="24"/>
    </w:rPr>
  </w:style>
  <w:style w:type="table" w:customStyle="1" w:styleId="CDMRange17">
    <w:name w:val="CDM Range 1_7"/>
    <w:basedOn w:val="TableNormal"/>
    <w:next w:val="TableNormal"/>
    <w:semiHidden/>
    <w:tblPr/>
  </w:style>
  <w:style w:type="paragraph" w:customStyle="1" w:styleId="Normal32">
    <w:name w:val="Normal_32"/>
    <w:qFormat/>
    <w:pPr>
      <w:spacing w:after="120" w:line="240" w:lineRule="atLeast"/>
    </w:pPr>
    <w:rPr>
      <w:rFonts w:ascii="Arial" w:hAnsi="Arial"/>
      <w:sz w:val="22"/>
      <w:lang w:eastAsia="en-US"/>
    </w:rPr>
  </w:style>
  <w:style w:type="paragraph" w:customStyle="1" w:styleId="Normal33">
    <w:name w:val="Normal_33"/>
    <w:qFormat/>
    <w:rPr>
      <w:sz w:val="24"/>
      <w:szCs w:val="24"/>
    </w:rPr>
  </w:style>
  <w:style w:type="table" w:customStyle="1" w:styleId="CDMRange27">
    <w:name w:val="CDM Range 2_7"/>
    <w:basedOn w:val="TableNormal"/>
    <w:next w:val="TableNormal"/>
    <w:semiHidden/>
    <w:tblPr/>
  </w:style>
  <w:style w:type="paragraph" w:customStyle="1" w:styleId="Normal34">
    <w:name w:val="Normal_34"/>
    <w:qFormat/>
    <w:rPr>
      <w:sz w:val="24"/>
      <w:szCs w:val="24"/>
    </w:rPr>
  </w:style>
  <w:style w:type="table" w:customStyle="1" w:styleId="CDMRange18">
    <w:name w:val="CDM Range 1_8"/>
    <w:basedOn w:val="TableNormal"/>
    <w:next w:val="TableNormal"/>
    <w:semiHidden/>
    <w:tblPr/>
  </w:style>
  <w:style w:type="character" w:styleId="BookTitle">
    <w:name w:val="Book Title"/>
    <w:basedOn w:val="DefaultParagraphFont"/>
    <w:uiPriority w:val="33"/>
    <w:qFormat/>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numPr>
        <w:numId w:val="7"/>
      </w:numPr>
      <w:spacing w:before="360" w:after="240"/>
      <w:ind w:left="851" w:hanging="851"/>
      <w:jc w:val="both"/>
      <w:outlineLvl w:val="0"/>
    </w:pPr>
    <w:rPr>
      <w:b/>
      <w:bCs/>
      <w:smallCaps/>
      <w:sz w:val="28"/>
      <w:szCs w:val="32"/>
      <w:lang w:eastAsia="de-DE"/>
    </w:rPr>
  </w:style>
  <w:style w:type="paragraph" w:styleId="Heading2">
    <w:name w:val="heading 2"/>
    <w:basedOn w:val="Normal"/>
    <w:next w:val="Text2"/>
    <w:link w:val="Heading2Char"/>
    <w:qFormat/>
    <w:pPr>
      <w:keepNext/>
      <w:numPr>
        <w:ilvl w:val="1"/>
        <w:numId w:val="7"/>
      </w:numPr>
      <w:spacing w:before="240" w:after="240"/>
      <w:ind w:left="851" w:hanging="851"/>
      <w:jc w:val="both"/>
      <w:outlineLvl w:val="1"/>
    </w:pPr>
    <w:rPr>
      <w:b/>
      <w:bCs/>
      <w:iCs/>
      <w:sz w:val="26"/>
      <w:szCs w:val="28"/>
      <w:lang w:eastAsia="de-DE"/>
    </w:rPr>
  </w:style>
  <w:style w:type="paragraph" w:styleId="Heading3">
    <w:name w:val="heading 3"/>
    <w:basedOn w:val="Normal"/>
    <w:next w:val="Text3"/>
    <w:link w:val="Heading3Char"/>
    <w:qFormat/>
    <w:pPr>
      <w:keepNext/>
      <w:numPr>
        <w:ilvl w:val="2"/>
        <w:numId w:val="7"/>
      </w:numPr>
      <w:spacing w:before="240" w:after="240"/>
      <w:ind w:left="851" w:hanging="851"/>
      <w:jc w:val="both"/>
      <w:outlineLvl w:val="2"/>
    </w:pPr>
    <w:rPr>
      <w:b/>
      <w:bCs/>
      <w:szCs w:val="26"/>
      <w:lang w:eastAsia="de-DE"/>
    </w:rPr>
  </w:style>
  <w:style w:type="paragraph" w:styleId="Heading4">
    <w:name w:val="heading 4"/>
    <w:basedOn w:val="Normal"/>
    <w:next w:val="Text4"/>
    <w:link w:val="Heading4Char"/>
    <w:qFormat/>
    <w:pPr>
      <w:keepNext/>
      <w:numPr>
        <w:ilvl w:val="3"/>
        <w:numId w:val="7"/>
      </w:numPr>
      <w:spacing w:before="240" w:after="240"/>
      <w:ind w:left="851" w:hanging="851"/>
      <w:jc w:val="both"/>
      <w:outlineLvl w:val="3"/>
    </w:pPr>
    <w:rPr>
      <w:b/>
      <w:bCs/>
      <w:i/>
      <w:szCs w:val="28"/>
      <w:lang w:eastAsia="de-DE"/>
    </w:rPr>
  </w:style>
  <w:style w:type="paragraph" w:styleId="Heading5">
    <w:name w:val="heading 5"/>
    <w:basedOn w:val="Normal"/>
    <w:next w:val="NormalIndent"/>
    <w:link w:val="Heading5Char"/>
    <w:qFormat/>
    <w:pPr>
      <w:spacing w:after="120" w:line="240" w:lineRule="atLeast"/>
      <w:ind w:left="720"/>
      <w:outlineLvl w:val="4"/>
    </w:pPr>
    <w:rPr>
      <w:b/>
      <w:sz w:val="22"/>
      <w:szCs w:val="20"/>
      <w:lang w:eastAsia="en-US"/>
    </w:rPr>
  </w:style>
  <w:style w:type="paragraph" w:styleId="Heading6">
    <w:name w:val="heading 6"/>
    <w:basedOn w:val="Normal"/>
    <w:next w:val="NormalIndent"/>
    <w:link w:val="Heading6Char"/>
    <w:qFormat/>
    <w:pPr>
      <w:spacing w:after="120" w:line="240" w:lineRule="atLeast"/>
      <w:ind w:left="720"/>
      <w:outlineLvl w:val="5"/>
    </w:pPr>
    <w:rPr>
      <w:sz w:val="22"/>
      <w:szCs w:val="20"/>
      <w:u w:val="single"/>
      <w:lang w:eastAsia="en-US"/>
    </w:rPr>
  </w:style>
  <w:style w:type="paragraph" w:styleId="Heading7">
    <w:name w:val="heading 7"/>
    <w:basedOn w:val="Normal"/>
    <w:next w:val="NormalIndent"/>
    <w:link w:val="Heading7Char"/>
    <w:qFormat/>
    <w:pPr>
      <w:spacing w:after="120" w:line="240" w:lineRule="atLeast"/>
      <w:ind w:left="720"/>
      <w:outlineLvl w:val="6"/>
    </w:pPr>
    <w:rPr>
      <w:i/>
      <w:sz w:val="22"/>
      <w:szCs w:val="20"/>
      <w:lang w:eastAsia="en-US"/>
    </w:rPr>
  </w:style>
  <w:style w:type="paragraph" w:styleId="Heading8">
    <w:name w:val="heading 8"/>
    <w:basedOn w:val="Normal"/>
    <w:next w:val="NormalIndent"/>
    <w:link w:val="Heading8Char"/>
    <w:qFormat/>
    <w:pPr>
      <w:spacing w:after="120" w:line="240" w:lineRule="atLeast"/>
      <w:ind w:left="720"/>
      <w:outlineLvl w:val="7"/>
    </w:pPr>
    <w:rPr>
      <w:i/>
      <w:sz w:val="22"/>
      <w:szCs w:val="20"/>
      <w:lang w:eastAsia="en-US"/>
    </w:rPr>
  </w:style>
  <w:style w:type="paragraph" w:styleId="Heading9">
    <w:name w:val="heading 9"/>
    <w:basedOn w:val="Normal"/>
    <w:next w:val="NormalIndent"/>
    <w:link w:val="Heading9Char"/>
    <w:qFormat/>
    <w:pPr>
      <w:spacing w:after="120" w:line="240" w:lineRule="atLeast"/>
      <w:ind w:left="720"/>
      <w:outlineLvl w:val="8"/>
    </w:pPr>
    <w:rPr>
      <w:i/>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jc w:val="both"/>
    </w:pPr>
    <w:rPr>
      <w:lang w:eastAsia="de-DE"/>
    </w:rPr>
  </w:style>
  <w:style w:type="paragraph" w:customStyle="1" w:styleId="Text2">
    <w:name w:val="Text 2"/>
    <w:basedOn w:val="Normal"/>
    <w:pPr>
      <w:spacing w:before="120" w:after="120"/>
      <w:ind w:left="850"/>
      <w:jc w:val="both"/>
    </w:pPr>
    <w:rPr>
      <w:lang w:eastAsia="de-DE"/>
    </w:rPr>
  </w:style>
  <w:style w:type="paragraph" w:customStyle="1" w:styleId="Text3">
    <w:name w:val="Text 3"/>
    <w:basedOn w:val="Normal"/>
    <w:pPr>
      <w:spacing w:before="120" w:after="120"/>
      <w:ind w:left="850"/>
      <w:jc w:val="both"/>
    </w:pPr>
    <w:rPr>
      <w:lang w:eastAsia="de-DE"/>
    </w:rPr>
  </w:style>
  <w:style w:type="paragraph" w:customStyle="1" w:styleId="Text4">
    <w:name w:val="Text 4"/>
    <w:basedOn w:val="Normal"/>
    <w:pPr>
      <w:spacing w:before="120" w:after="120"/>
      <w:ind w:left="850"/>
      <w:jc w:val="both"/>
    </w:pPr>
    <w:rPr>
      <w:lang w:eastAsia="de-DE"/>
    </w:rPr>
  </w:style>
  <w:style w:type="paragraph" w:styleId="NormalIndent">
    <w:name w:val="Normal Indent"/>
    <w:basedOn w:val="Normal"/>
    <w:pPr>
      <w:spacing w:after="120" w:line="240" w:lineRule="atLeast"/>
      <w:ind w:left="720"/>
    </w:pPr>
    <w:rPr>
      <w:rFonts w:ascii="Arial" w:hAnsi="Arial"/>
      <w:sz w:val="22"/>
      <w:szCs w:val="20"/>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Calibri"/>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Calibr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paragraph" w:customStyle="1" w:styleId="HeaderCoverPage">
    <w:name w:val="Header Cover Page"/>
    <w:basedOn w:val="Normal"/>
    <w:link w:val="HeaderCoverPageChar"/>
    <w:pPr>
      <w:tabs>
        <w:tab w:val="center" w:pos="4535"/>
        <w:tab w:val="right" w:pos="9071"/>
      </w:tabs>
      <w:spacing w:after="120"/>
      <w:jc w:val="both"/>
    </w:pPr>
  </w:style>
  <w:style w:type="paragraph" w:styleId="FootnoteText">
    <w:name w:val="footnote text"/>
    <w:basedOn w:val="Normal"/>
    <w:link w:val="FootnoteTextChar"/>
    <w:uiPriority w:val="99"/>
    <w:pPr>
      <w:ind w:left="720" w:hanging="720"/>
      <w:jc w:val="both"/>
    </w:pPr>
    <w:rPr>
      <w:sz w:val="20"/>
      <w:szCs w:val="20"/>
      <w:lang w:eastAsia="de-DE"/>
    </w:rPr>
  </w:style>
  <w:style w:type="paragraph" w:styleId="ListBullet">
    <w:name w:val="List Bullet"/>
    <w:basedOn w:val="Normal"/>
    <w:pPr>
      <w:numPr>
        <w:numId w:val="8"/>
      </w:numPr>
      <w:spacing w:before="120" w:after="120"/>
      <w:jc w:val="both"/>
    </w:pPr>
    <w:rPr>
      <w:lang w:eastAsia="de-DE"/>
    </w:rPr>
  </w:style>
  <w:style w:type="paragraph" w:styleId="ListBullet2">
    <w:name w:val="List Bullet 2"/>
    <w:basedOn w:val="Normal"/>
    <w:pPr>
      <w:numPr>
        <w:numId w:val="10"/>
      </w:numPr>
      <w:spacing w:before="120" w:after="120"/>
      <w:jc w:val="both"/>
    </w:pPr>
    <w:rPr>
      <w:lang w:eastAsia="de-DE"/>
    </w:rPr>
  </w:style>
  <w:style w:type="paragraph" w:styleId="ListBullet3">
    <w:name w:val="List Bullet 3"/>
    <w:basedOn w:val="Normal"/>
    <w:pPr>
      <w:numPr>
        <w:numId w:val="11"/>
      </w:numPr>
      <w:spacing w:before="120" w:after="120"/>
      <w:jc w:val="both"/>
    </w:pPr>
    <w:rPr>
      <w:lang w:eastAsia="de-DE"/>
    </w:rPr>
  </w:style>
  <w:style w:type="paragraph" w:styleId="ListBullet4">
    <w:name w:val="List Bullet 4"/>
    <w:basedOn w:val="Normal"/>
    <w:pPr>
      <w:numPr>
        <w:numId w:val="12"/>
      </w:numPr>
      <w:spacing w:before="120" w:after="120"/>
      <w:jc w:val="both"/>
    </w:pPr>
    <w:rPr>
      <w:lang w:eastAsia="de-DE"/>
    </w:rPr>
  </w:style>
  <w:style w:type="paragraph" w:styleId="ListNumber">
    <w:name w:val="List Number"/>
    <w:basedOn w:val="Normal"/>
    <w:pPr>
      <w:numPr>
        <w:numId w:val="18"/>
      </w:numPr>
      <w:spacing w:before="120" w:after="120"/>
      <w:jc w:val="both"/>
    </w:pPr>
    <w:rPr>
      <w:lang w:eastAsia="de-DE"/>
    </w:rPr>
  </w:style>
  <w:style w:type="paragraph" w:styleId="ListNumber2">
    <w:name w:val="List Number 2"/>
    <w:basedOn w:val="Normal"/>
    <w:pPr>
      <w:numPr>
        <w:numId w:val="20"/>
      </w:numPr>
      <w:spacing w:before="120" w:after="120"/>
      <w:jc w:val="both"/>
    </w:pPr>
    <w:rPr>
      <w:lang w:eastAsia="de-DE"/>
    </w:rPr>
  </w:style>
  <w:style w:type="paragraph" w:styleId="ListNumber3">
    <w:name w:val="List Number 3"/>
    <w:basedOn w:val="Normal"/>
    <w:pPr>
      <w:numPr>
        <w:numId w:val="21"/>
      </w:numPr>
      <w:spacing w:before="120" w:after="120"/>
      <w:jc w:val="both"/>
    </w:pPr>
    <w:rPr>
      <w:lang w:eastAsia="de-DE"/>
    </w:rPr>
  </w:style>
  <w:style w:type="paragraph" w:styleId="ListNumber4">
    <w:name w:val="List Number 4"/>
    <w:basedOn w:val="Normal"/>
    <w:pPr>
      <w:numPr>
        <w:numId w:val="22"/>
      </w:numPr>
      <w:spacing w:before="120" w:after="120"/>
      <w:jc w:val="both"/>
    </w:pPr>
    <w:rPr>
      <w:lang w:eastAsia="de-DE"/>
    </w:rPr>
  </w:style>
  <w:style w:type="paragraph" w:styleId="TOC5">
    <w:name w:val="toc 5"/>
    <w:basedOn w:val="Normal"/>
    <w:next w:val="Normal"/>
    <w:uiPriority w:val="39"/>
    <w:semiHidden/>
    <w:pPr>
      <w:tabs>
        <w:tab w:val="right" w:leader="dot" w:pos="9071"/>
      </w:tabs>
      <w:spacing w:before="300" w:after="120"/>
    </w:pPr>
    <w:rPr>
      <w:lang w:eastAsia="de-DE"/>
    </w:rPr>
  </w:style>
  <w:style w:type="paragraph" w:styleId="TOC8">
    <w:name w:val="toc 8"/>
    <w:basedOn w:val="Normal"/>
    <w:next w:val="Normal"/>
    <w:uiPriority w:val="39"/>
    <w:semiHidden/>
    <w:pPr>
      <w:tabs>
        <w:tab w:val="right" w:leader="dot" w:pos="9071"/>
      </w:tabs>
      <w:spacing w:before="120" w:after="120"/>
    </w:pPr>
    <w:rPr>
      <w:lang w:eastAsia="de-DE"/>
    </w:rPr>
  </w:style>
  <w:style w:type="paragraph" w:customStyle="1" w:styleId="HeaderLandscape">
    <w:name w:val="HeaderLandscape"/>
    <w:basedOn w:val="Normal"/>
    <w:pPr>
      <w:tabs>
        <w:tab w:val="center" w:pos="7285"/>
        <w:tab w:val="right" w:pos="14003"/>
      </w:tabs>
      <w:spacing w:after="120"/>
      <w:jc w:val="both"/>
    </w:pPr>
    <w:rPr>
      <w:rFonts w:eastAsia="Calibri"/>
      <w:szCs w:val="22"/>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Calibri"/>
      <w:szCs w:val="22"/>
      <w:lang w:eastAsia="en-US"/>
    </w:rPr>
  </w:style>
  <w:style w:type="character" w:styleId="FootnoteReference">
    <w:name w:val="footnote reference"/>
    <w:semiHidden/>
    <w:rPr>
      <w:vertAlign w:val="superscript"/>
    </w:rPr>
  </w:style>
  <w:style w:type="paragraph" w:customStyle="1" w:styleId="NormalCentered">
    <w:name w:val="Normal Centered"/>
    <w:basedOn w:val="Normal"/>
    <w:pPr>
      <w:spacing w:before="120" w:after="120"/>
      <w:jc w:val="center"/>
    </w:pPr>
    <w:rPr>
      <w:lang w:eastAsia="de-DE"/>
    </w:rPr>
  </w:style>
  <w:style w:type="paragraph" w:customStyle="1" w:styleId="NormalLeft">
    <w:name w:val="Normal Left"/>
    <w:basedOn w:val="Normal"/>
    <w:pPr>
      <w:spacing w:before="120" w:after="120"/>
    </w:pPr>
    <w:rPr>
      <w:lang w:eastAsia="de-DE"/>
    </w:rPr>
  </w:style>
  <w:style w:type="paragraph" w:customStyle="1" w:styleId="NormalRight">
    <w:name w:val="Normal Right"/>
    <w:basedOn w:val="Normal"/>
    <w:pPr>
      <w:spacing w:before="120" w:after="120"/>
      <w:jc w:val="right"/>
    </w:pPr>
    <w:rPr>
      <w:lang w:eastAsia="de-DE"/>
    </w:rPr>
  </w:style>
  <w:style w:type="paragraph" w:customStyle="1" w:styleId="QuotedText">
    <w:name w:val="Quoted Text"/>
    <w:basedOn w:val="Normal"/>
    <w:pPr>
      <w:spacing w:before="120" w:after="120"/>
      <w:ind w:left="1417"/>
      <w:jc w:val="both"/>
    </w:pPr>
    <w:rPr>
      <w:lang w:eastAsia="de-DE"/>
    </w:rPr>
  </w:style>
  <w:style w:type="paragraph" w:customStyle="1" w:styleId="Point0">
    <w:name w:val="Point 0"/>
    <w:basedOn w:val="Normal"/>
    <w:pPr>
      <w:spacing w:before="120" w:after="120"/>
      <w:ind w:left="850" w:hanging="850"/>
      <w:jc w:val="both"/>
    </w:pPr>
    <w:rPr>
      <w:lang w:eastAsia="de-DE"/>
    </w:rPr>
  </w:style>
  <w:style w:type="paragraph" w:customStyle="1" w:styleId="Point1">
    <w:name w:val="Point 1"/>
    <w:basedOn w:val="Normal"/>
    <w:pPr>
      <w:spacing w:before="120" w:after="120"/>
      <w:ind w:left="1417" w:hanging="567"/>
      <w:jc w:val="both"/>
    </w:pPr>
    <w:rPr>
      <w:lang w:eastAsia="de-DE"/>
    </w:rPr>
  </w:style>
  <w:style w:type="paragraph" w:customStyle="1" w:styleId="Point2">
    <w:name w:val="Point 2"/>
    <w:basedOn w:val="Normal"/>
    <w:pPr>
      <w:spacing w:before="120" w:after="120"/>
      <w:ind w:left="1984" w:hanging="567"/>
      <w:jc w:val="both"/>
    </w:pPr>
    <w:rPr>
      <w:lang w:eastAsia="de-DE"/>
    </w:rPr>
  </w:style>
  <w:style w:type="paragraph" w:customStyle="1" w:styleId="Point3">
    <w:name w:val="Point 3"/>
    <w:basedOn w:val="Normal"/>
    <w:pPr>
      <w:spacing w:before="120" w:after="120"/>
      <w:ind w:left="2551" w:hanging="567"/>
      <w:jc w:val="both"/>
    </w:pPr>
    <w:rPr>
      <w:lang w:eastAsia="de-DE"/>
    </w:rPr>
  </w:style>
  <w:style w:type="paragraph" w:customStyle="1" w:styleId="Point4">
    <w:name w:val="Point 4"/>
    <w:basedOn w:val="Normal"/>
    <w:pPr>
      <w:spacing w:before="120" w:after="120"/>
      <w:ind w:left="3118" w:hanging="567"/>
      <w:jc w:val="both"/>
    </w:pPr>
    <w:rPr>
      <w:lang w:eastAsia="de-DE"/>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ind w:left="1417" w:hanging="1417"/>
      <w:jc w:val="both"/>
    </w:pPr>
    <w:rPr>
      <w:lang w:eastAsia="de-DE"/>
    </w:rPr>
  </w:style>
  <w:style w:type="paragraph" w:customStyle="1" w:styleId="PointDouble1">
    <w:name w:val="PointDouble 1"/>
    <w:basedOn w:val="Normal"/>
    <w:pPr>
      <w:tabs>
        <w:tab w:val="left" w:pos="1417"/>
      </w:tabs>
      <w:spacing w:before="120" w:after="120"/>
      <w:ind w:left="1984" w:hanging="1134"/>
      <w:jc w:val="both"/>
    </w:pPr>
    <w:rPr>
      <w:lang w:eastAsia="de-DE"/>
    </w:rPr>
  </w:style>
  <w:style w:type="paragraph" w:customStyle="1" w:styleId="PointDouble2">
    <w:name w:val="PointDouble 2"/>
    <w:basedOn w:val="Normal"/>
    <w:pPr>
      <w:tabs>
        <w:tab w:val="left" w:pos="1984"/>
      </w:tabs>
      <w:spacing w:before="120" w:after="120"/>
      <w:ind w:left="2551" w:hanging="1134"/>
      <w:jc w:val="both"/>
    </w:pPr>
    <w:rPr>
      <w:lang w:eastAsia="de-DE"/>
    </w:rPr>
  </w:style>
  <w:style w:type="paragraph" w:customStyle="1" w:styleId="PointDouble3">
    <w:name w:val="PointDouble 3"/>
    <w:basedOn w:val="Normal"/>
    <w:pPr>
      <w:tabs>
        <w:tab w:val="left" w:pos="2551"/>
      </w:tabs>
      <w:spacing w:before="120" w:after="120"/>
      <w:ind w:left="3118" w:hanging="1134"/>
      <w:jc w:val="both"/>
    </w:pPr>
    <w:rPr>
      <w:lang w:eastAsia="de-DE"/>
    </w:rPr>
  </w:style>
  <w:style w:type="paragraph" w:customStyle="1" w:styleId="PointDouble4">
    <w:name w:val="PointDouble 4"/>
    <w:basedOn w:val="Normal"/>
    <w:pPr>
      <w:tabs>
        <w:tab w:val="left" w:pos="3118"/>
      </w:tabs>
      <w:spacing w:before="120" w:after="120"/>
      <w:ind w:left="3685" w:hanging="1134"/>
      <w:jc w:val="both"/>
    </w:pPr>
    <w:rPr>
      <w:lang w:eastAsia="de-DE"/>
    </w:rPr>
  </w:style>
  <w:style w:type="paragraph" w:customStyle="1" w:styleId="PointTriple0">
    <w:name w:val="PointTriple 0"/>
    <w:basedOn w:val="Normal"/>
    <w:pPr>
      <w:tabs>
        <w:tab w:val="left" w:pos="850"/>
        <w:tab w:val="left" w:pos="1417"/>
      </w:tabs>
      <w:spacing w:before="120" w:after="120"/>
      <w:ind w:left="1984" w:hanging="1984"/>
      <w:jc w:val="both"/>
    </w:pPr>
    <w:rPr>
      <w:lang w:eastAsia="de-DE"/>
    </w:rPr>
  </w:style>
  <w:style w:type="paragraph" w:customStyle="1" w:styleId="PointTriple1">
    <w:name w:val="PointTriple 1"/>
    <w:basedOn w:val="Normal"/>
    <w:pPr>
      <w:tabs>
        <w:tab w:val="left" w:pos="1417"/>
        <w:tab w:val="left" w:pos="1984"/>
      </w:tabs>
      <w:spacing w:before="120" w:after="120"/>
      <w:ind w:left="2551" w:hanging="1701"/>
      <w:jc w:val="both"/>
    </w:pPr>
    <w:rPr>
      <w:lang w:eastAsia="de-DE"/>
    </w:rPr>
  </w:style>
  <w:style w:type="paragraph" w:customStyle="1" w:styleId="PointTriple2">
    <w:name w:val="PointTriple 2"/>
    <w:basedOn w:val="Normal"/>
    <w:pPr>
      <w:tabs>
        <w:tab w:val="left" w:pos="1984"/>
        <w:tab w:val="left" w:pos="2551"/>
      </w:tabs>
      <w:spacing w:before="120" w:after="120"/>
      <w:ind w:left="3118" w:hanging="1701"/>
      <w:jc w:val="both"/>
    </w:pPr>
    <w:rPr>
      <w:lang w:eastAsia="de-DE"/>
    </w:rPr>
  </w:style>
  <w:style w:type="paragraph" w:customStyle="1" w:styleId="PointTriple3">
    <w:name w:val="PointTriple 3"/>
    <w:basedOn w:val="Normal"/>
    <w:pPr>
      <w:tabs>
        <w:tab w:val="left" w:pos="2551"/>
        <w:tab w:val="left" w:pos="3118"/>
      </w:tabs>
      <w:spacing w:before="120" w:after="120"/>
      <w:ind w:left="3685" w:hanging="1701"/>
      <w:jc w:val="both"/>
    </w:pPr>
    <w:rPr>
      <w:lang w:eastAsia="de-DE"/>
    </w:rPr>
  </w:style>
  <w:style w:type="paragraph" w:customStyle="1" w:styleId="PointTriple4">
    <w:name w:val="PointTriple 4"/>
    <w:basedOn w:val="Normal"/>
    <w:pPr>
      <w:tabs>
        <w:tab w:val="left" w:pos="3118"/>
        <w:tab w:val="left" w:pos="3685"/>
      </w:tabs>
      <w:spacing w:before="120" w:after="120"/>
      <w:ind w:left="4252" w:hanging="1701"/>
      <w:jc w:val="both"/>
    </w:pPr>
    <w:rPr>
      <w:lang w:eastAsia="de-DE"/>
    </w:rPr>
  </w:style>
  <w:style w:type="paragraph" w:customStyle="1" w:styleId="NumPar1">
    <w:name w:val="NumPar 1"/>
    <w:basedOn w:val="Normal"/>
    <w:next w:val="Text1"/>
    <w:pPr>
      <w:numPr>
        <w:numId w:val="6"/>
      </w:numPr>
      <w:spacing w:before="120" w:after="120"/>
      <w:jc w:val="both"/>
    </w:pPr>
    <w:rPr>
      <w:lang w:eastAsia="de-DE"/>
    </w:rPr>
  </w:style>
  <w:style w:type="paragraph" w:customStyle="1" w:styleId="NumPar2">
    <w:name w:val="NumPar 2"/>
    <w:basedOn w:val="Normal"/>
    <w:next w:val="Text2"/>
    <w:pPr>
      <w:numPr>
        <w:ilvl w:val="1"/>
        <w:numId w:val="6"/>
      </w:numPr>
      <w:spacing w:before="120" w:after="120"/>
      <w:jc w:val="both"/>
    </w:pPr>
    <w:rPr>
      <w:lang w:eastAsia="de-DE"/>
    </w:rPr>
  </w:style>
  <w:style w:type="paragraph" w:customStyle="1" w:styleId="NumPar3">
    <w:name w:val="NumPar 3"/>
    <w:basedOn w:val="Normal"/>
    <w:next w:val="Text3"/>
    <w:pPr>
      <w:numPr>
        <w:ilvl w:val="2"/>
        <w:numId w:val="6"/>
      </w:numPr>
      <w:spacing w:before="120" w:after="120"/>
      <w:jc w:val="both"/>
    </w:pPr>
    <w:rPr>
      <w:lang w:eastAsia="de-DE"/>
    </w:rPr>
  </w:style>
  <w:style w:type="paragraph" w:customStyle="1" w:styleId="NumPar4">
    <w:name w:val="NumPar 4"/>
    <w:basedOn w:val="Normal"/>
    <w:next w:val="Text4"/>
    <w:pPr>
      <w:numPr>
        <w:ilvl w:val="3"/>
        <w:numId w:val="6"/>
      </w:numPr>
      <w:spacing w:before="120" w:after="120"/>
      <w:jc w:val="both"/>
    </w:pPr>
    <w:rPr>
      <w:lang w:eastAsia="de-DE"/>
    </w:rPr>
  </w:style>
  <w:style w:type="paragraph" w:customStyle="1" w:styleId="ManualNumPar1">
    <w:name w:val="Manual NumPar 1"/>
    <w:basedOn w:val="Normal"/>
    <w:next w:val="Text1"/>
    <w:pPr>
      <w:spacing w:before="120" w:after="120"/>
      <w:ind w:left="850" w:hanging="850"/>
      <w:jc w:val="both"/>
    </w:pPr>
    <w:rPr>
      <w:lang w:eastAsia="de-DE"/>
    </w:rPr>
  </w:style>
  <w:style w:type="paragraph" w:customStyle="1" w:styleId="ManualNumPar2">
    <w:name w:val="Manual NumPar 2"/>
    <w:basedOn w:val="Normal"/>
    <w:next w:val="Text2"/>
    <w:pPr>
      <w:spacing w:before="120" w:after="120"/>
      <w:ind w:left="850" w:hanging="850"/>
      <w:jc w:val="both"/>
    </w:pPr>
    <w:rPr>
      <w:lang w:eastAsia="de-DE"/>
    </w:rPr>
  </w:style>
  <w:style w:type="paragraph" w:customStyle="1" w:styleId="ManualNumPar3">
    <w:name w:val="Manual NumPar 3"/>
    <w:basedOn w:val="Normal"/>
    <w:next w:val="Text3"/>
    <w:pPr>
      <w:spacing w:before="120" w:after="120"/>
      <w:ind w:left="850" w:hanging="850"/>
      <w:jc w:val="both"/>
    </w:pPr>
    <w:rPr>
      <w:lang w:eastAsia="de-DE"/>
    </w:rPr>
  </w:style>
  <w:style w:type="paragraph" w:customStyle="1" w:styleId="ManualNumPar4">
    <w:name w:val="Manual NumPar 4"/>
    <w:basedOn w:val="Normal"/>
    <w:next w:val="Text4"/>
    <w:pPr>
      <w:spacing w:before="120" w:after="120"/>
      <w:ind w:left="850" w:hanging="850"/>
      <w:jc w:val="both"/>
    </w:pPr>
    <w:rPr>
      <w:lang w:eastAsia="de-DE"/>
    </w:rPr>
  </w:style>
  <w:style w:type="paragraph" w:customStyle="1" w:styleId="QuotedNumPar">
    <w:name w:val="Quoted NumPar"/>
    <w:basedOn w:val="Normal"/>
    <w:pPr>
      <w:spacing w:before="120" w:after="120"/>
      <w:ind w:left="1417" w:hanging="567"/>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pPr>
      <w:keepNext/>
      <w:tabs>
        <w:tab w:val="left" w:pos="850"/>
      </w:tabs>
      <w:spacing w:before="120" w:after="120"/>
      <w:ind w:left="850" w:hanging="850"/>
      <w:jc w:val="both"/>
      <w:outlineLvl w:val="1"/>
    </w:pPr>
    <w:rPr>
      <w:b/>
      <w:lang w:eastAsia="de-DE"/>
    </w:rPr>
  </w:style>
  <w:style w:type="paragraph" w:customStyle="1" w:styleId="ManualHeading3">
    <w:name w:val="Manual Heading 3"/>
    <w:basedOn w:val="Normal"/>
    <w:next w:val="Text3"/>
    <w:pPr>
      <w:keepNext/>
      <w:tabs>
        <w:tab w:val="left" w:pos="850"/>
      </w:tabs>
      <w:spacing w:before="120" w:after="120"/>
      <w:ind w:left="850" w:hanging="850"/>
      <w:jc w:val="both"/>
      <w:outlineLvl w:val="2"/>
    </w:pPr>
    <w:rPr>
      <w:i/>
      <w:lang w:eastAsia="de-DE"/>
    </w:rPr>
  </w:style>
  <w:style w:type="paragraph" w:customStyle="1" w:styleId="ManualHeading4">
    <w:name w:val="Manual Heading 4"/>
    <w:basedOn w:val="Normal"/>
    <w:next w:val="Text4"/>
    <w:pPr>
      <w:keepNext/>
      <w:tabs>
        <w:tab w:val="left" w:pos="850"/>
      </w:tabs>
      <w:spacing w:before="120" w:after="120"/>
      <w:ind w:left="850" w:hanging="850"/>
      <w:jc w:val="both"/>
      <w:outlineLvl w:val="3"/>
    </w:pPr>
    <w:rPr>
      <w:lang w:eastAsia="de-DE"/>
    </w:rPr>
  </w:style>
  <w:style w:type="paragraph" w:customStyle="1" w:styleId="ChapterTitle">
    <w:name w:val="ChapterTitle"/>
    <w:basedOn w:val="Normal"/>
    <w:next w:val="Normal"/>
    <w:pPr>
      <w:keepNext/>
      <w:spacing w:before="120" w:after="360"/>
      <w:jc w:val="center"/>
    </w:pPr>
    <w:rPr>
      <w:b/>
      <w:sz w:val="32"/>
      <w:lang w:eastAsia="de-DE"/>
    </w:rPr>
  </w:style>
  <w:style w:type="paragraph" w:customStyle="1" w:styleId="PartTitle">
    <w:name w:val="PartTitle"/>
    <w:basedOn w:val="Normal"/>
    <w:next w:val="ChapterTitle"/>
    <w:pPr>
      <w:keepNext/>
      <w:pageBreakBefore/>
      <w:spacing w:before="120" w:after="360"/>
      <w:jc w:val="center"/>
    </w:pPr>
    <w:rPr>
      <w:b/>
      <w:sz w:val="36"/>
      <w:lang w:eastAsia="de-DE"/>
    </w:rPr>
  </w:style>
  <w:style w:type="paragraph" w:customStyle="1" w:styleId="SectionTitle">
    <w:name w:val="SectionTitle"/>
    <w:basedOn w:val="Normal"/>
    <w:next w:val="Heading1"/>
    <w:pPr>
      <w:keepNext/>
      <w:spacing w:before="120" w:after="360"/>
      <w:jc w:val="center"/>
    </w:pPr>
    <w:rPr>
      <w:b/>
      <w:smallCaps/>
      <w:sz w:val="28"/>
      <w:lang w:eastAsia="de-DE"/>
    </w:rPr>
  </w:style>
  <w:style w:type="paragraph" w:customStyle="1" w:styleId="ListBullet1">
    <w:name w:val="List Bullet 1"/>
    <w:basedOn w:val="Normal"/>
    <w:pPr>
      <w:numPr>
        <w:numId w:val="9"/>
      </w:numPr>
      <w:spacing w:before="120" w:after="120"/>
      <w:jc w:val="both"/>
    </w:pPr>
    <w:rPr>
      <w:lang w:eastAsia="de-DE"/>
    </w:rPr>
  </w:style>
  <w:style w:type="paragraph" w:customStyle="1" w:styleId="ListDash">
    <w:name w:val="List Dash"/>
    <w:basedOn w:val="Normal"/>
    <w:pPr>
      <w:numPr>
        <w:numId w:val="13"/>
      </w:numPr>
      <w:spacing w:before="120" w:after="120"/>
      <w:jc w:val="both"/>
    </w:pPr>
    <w:rPr>
      <w:lang w:eastAsia="de-DE"/>
    </w:rPr>
  </w:style>
  <w:style w:type="paragraph" w:customStyle="1" w:styleId="ListDash1">
    <w:name w:val="List Dash 1"/>
    <w:basedOn w:val="Normal"/>
    <w:pPr>
      <w:numPr>
        <w:numId w:val="14"/>
      </w:numPr>
      <w:spacing w:before="120" w:after="120"/>
      <w:jc w:val="both"/>
    </w:pPr>
    <w:rPr>
      <w:lang w:eastAsia="de-DE"/>
    </w:rPr>
  </w:style>
  <w:style w:type="paragraph" w:customStyle="1" w:styleId="ListDash2">
    <w:name w:val="List Dash 2"/>
    <w:basedOn w:val="Normal"/>
    <w:pPr>
      <w:numPr>
        <w:numId w:val="15"/>
      </w:numPr>
      <w:spacing w:before="120" w:after="120"/>
      <w:jc w:val="both"/>
    </w:pPr>
    <w:rPr>
      <w:lang w:eastAsia="de-DE"/>
    </w:rPr>
  </w:style>
  <w:style w:type="paragraph" w:customStyle="1" w:styleId="ListDash3">
    <w:name w:val="List Dash 3"/>
    <w:basedOn w:val="Normal"/>
    <w:pPr>
      <w:numPr>
        <w:numId w:val="16"/>
      </w:numPr>
      <w:spacing w:before="120" w:after="120"/>
      <w:jc w:val="both"/>
    </w:pPr>
    <w:rPr>
      <w:lang w:eastAsia="de-DE"/>
    </w:rPr>
  </w:style>
  <w:style w:type="paragraph" w:customStyle="1" w:styleId="ListDash4">
    <w:name w:val="List Dash 4"/>
    <w:basedOn w:val="Normal"/>
    <w:pPr>
      <w:numPr>
        <w:numId w:val="17"/>
      </w:numPr>
      <w:spacing w:before="120" w:after="120"/>
      <w:jc w:val="both"/>
    </w:pPr>
    <w:rPr>
      <w:lang w:eastAsia="de-DE"/>
    </w:rPr>
  </w:style>
  <w:style w:type="paragraph" w:customStyle="1" w:styleId="ListNumber1">
    <w:name w:val="List Number 1"/>
    <w:basedOn w:val="Text1"/>
    <w:pPr>
      <w:tabs>
        <w:tab w:val="num" w:pos="1560"/>
      </w:tabs>
      <w:ind w:left="1560" w:hanging="709"/>
    </w:pPr>
  </w:style>
  <w:style w:type="paragraph" w:customStyle="1" w:styleId="ListNumberLevel2">
    <w:name w:val="List Number (Level 2)"/>
    <w:basedOn w:val="Normal"/>
    <w:pPr>
      <w:numPr>
        <w:ilvl w:val="1"/>
        <w:numId w:val="18"/>
      </w:numPr>
      <w:spacing w:before="120" w:after="120"/>
      <w:jc w:val="both"/>
    </w:pPr>
    <w:rPr>
      <w:lang w:eastAsia="de-DE"/>
    </w:rPr>
  </w:style>
  <w:style w:type="paragraph" w:customStyle="1" w:styleId="ListNumber1Level2">
    <w:name w:val="List Number 1 (Level 2)"/>
    <w:basedOn w:val="Text1"/>
    <w:pPr>
      <w:numPr>
        <w:ilvl w:val="1"/>
        <w:numId w:val="19"/>
      </w:numPr>
    </w:pPr>
  </w:style>
  <w:style w:type="paragraph" w:customStyle="1" w:styleId="ListNumber2Level2">
    <w:name w:val="List Number 2 (Level 2)"/>
    <w:basedOn w:val="Text2"/>
    <w:pPr>
      <w:numPr>
        <w:ilvl w:val="1"/>
        <w:numId w:val="20"/>
      </w:numPr>
    </w:pPr>
  </w:style>
  <w:style w:type="paragraph" w:customStyle="1" w:styleId="ListNumber3Level2">
    <w:name w:val="List Number 3 (Level 2)"/>
    <w:basedOn w:val="Text3"/>
    <w:pPr>
      <w:numPr>
        <w:ilvl w:val="1"/>
        <w:numId w:val="21"/>
      </w:numPr>
    </w:pPr>
  </w:style>
  <w:style w:type="paragraph" w:customStyle="1" w:styleId="ListNumber4Level2">
    <w:name w:val="List Number 4 (Level 2)"/>
    <w:basedOn w:val="Text4"/>
    <w:pPr>
      <w:numPr>
        <w:ilvl w:val="1"/>
        <w:numId w:val="22"/>
      </w:numPr>
    </w:pPr>
  </w:style>
  <w:style w:type="paragraph" w:customStyle="1" w:styleId="ListNumberLevel3">
    <w:name w:val="List Number (Level 3)"/>
    <w:basedOn w:val="Normal"/>
    <w:pPr>
      <w:numPr>
        <w:ilvl w:val="2"/>
        <w:numId w:val="18"/>
      </w:numPr>
      <w:spacing w:before="120" w:after="120"/>
      <w:jc w:val="both"/>
    </w:pPr>
    <w:rPr>
      <w:lang w:eastAsia="de-DE"/>
    </w:rPr>
  </w:style>
  <w:style w:type="paragraph" w:customStyle="1" w:styleId="ListNumber1Level3">
    <w:name w:val="List Number 1 (Level 3)"/>
    <w:basedOn w:val="Text1"/>
    <w:pPr>
      <w:numPr>
        <w:ilvl w:val="2"/>
        <w:numId w:val="19"/>
      </w:numPr>
    </w:pPr>
  </w:style>
  <w:style w:type="paragraph" w:customStyle="1" w:styleId="ListNumber2Level3">
    <w:name w:val="List Number 2 (Level 3)"/>
    <w:basedOn w:val="Text2"/>
    <w:pPr>
      <w:numPr>
        <w:ilvl w:val="2"/>
        <w:numId w:val="20"/>
      </w:numPr>
    </w:pPr>
  </w:style>
  <w:style w:type="paragraph" w:customStyle="1" w:styleId="ListNumber3Level3">
    <w:name w:val="List Number 3 (Level 3)"/>
    <w:basedOn w:val="Text3"/>
    <w:pPr>
      <w:numPr>
        <w:ilvl w:val="2"/>
        <w:numId w:val="21"/>
      </w:numPr>
    </w:pPr>
  </w:style>
  <w:style w:type="paragraph" w:customStyle="1" w:styleId="ListNumber4Level3">
    <w:name w:val="List Number 4 (Level 3)"/>
    <w:basedOn w:val="Text4"/>
    <w:pPr>
      <w:numPr>
        <w:ilvl w:val="2"/>
        <w:numId w:val="22"/>
      </w:numPr>
    </w:pPr>
  </w:style>
  <w:style w:type="paragraph" w:customStyle="1" w:styleId="ListNumberLevel4">
    <w:name w:val="List Number (Level 4)"/>
    <w:basedOn w:val="Normal"/>
    <w:pPr>
      <w:numPr>
        <w:ilvl w:val="3"/>
        <w:numId w:val="18"/>
      </w:numPr>
      <w:spacing w:before="120" w:after="120"/>
      <w:jc w:val="both"/>
    </w:pPr>
    <w:rPr>
      <w:lang w:eastAsia="de-DE"/>
    </w:rPr>
  </w:style>
  <w:style w:type="paragraph" w:customStyle="1" w:styleId="ListNumber1Level4">
    <w:name w:val="List Number 1 (Level 4)"/>
    <w:basedOn w:val="Text1"/>
    <w:pPr>
      <w:numPr>
        <w:ilvl w:val="3"/>
        <w:numId w:val="19"/>
      </w:numPr>
    </w:pPr>
  </w:style>
  <w:style w:type="paragraph" w:customStyle="1" w:styleId="ListNumber2Level4">
    <w:name w:val="List Number 2 (Level 4)"/>
    <w:basedOn w:val="Text2"/>
    <w:pPr>
      <w:numPr>
        <w:ilvl w:val="3"/>
        <w:numId w:val="20"/>
      </w:numPr>
    </w:pPr>
  </w:style>
  <w:style w:type="paragraph" w:customStyle="1" w:styleId="ListNumber3Level4">
    <w:name w:val="List Number 3 (Level 4)"/>
    <w:basedOn w:val="Text3"/>
    <w:pPr>
      <w:numPr>
        <w:ilvl w:val="3"/>
        <w:numId w:val="21"/>
      </w:numPr>
    </w:pPr>
  </w:style>
  <w:style w:type="paragraph" w:customStyle="1" w:styleId="ListNumber4Level4">
    <w:name w:val="List Number 4 (Level 4)"/>
    <w:basedOn w:val="Text4"/>
    <w:pPr>
      <w:numPr>
        <w:ilvl w:val="3"/>
        <w:numId w:val="22"/>
      </w:numPr>
    </w:pPr>
  </w:style>
  <w:style w:type="paragraph" w:customStyle="1" w:styleId="TableTitle">
    <w:name w:val="Table Title"/>
    <w:basedOn w:val="Normal"/>
    <w:next w:val="Normal"/>
    <w:pPr>
      <w:spacing w:before="120" w:after="120"/>
      <w:jc w:val="center"/>
    </w:pPr>
    <w:rPr>
      <w:b/>
      <w:lang w:eastAsia="de-DE"/>
    </w:rPr>
  </w:style>
  <w:style w:type="character" w:customStyle="1" w:styleId="Marker1">
    <w:name w:val="Marker1"/>
    <w:rPr>
      <w:color w:val="008000"/>
    </w:rPr>
  </w:style>
  <w:style w:type="character" w:customStyle="1" w:styleId="Marker2">
    <w:name w:val="Marker2"/>
    <w:rPr>
      <w:color w:val="FF0000"/>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Annexetitreacte">
    <w:name w:val="Annexe titre (acte)"/>
    <w:basedOn w:val="Normal"/>
    <w:next w:val="Normal"/>
    <w:pPr>
      <w:spacing w:before="120" w:after="120"/>
      <w:jc w:val="center"/>
    </w:pPr>
    <w:rPr>
      <w:b/>
      <w:u w:val="single"/>
      <w:lang w:eastAsia="de-DE"/>
    </w:rPr>
  </w:style>
  <w:style w:type="paragraph" w:customStyle="1" w:styleId="Annexetitreexposglobal">
    <w:name w:val="Annexe titre (exposé global)"/>
    <w:basedOn w:val="Normal"/>
    <w:next w:val="Normal"/>
    <w:pPr>
      <w:spacing w:before="120" w:after="120"/>
      <w:jc w:val="center"/>
    </w:pPr>
    <w:rPr>
      <w:b/>
      <w:u w:val="single"/>
      <w:lang w:eastAsia="de-DE"/>
    </w:rPr>
  </w:style>
  <w:style w:type="paragraph" w:customStyle="1" w:styleId="Annexetitreexpos">
    <w:name w:val="Annexe titre (exposé)"/>
    <w:basedOn w:val="Normal"/>
    <w:next w:val="Normal"/>
    <w:pPr>
      <w:spacing w:before="120" w:after="120"/>
      <w:jc w:val="center"/>
    </w:pPr>
    <w:rPr>
      <w:b/>
      <w:u w:val="single"/>
      <w:lang w:eastAsia="de-DE"/>
    </w:rPr>
  </w:style>
  <w:style w:type="paragraph" w:customStyle="1" w:styleId="Annexetitrefichefinacte">
    <w:name w:val="Annexe titre (fiche fin. acte)"/>
    <w:basedOn w:val="Normal"/>
    <w:next w:val="Normal"/>
    <w:pPr>
      <w:spacing w:before="120" w:after="120"/>
      <w:jc w:val="center"/>
    </w:pPr>
    <w:rPr>
      <w:b/>
      <w:u w:val="single"/>
      <w:lang w:eastAsia="de-DE"/>
    </w:rPr>
  </w:style>
  <w:style w:type="paragraph" w:customStyle="1" w:styleId="Annexetitrefichefinglobale">
    <w:name w:val="Annexe titre (fiche fin. globale)"/>
    <w:basedOn w:val="Normal"/>
    <w:next w:val="Normal"/>
    <w:pPr>
      <w:spacing w:before="120" w:after="120"/>
      <w:jc w:val="center"/>
    </w:pPr>
    <w:rPr>
      <w:b/>
      <w:u w:val="single"/>
      <w:lang w:eastAsia="de-DE"/>
    </w:rPr>
  </w:style>
  <w:style w:type="paragraph" w:customStyle="1" w:styleId="Annexetitreglobale">
    <w:name w:val="Annexe titre (globale)"/>
    <w:basedOn w:val="Normal"/>
    <w:next w:val="Normal"/>
    <w:pPr>
      <w:spacing w:before="120" w:after="120"/>
      <w:jc w:val="center"/>
    </w:pPr>
    <w:rPr>
      <w:b/>
      <w:u w:val="single"/>
      <w:lang w:eastAsia="de-DE"/>
    </w:rPr>
  </w:style>
  <w:style w:type="paragraph" w:customStyle="1" w:styleId="Applicationdirecte">
    <w:name w:val="Application directe"/>
    <w:basedOn w:val="Normal"/>
    <w:next w:val="Fait"/>
    <w:pPr>
      <w:spacing w:before="480" w:after="120"/>
      <w:jc w:val="both"/>
    </w:pPr>
    <w:rPr>
      <w:lang w:eastAsia="de-DE"/>
    </w:rPr>
  </w:style>
  <w:style w:type="paragraph" w:customStyle="1" w:styleId="Fait">
    <w:name w:val="Fait à"/>
    <w:basedOn w:val="Normal"/>
    <w:next w:val="Institutionquisigne"/>
    <w:pPr>
      <w:keepNext/>
      <w:spacing w:before="120"/>
      <w:jc w:val="both"/>
    </w:pPr>
    <w:rPr>
      <w:lang w:eastAsia="de-DE"/>
    </w:rPr>
  </w:style>
  <w:style w:type="paragraph" w:customStyle="1" w:styleId="Institutionquisigne">
    <w:name w:val="Institution qui signe"/>
    <w:basedOn w:val="Normal"/>
    <w:next w:val="Personnequisigne"/>
    <w:pPr>
      <w:keepNext/>
      <w:tabs>
        <w:tab w:val="left" w:pos="4252"/>
      </w:tabs>
      <w:spacing w:before="720"/>
      <w:jc w:val="both"/>
    </w:pPr>
    <w:rPr>
      <w:i/>
      <w:lang w:eastAsia="de-DE"/>
    </w:rPr>
  </w:style>
  <w:style w:type="paragraph" w:customStyle="1" w:styleId="Personnequisigne">
    <w:name w:val="Personne qui signe"/>
    <w:basedOn w:val="Normal"/>
    <w:next w:val="Institutionquisigne"/>
    <w:pPr>
      <w:tabs>
        <w:tab w:val="left" w:pos="4252"/>
      </w:tabs>
    </w:pPr>
    <w:rPr>
      <w:i/>
      <w:lang w:eastAsia="de-DE"/>
    </w:rPr>
  </w:style>
  <w:style w:type="paragraph" w:customStyle="1" w:styleId="Avertissementtitre">
    <w:name w:val="Avertissement titre"/>
    <w:basedOn w:val="Normal"/>
    <w:next w:val="Normal"/>
    <w:pPr>
      <w:keepNext/>
      <w:spacing w:before="480" w:after="120"/>
      <w:jc w:val="both"/>
    </w:pPr>
    <w:rPr>
      <w:u w:val="single"/>
      <w:lang w:eastAsia="de-DE"/>
    </w:rPr>
  </w:style>
  <w:style w:type="paragraph" w:customStyle="1" w:styleId="Confidence">
    <w:name w:val="Confidence"/>
    <w:basedOn w:val="Normal"/>
    <w:next w:val="Normal"/>
    <w:pPr>
      <w:spacing w:before="360" w:after="120"/>
      <w:jc w:val="center"/>
    </w:pPr>
    <w:rPr>
      <w:lang w:eastAsia="de-DE"/>
    </w:rPr>
  </w:style>
  <w:style w:type="paragraph" w:customStyle="1" w:styleId="Confidentialit">
    <w:name w:val="Confidentialité"/>
    <w:basedOn w:val="Normal"/>
    <w:next w:val="Statut"/>
    <w:pPr>
      <w:spacing w:before="240" w:after="240"/>
      <w:ind w:left="5103"/>
      <w:jc w:val="both"/>
    </w:pPr>
    <w:rPr>
      <w:u w:val="single"/>
      <w:lang w:eastAsia="de-DE"/>
    </w:rPr>
  </w:style>
  <w:style w:type="paragraph" w:customStyle="1" w:styleId="Statut">
    <w:name w:val="Statut"/>
    <w:basedOn w:val="Normal"/>
    <w:next w:val="Typedudocument"/>
    <w:pPr>
      <w:spacing w:before="360"/>
      <w:jc w:val="center"/>
    </w:pPr>
    <w:rPr>
      <w:lang w:eastAsia="de-DE"/>
    </w:rPr>
  </w:style>
  <w:style w:type="paragraph" w:customStyle="1" w:styleId="Typedudocument">
    <w:name w:val="Type du document"/>
    <w:basedOn w:val="Normal"/>
    <w:next w:val="Datedadoption"/>
    <w:pPr>
      <w:spacing w:before="360"/>
      <w:jc w:val="center"/>
    </w:pPr>
    <w:rPr>
      <w:b/>
      <w:lang w:eastAsia="de-DE"/>
    </w:rPr>
  </w:style>
  <w:style w:type="paragraph" w:customStyle="1" w:styleId="Datedadoption">
    <w:name w:val="Date d'adoption"/>
    <w:basedOn w:val="Normal"/>
    <w:next w:val="Titreobjet"/>
    <w:pPr>
      <w:spacing w:before="360"/>
      <w:jc w:val="center"/>
    </w:pPr>
    <w:rPr>
      <w:b/>
      <w:lang w:eastAsia="de-DE"/>
    </w:rPr>
  </w:style>
  <w:style w:type="paragraph" w:customStyle="1" w:styleId="Titreobjet">
    <w:name w:val="Titre objet"/>
    <w:basedOn w:val="Normal"/>
    <w:next w:val="Sous-titreobjet"/>
    <w:pPr>
      <w:spacing w:before="360" w:after="360"/>
      <w:jc w:val="center"/>
    </w:pPr>
    <w:rPr>
      <w:b/>
      <w:lang w:eastAsia="de-DE"/>
    </w:rPr>
  </w:style>
  <w:style w:type="paragraph" w:customStyle="1" w:styleId="Sous-titreobjet">
    <w:name w:val="Sous-titre objet"/>
    <w:basedOn w:val="Normal"/>
    <w:pPr>
      <w:jc w:val="center"/>
    </w:pPr>
    <w:rPr>
      <w:b/>
      <w:lang w:eastAsia="de-DE"/>
    </w:rPr>
  </w:style>
  <w:style w:type="paragraph" w:customStyle="1" w:styleId="Considrant">
    <w:name w:val="Considérant"/>
    <w:basedOn w:val="Normal"/>
    <w:pPr>
      <w:numPr>
        <w:numId w:val="23"/>
      </w:numPr>
      <w:spacing w:before="120" w:after="120"/>
      <w:jc w:val="both"/>
    </w:pPr>
    <w:rPr>
      <w:lang w:eastAsia="de-DE"/>
    </w:rPr>
  </w:style>
  <w:style w:type="paragraph" w:customStyle="1" w:styleId="Corrigendum">
    <w:name w:val="Corrigendum"/>
    <w:basedOn w:val="Normal"/>
    <w:next w:val="Normal"/>
    <w:pPr>
      <w:spacing w:after="240"/>
    </w:pPr>
    <w:rPr>
      <w:lang w:eastAsia="de-DE"/>
    </w:rPr>
  </w:style>
  <w:style w:type="paragraph" w:customStyle="1" w:styleId="Emission">
    <w:name w:val="Emission"/>
    <w:basedOn w:val="Normal"/>
    <w:next w:val="Rfrenceinstitutionelle"/>
    <w:pPr>
      <w:ind w:left="5103"/>
    </w:pPr>
    <w:rPr>
      <w:lang w:eastAsia="de-DE"/>
    </w:rPr>
  </w:style>
  <w:style w:type="paragraph" w:customStyle="1" w:styleId="Rfrenceinstitutionelle">
    <w:name w:val="Référence institutionelle"/>
    <w:basedOn w:val="Normal"/>
    <w:next w:val="Statut"/>
    <w:pPr>
      <w:spacing w:after="240"/>
      <w:ind w:left="5103"/>
    </w:pPr>
    <w:rPr>
      <w:lang w:eastAsia="de-DE"/>
    </w:rPr>
  </w:style>
  <w:style w:type="paragraph" w:customStyle="1" w:styleId="Exposdesmotifstitre">
    <w:name w:val="Exposé des motifs titre"/>
    <w:basedOn w:val="Normal"/>
    <w:next w:val="Normal"/>
    <w:pPr>
      <w:spacing w:before="120" w:after="120"/>
      <w:jc w:val="center"/>
    </w:pPr>
    <w:rPr>
      <w:b/>
      <w:u w:val="single"/>
      <w:lang w:eastAsia="de-DE"/>
    </w:rPr>
  </w:style>
  <w:style w:type="paragraph" w:customStyle="1" w:styleId="Exposdesmotifstitreglobal">
    <w:name w:val="Exposé des motifs titre (global)"/>
    <w:basedOn w:val="Normal"/>
    <w:next w:val="Normal"/>
    <w:pPr>
      <w:spacing w:before="120" w:after="120"/>
      <w:jc w:val="center"/>
    </w:pPr>
    <w:rPr>
      <w:b/>
      <w:u w:val="single"/>
      <w:lang w:eastAsia="de-DE"/>
    </w:rPr>
  </w:style>
  <w:style w:type="paragraph" w:customStyle="1" w:styleId="Formuledadoption">
    <w:name w:val="Formule d'adoption"/>
    <w:basedOn w:val="Normal"/>
    <w:next w:val="Titrearticle"/>
    <w:pPr>
      <w:keepNext/>
      <w:spacing w:before="120" w:after="120"/>
      <w:jc w:val="both"/>
    </w:pPr>
    <w:rPr>
      <w:lang w:eastAsia="de-DE"/>
    </w:rPr>
  </w:style>
  <w:style w:type="paragraph" w:customStyle="1" w:styleId="Titrearticle">
    <w:name w:val="Titre article"/>
    <w:basedOn w:val="Normal"/>
    <w:next w:val="Normal"/>
    <w:pPr>
      <w:keepNext/>
      <w:spacing w:before="360" w:after="120"/>
      <w:jc w:val="center"/>
    </w:pPr>
    <w:rPr>
      <w:i/>
      <w:lang w:eastAsia="de-DE"/>
    </w:rPr>
  </w:style>
  <w:style w:type="paragraph" w:customStyle="1" w:styleId="Institutionquiagit">
    <w:name w:val="Institution qui agit"/>
    <w:basedOn w:val="Normal"/>
    <w:next w:val="Normal"/>
    <w:pPr>
      <w:keepNext/>
      <w:spacing w:before="600" w:after="120"/>
      <w:jc w:val="both"/>
    </w:pPr>
    <w:rPr>
      <w:lang w:eastAsia="de-DE"/>
    </w:rPr>
  </w:style>
  <w:style w:type="paragraph" w:customStyle="1" w:styleId="Langue">
    <w:name w:val="Langue"/>
    <w:basedOn w:val="Normal"/>
    <w:next w:val="Rfrenceinterne"/>
    <w:pPr>
      <w:spacing w:after="600"/>
      <w:jc w:val="center"/>
    </w:pPr>
    <w:rPr>
      <w:b/>
      <w:caps/>
      <w:lang w:eastAsia="de-DE"/>
    </w:rPr>
  </w:style>
  <w:style w:type="paragraph" w:customStyle="1" w:styleId="Rfrenceinterne">
    <w:name w:val="Référence interne"/>
    <w:basedOn w:val="Normal"/>
    <w:next w:val="Nomdelinstitution"/>
    <w:pPr>
      <w:spacing w:after="600"/>
      <w:jc w:val="center"/>
    </w:pPr>
    <w:rPr>
      <w:b/>
      <w:lang w:eastAsia="de-DE"/>
    </w:rPr>
  </w:style>
  <w:style w:type="paragraph" w:customStyle="1" w:styleId="Nomdelinstitution">
    <w:name w:val="Nom de l'institution"/>
    <w:basedOn w:val="Normal"/>
    <w:next w:val="Emission"/>
    <w:rPr>
      <w:rFonts w:ascii="Arial" w:hAnsi="Arial" w:cs="Arial"/>
      <w:lang w:eastAsia="de-DE"/>
    </w:rPr>
  </w:style>
  <w:style w:type="paragraph" w:customStyle="1" w:styleId="Langueoriginale">
    <w:name w:val="Langue originale"/>
    <w:basedOn w:val="Normal"/>
    <w:next w:val="Phrasefinale"/>
    <w:pPr>
      <w:spacing w:before="360" w:after="120"/>
      <w:jc w:val="center"/>
    </w:pPr>
    <w:rPr>
      <w:caps/>
      <w:lang w:eastAsia="de-DE"/>
    </w:rPr>
  </w:style>
  <w:style w:type="paragraph" w:customStyle="1" w:styleId="Phrasefinale">
    <w:name w:val="Phrase finale"/>
    <w:basedOn w:val="Normal"/>
    <w:next w:val="Normal"/>
    <w:pPr>
      <w:spacing w:before="360"/>
      <w:jc w:val="center"/>
    </w:pPr>
    <w:rPr>
      <w:lang w:eastAsia="de-DE"/>
    </w:rPr>
  </w:style>
  <w:style w:type="paragraph" w:customStyle="1" w:styleId="ManualConsidrant">
    <w:name w:val="Manual Considérant"/>
    <w:basedOn w:val="Normal"/>
    <w:pPr>
      <w:spacing w:before="120" w:after="120"/>
      <w:ind w:left="709" w:hanging="709"/>
      <w:jc w:val="both"/>
    </w:pPr>
    <w:rPr>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paragraph" w:customStyle="1" w:styleId="Rfrenceinterinstitutionelle">
    <w:name w:val="Référence interinstitutionelle"/>
    <w:basedOn w:val="Normal"/>
    <w:next w:val="Statut"/>
    <w:pPr>
      <w:ind w:left="5103"/>
    </w:pPr>
    <w:rPr>
      <w:lang w:eastAsia="de-DE"/>
    </w:rPr>
  </w:style>
  <w:style w:type="paragraph" w:customStyle="1" w:styleId="Rfrenceinterinstitutionelleprliminaire">
    <w:name w:val="Référence interinstitutionelle (préliminaire)"/>
    <w:basedOn w:val="Normal"/>
    <w:next w:val="Normal"/>
    <w:pPr>
      <w:ind w:left="5103"/>
    </w:pPr>
    <w:rPr>
      <w:lang w:eastAsia="de-DE"/>
    </w:rPr>
  </w:style>
  <w:style w:type="paragraph" w:customStyle="1" w:styleId="Sous-titreobjetprliminaire">
    <w:name w:val="Sous-titre objet (préliminaire)"/>
    <w:basedOn w:val="Normal"/>
    <w:pPr>
      <w:jc w:val="center"/>
    </w:pPr>
    <w:rPr>
      <w:b/>
      <w:lang w:eastAsia="de-DE"/>
    </w:rPr>
  </w:style>
  <w:style w:type="paragraph" w:customStyle="1" w:styleId="Statutprliminaire">
    <w:name w:val="Statut (préliminaire)"/>
    <w:basedOn w:val="Normal"/>
    <w:next w:val="Normal"/>
    <w:pPr>
      <w:spacing w:before="36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jc w:val="center"/>
    </w:pPr>
    <w:rPr>
      <w:b/>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spacing w:before="120" w:after="120" w:line="360" w:lineRule="auto"/>
      <w:ind w:left="3402"/>
    </w:pPr>
    <w:rPr>
      <w:lang w:eastAsia="de-DE"/>
    </w:rPr>
  </w:style>
  <w:style w:type="paragraph" w:customStyle="1" w:styleId="Fichefinancirestandardtitre">
    <w:name w:val="Fiche financière (standard) titre"/>
    <w:basedOn w:val="Normal"/>
    <w:next w:val="Normal"/>
    <w:pPr>
      <w:spacing w:before="120" w:after="120"/>
      <w:jc w:val="center"/>
    </w:pPr>
    <w:rPr>
      <w:b/>
      <w:u w:val="single"/>
      <w:lang w:eastAsia="de-DE"/>
    </w:rPr>
  </w:style>
  <w:style w:type="paragraph" w:customStyle="1" w:styleId="Fichefinancirestandardtitreacte">
    <w:name w:val="Fiche financière (standard) titre (acte)"/>
    <w:basedOn w:val="Normal"/>
    <w:next w:val="Normal"/>
    <w:pPr>
      <w:spacing w:before="120" w:after="120"/>
      <w:jc w:val="center"/>
    </w:pPr>
    <w:rPr>
      <w:b/>
      <w:u w:val="single"/>
      <w:lang w:eastAsia="de-DE"/>
    </w:rPr>
  </w:style>
  <w:style w:type="paragraph" w:customStyle="1" w:styleId="Fichefinanciretravailtitre">
    <w:name w:val="Fiche financière (travail) titre"/>
    <w:basedOn w:val="Normal"/>
    <w:next w:val="Normal"/>
    <w:pPr>
      <w:spacing w:before="120" w:after="120"/>
      <w:jc w:val="center"/>
    </w:pPr>
    <w:rPr>
      <w:b/>
      <w:u w:val="single"/>
      <w:lang w:eastAsia="de-DE"/>
    </w:rPr>
  </w:style>
  <w:style w:type="paragraph" w:customStyle="1" w:styleId="Fichefinanciretravailtitreacte">
    <w:name w:val="Fiche financière (travail) titre (acte)"/>
    <w:basedOn w:val="Normal"/>
    <w:next w:val="Normal"/>
    <w:pPr>
      <w:spacing w:before="120" w:after="120"/>
      <w:jc w:val="center"/>
    </w:pPr>
    <w:rPr>
      <w:b/>
      <w:u w:val="single"/>
      <w:lang w:eastAsia="de-DE"/>
    </w:rPr>
  </w:style>
  <w:style w:type="paragraph" w:customStyle="1" w:styleId="Fichefinancireattributiontitre">
    <w:name w:val="Fiche financière (attribution) titre"/>
    <w:basedOn w:val="Normal"/>
    <w:next w:val="Normal"/>
    <w:pPr>
      <w:spacing w:before="120" w:after="120"/>
      <w:jc w:val="center"/>
    </w:pPr>
    <w:rPr>
      <w:b/>
      <w:u w:val="single"/>
      <w:lang w:eastAsia="de-DE"/>
    </w:rPr>
  </w:style>
  <w:style w:type="paragraph" w:customStyle="1" w:styleId="Fichefinancireattributiontitreacte">
    <w:name w:val="Fiche financière (attribution) titre (acte)"/>
    <w:basedOn w:val="Normal"/>
    <w:next w:val="Normal"/>
    <w:pPr>
      <w:spacing w:before="120" w:after="120"/>
      <w:jc w:val="center"/>
    </w:pPr>
    <w:rPr>
      <w:b/>
      <w:u w:val="single"/>
      <w:lang w:eastAsia="de-DE"/>
    </w:rPr>
  </w:style>
  <w:style w:type="paragraph" w:customStyle="1" w:styleId="Objetexterne">
    <w:name w:val="Objet externe"/>
    <w:basedOn w:val="Normal"/>
    <w:next w:val="Normal"/>
    <w:pPr>
      <w:spacing w:before="120" w:after="120"/>
      <w:jc w:val="both"/>
    </w:pPr>
    <w:rPr>
      <w:i/>
      <w:caps/>
      <w:lang w:eastAsia="de-DE"/>
    </w:rPr>
  </w:style>
  <w:style w:type="paragraph" w:customStyle="1" w:styleId="FichedimpactPMEtitre">
    <w:name w:val="Fiche d'impact PME titre"/>
    <w:basedOn w:val="Normal"/>
    <w:next w:val="Normal"/>
    <w:pPr>
      <w:spacing w:before="120" w:after="120"/>
      <w:jc w:val="center"/>
    </w:pPr>
    <w:rPr>
      <w:rFonts w:ascii="Arial" w:hAnsi="Arial"/>
      <w:b/>
      <w:szCs w:val="20"/>
      <w:lang w:eastAsia="en-US"/>
    </w:rPr>
  </w:style>
  <w:style w:type="paragraph" w:customStyle="1" w:styleId="Fichefinanciretextetable">
    <w:name w:val="Fiche financière texte (table)"/>
    <w:basedOn w:val="Normal"/>
    <w:rPr>
      <w:rFonts w:ascii="Arial" w:hAnsi="Arial"/>
      <w:sz w:val="20"/>
      <w:szCs w:val="20"/>
      <w:lang w:eastAsia="en-US"/>
    </w:rPr>
  </w:style>
  <w:style w:type="paragraph" w:customStyle="1" w:styleId="Fichefinanciretitre">
    <w:name w:val="Fiche financière titre"/>
    <w:basedOn w:val="Normal"/>
    <w:next w:val="Normal"/>
    <w:pPr>
      <w:spacing w:before="120" w:after="120"/>
      <w:jc w:val="center"/>
    </w:pPr>
    <w:rPr>
      <w:rFonts w:ascii="Arial" w:hAnsi="Arial"/>
      <w:b/>
      <w:szCs w:val="20"/>
      <w:u w:val="single"/>
      <w:lang w:eastAsia="en-US"/>
    </w:rPr>
  </w:style>
  <w:style w:type="paragraph" w:customStyle="1" w:styleId="Fichefinanciretitreactetable">
    <w:name w:val="Fiche financière titre (acte table)"/>
    <w:basedOn w:val="Normal"/>
    <w:next w:val="Normal"/>
    <w:pPr>
      <w:spacing w:before="120" w:after="120"/>
      <w:jc w:val="center"/>
    </w:pPr>
    <w:rPr>
      <w:rFonts w:ascii="Arial" w:hAnsi="Arial"/>
      <w:b/>
      <w:sz w:val="40"/>
      <w:szCs w:val="20"/>
      <w:lang w:eastAsia="en-US"/>
    </w:rPr>
  </w:style>
  <w:style w:type="paragraph" w:customStyle="1" w:styleId="Fichefinanciretitreacte">
    <w:name w:val="Fiche financière titre (acte)"/>
    <w:basedOn w:val="Normal"/>
    <w:next w:val="Normal"/>
    <w:pPr>
      <w:spacing w:before="120" w:after="120"/>
      <w:jc w:val="center"/>
    </w:pPr>
    <w:rPr>
      <w:rFonts w:ascii="Arial" w:hAnsi="Arial"/>
      <w:b/>
      <w:szCs w:val="20"/>
      <w:u w:val="single"/>
      <w:lang w:eastAsia="en-US"/>
    </w:rPr>
  </w:style>
  <w:style w:type="paragraph" w:customStyle="1" w:styleId="Fichefinanciretitretable">
    <w:name w:val="Fiche financière titre (table)"/>
    <w:basedOn w:val="Normal"/>
    <w:pPr>
      <w:spacing w:before="120" w:after="120"/>
      <w:jc w:val="center"/>
    </w:pPr>
    <w:rPr>
      <w:rFonts w:ascii="Arial" w:hAnsi="Arial"/>
      <w:b/>
      <w:sz w:val="40"/>
      <w:szCs w:val="20"/>
      <w:lang w:eastAsia="en-US"/>
    </w:rPr>
  </w:style>
  <w:style w:type="character" w:styleId="Hyperlink">
    <w:name w:val="Hyperlink"/>
    <w:uiPriority w:val="99"/>
    <w:rPr>
      <w:rFonts w:cs="Times New Roman"/>
      <w:color w:val="0000FF"/>
      <w:u w:val="single"/>
    </w:rPr>
  </w:style>
  <w:style w:type="paragraph" w:customStyle="1" w:styleId="xl24">
    <w:name w:val="xl24"/>
    <w:basedOn w:val="Normal"/>
    <w:pPr>
      <w:spacing w:before="100" w:beforeAutospacing="1" w:after="100" w:afterAutospacing="1"/>
    </w:pPr>
    <w:rPr>
      <w:rFonts w:ascii="Arial" w:eastAsia="Arial Unicode MS" w:hAnsi="Arial" w:cs="Arial"/>
      <w:lang w:val="en-US" w:eastAsia="en-US"/>
    </w:rPr>
  </w:style>
  <w:style w:type="paragraph" w:customStyle="1" w:styleId="Style1">
    <w:name w:val="Style1"/>
    <w:basedOn w:val="Normal"/>
    <w:autoRedefine/>
    <w:pPr>
      <w:spacing w:before="120" w:after="120"/>
      <w:jc w:val="both"/>
    </w:pPr>
    <w:rPr>
      <w:rFonts w:ascii="Arial" w:hAnsi="Arial"/>
      <w:szCs w:val="20"/>
      <w:lang w:eastAsia="en-US"/>
    </w:rPr>
  </w:style>
  <w:style w:type="paragraph" w:styleId="BodyText">
    <w:name w:val="Body Text"/>
    <w:basedOn w:val="Normal"/>
    <w:link w:val="BodyTextChar"/>
    <w:pPr>
      <w:snapToGrid w:val="0"/>
      <w:spacing w:after="260" w:line="260" w:lineRule="atLeast"/>
      <w:jc w:val="both"/>
    </w:pPr>
    <w:rPr>
      <w:sz w:val="22"/>
      <w:szCs w:val="22"/>
    </w:rPr>
  </w:style>
  <w:style w:type="paragraph" w:styleId="BodyText2">
    <w:name w:val="Body Text 2"/>
    <w:basedOn w:val="Normal"/>
    <w:link w:val="BodyText2Char"/>
    <w:pPr>
      <w:spacing w:after="120" w:line="240" w:lineRule="atLeast"/>
    </w:pPr>
    <w:rPr>
      <w:rFonts w:ascii="Arial" w:hAnsi="Arial"/>
      <w:sz w:val="22"/>
      <w:szCs w:val="20"/>
      <w:lang w:eastAsia="en-US"/>
    </w:rPr>
  </w:style>
  <w:style w:type="paragraph" w:styleId="BodyText3">
    <w:name w:val="Body Text 3"/>
    <w:basedOn w:val="Normal"/>
    <w:link w:val="BodyText3Char"/>
    <w:pPr>
      <w:tabs>
        <w:tab w:val="left" w:pos="11340"/>
      </w:tabs>
      <w:spacing w:after="120" w:line="240" w:lineRule="atLeast"/>
    </w:pPr>
    <w:rPr>
      <w:rFonts w:ascii="Arial" w:hAnsi="Arial"/>
      <w:b/>
      <w:szCs w:val="20"/>
      <w:u w:val="single"/>
      <w:lang w:eastAsia="en-US"/>
    </w:rPr>
  </w:style>
  <w:style w:type="character" w:styleId="PageNumber">
    <w:name w:val="page number"/>
    <w:rPr>
      <w:rFonts w:cs="Times New Roman"/>
    </w:rPr>
  </w:style>
  <w:style w:type="paragraph" w:styleId="Title">
    <w:name w:val="Title"/>
    <w:basedOn w:val="Normal"/>
    <w:link w:val="TitleChar"/>
    <w:qFormat/>
    <w:pPr>
      <w:spacing w:after="120" w:line="240" w:lineRule="atLeast"/>
      <w:jc w:val="center"/>
    </w:pPr>
    <w:rPr>
      <w:rFonts w:ascii="Comic Sans MS" w:hAnsi="Comic Sans MS"/>
      <w:b/>
      <w:szCs w:val="20"/>
      <w:lang w:eastAsia="en-US"/>
    </w:rPr>
  </w:style>
  <w:style w:type="paragraph" w:customStyle="1" w:styleId="Left">
    <w:name w:val="Left"/>
    <w:basedOn w:val="Normal"/>
    <w:pPr>
      <w:spacing w:before="240" w:after="120" w:line="240" w:lineRule="atLeast"/>
    </w:pPr>
    <w:rPr>
      <w:rFonts w:ascii="Arial" w:hAnsi="Arial"/>
      <w:sz w:val="22"/>
      <w:szCs w:val="20"/>
      <w:lang w:eastAsia="en-US"/>
    </w:rPr>
  </w:style>
  <w:style w:type="paragraph" w:customStyle="1" w:styleId="Notes8">
    <w:name w:val="Notes 8"/>
    <w:basedOn w:val="Normal"/>
    <w:pPr>
      <w:jc w:val="both"/>
    </w:pPr>
    <w:rPr>
      <w:rFonts w:ascii="Arial" w:hAnsi="Arial"/>
      <w:sz w:val="16"/>
      <w:szCs w:val="20"/>
      <w:lang w:eastAsia="en-US"/>
    </w:rPr>
  </w:style>
  <w:style w:type="paragraph" w:customStyle="1" w:styleId="xl25">
    <w:name w:val="xl25"/>
    <w:basedOn w:val="Normal"/>
    <w:pPr>
      <w:spacing w:before="100" w:beforeAutospacing="1" w:after="100" w:afterAutospacing="1"/>
    </w:pPr>
    <w:rPr>
      <w:rFonts w:ascii="Arial" w:eastAsia="Arial Unicode MS" w:hAnsi="Arial" w:cs="Arial"/>
      <w:b/>
      <w:bCs/>
      <w:lang w:val="en-US" w:eastAsia="en-US"/>
    </w:rPr>
  </w:style>
  <w:style w:type="paragraph" w:customStyle="1" w:styleId="xl26">
    <w:name w:val="xl26"/>
    <w:basedOn w:val="Normal"/>
    <w:pPr>
      <w:spacing w:before="100" w:beforeAutospacing="1" w:after="100" w:afterAutospacing="1"/>
    </w:pPr>
    <w:rPr>
      <w:rFonts w:ascii="Arial" w:eastAsia="Arial Unicode MS" w:hAnsi="Arial" w:cs="Arial"/>
      <w:u w:val="single"/>
      <w:lang w:val="en-US" w:eastAsia="en-US"/>
    </w:rPr>
  </w:style>
  <w:style w:type="paragraph" w:customStyle="1" w:styleId="xl27">
    <w:name w:val="xl27"/>
    <w:basedOn w:val="Normal"/>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28">
    <w:name w:val="xl28"/>
    <w:basedOn w:val="Normal"/>
    <w:pPr>
      <w:pBdr>
        <w:top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n-US" w:eastAsia="en-US"/>
    </w:rPr>
  </w:style>
  <w:style w:type="paragraph" w:customStyle="1" w:styleId="xl29">
    <w:name w:val="xl29"/>
    <w:basedOn w:val="Normal"/>
    <w:pPr>
      <w:pBdr>
        <w:top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0">
    <w:name w:val="xl30"/>
    <w:basedOn w:val="Normal"/>
    <w:pPr>
      <w:pBdr>
        <w:top w:val="single" w:sz="8" w:space="0" w:color="auto"/>
        <w:bottom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1">
    <w:name w:val="xl31"/>
    <w:basedOn w:val="Normal"/>
    <w:pPr>
      <w:pBdr>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2">
    <w:name w:val="xl32"/>
    <w:basedOn w:val="Normal"/>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33">
    <w:name w:val="xl33"/>
    <w:basedOn w:val="Normal"/>
    <w:pPr>
      <w:pBdr>
        <w:right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34">
    <w:name w:val="xl34"/>
    <w:basedOn w:val="Normal"/>
    <w:pPr>
      <w:pBdr>
        <w:bottom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5">
    <w:name w:val="xl35"/>
    <w:basedOn w:val="Normal"/>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rFonts w:ascii="Arial" w:eastAsia="Arial Unicode MS" w:hAnsi="Arial" w:cs="Arial"/>
      <w:lang w:val="en-US" w:eastAsia="en-US"/>
    </w:rPr>
  </w:style>
  <w:style w:type="paragraph" w:customStyle="1" w:styleId="xl36">
    <w:name w:val="xl36"/>
    <w:basedOn w:val="Normal"/>
    <w:pPr>
      <w:pBdr>
        <w:left w:val="single" w:sz="8" w:space="0" w:color="auto"/>
      </w:pBdr>
      <w:shd w:val="clear" w:color="auto" w:fill="FFFFFF"/>
      <w:spacing w:before="100" w:beforeAutospacing="1" w:after="100" w:afterAutospacing="1"/>
      <w:jc w:val="both"/>
    </w:pPr>
    <w:rPr>
      <w:rFonts w:ascii="Arial" w:eastAsia="Arial Unicode MS" w:hAnsi="Arial" w:cs="Arial"/>
      <w:lang w:val="en-US" w:eastAsia="en-US"/>
    </w:rPr>
  </w:style>
  <w:style w:type="paragraph" w:customStyle="1" w:styleId="xl37">
    <w:name w:val="xl37"/>
    <w:basedOn w:val="Normal"/>
    <w:pPr>
      <w:pBdr>
        <w:left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38">
    <w:name w:val="xl38"/>
    <w:basedOn w:val="Normal"/>
    <w:pPr>
      <w:pBdr>
        <w:top w:val="single" w:sz="8" w:space="0" w:color="auto"/>
        <w:left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39">
    <w:name w:val="xl39"/>
    <w:basedOn w:val="Normal"/>
    <w:pPr>
      <w:pBdr>
        <w:left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40">
    <w:name w:val="xl40"/>
    <w:basedOn w:val="Normal"/>
    <w:pPr>
      <w:pBdr>
        <w:left w:val="single" w:sz="8" w:space="0" w:color="auto"/>
      </w:pBdr>
      <w:shd w:val="clear" w:color="auto" w:fill="FFFFFF"/>
      <w:spacing w:before="100" w:beforeAutospacing="1" w:after="100" w:afterAutospacing="1"/>
      <w:jc w:val="both"/>
    </w:pPr>
    <w:rPr>
      <w:rFonts w:ascii="Arial" w:eastAsia="Arial Unicode MS" w:hAnsi="Arial" w:cs="Arial"/>
      <w:b/>
      <w:bCs/>
      <w:lang w:val="en-US" w:eastAsia="en-US"/>
    </w:rPr>
  </w:style>
  <w:style w:type="paragraph" w:customStyle="1" w:styleId="xl41">
    <w:name w:val="xl41"/>
    <w:basedOn w:val="Normal"/>
    <w:pPr>
      <w:pBdr>
        <w:right w:val="single" w:sz="8" w:space="0" w:color="auto"/>
      </w:pBdr>
      <w:shd w:val="clear" w:color="auto" w:fill="FFFFFF"/>
      <w:spacing w:before="100" w:beforeAutospacing="1" w:after="100" w:afterAutospacing="1"/>
      <w:jc w:val="right"/>
    </w:pPr>
    <w:rPr>
      <w:rFonts w:ascii="Arial" w:eastAsia="Arial Unicode MS" w:hAnsi="Arial" w:cs="Arial"/>
      <w:sz w:val="18"/>
      <w:szCs w:val="18"/>
      <w:lang w:val="en-US" w:eastAsia="en-US"/>
    </w:rPr>
  </w:style>
  <w:style w:type="paragraph" w:customStyle="1" w:styleId="xl42">
    <w:name w:val="xl42"/>
    <w:basedOn w:val="Normal"/>
    <w:pPr>
      <w:pBdr>
        <w:top w:val="single" w:sz="8" w:space="0" w:color="auto"/>
        <w:left w:val="single" w:sz="8" w:space="0" w:color="auto"/>
        <w:bottom w:val="single" w:sz="8" w:space="0" w:color="auto"/>
      </w:pBdr>
      <w:shd w:val="clear" w:color="auto" w:fill="FFFFFF"/>
      <w:spacing w:before="100" w:beforeAutospacing="1" w:after="100" w:afterAutospacing="1"/>
      <w:jc w:val="both"/>
    </w:pPr>
    <w:rPr>
      <w:rFonts w:ascii="Arial" w:eastAsia="Arial Unicode MS" w:hAnsi="Arial" w:cs="Arial"/>
      <w:b/>
      <w:bCs/>
      <w:lang w:val="en-US" w:eastAsia="en-US"/>
    </w:rPr>
  </w:style>
  <w:style w:type="paragraph" w:customStyle="1" w:styleId="xl43">
    <w:name w:val="xl43"/>
    <w:basedOn w:val="Normal"/>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44">
    <w:name w:val="xl44"/>
    <w:basedOn w:val="Normal"/>
    <w:pPr>
      <w:pBdr>
        <w:left w:val="single" w:sz="8" w:space="0" w:color="auto"/>
        <w:bottom w:val="single" w:sz="8" w:space="0" w:color="auto"/>
      </w:pBdr>
      <w:shd w:val="clear" w:color="auto" w:fill="FFFFFF"/>
      <w:spacing w:before="100" w:beforeAutospacing="1" w:after="100" w:afterAutospacing="1"/>
      <w:jc w:val="both"/>
    </w:pPr>
    <w:rPr>
      <w:rFonts w:ascii="Arial" w:eastAsia="Arial Unicode MS" w:hAnsi="Arial" w:cs="Arial"/>
      <w:b/>
      <w:bCs/>
      <w:i/>
      <w:iCs/>
      <w:lang w:val="en-US" w:eastAsia="en-US"/>
    </w:rPr>
  </w:style>
  <w:style w:type="paragraph" w:customStyle="1" w:styleId="xl45">
    <w:name w:val="xl45"/>
    <w:basedOn w:val="Normal"/>
    <w:pPr>
      <w:pBdr>
        <w:left w:val="single" w:sz="8" w:space="0" w:color="auto"/>
        <w:bottom w:val="single" w:sz="8" w:space="0" w:color="auto"/>
      </w:pBd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46">
    <w:name w:val="xl46"/>
    <w:basedOn w:val="Normal"/>
    <w:pPr>
      <w:pBdr>
        <w:left w:val="single" w:sz="8" w:space="0" w:color="auto"/>
        <w:bottom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47">
    <w:name w:val="xl47"/>
    <w:basedOn w:val="Normal"/>
    <w:pPr>
      <w:pBdr>
        <w:left w:val="single" w:sz="8" w:space="0" w:color="auto"/>
        <w:bottom w:val="single" w:sz="8" w:space="0" w:color="auto"/>
      </w:pBdr>
      <w:shd w:val="clear" w:color="auto" w:fill="FFFFFF"/>
      <w:spacing w:before="100" w:beforeAutospacing="1" w:after="100" w:afterAutospacing="1"/>
      <w:jc w:val="both"/>
    </w:pPr>
    <w:rPr>
      <w:rFonts w:ascii="Arial" w:eastAsia="Arial Unicode MS" w:hAnsi="Arial" w:cs="Arial"/>
      <w:b/>
      <w:bCs/>
      <w:lang w:val="en-US" w:eastAsia="en-US"/>
    </w:rPr>
  </w:style>
  <w:style w:type="paragraph" w:customStyle="1" w:styleId="xl48">
    <w:name w:val="xl48"/>
    <w:basedOn w:val="Normal"/>
    <w:pPr>
      <w:pBdr>
        <w:left w:val="single" w:sz="8" w:space="0" w:color="auto"/>
        <w:right w:val="single" w:sz="8" w:space="0" w:color="auto"/>
      </w:pBdr>
      <w:shd w:val="clear" w:color="auto" w:fill="FFFFFF"/>
      <w:spacing w:before="100" w:beforeAutospacing="1" w:after="100" w:afterAutospacing="1"/>
      <w:jc w:val="both"/>
    </w:pPr>
    <w:rPr>
      <w:rFonts w:ascii="Arial" w:eastAsia="Arial Unicode MS" w:hAnsi="Arial" w:cs="Arial"/>
      <w:b/>
      <w:bCs/>
      <w:lang w:val="en-US" w:eastAsia="en-US"/>
    </w:rPr>
  </w:style>
  <w:style w:type="paragraph" w:customStyle="1" w:styleId="xl49">
    <w:name w:val="xl49"/>
    <w:basedOn w:val="Normal"/>
    <w:pPr>
      <w:pBdr>
        <w:left w:val="single" w:sz="8" w:space="0" w:color="auto"/>
        <w:right w:val="single" w:sz="8" w:space="0" w:color="auto"/>
      </w:pBdr>
      <w:shd w:val="clear" w:color="auto" w:fill="FFFFFF"/>
      <w:spacing w:before="100" w:beforeAutospacing="1" w:after="100" w:afterAutospacing="1"/>
      <w:jc w:val="both"/>
    </w:pPr>
    <w:rPr>
      <w:rFonts w:ascii="Arial" w:eastAsia="Arial Unicode MS" w:hAnsi="Arial" w:cs="Arial"/>
      <w:lang w:val="en-US" w:eastAsia="en-US"/>
    </w:rPr>
  </w:style>
  <w:style w:type="paragraph" w:customStyle="1" w:styleId="xl50">
    <w:name w:val="xl50"/>
    <w:basedOn w:val="Normal"/>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51">
    <w:name w:val="xl51"/>
    <w:basedOn w:val="Normal"/>
    <w:pPr>
      <w:shd w:val="clear" w:color="auto" w:fill="FFFFFF"/>
      <w:spacing w:before="100" w:beforeAutospacing="1" w:after="100" w:afterAutospacing="1"/>
      <w:jc w:val="both"/>
    </w:pPr>
    <w:rPr>
      <w:rFonts w:ascii="Arial" w:eastAsia="Arial Unicode MS" w:hAnsi="Arial" w:cs="Arial"/>
      <w:lang w:val="en-US" w:eastAsia="en-US"/>
    </w:rPr>
  </w:style>
  <w:style w:type="paragraph" w:customStyle="1" w:styleId="xl52">
    <w:name w:val="xl52"/>
    <w:basedOn w:val="Normal"/>
    <w:pPr>
      <w:shd w:val="clear" w:color="auto" w:fill="FFFFFF"/>
      <w:spacing w:before="100" w:beforeAutospacing="1" w:after="100" w:afterAutospacing="1"/>
      <w:jc w:val="center"/>
    </w:pPr>
    <w:rPr>
      <w:rFonts w:ascii="Arial" w:eastAsia="Arial Unicode MS" w:hAnsi="Arial" w:cs="Arial"/>
      <w:lang w:val="en-US" w:eastAsia="en-US"/>
    </w:rPr>
  </w:style>
  <w:style w:type="paragraph" w:customStyle="1" w:styleId="xl53">
    <w:name w:val="xl53"/>
    <w:basedOn w:val="Normal"/>
    <w:pPr>
      <w:shd w:val="clear" w:color="auto" w:fill="FFFFFF"/>
      <w:spacing w:before="100" w:beforeAutospacing="1" w:after="100" w:afterAutospacing="1"/>
      <w:jc w:val="right"/>
    </w:pPr>
    <w:rPr>
      <w:rFonts w:ascii="Arial" w:eastAsia="Arial Unicode MS" w:hAnsi="Arial" w:cs="Arial"/>
      <w:lang w:val="en-US" w:eastAsia="en-US"/>
    </w:rPr>
  </w:style>
  <w:style w:type="paragraph" w:customStyle="1" w:styleId="xl54">
    <w:name w:val="xl54"/>
    <w:basedOn w:val="Normal"/>
    <w:pPr>
      <w:pBdr>
        <w:left w:val="single" w:sz="8" w:space="0" w:color="auto"/>
        <w:right w:val="single" w:sz="8" w:space="0" w:color="auto"/>
      </w:pBdr>
      <w:shd w:val="clear" w:color="auto" w:fill="FFFFFF"/>
      <w:spacing w:before="100" w:beforeAutospacing="1" w:after="100" w:afterAutospacing="1"/>
      <w:jc w:val="right"/>
    </w:pPr>
    <w:rPr>
      <w:rFonts w:ascii="Arial" w:eastAsia="Arial Unicode MS" w:hAnsi="Arial" w:cs="Arial"/>
      <w:sz w:val="18"/>
      <w:szCs w:val="18"/>
      <w:lang w:val="en-US" w:eastAsia="en-US"/>
    </w:rPr>
  </w:style>
  <w:style w:type="paragraph" w:customStyle="1" w:styleId="Style10">
    <w:name w:val="Style 1"/>
    <w:basedOn w:val="Normal"/>
    <w:pPr>
      <w:widowControl w:val="0"/>
      <w:autoSpaceDE w:val="0"/>
      <w:autoSpaceDN w:val="0"/>
      <w:adjustRightInd w:val="0"/>
    </w:pPr>
    <w:rPr>
      <w:sz w:val="20"/>
      <w:lang w:val="en-US" w:eastAsia="en-US"/>
    </w:rPr>
  </w:style>
  <w:style w:type="paragraph" w:styleId="NormalWeb">
    <w:name w:val="Normal (Web)"/>
    <w:basedOn w:val="Normal"/>
    <w:uiPriority w:val="99"/>
    <w:pPr>
      <w:spacing w:before="100" w:beforeAutospacing="1" w:after="100" w:afterAutospacing="1" w:line="220" w:lineRule="atLeast"/>
    </w:pPr>
    <w:rPr>
      <w:rFonts w:ascii="Verdana" w:hAnsi="Verdana"/>
      <w:color w:val="000000"/>
      <w:sz w:val="16"/>
      <w:szCs w:val="16"/>
      <w:lang w:val="en-US" w:eastAsia="en-US"/>
    </w:rPr>
  </w:style>
  <w:style w:type="paragraph" w:styleId="BodyTextIndent">
    <w:name w:val="Body Text Indent"/>
    <w:basedOn w:val="Normal"/>
    <w:pPr>
      <w:spacing w:before="120" w:after="120"/>
      <w:ind w:left="284" w:hanging="284"/>
      <w:jc w:val="both"/>
    </w:pPr>
    <w:rPr>
      <w:rFonts w:ascii="Arial" w:hAnsi="Arial" w:cs="Arial"/>
      <w:szCs w:val="20"/>
      <w:lang w:eastAsia="en-US"/>
    </w:rPr>
  </w:style>
  <w:style w:type="character" w:styleId="FollowedHyperlink">
    <w:name w:val="FollowedHyperlink"/>
    <w:uiPriority w:val="99"/>
    <w:rPr>
      <w:color w:val="800080"/>
      <w:u w:val="single"/>
    </w:rPr>
  </w:style>
  <w:style w:type="paragraph" w:styleId="Closing">
    <w:name w:val="Closing"/>
    <w:basedOn w:val="Normal"/>
    <w:pPr>
      <w:spacing w:line="290" w:lineRule="atLeast"/>
    </w:pPr>
    <w:rPr>
      <w:szCs w:val="20"/>
      <w:lang w:eastAsia="en-US"/>
    </w:rPr>
  </w:style>
  <w:style w:type="paragraph" w:styleId="ListNumber5">
    <w:name w:val="List Number 5"/>
    <w:basedOn w:val="Normal"/>
    <w:pPr>
      <w:tabs>
        <w:tab w:val="num" w:pos="2976"/>
      </w:tabs>
      <w:spacing w:after="290" w:line="288" w:lineRule="auto"/>
      <w:ind w:left="2976" w:hanging="595"/>
    </w:pPr>
    <w:rPr>
      <w:szCs w:val="20"/>
      <w:lang w:eastAsia="en-US"/>
    </w:rPr>
  </w:style>
  <w:style w:type="paragraph" w:customStyle="1" w:styleId="TableColumnHeader">
    <w:name w:val="Table Column Header"/>
    <w:basedOn w:val="Normal"/>
    <w:pPr>
      <w:spacing w:before="120" w:after="170" w:line="290" w:lineRule="atLeast"/>
    </w:pPr>
    <w:rPr>
      <w:b/>
      <w:szCs w:val="20"/>
      <w:lang w:eastAsia="en-US"/>
    </w:rPr>
  </w:style>
  <w:style w:type="paragraph" w:customStyle="1" w:styleId="DefaultText">
    <w:name w:val="Default Text"/>
    <w:basedOn w:val="Normal"/>
    <w:rPr>
      <w:szCs w:val="20"/>
      <w:lang w:eastAsia="en-US"/>
    </w:rPr>
  </w:style>
  <w:style w:type="paragraph" w:customStyle="1" w:styleId="Disclaimer">
    <w:name w:val="Disclaimer"/>
    <w:basedOn w:val="Normal"/>
    <w:pPr>
      <w:spacing w:line="200" w:lineRule="exact"/>
    </w:pPr>
    <w:rPr>
      <w:sz w:val="16"/>
      <w:szCs w:val="20"/>
      <w:lang w:eastAsia="en-US"/>
    </w:rPr>
  </w:style>
  <w:style w:type="character" w:styleId="CommentReference">
    <w:name w:val="annotation reference"/>
    <w:rPr>
      <w:sz w:val="16"/>
      <w:szCs w:val="1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Revision">
    <w:name w:val="Revision"/>
    <w:hidden/>
    <w:uiPriority w:val="99"/>
    <w:semiHidden/>
    <w:rPr>
      <w:sz w:val="24"/>
      <w:szCs w:val="24"/>
    </w:rPr>
  </w:style>
  <w:style w:type="paragraph" w:styleId="TOC2">
    <w:name w:val="toc 2"/>
    <w:basedOn w:val="Normal"/>
    <w:next w:val="Normal"/>
    <w:autoRedefine/>
    <w:uiPriority w:val="39"/>
    <w:pPr>
      <w:tabs>
        <w:tab w:val="left" w:pos="1134"/>
        <w:tab w:val="right" w:leader="dot" w:pos="9061"/>
      </w:tabs>
      <w:spacing w:before="120" w:after="120"/>
      <w:ind w:left="238"/>
    </w:pPr>
  </w:style>
  <w:style w:type="paragraph" w:styleId="TOC3">
    <w:name w:val="toc 3"/>
    <w:basedOn w:val="Normal"/>
    <w:next w:val="Normal"/>
    <w:autoRedefine/>
    <w:uiPriority w:val="39"/>
    <w:pPr>
      <w:tabs>
        <w:tab w:val="left" w:pos="851"/>
        <w:tab w:val="right" w:leader="dot" w:pos="9061"/>
      </w:tabs>
      <w:spacing w:before="100" w:beforeAutospacing="1" w:after="100" w:afterAutospacing="1"/>
    </w:pPr>
  </w:style>
  <w:style w:type="numbering" w:customStyle="1" w:styleId="NoList1">
    <w:name w:val="No List1"/>
    <w:next w:val="NoList"/>
    <w:uiPriority w:val="99"/>
    <w:semiHidden/>
    <w:unhideWhenUsed/>
  </w:style>
  <w:style w:type="character" w:customStyle="1" w:styleId="Heading1Char">
    <w:name w:val="Heading 1 Char"/>
    <w:link w:val="Heading1"/>
    <w:rPr>
      <w:b/>
      <w:bCs/>
      <w:smallCaps/>
      <w:sz w:val="28"/>
      <w:szCs w:val="32"/>
      <w:lang w:eastAsia="de-DE"/>
    </w:rPr>
  </w:style>
  <w:style w:type="character" w:customStyle="1" w:styleId="Heading2Char">
    <w:name w:val="Heading 2 Char"/>
    <w:link w:val="Heading2"/>
    <w:rPr>
      <w:b/>
      <w:bCs/>
      <w:iCs/>
      <w:sz w:val="26"/>
      <w:szCs w:val="28"/>
      <w:lang w:eastAsia="de-DE"/>
    </w:rPr>
  </w:style>
  <w:style w:type="character" w:customStyle="1" w:styleId="Heading3Char">
    <w:name w:val="Heading 3 Char"/>
    <w:link w:val="Heading3"/>
    <w:rPr>
      <w:b/>
      <w:bCs/>
      <w:sz w:val="24"/>
      <w:szCs w:val="26"/>
      <w:lang w:eastAsia="de-DE"/>
    </w:rPr>
  </w:style>
  <w:style w:type="character" w:customStyle="1" w:styleId="Heading4Char">
    <w:name w:val="Heading 4 Char"/>
    <w:link w:val="Heading4"/>
    <w:rPr>
      <w:b/>
      <w:bCs/>
      <w:i/>
      <w:sz w:val="24"/>
      <w:szCs w:val="28"/>
      <w:lang w:eastAsia="de-DE"/>
    </w:rPr>
  </w:style>
  <w:style w:type="character" w:customStyle="1" w:styleId="Heading5Char">
    <w:name w:val="Heading 5 Char"/>
    <w:link w:val="Heading5"/>
    <w:rPr>
      <w:b/>
      <w:sz w:val="22"/>
      <w:lang w:eastAsia="en-US"/>
    </w:rPr>
  </w:style>
  <w:style w:type="character" w:customStyle="1" w:styleId="Heading6Char">
    <w:name w:val="Heading 6 Char"/>
    <w:link w:val="Heading6"/>
    <w:rPr>
      <w:sz w:val="22"/>
      <w:u w:val="single"/>
      <w:lang w:eastAsia="en-US"/>
    </w:rPr>
  </w:style>
  <w:style w:type="character" w:customStyle="1" w:styleId="Heading7Char">
    <w:name w:val="Heading 7 Char"/>
    <w:link w:val="Heading7"/>
    <w:rPr>
      <w:i/>
      <w:sz w:val="22"/>
      <w:lang w:eastAsia="en-US"/>
    </w:rPr>
  </w:style>
  <w:style w:type="character" w:customStyle="1" w:styleId="Heading8Char">
    <w:name w:val="Heading 8 Char"/>
    <w:link w:val="Heading8"/>
    <w:rPr>
      <w:i/>
      <w:sz w:val="22"/>
      <w:lang w:eastAsia="en-US"/>
    </w:rPr>
  </w:style>
  <w:style w:type="character" w:customStyle="1" w:styleId="Heading9Char">
    <w:name w:val="Heading 9 Char"/>
    <w:link w:val="Heading9"/>
    <w:rPr>
      <w:i/>
      <w:sz w:val="22"/>
      <w:lang w:eastAsia="en-US"/>
    </w:rPr>
  </w:style>
  <w:style w:type="character" w:customStyle="1" w:styleId="FootnoteCharacters">
    <w:name w:val="Footnote Characters"/>
    <w:rPr>
      <w:rFonts w:cs="Times New Roman"/>
      <w:position w:val="6"/>
      <w:sz w:val="16"/>
      <w:shd w:val="clear" w:color="auto" w:fill="auto"/>
    </w:rPr>
  </w:style>
  <w:style w:type="character" w:customStyle="1" w:styleId="BodyTextChar">
    <w:name w:val="Body Text Char"/>
    <w:link w:val="BodyText"/>
    <w:rPr>
      <w:sz w:val="22"/>
      <w:szCs w:val="22"/>
    </w:rPr>
  </w:style>
  <w:style w:type="character" w:customStyle="1" w:styleId="BodyText2Char">
    <w:name w:val="Body Text 2 Char"/>
    <w:link w:val="BodyText2"/>
    <w:rPr>
      <w:rFonts w:ascii="Arial" w:hAnsi="Arial"/>
      <w:sz w:val="22"/>
      <w:lang w:eastAsia="en-US"/>
    </w:rPr>
  </w:style>
  <w:style w:type="paragraph" w:customStyle="1" w:styleId="Para1">
    <w:name w:val="Para1"/>
    <w:basedOn w:val="Normal"/>
    <w:pPr>
      <w:tabs>
        <w:tab w:val="left" w:pos="1134"/>
        <w:tab w:val="left" w:pos="1418"/>
      </w:tabs>
      <w:suppressAutoHyphens/>
      <w:spacing w:before="240"/>
      <w:ind w:left="1418" w:hanging="1418"/>
    </w:pPr>
    <w:rPr>
      <w:rFonts w:ascii="Arial" w:hAnsi="Arial"/>
      <w:sz w:val="20"/>
      <w:szCs w:val="20"/>
      <w:lang w:eastAsia="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link w:val="BodyText3"/>
    <w:rPr>
      <w:rFonts w:ascii="Arial" w:hAnsi="Arial"/>
      <w:b/>
      <w:sz w:val="24"/>
      <w:u w:val="single"/>
      <w:lang w:eastAsia="en-US"/>
    </w:rPr>
  </w:style>
  <w:style w:type="character" w:customStyle="1" w:styleId="TitleChar">
    <w:name w:val="Title Char"/>
    <w:link w:val="Title"/>
    <w:rPr>
      <w:rFonts w:ascii="Comic Sans MS" w:hAnsi="Comic Sans MS"/>
      <w:b/>
      <w:sz w:val="24"/>
      <w:lang w:eastAsia="en-US"/>
    </w:rPr>
  </w:style>
  <w:style w:type="paragraph" w:styleId="CommentText">
    <w:name w:val="annotation text"/>
    <w:basedOn w:val="Normal"/>
    <w:link w:val="CommentTextChar"/>
    <w:pPr>
      <w:spacing w:after="120" w:line="240" w:lineRule="atLeast"/>
    </w:pPr>
    <w:rPr>
      <w:rFonts w:ascii="Arial" w:hAnsi="Arial"/>
      <w:sz w:val="22"/>
      <w:szCs w:val="20"/>
    </w:rPr>
  </w:style>
  <w:style w:type="character" w:customStyle="1" w:styleId="CommentTextChar">
    <w:name w:val="Comment Text Char"/>
    <w:link w:val="CommentText"/>
    <w:uiPriority w:val="99"/>
    <w:rPr>
      <w:rFonts w:ascii="Arial" w:hAnsi="Arial"/>
      <w:sz w:val="22"/>
    </w:rPr>
  </w:style>
  <w:style w:type="paragraph" w:customStyle="1" w:styleId="NotesText">
    <w:name w:val="Notes Text"/>
    <w:basedOn w:val="Normal"/>
    <w:autoRedefine/>
    <w:pPr>
      <w:spacing w:after="60" w:line="180" w:lineRule="atLeast"/>
      <w:jc w:val="both"/>
    </w:pPr>
    <w:rPr>
      <w:rFonts w:ascii="Arial" w:hAnsi="Arial" w:cs="Arial"/>
      <w:color w:val="000000"/>
      <w:sz w:val="15"/>
      <w:szCs w:val="20"/>
    </w:rPr>
  </w:style>
  <w:style w:type="paragraph" w:customStyle="1" w:styleId="Notes">
    <w:name w:val="Notes"/>
    <w:basedOn w:val="Header"/>
    <w:link w:val="NotesChar"/>
    <w:pPr>
      <w:numPr>
        <w:numId w:val="27"/>
      </w:numPr>
      <w:tabs>
        <w:tab w:val="clear" w:pos="4535"/>
        <w:tab w:val="clear" w:pos="9071"/>
        <w:tab w:val="center" w:pos="4320"/>
        <w:tab w:val="right" w:pos="8640"/>
      </w:tabs>
    </w:pPr>
    <w:rPr>
      <w:rFonts w:ascii="Arial" w:hAnsi="Arial"/>
      <w:b/>
      <w:sz w:val="20"/>
      <w:lang w:val="en-US"/>
    </w:rPr>
  </w:style>
  <w:style w:type="paragraph" w:styleId="CommentSubject">
    <w:name w:val="annotation subject"/>
    <w:basedOn w:val="CommentText"/>
    <w:next w:val="CommentText"/>
    <w:link w:val="CommentSubjectChar"/>
    <w:rPr>
      <w:b/>
      <w:bCs/>
      <w:sz w:val="20"/>
    </w:rPr>
  </w:style>
  <w:style w:type="character" w:customStyle="1" w:styleId="CommentSubjectChar">
    <w:name w:val="Comment Subject Char"/>
    <w:link w:val="CommentSubject"/>
    <w:rPr>
      <w:rFonts w:ascii="Arial" w:hAnsi="Arial"/>
      <w:b/>
      <w:bCs/>
      <w:sz w:val="22"/>
    </w:rPr>
  </w:style>
  <w:style w:type="character" w:styleId="Emphasis">
    <w:name w:val="Emphasis"/>
    <w:qFormat/>
    <w:rPr>
      <w:i/>
      <w:iCs/>
    </w:rPr>
  </w:style>
  <w:style w:type="paragraph" w:styleId="NoSpacing">
    <w:name w:val="No Spacing"/>
    <w:link w:val="NoSpacingChar"/>
    <w:uiPriority w:val="1"/>
    <w:qFormat/>
    <w:pPr>
      <w:spacing w:after="200" w:line="276" w:lineRule="auto"/>
    </w:pPr>
    <w:rPr>
      <w:rFonts w:ascii="Calibri" w:eastAsia="MS Mincho" w:hAnsi="Calibri" w:cs="Arial"/>
      <w:sz w:val="22"/>
      <w:szCs w:val="22"/>
      <w:lang w:val="en-US" w:eastAsia="ja-JP"/>
    </w:rPr>
  </w:style>
  <w:style w:type="character" w:customStyle="1" w:styleId="NoSpacingChar">
    <w:name w:val="No Spacing Char"/>
    <w:link w:val="NoSpacing"/>
    <w:uiPriority w:val="1"/>
    <w:rPr>
      <w:rFonts w:ascii="Calibri" w:eastAsia="MS Mincho" w:hAnsi="Calibri" w:cs="Arial"/>
      <w:sz w:val="22"/>
      <w:szCs w:val="22"/>
      <w:lang w:val="en-US" w:eastAsia="ja-JP"/>
    </w:rPr>
  </w:style>
  <w:style w:type="paragraph" w:styleId="EndnoteText">
    <w:name w:val="endnote text"/>
    <w:basedOn w:val="Normal"/>
    <w:link w:val="EndnoteTextChar"/>
    <w:uiPriority w:val="99"/>
    <w:pPr>
      <w:spacing w:before="120" w:after="120"/>
      <w:jc w:val="both"/>
    </w:pPr>
    <w:rPr>
      <w:sz w:val="20"/>
      <w:szCs w:val="20"/>
    </w:rPr>
  </w:style>
  <w:style w:type="character" w:customStyle="1" w:styleId="EndnoteTextChar">
    <w:name w:val="Endnote Text Char"/>
    <w:basedOn w:val="DefaultParagraphFont"/>
    <w:link w:val="EndnoteText"/>
    <w:uiPriority w:val="99"/>
  </w:style>
  <w:style w:type="character" w:styleId="EndnoteReference">
    <w:name w:val="endnote reference"/>
    <w:uiPriority w:val="99"/>
    <w:rPr>
      <w:vertAlign w:val="superscript"/>
    </w:rPr>
  </w:style>
  <w:style w:type="character" w:styleId="LineNumber">
    <w:name w:val="line number"/>
  </w:style>
  <w:style w:type="paragraph" w:styleId="Caption">
    <w:name w:val="caption"/>
    <w:basedOn w:val="Normal"/>
    <w:next w:val="Normal"/>
    <w:qFormat/>
    <w:pPr>
      <w:spacing w:before="120" w:after="120"/>
      <w:jc w:val="both"/>
    </w:pPr>
    <w:rPr>
      <w:b/>
      <w:bCs/>
      <w:sz w:val="20"/>
      <w:szCs w:val="20"/>
    </w:rPr>
  </w:style>
  <w:style w:type="paragraph" w:styleId="TableofFigures">
    <w:name w:val="table of figures"/>
    <w:basedOn w:val="Normal"/>
    <w:next w:val="Normal"/>
    <w:pPr>
      <w:spacing w:before="120" w:after="120"/>
      <w:jc w:val="both"/>
    </w:pPr>
    <w:rPr>
      <w:szCs w:val="22"/>
    </w:rPr>
  </w:style>
  <w:style w:type="character" w:customStyle="1" w:styleId="TOCHeadingChar">
    <w:name w:val="TOC Heading Char"/>
    <w:uiPriority w:val="39"/>
    <w:rPr>
      <w:b/>
      <w:sz w:val="28"/>
      <w:szCs w:val="24"/>
      <w:lang w:eastAsia="en-US"/>
    </w:rPr>
  </w:style>
  <w:style w:type="character" w:customStyle="1" w:styleId="FooterCoverPageChar">
    <w:name w:val="Footer Cover Page Char"/>
    <w:link w:val="FooterCoverPage"/>
    <w:rPr>
      <w:sz w:val="24"/>
      <w:szCs w:val="24"/>
    </w:rPr>
  </w:style>
  <w:style w:type="character" w:customStyle="1" w:styleId="HeaderCoverPageChar">
    <w:name w:val="Header Cover Page Char"/>
    <w:link w:val="HeaderCoverPage"/>
    <w:rPr>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NotesChar">
    <w:name w:val="Notes Char"/>
    <w:link w:val="Notes"/>
    <w:rPr>
      <w:rFonts w:ascii="Arial" w:eastAsia="Calibri" w:hAnsi="Arial"/>
      <w:b/>
      <w:szCs w:val="22"/>
      <w:lang w:val="en-US" w:eastAsia="en-US"/>
    </w:rPr>
  </w:style>
  <w:style w:type="paragraph" w:customStyle="1" w:styleId="Title11">
    <w:name w:val="Title 1.1"/>
    <w:basedOn w:val="Notes"/>
    <w:pPr>
      <w:numPr>
        <w:numId w:val="0"/>
      </w:numPr>
      <w:tabs>
        <w:tab w:val="clear" w:pos="4320"/>
        <w:tab w:val="clear" w:pos="8640"/>
        <w:tab w:val="right" w:pos="-2700"/>
        <w:tab w:val="num" w:pos="431"/>
        <w:tab w:val="right" w:pos="720"/>
      </w:tabs>
      <w:suppressAutoHyphens/>
      <w:spacing w:after="0"/>
      <w:ind w:left="431" w:hanging="431"/>
    </w:pPr>
    <w:rPr>
      <w:b w:val="0"/>
      <w:szCs w:val="20"/>
      <w:lang w:val="en-GB" w:eastAsia="ar-SA"/>
    </w:rPr>
  </w:style>
  <w:style w:type="paragraph" w:customStyle="1" w:styleId="Normal0">
    <w:name w:val="Normal_0"/>
    <w:qFormat/>
    <w:pPr>
      <w:spacing w:after="120" w:line="240" w:lineRule="atLeast"/>
    </w:pPr>
    <w:rPr>
      <w:rFonts w:ascii="Arial" w:hAnsi="Arial"/>
      <w:sz w:val="22"/>
      <w:szCs w:val="22"/>
      <w:lang w:eastAsia="en-US"/>
    </w:rPr>
  </w:style>
  <w:style w:type="paragraph" w:customStyle="1" w:styleId="Heading20">
    <w:name w:val="Heading 2_0"/>
    <w:basedOn w:val="Normal0"/>
    <w:next w:val="Normal0"/>
    <w:qFormat/>
    <w:pPr>
      <w:spacing w:before="120"/>
      <w:outlineLvl w:val="1"/>
    </w:pPr>
    <w:rPr>
      <w:b/>
    </w:rPr>
  </w:style>
  <w:style w:type="character" w:customStyle="1" w:styleId="Heading2Char0">
    <w:name w:val="Heading 2 Char_0"/>
    <w:rPr>
      <w:rFonts w:ascii="Arial" w:hAnsi="Arial"/>
      <w:b/>
      <w:sz w:val="22"/>
      <w:szCs w:val="22"/>
      <w:lang w:eastAsia="en-US"/>
    </w:rPr>
  </w:style>
  <w:style w:type="paragraph" w:customStyle="1" w:styleId="BodyText0">
    <w:name w:val="Body Text_0"/>
    <w:basedOn w:val="Normal0"/>
    <w:pPr>
      <w:jc w:val="both"/>
    </w:pPr>
    <w:rPr>
      <w:sz w:val="20"/>
    </w:rPr>
  </w:style>
  <w:style w:type="character" w:customStyle="1" w:styleId="BodyTextChar0">
    <w:name w:val="Body Text Char_0"/>
    <w:rPr>
      <w:rFonts w:ascii="Arial" w:hAnsi="Arial"/>
      <w:szCs w:val="22"/>
      <w:lang w:eastAsia="en-US"/>
    </w:rPr>
  </w:style>
  <w:style w:type="paragraph" w:customStyle="1" w:styleId="Heading21">
    <w:name w:val="Heading 2_1"/>
    <w:basedOn w:val="Normal1"/>
    <w:next w:val="Normal1"/>
    <w:qFormat/>
    <w:pPr>
      <w:spacing w:before="120"/>
      <w:outlineLvl w:val="1"/>
    </w:pPr>
    <w:rPr>
      <w:b/>
    </w:rPr>
  </w:style>
  <w:style w:type="paragraph" w:customStyle="1" w:styleId="Normal1">
    <w:name w:val="Normal_1"/>
    <w:qFormat/>
    <w:pPr>
      <w:spacing w:after="120" w:line="240" w:lineRule="atLeast"/>
    </w:pPr>
    <w:rPr>
      <w:rFonts w:ascii="Arial" w:hAnsi="Arial"/>
      <w:sz w:val="22"/>
      <w:szCs w:val="22"/>
      <w:lang w:eastAsia="en-US"/>
    </w:rPr>
  </w:style>
  <w:style w:type="character" w:customStyle="1" w:styleId="Heading2Char1">
    <w:name w:val="Heading 2 Char_1"/>
    <w:rPr>
      <w:rFonts w:ascii="Arial" w:hAnsi="Arial"/>
      <w:b/>
      <w:sz w:val="22"/>
      <w:szCs w:val="22"/>
      <w:lang w:eastAsia="en-US"/>
    </w:rPr>
  </w:style>
  <w:style w:type="character" w:customStyle="1" w:styleId="FootnoteReference0">
    <w:name w:val="Footnote Reference_0"/>
    <w:uiPriority w:val="99"/>
    <w:semiHidden/>
    <w:rPr>
      <w:rFonts w:cs="Times New Roman"/>
      <w:position w:val="6"/>
      <w:sz w:val="16"/>
    </w:rPr>
  </w:style>
  <w:style w:type="paragraph" w:customStyle="1" w:styleId="FootnoteText0">
    <w:name w:val="Footnote Text_0"/>
    <w:basedOn w:val="Normal1"/>
    <w:uiPriority w:val="99"/>
    <w:semiHidden/>
  </w:style>
  <w:style w:type="character" w:customStyle="1" w:styleId="FootnoteTextChar0">
    <w:name w:val="Footnote Text Char_0"/>
    <w:uiPriority w:val="99"/>
    <w:semiHidden/>
    <w:rPr>
      <w:rFonts w:ascii="Arial" w:hAnsi="Arial"/>
      <w:sz w:val="22"/>
      <w:szCs w:val="22"/>
      <w:lang w:eastAsia="en-US"/>
    </w:rPr>
  </w:style>
  <w:style w:type="paragraph" w:customStyle="1" w:styleId="BodyText1">
    <w:name w:val="Body Text_1"/>
    <w:basedOn w:val="Normal1"/>
    <w:pPr>
      <w:jc w:val="both"/>
    </w:pPr>
    <w:rPr>
      <w:sz w:val="20"/>
    </w:rPr>
  </w:style>
  <w:style w:type="character" w:customStyle="1" w:styleId="BodyTextChar1">
    <w:name w:val="Body Text Char_1"/>
    <w:rPr>
      <w:rFonts w:ascii="Arial" w:hAnsi="Arial"/>
      <w:szCs w:val="22"/>
      <w:lang w:eastAsia="en-US"/>
    </w:rPr>
  </w:style>
  <w:style w:type="paragraph" w:customStyle="1" w:styleId="NotesText0">
    <w:name w:val="Notes Text_0"/>
    <w:basedOn w:val="Normal1"/>
    <w:autoRedefine/>
    <w:pPr>
      <w:spacing w:after="60" w:line="180" w:lineRule="atLeast"/>
      <w:jc w:val="both"/>
    </w:pPr>
    <w:rPr>
      <w:rFonts w:cs="Arial"/>
      <w:color w:val="000000"/>
      <w:sz w:val="15"/>
    </w:rPr>
  </w:style>
  <w:style w:type="paragraph" w:customStyle="1" w:styleId="Heading22">
    <w:name w:val="Heading 2_2"/>
    <w:basedOn w:val="Normal2"/>
    <w:next w:val="Normal2"/>
    <w:qFormat/>
    <w:pPr>
      <w:spacing w:before="120"/>
      <w:outlineLvl w:val="1"/>
    </w:pPr>
    <w:rPr>
      <w:b/>
    </w:rPr>
  </w:style>
  <w:style w:type="paragraph" w:customStyle="1" w:styleId="Normal2">
    <w:name w:val="Normal_2"/>
    <w:qFormat/>
    <w:pPr>
      <w:spacing w:after="120" w:line="240" w:lineRule="atLeast"/>
    </w:pPr>
    <w:rPr>
      <w:rFonts w:ascii="Arial" w:hAnsi="Arial"/>
      <w:sz w:val="22"/>
      <w:szCs w:val="22"/>
      <w:lang w:eastAsia="en-US"/>
    </w:rPr>
  </w:style>
  <w:style w:type="character" w:customStyle="1" w:styleId="Heading2Char2">
    <w:name w:val="Heading 2 Char_2"/>
    <w:rPr>
      <w:rFonts w:ascii="Arial" w:hAnsi="Arial"/>
      <w:b/>
      <w:sz w:val="22"/>
      <w:szCs w:val="22"/>
      <w:lang w:eastAsia="en-US"/>
    </w:rPr>
  </w:style>
  <w:style w:type="paragraph" w:customStyle="1" w:styleId="Notes0">
    <w:name w:val="Notes_0"/>
    <w:basedOn w:val="Header0"/>
    <w:pPr>
      <w:tabs>
        <w:tab w:val="clear" w:pos="4819"/>
        <w:tab w:val="clear" w:pos="9071"/>
        <w:tab w:val="center" w:pos="4320"/>
        <w:tab w:val="right" w:pos="8640"/>
      </w:tabs>
      <w:spacing w:before="120" w:line="240" w:lineRule="auto"/>
      <w:jc w:val="both"/>
    </w:pPr>
    <w:rPr>
      <w:b/>
      <w:sz w:val="20"/>
      <w:szCs w:val="24"/>
      <w:lang w:val="en-US"/>
    </w:rPr>
  </w:style>
  <w:style w:type="paragraph" w:customStyle="1" w:styleId="Header0">
    <w:name w:val="Header_0"/>
    <w:basedOn w:val="Normal2"/>
    <w:pPr>
      <w:tabs>
        <w:tab w:val="center" w:pos="4819"/>
        <w:tab w:val="right" w:pos="9071"/>
      </w:tabs>
    </w:pPr>
  </w:style>
  <w:style w:type="character" w:customStyle="1" w:styleId="HeaderChar0">
    <w:name w:val="Header Char_0"/>
    <w:rPr>
      <w:rFonts w:ascii="Arial" w:hAnsi="Arial"/>
      <w:sz w:val="22"/>
      <w:szCs w:val="22"/>
      <w:lang w:eastAsia="en-US"/>
    </w:rPr>
  </w:style>
  <w:style w:type="character" w:customStyle="1" w:styleId="NotesChar0">
    <w:name w:val="Notes Char_0"/>
    <w:rPr>
      <w:rFonts w:ascii="Arial" w:hAnsi="Arial"/>
      <w:b/>
      <w:szCs w:val="24"/>
      <w:lang w:val="en-US" w:eastAsia="en-US"/>
    </w:rPr>
  </w:style>
  <w:style w:type="paragraph" w:customStyle="1" w:styleId="Normal3">
    <w:name w:val="Normal_3"/>
    <w:qFormat/>
    <w:pPr>
      <w:spacing w:after="120" w:line="240" w:lineRule="atLeast"/>
    </w:pPr>
    <w:rPr>
      <w:rFonts w:ascii="Arial" w:hAnsi="Arial"/>
      <w:sz w:val="22"/>
      <w:szCs w:val="22"/>
      <w:lang w:eastAsia="en-US"/>
    </w:rPr>
  </w:style>
  <w:style w:type="paragraph" w:customStyle="1" w:styleId="Notes1">
    <w:name w:val="Notes_1"/>
    <w:basedOn w:val="Header1"/>
    <w:pPr>
      <w:tabs>
        <w:tab w:val="clear" w:pos="4819"/>
        <w:tab w:val="clear" w:pos="9071"/>
        <w:tab w:val="center" w:pos="4320"/>
        <w:tab w:val="right" w:pos="8640"/>
      </w:tabs>
      <w:spacing w:before="120" w:line="240" w:lineRule="auto"/>
      <w:jc w:val="both"/>
    </w:pPr>
    <w:rPr>
      <w:b/>
      <w:sz w:val="20"/>
      <w:szCs w:val="24"/>
      <w:lang w:val="en-US"/>
    </w:rPr>
  </w:style>
  <w:style w:type="paragraph" w:customStyle="1" w:styleId="Header1">
    <w:name w:val="Header_1"/>
    <w:basedOn w:val="Normal3"/>
    <w:pPr>
      <w:tabs>
        <w:tab w:val="center" w:pos="4819"/>
        <w:tab w:val="right" w:pos="9071"/>
      </w:tabs>
    </w:pPr>
  </w:style>
  <w:style w:type="character" w:customStyle="1" w:styleId="HeaderChar1">
    <w:name w:val="Header Char_1"/>
    <w:rPr>
      <w:rFonts w:ascii="Arial" w:hAnsi="Arial"/>
      <w:sz w:val="22"/>
      <w:szCs w:val="22"/>
      <w:lang w:eastAsia="en-US"/>
    </w:rPr>
  </w:style>
  <w:style w:type="character" w:customStyle="1" w:styleId="NotesChar1">
    <w:name w:val="Notes Char_1"/>
    <w:rPr>
      <w:rFonts w:ascii="Arial" w:hAnsi="Arial"/>
      <w:b/>
      <w:szCs w:val="24"/>
      <w:lang w:val="en-US" w:eastAsia="en-US"/>
    </w:rPr>
  </w:style>
  <w:style w:type="paragraph" w:customStyle="1" w:styleId="Normal4">
    <w:name w:val="Normal_4"/>
    <w:qFormat/>
    <w:pPr>
      <w:spacing w:after="120" w:line="240" w:lineRule="atLeast"/>
    </w:pPr>
    <w:rPr>
      <w:rFonts w:ascii="Arial" w:hAnsi="Arial"/>
      <w:sz w:val="22"/>
      <w:szCs w:val="22"/>
      <w:lang w:eastAsia="en-US"/>
    </w:rPr>
  </w:style>
  <w:style w:type="paragraph" w:customStyle="1" w:styleId="ListParagraph0">
    <w:name w:val="List Paragraph_0"/>
    <w:basedOn w:val="Normal4"/>
    <w:uiPriority w:val="34"/>
    <w:qFormat/>
    <w:pPr>
      <w:spacing w:after="200" w:line="276" w:lineRule="auto"/>
      <w:ind w:left="720"/>
      <w:contextualSpacing/>
    </w:pPr>
    <w:rPr>
      <w:rFonts w:ascii="Calibri" w:eastAsia="Calibri" w:hAnsi="Calibri"/>
    </w:rPr>
  </w:style>
  <w:style w:type="paragraph" w:customStyle="1" w:styleId="Notes2">
    <w:name w:val="Notes_2"/>
    <w:basedOn w:val="Header2"/>
    <w:pPr>
      <w:tabs>
        <w:tab w:val="clear" w:pos="4819"/>
        <w:tab w:val="clear" w:pos="9071"/>
        <w:tab w:val="center" w:pos="4320"/>
        <w:tab w:val="right" w:pos="8640"/>
      </w:tabs>
      <w:spacing w:before="120" w:line="240" w:lineRule="auto"/>
      <w:jc w:val="both"/>
    </w:pPr>
    <w:rPr>
      <w:b/>
      <w:sz w:val="20"/>
      <w:szCs w:val="24"/>
      <w:lang w:val="en-US"/>
    </w:rPr>
  </w:style>
  <w:style w:type="paragraph" w:customStyle="1" w:styleId="Header2">
    <w:name w:val="Header_2"/>
    <w:basedOn w:val="Normal5"/>
    <w:pPr>
      <w:tabs>
        <w:tab w:val="center" w:pos="4819"/>
        <w:tab w:val="right" w:pos="9071"/>
      </w:tabs>
    </w:pPr>
  </w:style>
  <w:style w:type="paragraph" w:customStyle="1" w:styleId="Normal5">
    <w:name w:val="Normal_5"/>
    <w:qFormat/>
    <w:pPr>
      <w:spacing w:after="120" w:line="240" w:lineRule="atLeast"/>
    </w:pPr>
    <w:rPr>
      <w:rFonts w:ascii="Arial" w:hAnsi="Arial"/>
      <w:sz w:val="22"/>
      <w:szCs w:val="22"/>
      <w:lang w:eastAsia="en-US"/>
    </w:rPr>
  </w:style>
  <w:style w:type="character" w:customStyle="1" w:styleId="HeaderChar2">
    <w:name w:val="Header Char_2"/>
    <w:rPr>
      <w:rFonts w:ascii="Arial" w:hAnsi="Arial"/>
      <w:sz w:val="22"/>
      <w:szCs w:val="22"/>
      <w:lang w:eastAsia="en-US"/>
    </w:rPr>
  </w:style>
  <w:style w:type="character" w:customStyle="1" w:styleId="NotesChar2">
    <w:name w:val="Notes Char_2"/>
    <w:rPr>
      <w:rFonts w:ascii="Arial" w:hAnsi="Arial"/>
      <w:b/>
      <w:szCs w:val="24"/>
      <w:lang w:val="en-US" w:eastAsia="en-US"/>
    </w:rPr>
  </w:style>
  <w:style w:type="paragraph" w:customStyle="1" w:styleId="BodyText20">
    <w:name w:val="Body Text_2"/>
    <w:basedOn w:val="Normal5"/>
    <w:pPr>
      <w:jc w:val="both"/>
    </w:pPr>
    <w:rPr>
      <w:sz w:val="20"/>
    </w:rPr>
  </w:style>
  <w:style w:type="character" w:customStyle="1" w:styleId="BodyTextChar2">
    <w:name w:val="Body Text Char_2"/>
    <w:rPr>
      <w:rFonts w:ascii="Arial" w:hAnsi="Arial"/>
      <w:szCs w:val="22"/>
      <w:lang w:eastAsia="en-US"/>
    </w:rPr>
  </w:style>
  <w:style w:type="paragraph" w:customStyle="1" w:styleId="BodyText30">
    <w:name w:val="Body Text_3"/>
    <w:basedOn w:val="Normal6"/>
    <w:pPr>
      <w:jc w:val="both"/>
    </w:pPr>
    <w:rPr>
      <w:sz w:val="20"/>
    </w:rPr>
  </w:style>
  <w:style w:type="paragraph" w:customStyle="1" w:styleId="Normal6">
    <w:name w:val="Normal_6"/>
    <w:qFormat/>
    <w:pPr>
      <w:spacing w:after="120" w:line="240" w:lineRule="atLeast"/>
    </w:pPr>
    <w:rPr>
      <w:rFonts w:ascii="Arial" w:hAnsi="Arial"/>
      <w:sz w:val="22"/>
      <w:szCs w:val="22"/>
      <w:lang w:eastAsia="en-US"/>
    </w:rPr>
  </w:style>
  <w:style w:type="character" w:customStyle="1" w:styleId="BodyTextChar3">
    <w:name w:val="Body Text Char_3"/>
    <w:rPr>
      <w:rFonts w:ascii="Arial" w:hAnsi="Arial"/>
      <w:szCs w:val="22"/>
      <w:lang w:eastAsia="en-US"/>
    </w:rPr>
  </w:style>
  <w:style w:type="paragraph" w:customStyle="1" w:styleId="Normal7">
    <w:name w:val="Normal_7"/>
    <w:qFormat/>
    <w:pPr>
      <w:spacing w:after="120" w:line="240" w:lineRule="atLeast"/>
    </w:pPr>
    <w:rPr>
      <w:rFonts w:ascii="Arial" w:hAnsi="Arial"/>
      <w:sz w:val="22"/>
      <w:szCs w:val="22"/>
      <w:lang w:eastAsia="en-US"/>
    </w:rPr>
  </w:style>
  <w:style w:type="paragraph" w:customStyle="1" w:styleId="Heading23">
    <w:name w:val="Heading 2_3"/>
    <w:basedOn w:val="Normal7"/>
    <w:next w:val="Normal7"/>
    <w:qFormat/>
    <w:pPr>
      <w:spacing w:before="120"/>
      <w:outlineLvl w:val="1"/>
    </w:pPr>
    <w:rPr>
      <w:b/>
    </w:rPr>
  </w:style>
  <w:style w:type="character" w:customStyle="1" w:styleId="Heading2Char3">
    <w:name w:val="Heading 2 Char_3"/>
    <w:rPr>
      <w:rFonts w:ascii="Arial" w:hAnsi="Arial"/>
      <w:b/>
      <w:sz w:val="22"/>
      <w:szCs w:val="22"/>
      <w:lang w:eastAsia="en-US"/>
    </w:rPr>
  </w:style>
  <w:style w:type="paragraph" w:customStyle="1" w:styleId="Normal8">
    <w:name w:val="Normal_8"/>
    <w:qFormat/>
    <w:pPr>
      <w:spacing w:after="120" w:line="240" w:lineRule="atLeast"/>
    </w:pPr>
    <w:rPr>
      <w:rFonts w:ascii="Arial" w:hAnsi="Arial"/>
      <w:sz w:val="22"/>
      <w:szCs w:val="22"/>
      <w:lang w:eastAsia="en-US"/>
    </w:rPr>
  </w:style>
  <w:style w:type="paragraph" w:customStyle="1" w:styleId="Heading24">
    <w:name w:val="Heading 2_4"/>
    <w:basedOn w:val="Normal9"/>
    <w:next w:val="Normal9"/>
    <w:qFormat/>
    <w:pPr>
      <w:spacing w:before="120"/>
      <w:outlineLvl w:val="1"/>
    </w:pPr>
    <w:rPr>
      <w:b/>
    </w:rPr>
  </w:style>
  <w:style w:type="paragraph" w:customStyle="1" w:styleId="Normal9">
    <w:name w:val="Normal_9"/>
    <w:qFormat/>
    <w:pPr>
      <w:spacing w:after="120" w:line="240" w:lineRule="atLeast"/>
    </w:pPr>
    <w:rPr>
      <w:rFonts w:ascii="Arial" w:hAnsi="Arial"/>
      <w:sz w:val="22"/>
      <w:szCs w:val="22"/>
      <w:lang w:eastAsia="en-US"/>
    </w:rPr>
  </w:style>
  <w:style w:type="character" w:customStyle="1" w:styleId="Heading2Char4">
    <w:name w:val="Heading 2 Char_4"/>
    <w:rPr>
      <w:rFonts w:ascii="Arial" w:hAnsi="Arial"/>
      <w:b/>
      <w:sz w:val="22"/>
      <w:szCs w:val="22"/>
      <w:lang w:eastAsia="en-US"/>
    </w:rPr>
  </w:style>
  <w:style w:type="paragraph" w:customStyle="1" w:styleId="Normal10">
    <w:name w:val="Normal_10"/>
    <w:qFormat/>
    <w:pPr>
      <w:spacing w:after="120" w:line="240" w:lineRule="atLeast"/>
    </w:pPr>
    <w:rPr>
      <w:rFonts w:ascii="Arial" w:hAnsi="Arial"/>
      <w:sz w:val="22"/>
      <w:szCs w:val="22"/>
      <w:lang w:eastAsia="en-US"/>
    </w:rPr>
  </w:style>
  <w:style w:type="paragraph" w:customStyle="1" w:styleId="Heading25">
    <w:name w:val="Heading 2_5"/>
    <w:basedOn w:val="Normal10"/>
    <w:next w:val="Normal10"/>
    <w:qFormat/>
    <w:pPr>
      <w:spacing w:before="120"/>
      <w:outlineLvl w:val="1"/>
    </w:pPr>
    <w:rPr>
      <w:b/>
    </w:rPr>
  </w:style>
  <w:style w:type="character" w:customStyle="1" w:styleId="Heading2Char5">
    <w:name w:val="Heading 2 Char_5"/>
    <w:rPr>
      <w:rFonts w:ascii="Arial" w:hAnsi="Arial"/>
      <w:b/>
      <w:sz w:val="22"/>
      <w:szCs w:val="22"/>
      <w:lang w:eastAsia="en-US"/>
    </w:rPr>
  </w:style>
  <w:style w:type="paragraph" w:customStyle="1" w:styleId="Heading26">
    <w:name w:val="Heading 2_6"/>
    <w:basedOn w:val="Normal11"/>
    <w:next w:val="Normal11"/>
    <w:qFormat/>
    <w:pPr>
      <w:spacing w:before="120"/>
      <w:outlineLvl w:val="1"/>
    </w:pPr>
    <w:rPr>
      <w:b/>
    </w:rPr>
  </w:style>
  <w:style w:type="paragraph" w:customStyle="1" w:styleId="Normal11">
    <w:name w:val="Normal_11"/>
    <w:qFormat/>
    <w:pPr>
      <w:spacing w:after="120" w:line="240" w:lineRule="atLeast"/>
    </w:pPr>
    <w:rPr>
      <w:rFonts w:ascii="Arial" w:hAnsi="Arial"/>
      <w:sz w:val="22"/>
      <w:szCs w:val="22"/>
      <w:lang w:eastAsia="en-US"/>
    </w:rPr>
  </w:style>
  <w:style w:type="character" w:customStyle="1" w:styleId="Heading2Char6">
    <w:name w:val="Heading 2 Char_6"/>
    <w:rPr>
      <w:rFonts w:ascii="Arial" w:hAnsi="Arial"/>
      <w:b/>
      <w:sz w:val="22"/>
      <w:szCs w:val="22"/>
      <w:lang w:eastAsia="en-US"/>
    </w:rPr>
  </w:style>
  <w:style w:type="paragraph" w:customStyle="1" w:styleId="Heading27">
    <w:name w:val="Heading 2_7"/>
    <w:basedOn w:val="Normal12"/>
    <w:next w:val="Normal12"/>
    <w:qFormat/>
    <w:pPr>
      <w:spacing w:before="120"/>
      <w:outlineLvl w:val="1"/>
    </w:pPr>
    <w:rPr>
      <w:b/>
    </w:rPr>
  </w:style>
  <w:style w:type="paragraph" w:customStyle="1" w:styleId="Normal12">
    <w:name w:val="Normal_12"/>
    <w:qFormat/>
    <w:pPr>
      <w:spacing w:after="120" w:line="240" w:lineRule="atLeast"/>
    </w:pPr>
    <w:rPr>
      <w:rFonts w:ascii="Arial" w:hAnsi="Arial"/>
      <w:sz w:val="22"/>
      <w:szCs w:val="22"/>
      <w:lang w:eastAsia="en-US"/>
    </w:rPr>
  </w:style>
  <w:style w:type="character" w:customStyle="1" w:styleId="Heading2Char7">
    <w:name w:val="Heading 2 Char_7"/>
    <w:rPr>
      <w:rFonts w:ascii="Arial" w:hAnsi="Arial"/>
      <w:b/>
      <w:sz w:val="22"/>
      <w:szCs w:val="22"/>
      <w:lang w:eastAsia="en-US"/>
    </w:rPr>
  </w:style>
  <w:style w:type="paragraph" w:customStyle="1" w:styleId="BodyText4">
    <w:name w:val="Body Text_4"/>
    <w:basedOn w:val="Normal12"/>
    <w:pPr>
      <w:jc w:val="both"/>
    </w:pPr>
    <w:rPr>
      <w:sz w:val="20"/>
    </w:rPr>
  </w:style>
  <w:style w:type="character" w:customStyle="1" w:styleId="BodyTextChar4">
    <w:name w:val="Body Text Char_4"/>
    <w:rPr>
      <w:rFonts w:ascii="Arial" w:hAnsi="Arial"/>
      <w:szCs w:val="22"/>
      <w:lang w:eastAsia="en-US"/>
    </w:rPr>
  </w:style>
  <w:style w:type="paragraph" w:customStyle="1" w:styleId="Normal13">
    <w:name w:val="Normal_13"/>
    <w:qFormat/>
    <w:pPr>
      <w:spacing w:after="120" w:line="240" w:lineRule="atLeast"/>
    </w:pPr>
    <w:rPr>
      <w:rFonts w:ascii="Arial" w:hAnsi="Arial"/>
      <w:sz w:val="22"/>
      <w:szCs w:val="22"/>
      <w:lang w:eastAsia="en-US"/>
    </w:rPr>
  </w:style>
  <w:style w:type="paragraph" w:customStyle="1" w:styleId="Heading28">
    <w:name w:val="Heading 2_8"/>
    <w:basedOn w:val="Normal13"/>
    <w:next w:val="Normal13"/>
    <w:qFormat/>
    <w:pPr>
      <w:spacing w:before="120"/>
      <w:outlineLvl w:val="1"/>
    </w:pPr>
    <w:rPr>
      <w:b/>
    </w:rPr>
  </w:style>
  <w:style w:type="character" w:customStyle="1" w:styleId="Heading2Char8">
    <w:name w:val="Heading 2 Char_8"/>
    <w:rPr>
      <w:rFonts w:ascii="Arial" w:hAnsi="Arial"/>
      <w:b/>
      <w:sz w:val="22"/>
      <w:szCs w:val="22"/>
      <w:lang w:eastAsia="en-US"/>
    </w:rPr>
  </w:style>
  <w:style w:type="character" w:customStyle="1" w:styleId="HeaderChar">
    <w:name w:val="Header Char"/>
    <w:link w:val="Header"/>
    <w:uiPriority w:val="99"/>
    <w:rPr>
      <w:rFonts w:eastAsia="Calibri"/>
      <w:sz w:val="24"/>
      <w:szCs w:val="22"/>
      <w:lang w:eastAsia="en-US"/>
    </w:rPr>
  </w:style>
  <w:style w:type="character" w:customStyle="1" w:styleId="FooterChar">
    <w:name w:val="Footer Char"/>
    <w:link w:val="Footer"/>
    <w:uiPriority w:val="99"/>
    <w:rPr>
      <w:rFonts w:eastAsia="Calibri"/>
      <w:sz w:val="24"/>
      <w:szCs w:val="22"/>
      <w:lang w:eastAsia="en-US"/>
    </w:rPr>
  </w:style>
  <w:style w:type="character" w:customStyle="1" w:styleId="FootnoteTextChar">
    <w:name w:val="Footnote Text Char"/>
    <w:link w:val="FootnoteText"/>
    <w:uiPriority w:val="99"/>
    <w:rPr>
      <w:lang w:eastAsia="de-DE"/>
    </w:rPr>
  </w:style>
  <w:style w:type="paragraph" w:styleId="TOC1">
    <w:name w:val="toc 1"/>
    <w:basedOn w:val="Normal"/>
    <w:next w:val="Normal"/>
    <w:uiPriority w:val="39"/>
    <w:unhideWhenUsed/>
    <w:pPr>
      <w:tabs>
        <w:tab w:val="right" w:leader="dot" w:pos="9071"/>
      </w:tabs>
      <w:spacing w:before="60" w:after="120"/>
      <w:ind w:left="850" w:hanging="850"/>
    </w:pPr>
    <w:rPr>
      <w:szCs w:val="22"/>
    </w:rPr>
  </w:style>
  <w:style w:type="paragraph" w:styleId="TOC4">
    <w:name w:val="toc 4"/>
    <w:basedOn w:val="Normal"/>
    <w:next w:val="Normal"/>
    <w:uiPriority w:val="39"/>
    <w:unhideWhenUsed/>
    <w:pPr>
      <w:tabs>
        <w:tab w:val="right" w:leader="dot" w:pos="9071"/>
      </w:tabs>
      <w:spacing w:before="60" w:after="120"/>
      <w:ind w:left="850" w:hanging="850"/>
    </w:pPr>
    <w:rPr>
      <w:szCs w:val="22"/>
    </w:rPr>
  </w:style>
  <w:style w:type="paragraph" w:styleId="TOC6">
    <w:name w:val="toc 6"/>
    <w:basedOn w:val="Normal"/>
    <w:next w:val="Normal"/>
    <w:uiPriority w:val="39"/>
    <w:unhideWhenUsed/>
    <w:pPr>
      <w:tabs>
        <w:tab w:val="right" w:leader="dot" w:pos="9071"/>
      </w:tabs>
      <w:spacing w:before="240" w:after="120"/>
    </w:pPr>
    <w:rPr>
      <w:szCs w:val="22"/>
    </w:rPr>
  </w:style>
  <w:style w:type="paragraph" w:styleId="TOC7">
    <w:name w:val="toc 7"/>
    <w:basedOn w:val="Normal"/>
    <w:next w:val="Normal"/>
    <w:uiPriority w:val="39"/>
    <w:unhideWhenUsed/>
    <w:pPr>
      <w:tabs>
        <w:tab w:val="right" w:leader="dot" w:pos="9071"/>
      </w:tabs>
      <w:spacing w:before="180" w:after="120"/>
    </w:pPr>
    <w:rPr>
      <w:szCs w:val="22"/>
    </w:rPr>
  </w:style>
  <w:style w:type="paragraph" w:styleId="TOC9">
    <w:name w:val="toc 9"/>
    <w:basedOn w:val="Normal"/>
    <w:next w:val="Normal"/>
    <w:uiPriority w:val="39"/>
    <w:unhideWhenUsed/>
    <w:pPr>
      <w:tabs>
        <w:tab w:val="right" w:leader="dot" w:pos="9071"/>
      </w:tabs>
      <w:spacing w:before="120" w:after="120"/>
      <w:jc w:val="both"/>
    </w:pPr>
    <w:rPr>
      <w:szCs w:val="22"/>
    </w:rPr>
  </w:style>
  <w:style w:type="paragraph" w:customStyle="1" w:styleId="Point0number">
    <w:name w:val="Point 0 (number)"/>
    <w:basedOn w:val="Normal"/>
    <w:pPr>
      <w:numPr>
        <w:numId w:val="31"/>
      </w:numPr>
      <w:spacing w:before="120" w:after="120"/>
      <w:jc w:val="both"/>
    </w:pPr>
    <w:rPr>
      <w:szCs w:val="22"/>
    </w:rPr>
  </w:style>
  <w:style w:type="paragraph" w:customStyle="1" w:styleId="Point1number">
    <w:name w:val="Point 1 (number)"/>
    <w:basedOn w:val="Normal"/>
    <w:pPr>
      <w:numPr>
        <w:ilvl w:val="2"/>
        <w:numId w:val="31"/>
      </w:numPr>
      <w:spacing w:before="120" w:after="120"/>
      <w:jc w:val="both"/>
    </w:pPr>
    <w:rPr>
      <w:szCs w:val="22"/>
    </w:rPr>
  </w:style>
  <w:style w:type="paragraph" w:customStyle="1" w:styleId="Point2number">
    <w:name w:val="Point 2 (number)"/>
    <w:basedOn w:val="Normal"/>
    <w:pPr>
      <w:numPr>
        <w:ilvl w:val="4"/>
        <w:numId w:val="31"/>
      </w:numPr>
      <w:spacing w:before="120" w:after="120"/>
      <w:jc w:val="both"/>
    </w:pPr>
    <w:rPr>
      <w:szCs w:val="22"/>
    </w:rPr>
  </w:style>
  <w:style w:type="paragraph" w:customStyle="1" w:styleId="Point3number">
    <w:name w:val="Point 3 (number)"/>
    <w:basedOn w:val="Normal"/>
    <w:pPr>
      <w:numPr>
        <w:ilvl w:val="6"/>
        <w:numId w:val="31"/>
      </w:numPr>
      <w:spacing w:before="120" w:after="120"/>
      <w:jc w:val="both"/>
    </w:pPr>
    <w:rPr>
      <w:szCs w:val="22"/>
    </w:rPr>
  </w:style>
  <w:style w:type="paragraph" w:customStyle="1" w:styleId="Point0letter">
    <w:name w:val="Point 0 (letter)"/>
    <w:basedOn w:val="Normal"/>
    <w:pPr>
      <w:numPr>
        <w:ilvl w:val="1"/>
        <w:numId w:val="31"/>
      </w:numPr>
      <w:spacing w:before="120" w:after="120"/>
      <w:jc w:val="both"/>
    </w:pPr>
    <w:rPr>
      <w:szCs w:val="22"/>
    </w:rPr>
  </w:style>
  <w:style w:type="paragraph" w:customStyle="1" w:styleId="Point1letter">
    <w:name w:val="Point 1 (letter)"/>
    <w:basedOn w:val="Normal"/>
    <w:pPr>
      <w:numPr>
        <w:ilvl w:val="3"/>
        <w:numId w:val="31"/>
      </w:numPr>
      <w:spacing w:before="120" w:after="120"/>
      <w:jc w:val="both"/>
    </w:pPr>
    <w:rPr>
      <w:szCs w:val="22"/>
    </w:rPr>
  </w:style>
  <w:style w:type="paragraph" w:customStyle="1" w:styleId="Point2letter">
    <w:name w:val="Point 2 (letter)"/>
    <w:basedOn w:val="Normal"/>
    <w:pPr>
      <w:numPr>
        <w:ilvl w:val="5"/>
        <w:numId w:val="31"/>
      </w:numPr>
      <w:spacing w:before="120" w:after="120"/>
      <w:jc w:val="both"/>
    </w:pPr>
    <w:rPr>
      <w:szCs w:val="22"/>
    </w:rPr>
  </w:style>
  <w:style w:type="paragraph" w:customStyle="1" w:styleId="Point3letter">
    <w:name w:val="Point 3 (letter)"/>
    <w:basedOn w:val="Normal"/>
    <w:pPr>
      <w:numPr>
        <w:ilvl w:val="7"/>
        <w:numId w:val="31"/>
      </w:numPr>
      <w:spacing w:before="120" w:after="120"/>
      <w:jc w:val="both"/>
    </w:pPr>
    <w:rPr>
      <w:szCs w:val="22"/>
    </w:rPr>
  </w:style>
  <w:style w:type="paragraph" w:customStyle="1" w:styleId="Point4letter">
    <w:name w:val="Point 4 (letter)"/>
    <w:basedOn w:val="Normal"/>
    <w:pPr>
      <w:numPr>
        <w:ilvl w:val="8"/>
        <w:numId w:val="31"/>
      </w:numPr>
      <w:spacing w:before="120" w:after="120"/>
      <w:jc w:val="both"/>
    </w:pPr>
    <w:rPr>
      <w:szCs w:val="22"/>
    </w:rPr>
  </w:style>
  <w:style w:type="paragraph" w:customStyle="1" w:styleId="Bullet0">
    <w:name w:val="Bullet 0"/>
    <w:basedOn w:val="Normal"/>
    <w:pPr>
      <w:numPr>
        <w:numId w:val="28"/>
      </w:numPr>
      <w:spacing w:before="120" w:after="120"/>
      <w:jc w:val="both"/>
    </w:pPr>
    <w:rPr>
      <w:szCs w:val="22"/>
    </w:rPr>
  </w:style>
  <w:style w:type="paragraph" w:customStyle="1" w:styleId="Bullet1">
    <w:name w:val="Bullet 1"/>
    <w:basedOn w:val="Normal"/>
    <w:pPr>
      <w:numPr>
        <w:numId w:val="32"/>
      </w:numPr>
      <w:spacing w:before="120" w:after="120"/>
      <w:jc w:val="both"/>
    </w:pPr>
    <w:rPr>
      <w:szCs w:val="22"/>
    </w:rPr>
  </w:style>
  <w:style w:type="paragraph" w:customStyle="1" w:styleId="Bullet2">
    <w:name w:val="Bullet 2"/>
    <w:basedOn w:val="Normal"/>
    <w:pPr>
      <w:numPr>
        <w:numId w:val="33"/>
      </w:numPr>
      <w:spacing w:before="120" w:after="120"/>
      <w:jc w:val="both"/>
    </w:pPr>
    <w:rPr>
      <w:szCs w:val="22"/>
    </w:rPr>
  </w:style>
  <w:style w:type="paragraph" w:customStyle="1" w:styleId="Bullet3">
    <w:name w:val="Bullet 3"/>
    <w:basedOn w:val="Normal"/>
    <w:pPr>
      <w:numPr>
        <w:numId w:val="34"/>
      </w:numPr>
      <w:spacing w:before="120" w:after="120"/>
      <w:jc w:val="both"/>
    </w:pPr>
    <w:rPr>
      <w:szCs w:val="22"/>
    </w:rPr>
  </w:style>
  <w:style w:type="paragraph" w:customStyle="1" w:styleId="Bullet4">
    <w:name w:val="Bullet 4"/>
    <w:basedOn w:val="Normal"/>
    <w:pPr>
      <w:numPr>
        <w:numId w:val="35"/>
      </w:numPr>
      <w:spacing w:before="120" w:after="120"/>
      <w:jc w:val="both"/>
    </w:pPr>
    <w:rPr>
      <w:szCs w:val="22"/>
    </w:rPr>
  </w:style>
  <w:style w:type="paragraph" w:customStyle="1" w:styleId="Annexetitre">
    <w:name w:val="Annexe titre"/>
    <w:basedOn w:val="Normal"/>
    <w:next w:val="Normal"/>
    <w:pPr>
      <w:spacing w:before="120" w:after="120"/>
      <w:jc w:val="center"/>
    </w:pPr>
    <w:rPr>
      <w:b/>
      <w:szCs w:val="22"/>
      <w:u w:val="single"/>
    </w:rPr>
  </w:style>
  <w:style w:type="paragraph" w:customStyle="1" w:styleId="Annexetitrefichefinancire">
    <w:name w:val="Annexe titre (fiche financière)"/>
    <w:basedOn w:val="Normal"/>
    <w:next w:val="Normal"/>
    <w:pPr>
      <w:spacing w:before="120" w:after="120"/>
      <w:jc w:val="center"/>
    </w:pPr>
    <w:rPr>
      <w:b/>
      <w:szCs w:val="22"/>
      <w:u w:val="single"/>
    </w:rPr>
  </w:style>
  <w:style w:type="paragraph" w:customStyle="1" w:styleId="Rfrenceinstitutionnelle">
    <w:name w:val="Référence institutionnelle"/>
    <w:basedOn w:val="Normal"/>
    <w:next w:val="Confidentialit"/>
    <w:pPr>
      <w:spacing w:after="240"/>
      <w:ind w:left="5103"/>
    </w:pPr>
    <w:rPr>
      <w:szCs w:val="22"/>
    </w:rPr>
  </w:style>
  <w:style w:type="paragraph" w:customStyle="1" w:styleId="Rfrenceinterinstitutionnelle">
    <w:name w:val="Référence interinstitutionnelle"/>
    <w:basedOn w:val="Normal"/>
    <w:next w:val="Statut"/>
    <w:pPr>
      <w:ind w:left="5103"/>
    </w:pPr>
    <w:rPr>
      <w:szCs w:val="22"/>
    </w:rPr>
  </w:style>
  <w:style w:type="paragraph" w:customStyle="1" w:styleId="Supertitre">
    <w:name w:val="Supertitre"/>
    <w:basedOn w:val="Normal"/>
    <w:next w:val="Normal"/>
    <w:pPr>
      <w:spacing w:after="600"/>
      <w:jc w:val="center"/>
    </w:pPr>
    <w:rPr>
      <w:b/>
      <w:szCs w:val="22"/>
    </w:rPr>
  </w:style>
  <w:style w:type="paragraph" w:customStyle="1" w:styleId="Languesfaisantfoi">
    <w:name w:val="Langues faisant foi"/>
    <w:basedOn w:val="Normal"/>
    <w:next w:val="Normal"/>
    <w:pPr>
      <w:spacing w:before="360"/>
      <w:jc w:val="center"/>
    </w:pPr>
    <w:rPr>
      <w:szCs w:val="22"/>
    </w:rPr>
  </w:style>
  <w:style w:type="paragraph" w:customStyle="1" w:styleId="Rfrencecroise">
    <w:name w:val="Référence croisée"/>
    <w:basedOn w:val="Normal"/>
    <w:pPr>
      <w:jc w:val="center"/>
    </w:pPr>
    <w:rPr>
      <w:szCs w:val="22"/>
    </w:rPr>
  </w:style>
  <w:style w:type="paragraph" w:customStyle="1" w:styleId="DatedadoptionPagedecouverture">
    <w:name w:val="Date d'adoption (Page de couverture)"/>
    <w:basedOn w:val="Datedadoption"/>
    <w:next w:val="TitreobjetPagedecouverture"/>
    <w:rPr>
      <w:szCs w:val="22"/>
      <w:lang w:eastAsia="en-GB"/>
    </w:r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rPr>
      <w:szCs w:val="22"/>
      <w:lang w:eastAsia="en-GB"/>
    </w:rPr>
  </w:style>
  <w:style w:type="paragraph" w:customStyle="1" w:styleId="StatutPagedecouverture">
    <w:name w:val="Statut (Page de couverture)"/>
    <w:basedOn w:val="Statut"/>
    <w:next w:val="TypedudocumentPagedecouverture"/>
    <w:rPr>
      <w:szCs w:val="22"/>
      <w:lang w:eastAsia="en-GB"/>
    </w:rPr>
  </w:style>
  <w:style w:type="paragraph" w:customStyle="1" w:styleId="TitreobjetPagedecouverture">
    <w:name w:val="Titre objet (Page de couverture)"/>
    <w:basedOn w:val="Titreobjet"/>
    <w:next w:val="Sous-titreobjetPagedecouverture"/>
    <w:rPr>
      <w:szCs w:val="22"/>
      <w:lang w:eastAsia="en-GB"/>
    </w:rPr>
  </w:style>
  <w:style w:type="paragraph" w:customStyle="1" w:styleId="TypedudocumentPagedecouverture">
    <w:name w:val="Type du document (Page de couverture)"/>
    <w:basedOn w:val="Typedudocument"/>
    <w:next w:val="TitreobjetPagedecouverture"/>
    <w:rPr>
      <w:szCs w:val="22"/>
      <w:lang w:eastAsia="en-GB"/>
    </w:rPr>
  </w:style>
  <w:style w:type="paragraph" w:customStyle="1" w:styleId="Volume">
    <w:name w:val="Volume"/>
    <w:basedOn w:val="Normal"/>
    <w:next w:val="Confidentialit"/>
    <w:pPr>
      <w:spacing w:after="240"/>
      <w:ind w:left="5103"/>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jc w:val="center"/>
    </w:pPr>
    <w:rPr>
      <w:b/>
      <w:i/>
      <w:szCs w:val="22"/>
    </w:rPr>
  </w:style>
  <w:style w:type="paragraph" w:customStyle="1" w:styleId="Typeacteprincipal">
    <w:name w:val="Type acte principal"/>
    <w:basedOn w:val="Normal"/>
    <w:next w:val="Objetacteprincipal"/>
    <w:pPr>
      <w:spacing w:after="240"/>
      <w:jc w:val="center"/>
    </w:pPr>
    <w:rPr>
      <w:b/>
      <w:szCs w:val="22"/>
    </w:rPr>
  </w:style>
  <w:style w:type="paragraph" w:customStyle="1" w:styleId="Objetacteprincipal">
    <w:name w:val="Objet acte principal"/>
    <w:basedOn w:val="Normal"/>
    <w:next w:val="Titrearticle"/>
    <w:pPr>
      <w:spacing w:after="360"/>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szCs w:val="22"/>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numbering" w:customStyle="1" w:styleId="NoList6">
    <w:name w:val="No List6"/>
    <w:next w:val="NoList"/>
    <w:uiPriority w:val="99"/>
    <w:semiHidden/>
    <w:unhideWhenUsed/>
  </w:style>
  <w:style w:type="paragraph" w:customStyle="1" w:styleId="Declassification">
    <w:name w:val="Declassification"/>
    <w:basedOn w:val="Normal"/>
    <w:next w:val="Normal"/>
    <w:pPr>
      <w:jc w:val="both"/>
    </w:pPr>
    <w:rPr>
      <w:rFonts w:eastAsia="Calibr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table" w:customStyle="1" w:styleId="CDMRange1">
    <w:name w:val="CDM Range 1"/>
    <w:basedOn w:val="TableNormal"/>
    <w:next w:val="TableNormal"/>
    <w:semiHidden/>
    <w:tblPr/>
  </w:style>
  <w:style w:type="table" w:customStyle="1" w:styleId="CDMRange2">
    <w:name w:val="CDM Range 2"/>
    <w:basedOn w:val="TableNormal"/>
    <w:next w:val="TableNormal"/>
    <w:semiHidden/>
    <w:tblPr/>
  </w:style>
  <w:style w:type="table" w:customStyle="1" w:styleId="CDMRange10">
    <w:name w:val="CDM Range 1_0"/>
    <w:basedOn w:val="TableNormal"/>
    <w:next w:val="TableNormal"/>
    <w:semiHidden/>
    <w:tblPr/>
  </w:style>
  <w:style w:type="table" w:customStyle="1" w:styleId="CDMRange20">
    <w:name w:val="CDM Range 2_0"/>
    <w:basedOn w:val="TableNormal"/>
    <w:next w:val="TableNormal"/>
    <w:semiHidden/>
    <w:tblPr/>
  </w:style>
  <w:style w:type="table" w:customStyle="1" w:styleId="CDMRange11">
    <w:name w:val="CDM Range 1_1"/>
    <w:basedOn w:val="TableNormal"/>
    <w:next w:val="TableNormal"/>
    <w:semiHidden/>
    <w:tblPr/>
  </w:style>
  <w:style w:type="table" w:customStyle="1" w:styleId="CDMRange21">
    <w:name w:val="CDM Range 2_1"/>
    <w:basedOn w:val="TableNormal"/>
    <w:next w:val="TableNormal"/>
    <w:semiHidden/>
    <w:tblPr/>
  </w:style>
  <w:style w:type="table" w:customStyle="1" w:styleId="CDMRange12">
    <w:name w:val="CDM Range 1_2"/>
    <w:basedOn w:val="TableNormal"/>
    <w:next w:val="TableNormal"/>
    <w:semiHidden/>
    <w:tblPr/>
  </w:style>
  <w:style w:type="paragraph" w:customStyle="1" w:styleId="Normal19">
    <w:name w:val="Normal_19"/>
    <w:qFormat/>
    <w:pPr>
      <w:spacing w:after="120" w:line="240" w:lineRule="atLeast"/>
    </w:pPr>
    <w:rPr>
      <w:rFonts w:ascii="Arial" w:hAnsi="Arial"/>
      <w:sz w:val="22"/>
      <w:lang w:eastAsia="en-US"/>
    </w:rPr>
  </w:style>
  <w:style w:type="table" w:customStyle="1" w:styleId="CDMRange22">
    <w:name w:val="CDM Range 2_2"/>
    <w:basedOn w:val="TableNormal"/>
    <w:next w:val="TableNormal"/>
    <w:semiHidden/>
    <w:tblPr/>
  </w:style>
  <w:style w:type="paragraph" w:customStyle="1" w:styleId="Normal15">
    <w:name w:val="Normal_15"/>
    <w:qFormat/>
    <w:pPr>
      <w:spacing w:after="120" w:line="240" w:lineRule="atLeast"/>
    </w:pPr>
    <w:rPr>
      <w:rFonts w:ascii="Arial" w:hAnsi="Arial"/>
      <w:sz w:val="22"/>
      <w:lang w:eastAsia="en-US"/>
    </w:rPr>
  </w:style>
  <w:style w:type="table" w:customStyle="1" w:styleId="CDMRange13">
    <w:name w:val="CDM Range 1_3"/>
    <w:basedOn w:val="TableNormal"/>
    <w:next w:val="TableNormal"/>
    <w:semiHidden/>
    <w:tblPr/>
  </w:style>
  <w:style w:type="table" w:customStyle="1" w:styleId="CDMRange23">
    <w:name w:val="CDM Range 2_3"/>
    <w:basedOn w:val="TableNormal"/>
    <w:next w:val="TableNormal"/>
    <w:semiHidden/>
    <w:tblPr/>
  </w:style>
  <w:style w:type="table" w:customStyle="1" w:styleId="CDMRange14">
    <w:name w:val="CDM Range 1_4"/>
    <w:basedOn w:val="TableNormal"/>
    <w:next w:val="TableNormal"/>
    <w:semiHidden/>
    <w:tblPr/>
  </w:style>
  <w:style w:type="paragraph" w:customStyle="1" w:styleId="Normal20">
    <w:name w:val="Normal_20"/>
    <w:qFormat/>
    <w:rPr>
      <w:sz w:val="24"/>
      <w:szCs w:val="24"/>
    </w:rPr>
  </w:style>
  <w:style w:type="table" w:customStyle="1" w:styleId="CDMRange24">
    <w:name w:val="CDM Range 2_4"/>
    <w:basedOn w:val="TableNormal"/>
    <w:next w:val="TableNormal"/>
    <w:semiHidden/>
    <w:tblPr/>
  </w:style>
  <w:style w:type="paragraph" w:customStyle="1" w:styleId="Normal21">
    <w:name w:val="Normal_21"/>
    <w:qFormat/>
    <w:rPr>
      <w:sz w:val="24"/>
      <w:szCs w:val="24"/>
    </w:rPr>
  </w:style>
  <w:style w:type="table" w:customStyle="1" w:styleId="CDMRange15">
    <w:name w:val="CDM Range 1_5"/>
    <w:basedOn w:val="TableNormal"/>
    <w:next w:val="TableNormal"/>
    <w:semiHidden/>
    <w:tblPr/>
  </w:style>
  <w:style w:type="paragraph" w:customStyle="1" w:styleId="Normal22">
    <w:name w:val="Normal_22"/>
    <w:qFormat/>
    <w:pPr>
      <w:spacing w:after="120" w:line="240" w:lineRule="atLeast"/>
    </w:pPr>
    <w:rPr>
      <w:rFonts w:ascii="Arial" w:hAnsi="Arial"/>
      <w:sz w:val="22"/>
      <w:lang w:eastAsia="en-US"/>
    </w:rPr>
  </w:style>
  <w:style w:type="paragraph" w:customStyle="1" w:styleId="Normal23">
    <w:name w:val="Normal_23"/>
    <w:qFormat/>
    <w:pPr>
      <w:spacing w:after="120" w:line="240" w:lineRule="atLeast"/>
    </w:pPr>
    <w:rPr>
      <w:rFonts w:ascii="Arial" w:hAnsi="Arial"/>
      <w:sz w:val="22"/>
      <w:lang w:eastAsia="en-US"/>
    </w:rPr>
  </w:style>
  <w:style w:type="paragraph" w:customStyle="1" w:styleId="Normal24">
    <w:name w:val="Normal_24"/>
    <w:qFormat/>
    <w:rPr>
      <w:sz w:val="24"/>
      <w:szCs w:val="24"/>
    </w:rPr>
  </w:style>
  <w:style w:type="table" w:customStyle="1" w:styleId="CDMRange25">
    <w:name w:val="CDM Range 2_5"/>
    <w:basedOn w:val="TableNormal"/>
    <w:next w:val="TableNormal"/>
    <w:semiHidden/>
    <w:tblPr/>
  </w:style>
  <w:style w:type="paragraph" w:customStyle="1" w:styleId="Notes00">
    <w:name w:val="Notes_0_0"/>
    <w:basedOn w:val="Normal"/>
    <w:pPr>
      <w:numPr>
        <w:numId w:val="46"/>
      </w:numPr>
      <w:tabs>
        <w:tab w:val="center" w:pos="4320"/>
        <w:tab w:val="right" w:pos="8640"/>
      </w:tabs>
      <w:spacing w:before="120" w:after="120"/>
      <w:jc w:val="both"/>
    </w:pPr>
    <w:rPr>
      <w:rFonts w:ascii="Arial" w:eastAsia="Calibri" w:hAnsi="Arial" w:cs="Arial"/>
      <w:b/>
      <w:sz w:val="22"/>
      <w:lang w:val="en-US" w:eastAsia="en-US"/>
    </w:rPr>
  </w:style>
  <w:style w:type="paragraph" w:customStyle="1" w:styleId="Normal25">
    <w:name w:val="Normal_25"/>
    <w:qFormat/>
    <w:pPr>
      <w:spacing w:after="120" w:line="240" w:lineRule="atLeast"/>
    </w:pPr>
    <w:rPr>
      <w:rFonts w:ascii="Arial" w:hAnsi="Arial"/>
      <w:sz w:val="22"/>
      <w:lang w:eastAsia="en-US"/>
    </w:rPr>
  </w:style>
  <w:style w:type="paragraph" w:customStyle="1" w:styleId="Normal26">
    <w:name w:val="Normal_26"/>
    <w:qFormat/>
    <w:rPr>
      <w:sz w:val="24"/>
      <w:szCs w:val="24"/>
    </w:rPr>
  </w:style>
  <w:style w:type="table" w:customStyle="1" w:styleId="CDMRange16">
    <w:name w:val="CDM Range 1_6"/>
    <w:basedOn w:val="TableNormal"/>
    <w:next w:val="TableNormal"/>
    <w:semiHidden/>
    <w:tblPr/>
  </w:style>
  <w:style w:type="paragraph" w:customStyle="1" w:styleId="Normal27">
    <w:name w:val="Normal_27"/>
    <w:qFormat/>
    <w:pPr>
      <w:spacing w:after="120" w:line="240" w:lineRule="atLeast"/>
    </w:pPr>
    <w:rPr>
      <w:rFonts w:ascii="Arial" w:hAnsi="Arial"/>
      <w:sz w:val="22"/>
      <w:lang w:eastAsia="en-US"/>
    </w:rPr>
  </w:style>
  <w:style w:type="paragraph" w:customStyle="1" w:styleId="Normal28">
    <w:name w:val="Normal_28"/>
    <w:qFormat/>
    <w:rPr>
      <w:sz w:val="24"/>
      <w:szCs w:val="24"/>
    </w:rPr>
  </w:style>
  <w:style w:type="table" w:customStyle="1" w:styleId="CDMRange26">
    <w:name w:val="CDM Range 2_6"/>
    <w:basedOn w:val="TableNormal"/>
    <w:next w:val="TableNormal"/>
    <w:semiHidden/>
    <w:tblPr/>
  </w:style>
  <w:style w:type="paragraph" w:customStyle="1" w:styleId="Normal29">
    <w:name w:val="Normal_29"/>
    <w:qFormat/>
    <w:pPr>
      <w:spacing w:after="120" w:line="240" w:lineRule="atLeast"/>
    </w:pPr>
    <w:rPr>
      <w:rFonts w:ascii="Arial" w:hAnsi="Arial"/>
      <w:sz w:val="22"/>
      <w:lang w:eastAsia="en-US"/>
    </w:rPr>
  </w:style>
  <w:style w:type="paragraph" w:customStyle="1" w:styleId="Normal30">
    <w:name w:val="Normal_30"/>
    <w:qFormat/>
    <w:pPr>
      <w:spacing w:after="120" w:line="240" w:lineRule="atLeast"/>
    </w:pPr>
    <w:rPr>
      <w:rFonts w:ascii="Arial" w:hAnsi="Arial"/>
      <w:sz w:val="22"/>
      <w:lang w:eastAsia="en-US"/>
    </w:rPr>
  </w:style>
  <w:style w:type="paragraph" w:customStyle="1" w:styleId="Normal31">
    <w:name w:val="Normal_31"/>
    <w:qFormat/>
    <w:rPr>
      <w:sz w:val="24"/>
      <w:szCs w:val="24"/>
    </w:rPr>
  </w:style>
  <w:style w:type="table" w:customStyle="1" w:styleId="CDMRange17">
    <w:name w:val="CDM Range 1_7"/>
    <w:basedOn w:val="TableNormal"/>
    <w:next w:val="TableNormal"/>
    <w:semiHidden/>
    <w:tblPr/>
  </w:style>
  <w:style w:type="paragraph" w:customStyle="1" w:styleId="Normal32">
    <w:name w:val="Normal_32"/>
    <w:qFormat/>
    <w:pPr>
      <w:spacing w:after="120" w:line="240" w:lineRule="atLeast"/>
    </w:pPr>
    <w:rPr>
      <w:rFonts w:ascii="Arial" w:hAnsi="Arial"/>
      <w:sz w:val="22"/>
      <w:lang w:eastAsia="en-US"/>
    </w:rPr>
  </w:style>
  <w:style w:type="paragraph" w:customStyle="1" w:styleId="Normal33">
    <w:name w:val="Normal_33"/>
    <w:qFormat/>
    <w:rPr>
      <w:sz w:val="24"/>
      <w:szCs w:val="24"/>
    </w:rPr>
  </w:style>
  <w:style w:type="table" w:customStyle="1" w:styleId="CDMRange27">
    <w:name w:val="CDM Range 2_7"/>
    <w:basedOn w:val="TableNormal"/>
    <w:next w:val="TableNormal"/>
    <w:semiHidden/>
    <w:tblPr/>
  </w:style>
  <w:style w:type="paragraph" w:customStyle="1" w:styleId="Normal34">
    <w:name w:val="Normal_34"/>
    <w:qFormat/>
    <w:rPr>
      <w:sz w:val="24"/>
      <w:szCs w:val="24"/>
    </w:rPr>
  </w:style>
  <w:style w:type="table" w:customStyle="1" w:styleId="CDMRange18">
    <w:name w:val="CDM Range 1_8"/>
    <w:basedOn w:val="TableNormal"/>
    <w:next w:val="TableNormal"/>
    <w:semiHidden/>
    <w:tblPr/>
  </w:style>
  <w:style w:type="character" w:styleId="BookTitle">
    <w:name w:val="Book Title"/>
    <w:basedOn w:val="DefaultParagraphFont"/>
    <w:uiPriority w:val="33"/>
    <w:qFormat/>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2307">
      <w:bodyDiv w:val="1"/>
      <w:marLeft w:val="0"/>
      <w:marRight w:val="0"/>
      <w:marTop w:val="0"/>
      <w:marBottom w:val="0"/>
      <w:divBdr>
        <w:top w:val="none" w:sz="0" w:space="0" w:color="auto"/>
        <w:left w:val="none" w:sz="0" w:space="0" w:color="auto"/>
        <w:bottom w:val="none" w:sz="0" w:space="0" w:color="auto"/>
        <w:right w:val="none" w:sz="0" w:space="0" w:color="auto"/>
      </w:divBdr>
    </w:div>
    <w:div w:id="155388348">
      <w:bodyDiv w:val="1"/>
      <w:marLeft w:val="0"/>
      <w:marRight w:val="0"/>
      <w:marTop w:val="0"/>
      <w:marBottom w:val="0"/>
      <w:divBdr>
        <w:top w:val="none" w:sz="0" w:space="0" w:color="auto"/>
        <w:left w:val="none" w:sz="0" w:space="0" w:color="auto"/>
        <w:bottom w:val="none" w:sz="0" w:space="0" w:color="auto"/>
        <w:right w:val="none" w:sz="0" w:space="0" w:color="auto"/>
      </w:divBdr>
    </w:div>
    <w:div w:id="554313276">
      <w:bodyDiv w:val="1"/>
      <w:marLeft w:val="0"/>
      <w:marRight w:val="0"/>
      <w:marTop w:val="0"/>
      <w:marBottom w:val="0"/>
      <w:divBdr>
        <w:top w:val="none" w:sz="0" w:space="0" w:color="auto"/>
        <w:left w:val="none" w:sz="0" w:space="0" w:color="auto"/>
        <w:bottom w:val="none" w:sz="0" w:space="0" w:color="auto"/>
        <w:right w:val="none" w:sz="0" w:space="0" w:color="auto"/>
      </w:divBdr>
    </w:div>
    <w:div w:id="602297671">
      <w:bodyDiv w:val="1"/>
      <w:marLeft w:val="0"/>
      <w:marRight w:val="0"/>
      <w:marTop w:val="0"/>
      <w:marBottom w:val="0"/>
      <w:divBdr>
        <w:top w:val="none" w:sz="0" w:space="0" w:color="auto"/>
        <w:left w:val="none" w:sz="0" w:space="0" w:color="auto"/>
        <w:bottom w:val="none" w:sz="0" w:space="0" w:color="auto"/>
        <w:right w:val="none" w:sz="0" w:space="0" w:color="auto"/>
      </w:divBdr>
    </w:div>
    <w:div w:id="667945439">
      <w:bodyDiv w:val="1"/>
      <w:marLeft w:val="0"/>
      <w:marRight w:val="0"/>
      <w:marTop w:val="0"/>
      <w:marBottom w:val="0"/>
      <w:divBdr>
        <w:top w:val="none" w:sz="0" w:space="0" w:color="auto"/>
        <w:left w:val="none" w:sz="0" w:space="0" w:color="auto"/>
        <w:bottom w:val="none" w:sz="0" w:space="0" w:color="auto"/>
        <w:right w:val="none" w:sz="0" w:space="0" w:color="auto"/>
      </w:divBdr>
    </w:div>
    <w:div w:id="872309839">
      <w:bodyDiv w:val="1"/>
      <w:marLeft w:val="0"/>
      <w:marRight w:val="0"/>
      <w:marTop w:val="0"/>
      <w:marBottom w:val="0"/>
      <w:divBdr>
        <w:top w:val="none" w:sz="0" w:space="0" w:color="auto"/>
        <w:left w:val="none" w:sz="0" w:space="0" w:color="auto"/>
        <w:bottom w:val="none" w:sz="0" w:space="0" w:color="auto"/>
        <w:right w:val="none" w:sz="0" w:space="0" w:color="auto"/>
      </w:divBdr>
    </w:div>
    <w:div w:id="894270538">
      <w:bodyDiv w:val="1"/>
      <w:marLeft w:val="0"/>
      <w:marRight w:val="0"/>
      <w:marTop w:val="0"/>
      <w:marBottom w:val="0"/>
      <w:divBdr>
        <w:top w:val="none" w:sz="0" w:space="0" w:color="auto"/>
        <w:left w:val="none" w:sz="0" w:space="0" w:color="auto"/>
        <w:bottom w:val="none" w:sz="0" w:space="0" w:color="auto"/>
        <w:right w:val="none" w:sz="0" w:space="0" w:color="auto"/>
      </w:divBdr>
    </w:div>
    <w:div w:id="919751975">
      <w:bodyDiv w:val="1"/>
      <w:marLeft w:val="0"/>
      <w:marRight w:val="0"/>
      <w:marTop w:val="0"/>
      <w:marBottom w:val="0"/>
      <w:divBdr>
        <w:top w:val="none" w:sz="0" w:space="0" w:color="auto"/>
        <w:left w:val="none" w:sz="0" w:space="0" w:color="auto"/>
        <w:bottom w:val="none" w:sz="0" w:space="0" w:color="auto"/>
        <w:right w:val="none" w:sz="0" w:space="0" w:color="auto"/>
      </w:divBdr>
    </w:div>
    <w:div w:id="1003047541">
      <w:bodyDiv w:val="1"/>
      <w:marLeft w:val="0"/>
      <w:marRight w:val="0"/>
      <w:marTop w:val="0"/>
      <w:marBottom w:val="0"/>
      <w:divBdr>
        <w:top w:val="none" w:sz="0" w:space="0" w:color="auto"/>
        <w:left w:val="none" w:sz="0" w:space="0" w:color="auto"/>
        <w:bottom w:val="none" w:sz="0" w:space="0" w:color="auto"/>
        <w:right w:val="none" w:sz="0" w:space="0" w:color="auto"/>
      </w:divBdr>
    </w:div>
    <w:div w:id="1013259284">
      <w:bodyDiv w:val="1"/>
      <w:marLeft w:val="0"/>
      <w:marRight w:val="0"/>
      <w:marTop w:val="0"/>
      <w:marBottom w:val="0"/>
      <w:divBdr>
        <w:top w:val="none" w:sz="0" w:space="0" w:color="auto"/>
        <w:left w:val="none" w:sz="0" w:space="0" w:color="auto"/>
        <w:bottom w:val="none" w:sz="0" w:space="0" w:color="auto"/>
        <w:right w:val="none" w:sz="0" w:space="0" w:color="auto"/>
      </w:divBdr>
    </w:div>
    <w:div w:id="1036346547">
      <w:bodyDiv w:val="1"/>
      <w:marLeft w:val="0"/>
      <w:marRight w:val="0"/>
      <w:marTop w:val="0"/>
      <w:marBottom w:val="0"/>
      <w:divBdr>
        <w:top w:val="none" w:sz="0" w:space="0" w:color="auto"/>
        <w:left w:val="none" w:sz="0" w:space="0" w:color="auto"/>
        <w:bottom w:val="none" w:sz="0" w:space="0" w:color="auto"/>
        <w:right w:val="none" w:sz="0" w:space="0" w:color="auto"/>
      </w:divBdr>
    </w:div>
    <w:div w:id="1169713527">
      <w:bodyDiv w:val="1"/>
      <w:marLeft w:val="0"/>
      <w:marRight w:val="0"/>
      <w:marTop w:val="0"/>
      <w:marBottom w:val="0"/>
      <w:divBdr>
        <w:top w:val="none" w:sz="0" w:space="0" w:color="auto"/>
        <w:left w:val="none" w:sz="0" w:space="0" w:color="auto"/>
        <w:bottom w:val="none" w:sz="0" w:space="0" w:color="auto"/>
        <w:right w:val="none" w:sz="0" w:space="0" w:color="auto"/>
      </w:divBdr>
    </w:div>
    <w:div w:id="1215392890">
      <w:bodyDiv w:val="1"/>
      <w:marLeft w:val="0"/>
      <w:marRight w:val="0"/>
      <w:marTop w:val="0"/>
      <w:marBottom w:val="0"/>
      <w:divBdr>
        <w:top w:val="none" w:sz="0" w:space="0" w:color="auto"/>
        <w:left w:val="none" w:sz="0" w:space="0" w:color="auto"/>
        <w:bottom w:val="none" w:sz="0" w:space="0" w:color="auto"/>
        <w:right w:val="none" w:sz="0" w:space="0" w:color="auto"/>
      </w:divBdr>
    </w:div>
    <w:div w:id="1253393124">
      <w:bodyDiv w:val="1"/>
      <w:marLeft w:val="0"/>
      <w:marRight w:val="0"/>
      <w:marTop w:val="0"/>
      <w:marBottom w:val="0"/>
      <w:divBdr>
        <w:top w:val="none" w:sz="0" w:space="0" w:color="auto"/>
        <w:left w:val="none" w:sz="0" w:space="0" w:color="auto"/>
        <w:bottom w:val="none" w:sz="0" w:space="0" w:color="auto"/>
        <w:right w:val="none" w:sz="0" w:space="0" w:color="auto"/>
      </w:divBdr>
    </w:div>
    <w:div w:id="1309163669">
      <w:bodyDiv w:val="1"/>
      <w:marLeft w:val="0"/>
      <w:marRight w:val="0"/>
      <w:marTop w:val="0"/>
      <w:marBottom w:val="0"/>
      <w:divBdr>
        <w:top w:val="none" w:sz="0" w:space="0" w:color="auto"/>
        <w:left w:val="none" w:sz="0" w:space="0" w:color="auto"/>
        <w:bottom w:val="none" w:sz="0" w:space="0" w:color="auto"/>
        <w:right w:val="none" w:sz="0" w:space="0" w:color="auto"/>
      </w:divBdr>
    </w:div>
    <w:div w:id="1493914065">
      <w:bodyDiv w:val="1"/>
      <w:marLeft w:val="0"/>
      <w:marRight w:val="0"/>
      <w:marTop w:val="0"/>
      <w:marBottom w:val="0"/>
      <w:divBdr>
        <w:top w:val="none" w:sz="0" w:space="0" w:color="auto"/>
        <w:left w:val="none" w:sz="0" w:space="0" w:color="auto"/>
        <w:bottom w:val="none" w:sz="0" w:space="0" w:color="auto"/>
        <w:right w:val="none" w:sz="0" w:space="0" w:color="auto"/>
      </w:divBdr>
    </w:div>
    <w:div w:id="1510633624">
      <w:bodyDiv w:val="1"/>
      <w:marLeft w:val="0"/>
      <w:marRight w:val="0"/>
      <w:marTop w:val="0"/>
      <w:marBottom w:val="0"/>
      <w:divBdr>
        <w:top w:val="none" w:sz="0" w:space="0" w:color="auto"/>
        <w:left w:val="none" w:sz="0" w:space="0" w:color="auto"/>
        <w:bottom w:val="none" w:sz="0" w:space="0" w:color="auto"/>
        <w:right w:val="none" w:sz="0" w:space="0" w:color="auto"/>
      </w:divBdr>
    </w:div>
    <w:div w:id="1525484433">
      <w:bodyDiv w:val="1"/>
      <w:marLeft w:val="0"/>
      <w:marRight w:val="0"/>
      <w:marTop w:val="0"/>
      <w:marBottom w:val="0"/>
      <w:divBdr>
        <w:top w:val="none" w:sz="0" w:space="0" w:color="auto"/>
        <w:left w:val="none" w:sz="0" w:space="0" w:color="auto"/>
        <w:bottom w:val="none" w:sz="0" w:space="0" w:color="auto"/>
        <w:right w:val="none" w:sz="0" w:space="0" w:color="auto"/>
      </w:divBdr>
    </w:div>
    <w:div w:id="1633248846">
      <w:bodyDiv w:val="1"/>
      <w:marLeft w:val="0"/>
      <w:marRight w:val="0"/>
      <w:marTop w:val="0"/>
      <w:marBottom w:val="0"/>
      <w:divBdr>
        <w:top w:val="none" w:sz="0" w:space="0" w:color="auto"/>
        <w:left w:val="none" w:sz="0" w:space="0" w:color="auto"/>
        <w:bottom w:val="none" w:sz="0" w:space="0" w:color="auto"/>
        <w:right w:val="none" w:sz="0" w:space="0" w:color="auto"/>
      </w:divBdr>
    </w:div>
    <w:div w:id="1677725359">
      <w:bodyDiv w:val="1"/>
      <w:marLeft w:val="0"/>
      <w:marRight w:val="0"/>
      <w:marTop w:val="0"/>
      <w:marBottom w:val="0"/>
      <w:divBdr>
        <w:top w:val="none" w:sz="0" w:space="0" w:color="auto"/>
        <w:left w:val="none" w:sz="0" w:space="0" w:color="auto"/>
        <w:bottom w:val="none" w:sz="0" w:space="0" w:color="auto"/>
        <w:right w:val="none" w:sz="0" w:space="0" w:color="auto"/>
      </w:divBdr>
    </w:div>
    <w:div w:id="1734156655">
      <w:bodyDiv w:val="1"/>
      <w:marLeft w:val="0"/>
      <w:marRight w:val="0"/>
      <w:marTop w:val="0"/>
      <w:marBottom w:val="0"/>
      <w:divBdr>
        <w:top w:val="none" w:sz="0" w:space="0" w:color="auto"/>
        <w:left w:val="none" w:sz="0" w:space="0" w:color="auto"/>
        <w:bottom w:val="none" w:sz="0" w:space="0" w:color="auto"/>
        <w:right w:val="none" w:sz="0" w:space="0" w:color="auto"/>
      </w:divBdr>
    </w:div>
    <w:div w:id="1741051246">
      <w:bodyDiv w:val="1"/>
      <w:marLeft w:val="0"/>
      <w:marRight w:val="0"/>
      <w:marTop w:val="0"/>
      <w:marBottom w:val="0"/>
      <w:divBdr>
        <w:top w:val="none" w:sz="0" w:space="0" w:color="auto"/>
        <w:left w:val="none" w:sz="0" w:space="0" w:color="auto"/>
        <w:bottom w:val="none" w:sz="0" w:space="0" w:color="auto"/>
        <w:right w:val="none" w:sz="0" w:space="0" w:color="auto"/>
      </w:divBdr>
    </w:div>
    <w:div w:id="1820808153">
      <w:bodyDiv w:val="1"/>
      <w:marLeft w:val="0"/>
      <w:marRight w:val="0"/>
      <w:marTop w:val="0"/>
      <w:marBottom w:val="0"/>
      <w:divBdr>
        <w:top w:val="none" w:sz="0" w:space="0" w:color="auto"/>
        <w:left w:val="none" w:sz="0" w:space="0" w:color="auto"/>
        <w:bottom w:val="none" w:sz="0" w:space="0" w:color="auto"/>
        <w:right w:val="none" w:sz="0" w:space="0" w:color="auto"/>
      </w:divBdr>
    </w:div>
    <w:div w:id="1825971393">
      <w:bodyDiv w:val="1"/>
      <w:marLeft w:val="0"/>
      <w:marRight w:val="0"/>
      <w:marTop w:val="0"/>
      <w:marBottom w:val="0"/>
      <w:divBdr>
        <w:top w:val="none" w:sz="0" w:space="0" w:color="auto"/>
        <w:left w:val="none" w:sz="0" w:space="0" w:color="auto"/>
        <w:bottom w:val="none" w:sz="0" w:space="0" w:color="auto"/>
        <w:right w:val="none" w:sz="0" w:space="0" w:color="auto"/>
      </w:divBdr>
    </w:div>
    <w:div w:id="1863395993">
      <w:bodyDiv w:val="1"/>
      <w:marLeft w:val="0"/>
      <w:marRight w:val="0"/>
      <w:marTop w:val="0"/>
      <w:marBottom w:val="0"/>
      <w:divBdr>
        <w:top w:val="none" w:sz="0" w:space="0" w:color="auto"/>
        <w:left w:val="none" w:sz="0" w:space="0" w:color="auto"/>
        <w:bottom w:val="none" w:sz="0" w:space="0" w:color="auto"/>
        <w:right w:val="none" w:sz="0" w:space="0" w:color="auto"/>
      </w:divBdr>
    </w:div>
    <w:div w:id="1875575281">
      <w:bodyDiv w:val="1"/>
      <w:marLeft w:val="0"/>
      <w:marRight w:val="0"/>
      <w:marTop w:val="0"/>
      <w:marBottom w:val="0"/>
      <w:divBdr>
        <w:top w:val="none" w:sz="0" w:space="0" w:color="auto"/>
        <w:left w:val="none" w:sz="0" w:space="0" w:color="auto"/>
        <w:bottom w:val="none" w:sz="0" w:space="0" w:color="auto"/>
        <w:right w:val="none" w:sz="0" w:space="0" w:color="auto"/>
      </w:divBdr>
    </w:div>
    <w:div w:id="1946888776">
      <w:bodyDiv w:val="1"/>
      <w:marLeft w:val="0"/>
      <w:marRight w:val="0"/>
      <w:marTop w:val="0"/>
      <w:marBottom w:val="0"/>
      <w:divBdr>
        <w:top w:val="none" w:sz="0" w:space="0" w:color="auto"/>
        <w:left w:val="none" w:sz="0" w:space="0" w:color="auto"/>
        <w:bottom w:val="none" w:sz="0" w:space="0" w:color="auto"/>
        <w:right w:val="none" w:sz="0" w:space="0" w:color="auto"/>
      </w:divBdr>
    </w:div>
    <w:div w:id="211886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hart" Target="charts/chart4.xml"/><Relationship Id="rId39" Type="http://schemas.openxmlformats.org/officeDocument/2006/relationships/footer" Target="footer11.xml"/><Relationship Id="rId21" Type="http://schemas.openxmlformats.org/officeDocument/2006/relationships/footer" Target="footer6.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footer" Target="footer16.xml"/><Relationship Id="rId55" Type="http://schemas.openxmlformats.org/officeDocument/2006/relationships/header" Target="header20.xml"/><Relationship Id="rId63" Type="http://schemas.openxmlformats.org/officeDocument/2006/relationships/footer" Target="footer2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2.xml"/><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4.xml"/><Relationship Id="rId53" Type="http://schemas.openxmlformats.org/officeDocument/2006/relationships/footer" Target="footer18.xml"/><Relationship Id="rId58" Type="http://schemas.openxmlformats.org/officeDocument/2006/relationships/header" Target="header21.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chart" Target="charts/chart6.xml"/><Relationship Id="rId36" Type="http://schemas.openxmlformats.org/officeDocument/2006/relationships/header" Target="header10.xml"/><Relationship Id="rId49" Type="http://schemas.openxmlformats.org/officeDocument/2006/relationships/header" Target="header17.xml"/><Relationship Id="rId57" Type="http://schemas.openxmlformats.org/officeDocument/2006/relationships/footer" Target="footer20.xml"/><Relationship Id="rId61" Type="http://schemas.openxmlformats.org/officeDocument/2006/relationships/header" Target="header2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4" Type="http://schemas.openxmlformats.org/officeDocument/2006/relationships/footer" Target="footer13.xml"/><Relationship Id="rId52" Type="http://schemas.openxmlformats.org/officeDocument/2006/relationships/header" Target="header18.xml"/><Relationship Id="rId60" Type="http://schemas.openxmlformats.org/officeDocument/2006/relationships/header" Target="header22.xml"/><Relationship Id="rId65" Type="http://schemas.openxmlformats.org/officeDocument/2006/relationships/footer" Target="footer2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eader" Target="header14.xml"/><Relationship Id="rId48" Type="http://schemas.openxmlformats.org/officeDocument/2006/relationships/header" Target="header16.xml"/><Relationship Id="rId56" Type="http://schemas.openxmlformats.org/officeDocument/2006/relationships/footer" Target="footer19.xml"/><Relationship Id="rId64" Type="http://schemas.openxmlformats.org/officeDocument/2006/relationships/header" Target="header24.xml"/><Relationship Id="rId8" Type="http://schemas.openxmlformats.org/officeDocument/2006/relationships/endnotes" Target="endnotes.xml"/><Relationship Id="rId51" Type="http://schemas.openxmlformats.org/officeDocument/2006/relationships/footer" Target="footer1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hart" Target="charts/chart3.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header" Target="header15.xml"/><Relationship Id="rId59" Type="http://schemas.openxmlformats.org/officeDocument/2006/relationships/footer" Target="footer21.xml"/><Relationship Id="rId6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footer" Target="footer12.xml"/><Relationship Id="rId54" Type="http://schemas.openxmlformats.org/officeDocument/2006/relationships/header" Target="header19.xml"/><Relationship Id="rId62" Type="http://schemas.openxmlformats.org/officeDocument/2006/relationships/footer" Target="footer22.xml"/></Relationships>
</file>

<file path=word/charts/_rels/chart1.xml.rels><?xml version="1.0" encoding="UTF-8" standalone="yes"?>
<Relationships xmlns="http://schemas.openxmlformats.org/package/2006/relationships"><Relationship Id="rId2" Type="http://schemas.openxmlformats.org/officeDocument/2006/relationships/oleObject" Target="file:///\\beilux.eib.org\G_Disk\FI\PUBLIC\CF-Tiers\FG%20(Fonds%20de%20Garantie)\FDG%20Annual%20Report\Rapport%20Gestion%202018\Holdings%20at%202018%20vs%2020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oleObject" Target="file:///\\beilux.eib.org\K_Disk\LANYI\GF\all%20transactions%202018.xlsx" TargetMode="External"/><Relationship Id="rId1" Type="http://schemas.openxmlformats.org/officeDocument/2006/relationships/themeOverride" Target="../theme/themeOverride2.xml"/><Relationship Id="rId4"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oleObject" Target="file:///\\beilux.eib.org\K_Disk\LANYI\GF\all%20transactions%202018.xlsx" TargetMode="External"/><Relationship Id="rId1" Type="http://schemas.openxmlformats.org/officeDocument/2006/relationships/themeOverride" Target="../theme/themeOverride3.xml"/><Relationship Id="rId4"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oleObject" Target="file:///\\beilux.eib.org\K_Disk\LANYI\GF\all%20transactions%202018.xlsx" TargetMode="External"/><Relationship Id="rId1" Type="http://schemas.openxmlformats.org/officeDocument/2006/relationships/themeOverride" Target="../theme/themeOverride4.xml"/><Relationship Id="rId4" Type="http://schemas.microsoft.com/office/2011/relationships/chartStyle" Target="style3.xml"/></Relationships>
</file>

<file path=word/charts/_rels/chart5.xml.rels><?xml version="1.0" encoding="UTF-8" standalone="yes"?>
<Relationships xmlns="http://schemas.openxmlformats.org/package/2006/relationships"><Relationship Id="rId2" Type="http://schemas.openxmlformats.org/officeDocument/2006/relationships/oleObject" Target="file:///\\beilux.eib.org\G_Disk\FI\PUBLIC\CF-Tiers\FG%20(Fonds%20de%20Garantie)\FDG%20Annual%20Report\Rapport%20Gestion%202018\Assets%20held%20analysis%202018.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oleObject" Target="file:///\\beilux.eib.org\G_Disk\FI\PUBLIC\CF-Tiers\FG%20(Fonds%20de%20Garantie)\FDG%20Annual%20Report\Rapport%20Gestion%202018\Assets%20held%20analysis%202018.xlsx" TargetMode="External"/><Relationship Id="rId1" Type="http://schemas.openxmlformats.org/officeDocument/2006/relationships/themeOverride" Target="../theme/themeOverride6.xml"/><Relationship Id="rId4"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openxmlformats.org/officeDocument/2006/relationships/oleObject" Target="file:///C:\Users\PACKANY\AppData\Roaming\Microsoft\Excel\Assets%20held%20analysis%202018%20(version%201).xlsb" TargetMode="External"/><Relationship Id="rId1" Type="http://schemas.openxmlformats.org/officeDocument/2006/relationships/themeOverride" Target="../theme/themeOverride7.xml"/><Relationship Id="rId4"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378667276390814"/>
          <c:y val="8.9568387284922724E-2"/>
          <c:w val="0.65855381053774809"/>
          <c:h val="0.81222769142199192"/>
        </c:manualLayout>
      </c:layout>
      <c:lineChart>
        <c:grouping val="standard"/>
        <c:varyColors val="0"/>
        <c:ser>
          <c:idx val="0"/>
          <c:order val="0"/>
          <c:tx>
            <c:strRef>
              <c:f>'updated Chart for 2017'!$D$2</c:f>
              <c:strCache>
                <c:ptCount val="1"/>
                <c:pt idx="0">
                  <c:v>2018</c:v>
                </c:pt>
              </c:strCache>
            </c:strRef>
          </c:tx>
          <c:marker>
            <c:symbol val="none"/>
          </c:marker>
          <c:cat>
            <c:strRef>
              <c:f>'updated Chart for 2017'!$C$3:$C$14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'updated Chart for 2017'!$D$3:$D$14</c:f>
              <c:numCache>
                <c:formatCode>_-* #,##0_-;\-* #,##0_-;_-* "-"??_-;_-@_-</c:formatCode>
                <c:ptCount val="12"/>
                <c:pt idx="0">
                  <c:v>2538.3165830599996</c:v>
                </c:pt>
                <c:pt idx="1">
                  <c:v>2537.4400827500003</c:v>
                </c:pt>
                <c:pt idx="2">
                  <c:v>2539.4963909800003</c:v>
                </c:pt>
                <c:pt idx="3">
                  <c:v>2538.9708214300003</c:v>
                </c:pt>
                <c:pt idx="4">
                  <c:v>2541.2734873300005</c:v>
                </c:pt>
                <c:pt idx="5">
                  <c:v>2527.3298034200002</c:v>
                </c:pt>
                <c:pt idx="6">
                  <c:v>2523.8315978099995</c:v>
                </c:pt>
                <c:pt idx="7">
                  <c:v>2521.1189304999998</c:v>
                </c:pt>
                <c:pt idx="8">
                  <c:v>2507.9854422200001</c:v>
                </c:pt>
                <c:pt idx="9">
                  <c:v>2510.7169316899999</c:v>
                </c:pt>
                <c:pt idx="10">
                  <c:v>2505.8045092900006</c:v>
                </c:pt>
                <c:pt idx="11">
                  <c:v>2596.7045534999997</c:v>
                </c:pt>
              </c:numCache>
            </c:numRef>
          </c:val>
          <c:smooth val="0"/>
          <c:extLst xmlns:c16r2="http://schemas.microsoft.com/office/drawing/2015/06/chart">
            <c:ext xmlns:c16="http://schemas.microsoft.com/office/drawing/2014/chart" uri="{C3380CC4-5D6E-409C-BE32-E72D297353CC}">
              <c16:uniqueId val="{00000000-0E79-4B40-A291-E8F9479EF138}"/>
            </c:ext>
          </c:extLst>
        </c:ser>
        <c:ser>
          <c:idx val="1"/>
          <c:order val="1"/>
          <c:tx>
            <c:strRef>
              <c:f>'updated Chart for 2017'!$E$2</c:f>
              <c:strCache>
                <c:ptCount val="1"/>
                <c:pt idx="0">
                  <c:v>2017</c:v>
                </c:pt>
              </c:strCache>
            </c:strRef>
          </c:tx>
          <c:marker>
            <c:symbol val="none"/>
          </c:marker>
          <c:cat>
            <c:strRef>
              <c:f>'updated Chart for 2017'!$C$3:$C$14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'updated Chart for 2017'!$E$3:$E$14</c:f>
              <c:numCache>
                <c:formatCode>_-* #,##0_-;\-* #,##0_-;_-* "-"??_-;_-@_-</c:formatCode>
                <c:ptCount val="12"/>
                <c:pt idx="0">
                  <c:v>2481.8412594000001</c:v>
                </c:pt>
                <c:pt idx="1">
                  <c:v>2489.3120478000001</c:v>
                </c:pt>
                <c:pt idx="2">
                  <c:v>2477.9157233000001</c:v>
                </c:pt>
                <c:pt idx="3">
                  <c:v>2481.6518438000003</c:v>
                </c:pt>
                <c:pt idx="4">
                  <c:v>2484.6980781899997</c:v>
                </c:pt>
                <c:pt idx="5">
                  <c:v>2472.2232295100002</c:v>
                </c:pt>
                <c:pt idx="6">
                  <c:v>2461.2656726099999</c:v>
                </c:pt>
                <c:pt idx="7">
                  <c:v>2464.7970077000004</c:v>
                </c:pt>
                <c:pt idx="8">
                  <c:v>2462.4236008299999</c:v>
                </c:pt>
                <c:pt idx="9">
                  <c:v>2459.4359960200004</c:v>
                </c:pt>
                <c:pt idx="10">
                  <c:v>2453.2747764400006</c:v>
                </c:pt>
                <c:pt idx="11">
                  <c:v>2546.5480660200001</c:v>
                </c:pt>
              </c:numCache>
            </c:numRef>
          </c:val>
          <c:smooth val="0"/>
          <c:extLst xmlns:c16r2="http://schemas.microsoft.com/office/drawing/2015/06/chart">
            <c:ext xmlns:c16="http://schemas.microsoft.com/office/drawing/2014/chart" uri="{C3380CC4-5D6E-409C-BE32-E72D297353CC}">
              <c16:uniqueId val="{00000001-0E79-4B40-A291-E8F9479EF138}"/>
            </c:ext>
          </c:extLst>
        </c:ser>
        <c:dLbls>
          <c:showLegendKey val="0"/>
          <c:showVal val="0"/>
          <c:showCatName val="0"/>
          <c:showSerName val="0"/>
          <c:showPercent val="0"/>
          <c:showBubbleSize val="0"/>
        </c:dLbls>
        <c:marker val="1"/>
        <c:smooth val="0"/>
        <c:axId val="93051136"/>
        <c:axId val="93057024"/>
      </c:lineChart>
      <c:catAx>
        <c:axId val="93051136"/>
        <c:scaling>
          <c:orientation val="minMax"/>
        </c:scaling>
        <c:delete val="0"/>
        <c:axPos val="b"/>
        <c:numFmt formatCode="General" sourceLinked="0"/>
        <c:majorTickMark val="out"/>
        <c:minorTickMark val="none"/>
        <c:tickLblPos val="nextTo"/>
        <c:crossAx val="93057024"/>
        <c:crossesAt val="1000"/>
        <c:auto val="1"/>
        <c:lblAlgn val="ctr"/>
        <c:lblOffset val="100"/>
        <c:noMultiLvlLbl val="0"/>
      </c:catAx>
      <c:valAx>
        <c:axId val="93057024"/>
        <c:scaling>
          <c:orientation val="minMax"/>
          <c:max val="2625"/>
          <c:min val="2425"/>
        </c:scaling>
        <c:delete val="0"/>
        <c:axPos val="l"/>
        <c:majorGridlines/>
        <c:title>
          <c:tx>
            <c:rich>
              <a:bodyPr rot="-5400000" vert="horz"/>
              <a:lstStyle/>
              <a:p>
                <a:pPr>
                  <a:defRPr sz="1000">
                    <a:latin typeface="Arial" panose="020B0604020202020204" pitchFamily="34" charset="0"/>
                  </a:defRPr>
                </a:pPr>
                <a:r>
                  <a:rPr lang="en-GB" sz="1000">
                    <a:latin typeface="Arial" panose="020B0604020202020204" pitchFamily="34" charset="0"/>
                  </a:rPr>
                  <a:t/>
                </a:r>
                <a:br>
                  <a:rPr lang="en-GB" sz="1000">
                    <a:latin typeface="Arial" panose="020B0604020202020204" pitchFamily="34" charset="0"/>
                  </a:rPr>
                </a:br>
                <a:r>
                  <a:rPr lang="en-GB" sz="1000">
                    <a:latin typeface="Arial" panose="020B0604020202020204" pitchFamily="34" charset="0"/>
                  </a:rPr>
                  <a:t>(million euro)</a:t>
                </a:r>
                <a:br>
                  <a:rPr lang="en-GB" sz="1000">
                    <a:latin typeface="Arial" panose="020B0604020202020204" pitchFamily="34" charset="0"/>
                  </a:rPr>
                </a:br>
                <a:r>
                  <a:rPr lang="en-GB" sz="1000">
                    <a:latin typeface="Arial" panose="020B0604020202020204" pitchFamily="34" charset="0"/>
                  </a:rPr>
                  <a:t/>
                </a:r>
                <a:br>
                  <a:rPr lang="en-GB" sz="1000">
                    <a:latin typeface="Arial" panose="020B0604020202020204" pitchFamily="34" charset="0"/>
                  </a:rPr>
                </a:br>
                <a:endParaRPr lang="en-GB" sz="1000">
                  <a:latin typeface="Arial" panose="020B0604020202020204" pitchFamily="34" charset="0"/>
                </a:endParaRPr>
              </a:p>
            </c:rich>
          </c:tx>
          <c:layout/>
          <c:overlay val="0"/>
        </c:title>
        <c:numFmt formatCode="_-* #,##0_-;\-* #,##0_-;_-* &quot;-&quot;??_-;_-@_-" sourceLinked="1"/>
        <c:majorTickMark val="out"/>
        <c:minorTickMark val="none"/>
        <c:tickLblPos val="nextTo"/>
        <c:crossAx val="93051136"/>
        <c:crosses val="autoZero"/>
        <c:crossBetween val="between"/>
        <c:majorUnit val="50"/>
        <c:minorUnit val="50"/>
      </c:valAx>
    </c:plotArea>
    <c:legend>
      <c:legendPos val="r"/>
      <c:layout>
        <c:manualLayout>
          <c:xMode val="edge"/>
          <c:yMode val="edge"/>
          <c:x val="0.85800534461323008"/>
          <c:y val="0.42195424645993324"/>
          <c:w val="0.11279691898766737"/>
          <c:h val="0.13221243523316062"/>
        </c:manualLayout>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1"/>
          <c:dPt>
            <c:idx val="0"/>
            <c:bubble3D val="0"/>
            <c:explosion val="6"/>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752-46B5-ACFE-E166055C388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752-46B5-ACFE-E166055C388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7752-46B5-ACFE-E166055C388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7752-46B5-ACFE-E166055C38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buy!$Y$9:$Y$12</c:f>
              <c:strCache>
                <c:ptCount val="4"/>
                <c:pt idx="0">
                  <c:v>SSA</c:v>
                </c:pt>
                <c:pt idx="1">
                  <c:v>Covered</c:v>
                </c:pt>
                <c:pt idx="2">
                  <c:v>Financial</c:v>
                </c:pt>
                <c:pt idx="3">
                  <c:v>Corporate</c:v>
                </c:pt>
              </c:strCache>
            </c:strRef>
          </c:cat>
          <c:val>
            <c:numRef>
              <c:f>buy!$Z$9:$Z$12</c:f>
              <c:numCache>
                <c:formatCode>0.0%</c:formatCode>
                <c:ptCount val="4"/>
                <c:pt idx="0">
                  <c:v>0.52020463777157566</c:v>
                </c:pt>
                <c:pt idx="1">
                  <c:v>0.10704636318457603</c:v>
                </c:pt>
                <c:pt idx="2">
                  <c:v>0.24671522664282261</c:v>
                </c:pt>
                <c:pt idx="3">
                  <c:v>0.1260337724010257</c:v>
                </c:pt>
              </c:numCache>
            </c:numRef>
          </c:val>
          <c:extLst xmlns:c16r2="http://schemas.microsoft.com/office/drawing/2015/06/chart">
            <c:ext xmlns:c16="http://schemas.microsoft.com/office/drawing/2014/chart" uri="{C3380CC4-5D6E-409C-BE32-E72D297353CC}">
              <c16:uniqueId val="{00000008-7752-46B5-ACFE-E166055C3882}"/>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83613429571303588"/>
          <c:y val="0.27914224263633713"/>
          <c:w val="0.14719903762029746"/>
          <c:h val="0.437502187226596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a:softEdge rad="0"/>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[all transactions 2018.xlsx]buy!PivotTable3</c:name>
    <c:fmtId val="-1"/>
  </c:pivotSource>
  <c:chart>
    <c:autoTitleDeleted val="1"/>
    <c:pivotFmts>
      <c:pivotFmt>
        <c:idx val="0"/>
        <c:spPr>
          <a:solidFill>
            <a:schemeClr val="accent1"/>
          </a:solidFill>
          <a:ln>
            <a:noFill/>
          </a:ln>
          <a:effectLst/>
          <a:sp3d/>
        </c:spPr>
        <c:marker>
          <c:symbol val="none"/>
        </c:marker>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2"/>
        <c:spPr>
          <a:solidFill>
            <a:schemeClr val="accent1"/>
          </a:solidFill>
          <a:ln>
            <a:noFill/>
          </a:ln>
          <a:effectLst/>
          <a:sp3d/>
        </c:spPr>
      </c:pivotFmt>
      <c:pivotFmt>
        <c:idx val="3"/>
        <c:spPr>
          <a:solidFill>
            <a:schemeClr val="accent1"/>
          </a:solidFill>
          <a:ln>
            <a:noFill/>
          </a:ln>
          <a:effectLst/>
          <a:sp3d/>
        </c:spPr>
      </c:pivotFmt>
      <c:pivotFmt>
        <c:idx val="4"/>
        <c:spPr>
          <a:solidFill>
            <a:schemeClr val="accent1"/>
          </a:solidFill>
          <a:ln>
            <a:noFill/>
          </a:ln>
          <a:effectLst/>
          <a:sp3d/>
        </c:spPr>
      </c:pivotFmt>
      <c:pivotFmt>
        <c:idx val="5"/>
        <c:spPr>
          <a:solidFill>
            <a:schemeClr val="accent1"/>
          </a:solidFill>
          <a:ln>
            <a:noFill/>
          </a:ln>
          <a:effectLst/>
          <a:sp3d/>
        </c:spPr>
      </c:pivotFmt>
      <c:pivotFmt>
        <c:idx val="6"/>
        <c:spPr>
          <a:solidFill>
            <a:schemeClr val="accent1"/>
          </a:solidFill>
          <a:ln>
            <a:noFill/>
          </a:ln>
          <a:effectLst/>
          <a:sp3d/>
        </c:spPr>
      </c:pivotFmt>
      <c:pivotFmt>
        <c:idx val="7"/>
        <c:spPr>
          <a:solidFill>
            <a:schemeClr val="accent1"/>
          </a:solidFill>
          <a:ln>
            <a:noFill/>
          </a:ln>
          <a:effectLst/>
          <a:sp3d/>
        </c:spPr>
      </c:pivotFmt>
      <c:pivotFmt>
        <c:idx val="8"/>
        <c:spPr>
          <a:solidFill>
            <a:schemeClr val="accent1"/>
          </a:solidFill>
          <a:ln>
            <a:noFill/>
          </a:ln>
          <a:effectLst/>
          <a:sp3d/>
        </c:spPr>
      </c:pivotFmt>
      <c:pivotFmt>
        <c:idx val="9"/>
        <c:spPr>
          <a:solidFill>
            <a:schemeClr val="accent1"/>
          </a:solidFill>
          <a:ln>
            <a:noFill/>
          </a:ln>
          <a:effectLst/>
          <a:sp3d/>
        </c:spPr>
      </c:pivotFmt>
      <c:pivotFmt>
        <c:idx val="10"/>
        <c:spPr>
          <a:solidFill>
            <a:schemeClr val="accent1"/>
          </a:solidFill>
          <a:ln>
            <a:noFill/>
          </a:ln>
          <a:effectLst/>
          <a:sp3d/>
        </c:spPr>
      </c:pivotFmt>
      <c:pivotFmt>
        <c:idx val="11"/>
        <c:spPr>
          <a:solidFill>
            <a:schemeClr val="accent1"/>
          </a:solidFill>
          <a:ln>
            <a:noFill/>
          </a:ln>
          <a:effectLst/>
          <a:sp3d/>
        </c:spPr>
      </c:pivotFmt>
      <c:pivotFmt>
        <c:idx val="12"/>
        <c:spPr>
          <a:solidFill>
            <a:schemeClr val="accent1"/>
          </a:solidFill>
          <a:ln>
            <a:noFill/>
          </a:ln>
          <a:effectLst/>
          <a:sp3d/>
        </c:spPr>
      </c:pivotFmt>
      <c:pivotFmt>
        <c:idx val="13"/>
        <c:spPr>
          <a:solidFill>
            <a:schemeClr val="accent1"/>
          </a:solidFill>
          <a:ln>
            <a:noFill/>
          </a:ln>
          <a:effectLst/>
          <a:sp3d/>
        </c:spPr>
      </c:pivotFmt>
      <c:pivotFmt>
        <c:idx val="14"/>
        <c:spPr>
          <a:solidFill>
            <a:schemeClr val="accent1"/>
          </a:solidFill>
          <a:ln>
            <a:noFill/>
          </a:ln>
          <a:effectLst/>
          <a:sp3d/>
        </c:spPr>
      </c:pivotFmt>
      <c:pivotFmt>
        <c:idx val="15"/>
        <c:spPr>
          <a:solidFill>
            <a:schemeClr val="accent1"/>
          </a:solidFill>
          <a:ln>
            <a:noFill/>
          </a:ln>
          <a:effectLst/>
          <a:sp3d/>
        </c:spPr>
      </c:pivotFmt>
      <c:pivotFmt>
        <c:idx val="16"/>
        <c:spPr>
          <a:solidFill>
            <a:schemeClr val="accent1"/>
          </a:solidFill>
          <a:ln>
            <a:noFill/>
          </a:ln>
          <a:effectLst/>
          <a:sp3d/>
        </c:spPr>
      </c:pivotFmt>
      <c:pivotFmt>
        <c:idx val="17"/>
        <c:spPr>
          <a:solidFill>
            <a:schemeClr val="accent1"/>
          </a:solidFill>
          <a:ln>
            <a:noFill/>
          </a:ln>
          <a:effectLst/>
          <a:sp3d/>
        </c:spPr>
      </c:pivotFmt>
      <c:pivotFmt>
        <c:idx val="18"/>
        <c:spPr>
          <a:solidFill>
            <a:schemeClr val="accent1"/>
          </a:solidFill>
          <a:ln>
            <a:noFill/>
          </a:ln>
          <a:effectLst/>
          <a:sp3d/>
        </c:spPr>
      </c:pivotFmt>
      <c:pivotFmt>
        <c:idx val="19"/>
        <c:spPr>
          <a:solidFill>
            <a:schemeClr val="accent1"/>
          </a:solidFill>
          <a:ln>
            <a:noFill/>
          </a:ln>
          <a:effectLst/>
          <a:sp3d/>
        </c:spPr>
      </c:pivotFmt>
      <c:pivotFmt>
        <c:idx val="20"/>
        <c:spPr>
          <a:solidFill>
            <a:schemeClr val="accent1"/>
          </a:solidFill>
          <a:ln>
            <a:noFill/>
          </a:ln>
          <a:effectLst/>
          <a:sp3d/>
        </c:spPr>
      </c:pivotFmt>
      <c:pivotFmt>
        <c:idx val="21"/>
        <c:spPr>
          <a:solidFill>
            <a:schemeClr val="accent1"/>
          </a:solidFill>
          <a:ln>
            <a:noFill/>
          </a:ln>
          <a:effectLst/>
          <a:sp3d/>
        </c:spPr>
      </c:pivotFmt>
      <c:pivotFmt>
        <c:idx val="22"/>
        <c:spPr>
          <a:solidFill>
            <a:schemeClr val="accent1"/>
          </a:solidFill>
          <a:ln>
            <a:noFill/>
          </a:ln>
          <a:effectLst/>
          <a:sp3d/>
        </c:spPr>
      </c:pivotFmt>
      <c:pivotFmt>
        <c:idx val="23"/>
        <c:spPr>
          <a:solidFill>
            <a:schemeClr val="accent1"/>
          </a:solidFill>
          <a:ln>
            <a:noFill/>
          </a:ln>
          <a:effectLst/>
          <a:sp3d/>
        </c:spPr>
      </c:pivotFmt>
      <c:pivotFmt>
        <c:idx val="24"/>
        <c:spPr>
          <a:solidFill>
            <a:schemeClr val="accent1"/>
          </a:solidFill>
          <a:ln>
            <a:noFill/>
          </a:ln>
          <a:effectLst/>
          <a:sp3d/>
        </c:spPr>
      </c:pivotFmt>
      <c:pivotFmt>
        <c:idx val="25"/>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26"/>
        <c:spPr>
          <a:solidFill>
            <a:schemeClr val="accent1"/>
          </a:solidFill>
          <a:ln>
            <a:noFill/>
          </a:ln>
          <a:effectLst/>
          <a:sp3d/>
        </c:spPr>
      </c:pivotFmt>
      <c:pivotFmt>
        <c:idx val="27"/>
        <c:spPr>
          <a:solidFill>
            <a:schemeClr val="accent1"/>
          </a:solidFill>
          <a:ln>
            <a:noFill/>
          </a:ln>
          <a:effectLst/>
          <a:sp3d/>
        </c:spPr>
      </c:pivotFmt>
      <c:pivotFmt>
        <c:idx val="28"/>
        <c:spPr>
          <a:solidFill>
            <a:schemeClr val="accent1"/>
          </a:solidFill>
          <a:ln>
            <a:noFill/>
          </a:ln>
          <a:effectLst/>
          <a:sp3d/>
        </c:spPr>
      </c:pivotFmt>
      <c:pivotFmt>
        <c:idx val="29"/>
        <c:spPr>
          <a:solidFill>
            <a:schemeClr val="accent1"/>
          </a:solidFill>
          <a:ln>
            <a:noFill/>
          </a:ln>
          <a:effectLst/>
          <a:sp3d/>
        </c:spPr>
      </c:pivotFmt>
      <c:pivotFmt>
        <c:idx val="30"/>
        <c:spPr>
          <a:solidFill>
            <a:schemeClr val="accent1"/>
          </a:solidFill>
          <a:ln>
            <a:noFill/>
          </a:ln>
          <a:effectLst/>
          <a:sp3d/>
        </c:spPr>
      </c:pivotFmt>
      <c:pivotFmt>
        <c:idx val="31"/>
        <c:spPr>
          <a:solidFill>
            <a:schemeClr val="accent1"/>
          </a:solidFill>
          <a:ln>
            <a:noFill/>
          </a:ln>
          <a:effectLst/>
          <a:sp3d/>
        </c:spPr>
      </c:pivotFmt>
      <c:pivotFmt>
        <c:idx val="32"/>
        <c:spPr>
          <a:solidFill>
            <a:schemeClr val="accent1"/>
          </a:solidFill>
          <a:ln>
            <a:noFill/>
          </a:ln>
          <a:effectLst/>
          <a:sp3d/>
        </c:spPr>
      </c:pivotFmt>
      <c:pivotFmt>
        <c:idx val="33"/>
        <c:spPr>
          <a:solidFill>
            <a:schemeClr val="accent1"/>
          </a:solidFill>
          <a:ln>
            <a:noFill/>
          </a:ln>
          <a:effectLst/>
          <a:sp3d/>
        </c:spPr>
      </c:pivotFmt>
      <c:pivotFmt>
        <c:idx val="34"/>
        <c:spPr>
          <a:solidFill>
            <a:schemeClr val="accent1"/>
          </a:solidFill>
          <a:ln>
            <a:noFill/>
          </a:ln>
          <a:effectLst/>
          <a:sp3d/>
        </c:spPr>
      </c:pivotFmt>
      <c:pivotFmt>
        <c:idx val="35"/>
        <c:spPr>
          <a:solidFill>
            <a:schemeClr val="accent1"/>
          </a:solidFill>
          <a:ln>
            <a:noFill/>
          </a:ln>
          <a:effectLst/>
          <a:sp3d/>
        </c:spPr>
      </c:pivotFmt>
      <c:pivotFmt>
        <c:idx val="36"/>
        <c:spPr>
          <a:solidFill>
            <a:schemeClr val="accent1"/>
          </a:solidFill>
          <a:ln>
            <a:noFill/>
          </a:ln>
          <a:effectLst/>
          <a:sp3d/>
        </c:spPr>
      </c:pivotFmt>
      <c:pivotFmt>
        <c:idx val="37"/>
        <c:spPr>
          <a:solidFill>
            <a:schemeClr val="accent1"/>
          </a:solidFill>
          <a:ln>
            <a:noFill/>
          </a:ln>
          <a:effectLst/>
          <a:sp3d/>
        </c:spPr>
      </c:pivotFmt>
      <c:pivotFmt>
        <c:idx val="38"/>
        <c:spPr>
          <a:solidFill>
            <a:schemeClr val="accent1"/>
          </a:solidFill>
          <a:ln>
            <a:noFill/>
          </a:ln>
          <a:effectLst/>
          <a:sp3d/>
        </c:spPr>
      </c:pivotFmt>
      <c:pivotFmt>
        <c:idx val="39"/>
        <c:spPr>
          <a:solidFill>
            <a:schemeClr val="accent1"/>
          </a:solidFill>
          <a:ln>
            <a:noFill/>
          </a:ln>
          <a:effectLst/>
          <a:sp3d/>
        </c:spPr>
      </c:pivotFmt>
      <c:pivotFmt>
        <c:idx val="40"/>
        <c:spPr>
          <a:solidFill>
            <a:schemeClr val="accent1"/>
          </a:solidFill>
          <a:ln>
            <a:noFill/>
          </a:ln>
          <a:effectLst/>
          <a:sp3d/>
        </c:spPr>
      </c:pivotFmt>
      <c:pivotFmt>
        <c:idx val="41"/>
        <c:spPr>
          <a:solidFill>
            <a:schemeClr val="accent1"/>
          </a:solidFill>
          <a:ln>
            <a:noFill/>
          </a:ln>
          <a:effectLst/>
          <a:sp3d/>
        </c:spPr>
      </c:pivotFmt>
      <c:pivotFmt>
        <c:idx val="42"/>
        <c:spPr>
          <a:solidFill>
            <a:schemeClr val="accent1"/>
          </a:solidFill>
          <a:ln>
            <a:noFill/>
          </a:ln>
          <a:effectLst/>
          <a:sp3d/>
        </c:spPr>
      </c:pivotFmt>
      <c:pivotFmt>
        <c:idx val="43"/>
        <c:spPr>
          <a:solidFill>
            <a:schemeClr val="accent1"/>
          </a:solidFill>
          <a:ln>
            <a:noFill/>
          </a:ln>
          <a:effectLst/>
          <a:sp3d/>
        </c:spPr>
      </c:pivotFmt>
      <c:pivotFmt>
        <c:idx val="44"/>
        <c:spPr>
          <a:solidFill>
            <a:schemeClr val="accent1"/>
          </a:solidFill>
          <a:ln>
            <a:noFill/>
          </a:ln>
          <a:effectLst/>
          <a:sp3d/>
        </c:spPr>
      </c:pivotFmt>
      <c:pivotFmt>
        <c:idx val="45"/>
        <c:spPr>
          <a:solidFill>
            <a:schemeClr val="accent1"/>
          </a:solidFill>
          <a:ln>
            <a:noFill/>
          </a:ln>
          <a:effectLst/>
          <a:sp3d/>
        </c:spPr>
      </c:pivotFmt>
      <c:pivotFmt>
        <c:idx val="46"/>
        <c:spPr>
          <a:solidFill>
            <a:schemeClr val="accent1"/>
          </a:solidFill>
          <a:ln>
            <a:noFill/>
          </a:ln>
          <a:effectLst/>
          <a:sp3d/>
        </c:spPr>
      </c:pivotFmt>
      <c:pivotFmt>
        <c:idx val="47"/>
        <c:spPr>
          <a:solidFill>
            <a:schemeClr val="accent1"/>
          </a:solidFill>
          <a:ln>
            <a:noFill/>
          </a:ln>
          <a:effectLst/>
          <a:sp3d/>
        </c:spPr>
      </c:pivotFmt>
      <c:pivotFmt>
        <c:idx val="48"/>
        <c:spPr>
          <a:solidFill>
            <a:schemeClr val="accent1"/>
          </a:solidFill>
          <a:ln>
            <a:noFill/>
          </a:ln>
          <a:effectLst/>
          <a:sp3d/>
        </c:spPr>
      </c:pivotFmt>
      <c:pivotFmt>
        <c:idx val="49"/>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50"/>
        <c:spPr>
          <a:solidFill>
            <a:schemeClr val="accent1"/>
          </a:solidFill>
          <a:ln>
            <a:noFill/>
          </a:ln>
          <a:effectLst/>
          <a:sp3d/>
        </c:spPr>
      </c:pivotFmt>
      <c:pivotFmt>
        <c:idx val="51"/>
        <c:spPr>
          <a:solidFill>
            <a:schemeClr val="accent1"/>
          </a:solidFill>
          <a:ln>
            <a:noFill/>
          </a:ln>
          <a:effectLst/>
          <a:sp3d/>
        </c:spPr>
      </c:pivotFmt>
      <c:pivotFmt>
        <c:idx val="52"/>
        <c:spPr>
          <a:solidFill>
            <a:schemeClr val="accent1"/>
          </a:solidFill>
          <a:ln>
            <a:noFill/>
          </a:ln>
          <a:effectLst/>
          <a:sp3d/>
        </c:spPr>
      </c:pivotFmt>
      <c:pivotFmt>
        <c:idx val="53"/>
        <c:spPr>
          <a:solidFill>
            <a:schemeClr val="accent1"/>
          </a:solidFill>
          <a:ln>
            <a:noFill/>
          </a:ln>
          <a:effectLst/>
          <a:sp3d/>
        </c:spPr>
      </c:pivotFmt>
      <c:pivotFmt>
        <c:idx val="54"/>
        <c:spPr>
          <a:solidFill>
            <a:schemeClr val="accent1"/>
          </a:solidFill>
          <a:ln>
            <a:noFill/>
          </a:ln>
          <a:effectLst/>
          <a:sp3d/>
        </c:spPr>
      </c:pivotFmt>
      <c:pivotFmt>
        <c:idx val="55"/>
        <c:spPr>
          <a:solidFill>
            <a:schemeClr val="accent1"/>
          </a:solidFill>
          <a:ln>
            <a:noFill/>
          </a:ln>
          <a:effectLst/>
          <a:sp3d/>
        </c:spPr>
      </c:pivotFmt>
      <c:pivotFmt>
        <c:idx val="56"/>
        <c:spPr>
          <a:solidFill>
            <a:schemeClr val="accent1"/>
          </a:solidFill>
          <a:ln>
            <a:noFill/>
          </a:ln>
          <a:effectLst/>
          <a:sp3d/>
        </c:spPr>
      </c:pivotFmt>
      <c:pivotFmt>
        <c:idx val="57"/>
        <c:spPr>
          <a:solidFill>
            <a:schemeClr val="accent1"/>
          </a:solidFill>
          <a:ln>
            <a:noFill/>
          </a:ln>
          <a:effectLst/>
          <a:sp3d/>
        </c:spPr>
      </c:pivotFmt>
      <c:pivotFmt>
        <c:idx val="58"/>
        <c:spPr>
          <a:solidFill>
            <a:schemeClr val="accent1"/>
          </a:solidFill>
          <a:ln>
            <a:noFill/>
          </a:ln>
          <a:effectLst/>
          <a:sp3d/>
        </c:spPr>
      </c:pivotFmt>
      <c:pivotFmt>
        <c:idx val="59"/>
        <c:spPr>
          <a:solidFill>
            <a:schemeClr val="accent1"/>
          </a:solidFill>
          <a:ln>
            <a:noFill/>
          </a:ln>
          <a:effectLst/>
          <a:sp3d/>
        </c:spPr>
      </c:pivotFmt>
      <c:pivotFmt>
        <c:idx val="60"/>
        <c:spPr>
          <a:solidFill>
            <a:schemeClr val="accent1"/>
          </a:solidFill>
          <a:ln>
            <a:noFill/>
          </a:ln>
          <a:effectLst/>
          <a:sp3d/>
        </c:spPr>
      </c:pivotFmt>
      <c:pivotFmt>
        <c:idx val="61"/>
        <c:spPr>
          <a:solidFill>
            <a:schemeClr val="accent1"/>
          </a:solidFill>
          <a:ln>
            <a:noFill/>
          </a:ln>
          <a:effectLst/>
          <a:sp3d/>
        </c:spPr>
      </c:pivotFmt>
      <c:pivotFmt>
        <c:idx val="62"/>
        <c:spPr>
          <a:solidFill>
            <a:schemeClr val="accent1"/>
          </a:solidFill>
          <a:ln>
            <a:noFill/>
          </a:ln>
          <a:effectLst/>
          <a:sp3d/>
        </c:spPr>
      </c:pivotFmt>
      <c:pivotFmt>
        <c:idx val="63"/>
        <c:spPr>
          <a:solidFill>
            <a:schemeClr val="accent1"/>
          </a:solidFill>
          <a:ln>
            <a:noFill/>
          </a:ln>
          <a:effectLst/>
          <a:sp3d/>
        </c:spPr>
      </c:pivotFmt>
      <c:pivotFmt>
        <c:idx val="64"/>
        <c:spPr>
          <a:solidFill>
            <a:schemeClr val="accent1"/>
          </a:solidFill>
          <a:ln>
            <a:noFill/>
          </a:ln>
          <a:effectLst/>
          <a:sp3d/>
        </c:spPr>
      </c:pivotFmt>
      <c:pivotFmt>
        <c:idx val="65"/>
        <c:spPr>
          <a:solidFill>
            <a:schemeClr val="accent1"/>
          </a:solidFill>
          <a:ln>
            <a:noFill/>
          </a:ln>
          <a:effectLst/>
          <a:sp3d/>
        </c:spPr>
      </c:pivotFmt>
      <c:pivotFmt>
        <c:idx val="66"/>
        <c:spPr>
          <a:solidFill>
            <a:schemeClr val="accent1"/>
          </a:solidFill>
          <a:ln>
            <a:noFill/>
          </a:ln>
          <a:effectLst/>
          <a:sp3d/>
        </c:spPr>
      </c:pivotFmt>
      <c:pivotFmt>
        <c:idx val="67"/>
        <c:spPr>
          <a:solidFill>
            <a:schemeClr val="accent1"/>
          </a:solidFill>
          <a:ln>
            <a:noFill/>
          </a:ln>
          <a:effectLst/>
          <a:sp3d/>
        </c:spPr>
      </c:pivotFmt>
      <c:pivotFmt>
        <c:idx val="68"/>
        <c:spPr>
          <a:solidFill>
            <a:schemeClr val="accent1"/>
          </a:solidFill>
          <a:ln>
            <a:noFill/>
          </a:ln>
          <a:effectLst/>
          <a:sp3d/>
        </c:spPr>
      </c:pivotFmt>
      <c:pivotFmt>
        <c:idx val="69"/>
        <c:spPr>
          <a:solidFill>
            <a:schemeClr val="accent1"/>
          </a:solidFill>
          <a:ln>
            <a:noFill/>
          </a:ln>
          <a:effectLst/>
          <a:sp3d/>
        </c:spPr>
      </c:pivotFmt>
      <c:pivotFmt>
        <c:idx val="70"/>
        <c:spPr>
          <a:solidFill>
            <a:schemeClr val="accent1"/>
          </a:solidFill>
          <a:ln>
            <a:noFill/>
          </a:ln>
          <a:effectLst/>
          <a:sp3d/>
        </c:spPr>
      </c:pivotFmt>
      <c:pivotFmt>
        <c:idx val="71"/>
        <c:spPr>
          <a:solidFill>
            <a:schemeClr val="accent1"/>
          </a:solidFill>
          <a:ln>
            <a:noFill/>
          </a:ln>
          <a:effectLst/>
          <a:sp3d/>
        </c:spPr>
      </c:pivotFmt>
      <c:pivotFmt>
        <c:idx val="72"/>
        <c:spPr>
          <a:solidFill>
            <a:schemeClr val="accent1"/>
          </a:solidFill>
          <a:ln>
            <a:noFill/>
          </a:ln>
          <a:effectLst/>
          <a:sp3d/>
        </c:spPr>
      </c:pivotFmt>
    </c:pivotFmts>
    <c:view3D>
      <c:rotX val="15"/>
      <c:rotY val="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buy!$AA$34</c:f>
              <c:strCache>
                <c:ptCount val="1"/>
                <c:pt idx="0">
                  <c:v>Total</c:v>
                </c:pt>
              </c:strCache>
            </c:strRef>
          </c:tx>
          <c:dPt>
            <c:idx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1-ADDC-4C73-B2A7-A7B7975BBB65}"/>
              </c:ext>
            </c:extLst>
          </c:dPt>
          <c:dPt>
            <c:idx val="1"/>
            <c:bubble3D val="0"/>
            <c:spPr>
              <a:solidFill>
                <a:schemeClr val="accent2"/>
              </a:solidFill>
              <a:ln>
                <a:noFill/>
              </a:ln>
              <a:effectLst/>
              <a:sp3d/>
            </c:spPr>
            <c:extLst xmlns:c16r2="http://schemas.microsoft.com/office/drawing/2015/06/chart">
              <c:ext xmlns:c16="http://schemas.microsoft.com/office/drawing/2014/chart" uri="{C3380CC4-5D6E-409C-BE32-E72D297353CC}">
                <c16:uniqueId val="{00000003-ADDC-4C73-B2A7-A7B7975BBB65}"/>
              </c:ext>
            </c:extLst>
          </c:dPt>
          <c:dPt>
            <c:idx val="2"/>
            <c:bubble3D val="0"/>
            <c:spPr>
              <a:solidFill>
                <a:schemeClr val="accent3"/>
              </a:solidFill>
              <a:ln>
                <a:noFill/>
              </a:ln>
              <a:effectLst/>
              <a:sp3d/>
            </c:spPr>
            <c:extLst xmlns:c16r2="http://schemas.microsoft.com/office/drawing/2015/06/chart">
              <c:ext xmlns:c16="http://schemas.microsoft.com/office/drawing/2014/chart" uri="{C3380CC4-5D6E-409C-BE32-E72D297353CC}">
                <c16:uniqueId val="{00000005-ADDC-4C73-B2A7-A7B7975BBB65}"/>
              </c:ext>
            </c:extLst>
          </c:dPt>
          <c:dPt>
            <c:idx val="3"/>
            <c:bubble3D val="0"/>
            <c:spPr>
              <a:solidFill>
                <a:schemeClr val="accent4"/>
              </a:solidFill>
              <a:ln>
                <a:noFill/>
              </a:ln>
              <a:effectLst/>
              <a:sp3d/>
            </c:spPr>
            <c:extLst xmlns:c16r2="http://schemas.microsoft.com/office/drawing/2015/06/chart">
              <c:ext xmlns:c16="http://schemas.microsoft.com/office/drawing/2014/chart" uri="{C3380CC4-5D6E-409C-BE32-E72D297353CC}">
                <c16:uniqueId val="{00000007-ADDC-4C73-B2A7-A7B7975BBB65}"/>
              </c:ext>
            </c:extLst>
          </c:dPt>
          <c:dPt>
            <c:idx val="4"/>
            <c:bubble3D val="0"/>
            <c:spPr>
              <a:solidFill>
                <a:schemeClr val="accent5"/>
              </a:solidFill>
              <a:ln>
                <a:noFill/>
              </a:ln>
              <a:effectLst/>
              <a:sp3d/>
            </c:spPr>
            <c:extLst xmlns:c16r2="http://schemas.microsoft.com/office/drawing/2015/06/chart">
              <c:ext xmlns:c16="http://schemas.microsoft.com/office/drawing/2014/chart" uri="{C3380CC4-5D6E-409C-BE32-E72D297353CC}">
                <c16:uniqueId val="{00000009-ADDC-4C73-B2A7-A7B7975BBB65}"/>
              </c:ext>
            </c:extLst>
          </c:dPt>
          <c:dPt>
            <c:idx val="5"/>
            <c:bubble3D val="0"/>
            <c:spPr>
              <a:solidFill>
                <a:schemeClr val="accent6"/>
              </a:solidFill>
              <a:ln>
                <a:noFill/>
              </a:ln>
              <a:effectLst/>
              <a:sp3d/>
            </c:spPr>
            <c:extLst xmlns:c16r2="http://schemas.microsoft.com/office/drawing/2015/06/chart">
              <c:ext xmlns:c16="http://schemas.microsoft.com/office/drawing/2014/chart" uri="{C3380CC4-5D6E-409C-BE32-E72D297353CC}">
                <c16:uniqueId val="{0000000B-ADDC-4C73-B2A7-A7B7975BBB65}"/>
              </c:ext>
            </c:extLst>
          </c:dPt>
          <c:dPt>
            <c:idx val="6"/>
            <c:bubble3D val="0"/>
            <c:spPr>
              <a:solidFill>
                <a:schemeClr val="accent1">
                  <a:lumMod val="60000"/>
                </a:schemeClr>
              </a:solidFill>
              <a:ln>
                <a:noFill/>
              </a:ln>
              <a:effectLst/>
              <a:sp3d/>
            </c:spPr>
            <c:extLst xmlns:c16r2="http://schemas.microsoft.com/office/drawing/2015/06/chart">
              <c:ext xmlns:c16="http://schemas.microsoft.com/office/drawing/2014/chart" uri="{C3380CC4-5D6E-409C-BE32-E72D297353CC}">
                <c16:uniqueId val="{0000000D-ADDC-4C73-B2A7-A7B7975BBB65}"/>
              </c:ext>
            </c:extLst>
          </c:dPt>
          <c:dPt>
            <c:idx val="7"/>
            <c:bubble3D val="0"/>
            <c:spPr>
              <a:solidFill>
                <a:schemeClr val="accent2">
                  <a:lumMod val="60000"/>
                </a:schemeClr>
              </a:solidFill>
              <a:ln>
                <a:noFill/>
              </a:ln>
              <a:effectLst/>
              <a:sp3d/>
            </c:spPr>
            <c:extLst xmlns:c16r2="http://schemas.microsoft.com/office/drawing/2015/06/chart">
              <c:ext xmlns:c16="http://schemas.microsoft.com/office/drawing/2014/chart" uri="{C3380CC4-5D6E-409C-BE32-E72D297353CC}">
                <c16:uniqueId val="{0000000F-ADDC-4C73-B2A7-A7B7975BBB65}"/>
              </c:ext>
            </c:extLst>
          </c:dPt>
          <c:dPt>
            <c:idx val="8"/>
            <c:bubble3D val="0"/>
            <c:spPr>
              <a:solidFill>
                <a:schemeClr val="accent3">
                  <a:lumMod val="60000"/>
                </a:schemeClr>
              </a:solidFill>
              <a:ln>
                <a:noFill/>
              </a:ln>
              <a:effectLst/>
              <a:sp3d/>
            </c:spPr>
            <c:extLst xmlns:c16r2="http://schemas.microsoft.com/office/drawing/2015/06/chart">
              <c:ext xmlns:c16="http://schemas.microsoft.com/office/drawing/2014/chart" uri="{C3380CC4-5D6E-409C-BE32-E72D297353CC}">
                <c16:uniqueId val="{00000011-ADDC-4C73-B2A7-A7B7975BBB65}"/>
              </c:ext>
            </c:extLst>
          </c:dPt>
          <c:dPt>
            <c:idx val="9"/>
            <c:bubble3D val="0"/>
            <c:spPr>
              <a:solidFill>
                <a:schemeClr val="accent4">
                  <a:lumMod val="60000"/>
                </a:schemeClr>
              </a:solidFill>
              <a:ln>
                <a:noFill/>
              </a:ln>
              <a:effectLst/>
              <a:sp3d/>
            </c:spPr>
            <c:extLst xmlns:c16r2="http://schemas.microsoft.com/office/drawing/2015/06/chart">
              <c:ext xmlns:c16="http://schemas.microsoft.com/office/drawing/2014/chart" uri="{C3380CC4-5D6E-409C-BE32-E72D297353CC}">
                <c16:uniqueId val="{00000013-ADDC-4C73-B2A7-A7B7975BBB65}"/>
              </c:ext>
            </c:extLst>
          </c:dPt>
          <c:dPt>
            <c:idx val="10"/>
            <c:bubble3D val="0"/>
            <c:spPr>
              <a:solidFill>
                <a:schemeClr val="accent5">
                  <a:lumMod val="60000"/>
                </a:schemeClr>
              </a:solidFill>
              <a:ln>
                <a:noFill/>
              </a:ln>
              <a:effectLst/>
              <a:sp3d/>
            </c:spPr>
            <c:extLst xmlns:c16r2="http://schemas.microsoft.com/office/drawing/2015/06/chart">
              <c:ext xmlns:c16="http://schemas.microsoft.com/office/drawing/2014/chart" uri="{C3380CC4-5D6E-409C-BE32-E72D297353CC}">
                <c16:uniqueId val="{00000015-ADDC-4C73-B2A7-A7B7975BBB65}"/>
              </c:ext>
            </c:extLst>
          </c:dPt>
          <c:dPt>
            <c:idx val="11"/>
            <c:bubble3D val="0"/>
            <c:spPr>
              <a:solidFill>
                <a:schemeClr val="accent6">
                  <a:lumMod val="60000"/>
                </a:schemeClr>
              </a:solidFill>
              <a:ln>
                <a:noFill/>
              </a:ln>
              <a:effectLst/>
              <a:sp3d/>
            </c:spPr>
            <c:extLst xmlns:c16r2="http://schemas.microsoft.com/office/drawing/2015/06/chart">
              <c:ext xmlns:c16="http://schemas.microsoft.com/office/drawing/2014/chart" uri="{C3380CC4-5D6E-409C-BE32-E72D297353CC}">
                <c16:uniqueId val="{00000017-ADDC-4C73-B2A7-A7B7975BBB65}"/>
              </c:ext>
            </c:extLst>
          </c:dPt>
          <c:dPt>
            <c:idx val="12"/>
            <c:bubble3D val="0"/>
            <c:spPr>
              <a:solidFill>
                <a:schemeClr val="accent1">
                  <a:lumMod val="80000"/>
                  <a:lumOff val="20000"/>
                </a:schemeClr>
              </a:solidFill>
              <a:ln>
                <a:noFill/>
              </a:ln>
              <a:effectLst/>
              <a:sp3d/>
            </c:spPr>
            <c:extLst xmlns:c16r2="http://schemas.microsoft.com/office/drawing/2015/06/chart">
              <c:ext xmlns:c16="http://schemas.microsoft.com/office/drawing/2014/chart" uri="{C3380CC4-5D6E-409C-BE32-E72D297353CC}">
                <c16:uniqueId val="{00000019-ADDC-4C73-B2A7-A7B7975BBB65}"/>
              </c:ext>
            </c:extLst>
          </c:dPt>
          <c:dPt>
            <c:idx val="13"/>
            <c:bubble3D val="0"/>
            <c:spPr>
              <a:solidFill>
                <a:schemeClr val="accent2">
                  <a:lumMod val="80000"/>
                  <a:lumOff val="20000"/>
                </a:schemeClr>
              </a:solidFill>
              <a:ln>
                <a:noFill/>
              </a:ln>
              <a:effectLst/>
              <a:sp3d/>
            </c:spPr>
            <c:extLst xmlns:c16r2="http://schemas.microsoft.com/office/drawing/2015/06/chart">
              <c:ext xmlns:c16="http://schemas.microsoft.com/office/drawing/2014/chart" uri="{C3380CC4-5D6E-409C-BE32-E72D297353CC}">
                <c16:uniqueId val="{0000001B-ADDC-4C73-B2A7-A7B7975BBB65}"/>
              </c:ext>
            </c:extLst>
          </c:dPt>
          <c:dPt>
            <c:idx val="14"/>
            <c:bubble3D val="0"/>
            <c:spPr>
              <a:solidFill>
                <a:schemeClr val="accent3">
                  <a:lumMod val="80000"/>
                  <a:lumOff val="20000"/>
                </a:schemeClr>
              </a:solidFill>
              <a:ln>
                <a:noFill/>
              </a:ln>
              <a:effectLst/>
              <a:sp3d/>
            </c:spPr>
            <c:extLst xmlns:c16r2="http://schemas.microsoft.com/office/drawing/2015/06/chart">
              <c:ext xmlns:c16="http://schemas.microsoft.com/office/drawing/2014/chart" uri="{C3380CC4-5D6E-409C-BE32-E72D297353CC}">
                <c16:uniqueId val="{0000001D-ADDC-4C73-B2A7-A7B7975BBB65}"/>
              </c:ext>
            </c:extLst>
          </c:dPt>
          <c:dPt>
            <c:idx val="15"/>
            <c:bubble3D val="0"/>
            <c:spPr>
              <a:solidFill>
                <a:schemeClr val="accent4">
                  <a:lumMod val="80000"/>
                  <a:lumOff val="20000"/>
                </a:schemeClr>
              </a:solidFill>
              <a:ln>
                <a:noFill/>
              </a:ln>
              <a:effectLst/>
              <a:sp3d/>
            </c:spPr>
            <c:extLst xmlns:c16r2="http://schemas.microsoft.com/office/drawing/2015/06/chart">
              <c:ext xmlns:c16="http://schemas.microsoft.com/office/drawing/2014/chart" uri="{C3380CC4-5D6E-409C-BE32-E72D297353CC}">
                <c16:uniqueId val="{0000001F-ADDC-4C73-B2A7-A7B7975BBB65}"/>
              </c:ext>
            </c:extLst>
          </c:dPt>
          <c:dPt>
            <c:idx val="16"/>
            <c:bubble3D val="0"/>
            <c:spPr>
              <a:solidFill>
                <a:schemeClr val="accent5">
                  <a:lumMod val="80000"/>
                  <a:lumOff val="20000"/>
                </a:schemeClr>
              </a:solidFill>
              <a:ln>
                <a:noFill/>
              </a:ln>
              <a:effectLst/>
              <a:sp3d/>
            </c:spPr>
            <c:extLst xmlns:c16r2="http://schemas.microsoft.com/office/drawing/2015/06/chart">
              <c:ext xmlns:c16="http://schemas.microsoft.com/office/drawing/2014/chart" uri="{C3380CC4-5D6E-409C-BE32-E72D297353CC}">
                <c16:uniqueId val="{00000021-ADDC-4C73-B2A7-A7B7975BBB65}"/>
              </c:ext>
            </c:extLst>
          </c:dPt>
          <c:dPt>
            <c:idx val="17"/>
            <c:bubble3D val="0"/>
            <c:spPr>
              <a:solidFill>
                <a:schemeClr val="accent6">
                  <a:lumMod val="80000"/>
                  <a:lumOff val="20000"/>
                </a:schemeClr>
              </a:solidFill>
              <a:ln>
                <a:noFill/>
              </a:ln>
              <a:effectLst/>
              <a:sp3d/>
            </c:spPr>
            <c:extLst xmlns:c16r2="http://schemas.microsoft.com/office/drawing/2015/06/chart">
              <c:ext xmlns:c16="http://schemas.microsoft.com/office/drawing/2014/chart" uri="{C3380CC4-5D6E-409C-BE32-E72D297353CC}">
                <c16:uniqueId val="{00000023-ADDC-4C73-B2A7-A7B7975BBB65}"/>
              </c:ext>
            </c:extLst>
          </c:dPt>
          <c:dPt>
            <c:idx val="18"/>
            <c:bubble3D val="0"/>
            <c:spPr>
              <a:solidFill>
                <a:schemeClr val="accent1">
                  <a:lumMod val="80000"/>
                </a:schemeClr>
              </a:solidFill>
              <a:ln>
                <a:noFill/>
              </a:ln>
              <a:effectLst/>
              <a:sp3d/>
            </c:spPr>
            <c:extLst xmlns:c16r2="http://schemas.microsoft.com/office/drawing/2015/06/chart">
              <c:ext xmlns:c16="http://schemas.microsoft.com/office/drawing/2014/chart" uri="{C3380CC4-5D6E-409C-BE32-E72D297353CC}">
                <c16:uniqueId val="{00000025-ADDC-4C73-B2A7-A7B7975BBB65}"/>
              </c:ext>
            </c:extLst>
          </c:dPt>
          <c:dPt>
            <c:idx val="19"/>
            <c:bubble3D val="0"/>
            <c:spPr>
              <a:solidFill>
                <a:schemeClr val="accent2">
                  <a:lumMod val="80000"/>
                </a:schemeClr>
              </a:solidFill>
              <a:ln>
                <a:noFill/>
              </a:ln>
              <a:effectLst/>
              <a:sp3d/>
            </c:spPr>
            <c:extLst xmlns:c16r2="http://schemas.microsoft.com/office/drawing/2015/06/chart">
              <c:ext xmlns:c16="http://schemas.microsoft.com/office/drawing/2014/chart" uri="{C3380CC4-5D6E-409C-BE32-E72D297353CC}">
                <c16:uniqueId val="{00000027-ADDC-4C73-B2A7-A7B7975BBB65}"/>
              </c:ext>
            </c:extLst>
          </c:dPt>
          <c:dPt>
            <c:idx val="20"/>
            <c:bubble3D val="0"/>
            <c:spPr>
              <a:solidFill>
                <a:schemeClr val="accent3">
                  <a:lumMod val="80000"/>
                </a:schemeClr>
              </a:solidFill>
              <a:ln>
                <a:noFill/>
              </a:ln>
              <a:effectLst/>
              <a:sp3d/>
            </c:spPr>
            <c:extLst xmlns:c16r2="http://schemas.microsoft.com/office/drawing/2015/06/chart">
              <c:ext xmlns:c16="http://schemas.microsoft.com/office/drawing/2014/chart" uri="{C3380CC4-5D6E-409C-BE32-E72D297353CC}">
                <c16:uniqueId val="{00000029-ADDC-4C73-B2A7-A7B7975BBB65}"/>
              </c:ext>
            </c:extLst>
          </c:dPt>
          <c:dPt>
            <c:idx val="21"/>
            <c:bubble3D val="0"/>
            <c:spPr>
              <a:solidFill>
                <a:schemeClr val="accent4">
                  <a:lumMod val="80000"/>
                </a:schemeClr>
              </a:solidFill>
              <a:ln>
                <a:noFill/>
              </a:ln>
              <a:effectLst/>
              <a:sp3d/>
            </c:spPr>
            <c:extLst xmlns:c16r2="http://schemas.microsoft.com/office/drawing/2015/06/chart">
              <c:ext xmlns:c16="http://schemas.microsoft.com/office/drawing/2014/chart" uri="{C3380CC4-5D6E-409C-BE32-E72D297353CC}">
                <c16:uniqueId val="{0000002B-ADDC-4C73-B2A7-A7B7975BBB65}"/>
              </c:ext>
            </c:extLst>
          </c:dPt>
          <c:dPt>
            <c:idx val="22"/>
            <c:bubble3D val="0"/>
            <c:spPr>
              <a:solidFill>
                <a:schemeClr val="accent5">
                  <a:lumMod val="80000"/>
                </a:schemeClr>
              </a:solidFill>
              <a:ln>
                <a:noFill/>
              </a:ln>
              <a:effectLst/>
              <a:sp3d/>
            </c:spPr>
            <c:extLst xmlns:c16r2="http://schemas.microsoft.com/office/drawing/2015/06/chart">
              <c:ext xmlns:c16="http://schemas.microsoft.com/office/drawing/2014/chart" uri="{C3380CC4-5D6E-409C-BE32-E72D297353CC}">
                <c16:uniqueId val="{0000002D-ADDC-4C73-B2A7-A7B7975BBB65}"/>
              </c:ext>
            </c:extLst>
          </c:dPt>
          <c:dLbls>
            <c:dLbl>
              <c:idx val="4"/>
              <c:layout>
                <c:manualLayout>
                  <c:x val="5.6440889185934026E-2"/>
                  <c:y val="6.4772128810163004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DDC-4C73-B2A7-A7B7975BBB65}"/>
                </c:ext>
              </c:extLst>
            </c:dLbl>
            <c:dLbl>
              <c:idx val="5"/>
              <c:layout>
                <c:manualLayout>
                  <c:x val="2.4804193905470038E-2"/>
                  <c:y val="0.10319103158597834"/>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DDC-4C73-B2A7-A7B7975BBB65}"/>
                </c:ext>
              </c:extLst>
            </c:dLbl>
            <c:dLbl>
              <c:idx val="6"/>
              <c:layout>
                <c:manualLayout>
                  <c:x val="2.1605592570159489E-2"/>
                  <c:y val="9.9696214563717869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ADDC-4C73-B2A7-A7B7975BBB65}"/>
                </c:ext>
              </c:extLst>
            </c:dLbl>
            <c:dLbl>
              <c:idx val="12"/>
              <c:layout>
                <c:manualLayout>
                  <c:x val="-6.6632204794029398E-2"/>
                  <c:y val="-0.16056344812526493"/>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ADDC-4C73-B2A7-A7B7975BBB65}"/>
                </c:ext>
              </c:extLst>
            </c:dLbl>
            <c:dLbl>
              <c:idx val="13"/>
              <c:layout>
                <c:manualLayout>
                  <c:x val="-6.7684510258498856E-3"/>
                  <c:y val="-4.0127294447084814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ADDC-4C73-B2A7-A7B7975BBB65}"/>
                </c:ext>
              </c:extLst>
            </c:dLbl>
            <c:dLbl>
              <c:idx val="14"/>
              <c:layout>
                <c:manualLayout>
                  <c:x val="1.0573181004894282E-2"/>
                  <c:y val="-5.5388177415832809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ADDC-4C73-B2A7-A7B7975BBB65}"/>
                </c:ext>
              </c:extLst>
            </c:dLbl>
            <c:dLbl>
              <c:idx val="18"/>
              <c:layout>
                <c:manualLayout>
                  <c:x val="7.7195987106386241E-2"/>
                  <c:y val="-8.5848287112561178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ADDC-4C73-B2A7-A7B7975BBB65}"/>
                </c:ext>
              </c:extLst>
            </c:dLbl>
            <c:dLbl>
              <c:idx val="19"/>
              <c:layout>
                <c:manualLayout>
                  <c:x val="0.14156171459999861"/>
                  <c:y val="-9.9077404272263678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ADDC-4C73-B2A7-A7B7975BBB65}"/>
                </c:ext>
              </c:extLst>
            </c:dLbl>
            <c:dLbl>
              <c:idx val="20"/>
              <c:layout>
                <c:manualLayout>
                  <c:x val="0.18524788181318175"/>
                  <c:y val="-9.7038252559376245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ADDC-4C73-B2A7-A7B7975BBB65}"/>
                </c:ext>
              </c:extLst>
            </c:dLbl>
            <c:dLbl>
              <c:idx val="21"/>
              <c:layout>
                <c:manualLayout>
                  <c:x val="0.20744515688854542"/>
                  <c:y val="-6.5431401009620943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ADDC-4C73-B2A7-A7B7975BBB65}"/>
                </c:ext>
              </c:extLst>
            </c:dLbl>
            <c:dLbl>
              <c:idx val="2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D-ADDC-4C73-B2A7-A7B7975BBB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buy!$Z$35:$Z$58</c:f>
              <c:strCache>
                <c:ptCount val="23"/>
                <c:pt idx="0">
                  <c:v>DE</c:v>
                </c:pt>
                <c:pt idx="1">
                  <c:v>FR</c:v>
                </c:pt>
                <c:pt idx="2">
                  <c:v>CA</c:v>
                </c:pt>
                <c:pt idx="3">
                  <c:v>SE</c:v>
                </c:pt>
                <c:pt idx="4">
                  <c:v>CZ</c:v>
                </c:pt>
                <c:pt idx="5">
                  <c:v>US</c:v>
                </c:pt>
                <c:pt idx="6">
                  <c:v>ES</c:v>
                </c:pt>
                <c:pt idx="7">
                  <c:v>SNAT</c:v>
                </c:pt>
                <c:pt idx="8">
                  <c:v>BE</c:v>
                </c:pt>
                <c:pt idx="9">
                  <c:v>NL</c:v>
                </c:pt>
                <c:pt idx="10">
                  <c:v>JP</c:v>
                </c:pt>
                <c:pt idx="11">
                  <c:v>PL</c:v>
                </c:pt>
                <c:pt idx="12">
                  <c:v>IS</c:v>
                </c:pt>
                <c:pt idx="13">
                  <c:v>DK</c:v>
                </c:pt>
                <c:pt idx="14">
                  <c:v>CH</c:v>
                </c:pt>
                <c:pt idx="15">
                  <c:v>FI</c:v>
                </c:pt>
                <c:pt idx="16">
                  <c:v>AU</c:v>
                </c:pt>
                <c:pt idx="17">
                  <c:v>LV</c:v>
                </c:pt>
                <c:pt idx="18">
                  <c:v>NO</c:v>
                </c:pt>
                <c:pt idx="19">
                  <c:v>IE</c:v>
                </c:pt>
                <c:pt idx="20">
                  <c:v>GB</c:v>
                </c:pt>
                <c:pt idx="21">
                  <c:v>HU</c:v>
                </c:pt>
                <c:pt idx="22">
                  <c:v>(blank)</c:v>
                </c:pt>
              </c:strCache>
            </c:strRef>
          </c:cat>
          <c:val>
            <c:numRef>
              <c:f>buy!$AA$35:$AA$58</c:f>
              <c:numCache>
                <c:formatCode>0.00%</c:formatCode>
                <c:ptCount val="23"/>
                <c:pt idx="0">
                  <c:v>0.16666666666666666</c:v>
                </c:pt>
                <c:pt idx="1">
                  <c:v>0.15079365079365079</c:v>
                </c:pt>
                <c:pt idx="2">
                  <c:v>0.12698412698412698</c:v>
                </c:pt>
                <c:pt idx="3">
                  <c:v>7.9365079365079361E-2</c:v>
                </c:pt>
                <c:pt idx="4">
                  <c:v>7.1428571428571425E-2</c:v>
                </c:pt>
                <c:pt idx="5">
                  <c:v>5.5555555555555552E-2</c:v>
                </c:pt>
                <c:pt idx="6">
                  <c:v>4.7619047619047616E-2</c:v>
                </c:pt>
                <c:pt idx="7">
                  <c:v>3.968253968253968E-2</c:v>
                </c:pt>
                <c:pt idx="8">
                  <c:v>3.968253968253968E-2</c:v>
                </c:pt>
                <c:pt idx="9">
                  <c:v>3.1746031746031744E-2</c:v>
                </c:pt>
                <c:pt idx="10">
                  <c:v>3.1746031746031744E-2</c:v>
                </c:pt>
                <c:pt idx="11">
                  <c:v>3.1746031746031744E-2</c:v>
                </c:pt>
                <c:pt idx="12">
                  <c:v>2.3809523809523808E-2</c:v>
                </c:pt>
                <c:pt idx="13">
                  <c:v>2.3809523809523808E-2</c:v>
                </c:pt>
                <c:pt idx="14">
                  <c:v>1.5873015873015872E-2</c:v>
                </c:pt>
                <c:pt idx="15">
                  <c:v>1.5873015873015872E-2</c:v>
                </c:pt>
                <c:pt idx="16">
                  <c:v>7.9365079365079361E-3</c:v>
                </c:pt>
                <c:pt idx="17">
                  <c:v>7.9365079365079361E-3</c:v>
                </c:pt>
                <c:pt idx="18">
                  <c:v>7.9365079365079361E-3</c:v>
                </c:pt>
                <c:pt idx="19">
                  <c:v>7.9365079365079361E-3</c:v>
                </c:pt>
                <c:pt idx="20">
                  <c:v>7.9365079365079361E-3</c:v>
                </c:pt>
                <c:pt idx="21">
                  <c:v>7.9365079365079361E-3</c:v>
                </c:pt>
                <c:pt idx="22">
                  <c:v>0</c:v>
                </c:pt>
              </c:numCache>
            </c:numRef>
          </c:val>
          <c:extLst xmlns:c16r2="http://schemas.microsoft.com/office/drawing/2015/06/chart">
            <c:ext xmlns:c16="http://schemas.microsoft.com/office/drawing/2014/chart" uri="{C3380CC4-5D6E-409C-BE32-E72D297353CC}">
              <c16:uniqueId val="{0000002E-ADDC-4C73-B2A7-A7B7975BBB65}"/>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a:glow>
        <a:schemeClr val="accent1">
          <a:alpha val="40000"/>
        </a:schemeClr>
      </a:glow>
      <a:softEdge rad="0"/>
    </a:effectLst>
  </c:spPr>
  <c:txPr>
    <a:bodyPr/>
    <a:lstStyle/>
    <a:p>
      <a:pPr>
        <a:defRPr/>
      </a:pPr>
      <a:endParaRPr lang="en-US"/>
    </a:p>
  </c:txPr>
  <c:externalData r:id="rId2">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[all transactions 2018.xlsx]buy!PivotTable4</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s>
    <c:plotArea>
      <c:layout/>
      <c:barChart>
        <c:barDir val="col"/>
        <c:grouping val="stacked"/>
        <c:varyColors val="0"/>
        <c:ser>
          <c:idx val="0"/>
          <c:order val="0"/>
          <c:tx>
            <c:strRef>
              <c:f>buy!$AA$61:$AA$62</c:f>
              <c:strCache>
                <c:ptCount val="1"/>
                <c:pt idx="0">
                  <c:v>FIXED</c:v>
                </c:pt>
              </c:strCache>
            </c:strRef>
          </c:tx>
          <c:spPr>
            <a:solidFill>
              <a:schemeClr val="accent1"/>
            </a:solidFill>
            <a:ln>
              <a:noFill/>
            </a:ln>
            <a:effectLst/>
          </c:spPr>
          <c:invertIfNegative val="0"/>
          <c:cat>
            <c:strRef>
              <c:f>buy!$Z$63:$Z$70</c:f>
              <c:strCache>
                <c:ptCount val="7"/>
                <c:pt idx="0">
                  <c:v>2019</c:v>
                </c:pt>
                <c:pt idx="1">
                  <c:v>2020</c:v>
                </c:pt>
                <c:pt idx="2">
                  <c:v>2021</c:v>
                </c:pt>
                <c:pt idx="3">
                  <c:v>2022</c:v>
                </c:pt>
                <c:pt idx="4">
                  <c:v>2023</c:v>
                </c:pt>
                <c:pt idx="5">
                  <c:v>2024</c:v>
                </c:pt>
                <c:pt idx="6">
                  <c:v>2025</c:v>
                </c:pt>
              </c:strCache>
            </c:strRef>
          </c:cat>
          <c:val>
            <c:numRef>
              <c:f>buy!$AA$63:$AA$70</c:f>
              <c:numCache>
                <c:formatCode>#,##0</c:formatCode>
                <c:ptCount val="7"/>
                <c:pt idx="0">
                  <c:v>24550000</c:v>
                </c:pt>
                <c:pt idx="1">
                  <c:v>22595000</c:v>
                </c:pt>
                <c:pt idx="2">
                  <c:v>166988000</c:v>
                </c:pt>
                <c:pt idx="3">
                  <c:v>234200000</c:v>
                </c:pt>
                <c:pt idx="4">
                  <c:v>367300000</c:v>
                </c:pt>
                <c:pt idx="5">
                  <c:v>15000000</c:v>
                </c:pt>
                <c:pt idx="6">
                  <c:v>9100000</c:v>
                </c:pt>
              </c:numCache>
            </c:numRef>
          </c:val>
          <c:extLst xmlns:c16r2="http://schemas.microsoft.com/office/drawing/2015/06/chart">
            <c:ext xmlns:c16="http://schemas.microsoft.com/office/drawing/2014/chart" uri="{C3380CC4-5D6E-409C-BE32-E72D297353CC}">
              <c16:uniqueId val="{00000000-3AE4-4A8B-B410-DA694EA68BE7}"/>
            </c:ext>
          </c:extLst>
        </c:ser>
        <c:ser>
          <c:idx val="1"/>
          <c:order val="1"/>
          <c:tx>
            <c:strRef>
              <c:f>buy!$AB$61:$AB$62</c:f>
              <c:strCache>
                <c:ptCount val="1"/>
                <c:pt idx="0">
                  <c:v>FLOATING</c:v>
                </c:pt>
              </c:strCache>
            </c:strRef>
          </c:tx>
          <c:spPr>
            <a:solidFill>
              <a:schemeClr val="accent2"/>
            </a:solidFill>
            <a:ln>
              <a:noFill/>
            </a:ln>
            <a:effectLst/>
          </c:spPr>
          <c:invertIfNegative val="0"/>
          <c:cat>
            <c:strRef>
              <c:f>buy!$Z$63:$Z$70</c:f>
              <c:strCache>
                <c:ptCount val="7"/>
                <c:pt idx="0">
                  <c:v>2019</c:v>
                </c:pt>
                <c:pt idx="1">
                  <c:v>2020</c:v>
                </c:pt>
                <c:pt idx="2">
                  <c:v>2021</c:v>
                </c:pt>
                <c:pt idx="3">
                  <c:v>2022</c:v>
                </c:pt>
                <c:pt idx="4">
                  <c:v>2023</c:v>
                </c:pt>
                <c:pt idx="5">
                  <c:v>2024</c:v>
                </c:pt>
                <c:pt idx="6">
                  <c:v>2025</c:v>
                </c:pt>
              </c:strCache>
            </c:strRef>
          </c:cat>
          <c:val>
            <c:numRef>
              <c:f>buy!$AB$63:$AB$70</c:f>
              <c:numCache>
                <c:formatCode>#,##0</c:formatCode>
                <c:ptCount val="7"/>
                <c:pt idx="1">
                  <c:v>112500000</c:v>
                </c:pt>
                <c:pt idx="2">
                  <c:v>14600000</c:v>
                </c:pt>
                <c:pt idx="3">
                  <c:v>55430000</c:v>
                </c:pt>
                <c:pt idx="4">
                  <c:v>10000000</c:v>
                </c:pt>
              </c:numCache>
            </c:numRef>
          </c:val>
          <c:extLst xmlns:c16r2="http://schemas.microsoft.com/office/drawing/2015/06/chart">
            <c:ext xmlns:c16="http://schemas.microsoft.com/office/drawing/2014/chart" uri="{C3380CC4-5D6E-409C-BE32-E72D297353CC}">
              <c16:uniqueId val="{00000001-3AE4-4A8B-B410-DA694EA68BE7}"/>
            </c:ext>
          </c:extLst>
        </c:ser>
        <c:dLbls>
          <c:showLegendKey val="0"/>
          <c:showVal val="0"/>
          <c:showCatName val="0"/>
          <c:showSerName val="0"/>
          <c:showPercent val="0"/>
          <c:showBubbleSize val="0"/>
        </c:dLbls>
        <c:gapWidth val="219"/>
        <c:overlap val="100"/>
        <c:axId val="111606400"/>
        <c:axId val="111874432"/>
      </c:barChart>
      <c:catAx>
        <c:axId val="11160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74432"/>
        <c:crosses val="autoZero"/>
        <c:auto val="1"/>
        <c:lblAlgn val="ctr"/>
        <c:lblOffset val="100"/>
        <c:noMultiLvlLbl val="0"/>
      </c:catAx>
      <c:valAx>
        <c:axId val="111874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6064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90"/>
      <c:rAngAx val="0"/>
      <c:perspective val="0"/>
    </c:view3D>
    <c:floor>
      <c:thickness val="0"/>
    </c:floor>
    <c:sideWall>
      <c:thickness val="0"/>
    </c:sideWall>
    <c:backWall>
      <c:thickness val="0"/>
    </c:backWall>
    <c:plotArea>
      <c:layout/>
      <c:pie3DChart>
        <c:varyColors val="1"/>
        <c:ser>
          <c:idx val="0"/>
          <c:order val="0"/>
          <c:explosion val="25"/>
          <c:dPt>
            <c:idx val="0"/>
            <c:bubble3D val="0"/>
            <c:spPr>
              <a:solidFill>
                <a:srgbClr val="9999FF"/>
              </a:solidFill>
              <a:ln w="12700">
                <a:solidFill>
                  <a:srgbClr val="000000"/>
                </a:solidFill>
              </a:ln>
            </c:spPr>
            <c:extLst xmlns:c16r2="http://schemas.microsoft.com/office/drawing/2015/06/chart">
              <c:ext xmlns:c16="http://schemas.microsoft.com/office/drawing/2014/chart" uri="{C3380CC4-5D6E-409C-BE32-E72D297353CC}">
                <c16:uniqueId val="{00000001-9C1A-481F-B5A7-E917252BE45D}"/>
              </c:ext>
            </c:extLst>
          </c:dPt>
          <c:dPt>
            <c:idx val="1"/>
            <c:bubble3D val="0"/>
            <c:spPr>
              <a:solidFill>
                <a:srgbClr val="CC0099"/>
              </a:solidFill>
              <a:ln w="12700">
                <a:solidFill>
                  <a:schemeClr val="accent6">
                    <a:lumMod val="75000"/>
                  </a:schemeClr>
                </a:solidFill>
              </a:ln>
            </c:spPr>
            <c:extLst xmlns:c16r2="http://schemas.microsoft.com/office/drawing/2015/06/chart">
              <c:ext xmlns:c16="http://schemas.microsoft.com/office/drawing/2014/chart" uri="{C3380CC4-5D6E-409C-BE32-E72D297353CC}">
                <c16:uniqueId val="{00000003-9C1A-481F-B5A7-E917252BE45D}"/>
              </c:ext>
            </c:extLst>
          </c:dPt>
          <c:dLbls>
            <c:dLbl>
              <c:idx val="0"/>
              <c:layout>
                <c:manualLayout>
                  <c:x val="7.3748245754994918E-2"/>
                  <c:y val="0.2003238100984503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C1A-481F-B5A7-E917252BE45D}"/>
                </c:ext>
              </c:extLst>
            </c:dLbl>
            <c:dLbl>
              <c:idx val="1"/>
              <c:layout>
                <c:manualLayout>
                  <c:x val="-3.4270501901548019E-2"/>
                  <c:y val="-0.1685622630504520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C1A-481F-B5A7-E917252BE45D}"/>
                </c:ext>
              </c:extLst>
            </c:dLbl>
            <c:spPr>
              <a:noFill/>
              <a:ln>
                <a:noFill/>
              </a:ln>
              <a:effectLst/>
            </c:spPr>
            <c:showLegendKey val="0"/>
            <c:showVal val="1"/>
            <c:showCatName val="1"/>
            <c:showSerName val="0"/>
            <c:showPercent val="0"/>
            <c:showBubbleSize val="0"/>
            <c:separator> </c:separator>
            <c:showLeaderLines val="1"/>
            <c:extLst xmlns:c16r2="http://schemas.microsoft.com/office/drawing/2015/06/chart">
              <c:ext xmlns:c15="http://schemas.microsoft.com/office/drawing/2012/chart" uri="{CE6537A1-D6FC-4f65-9D91-7224C49458BB}"/>
            </c:extLst>
          </c:dLbls>
          <c:cat>
            <c:strRef>
              <c:f>' maturity - page 7,8'!$C$107:$D$107</c:f>
              <c:strCache>
                <c:ptCount val="2"/>
                <c:pt idx="0">
                  <c:v>Fixed rate </c:v>
                </c:pt>
                <c:pt idx="1">
                  <c:v>Variable rate </c:v>
                </c:pt>
              </c:strCache>
            </c:strRef>
          </c:cat>
          <c:val>
            <c:numRef>
              <c:f>' maturity - page 7,8'!$C$230:$D$230</c:f>
              <c:numCache>
                <c:formatCode>0%</c:formatCode>
                <c:ptCount val="2"/>
                <c:pt idx="0">
                  <c:v>0.88801723645306641</c:v>
                </c:pt>
                <c:pt idx="1">
                  <c:v>0.11198276354693357</c:v>
                </c:pt>
              </c:numCache>
            </c:numRef>
          </c:val>
          <c:extLst xmlns:c16r2="http://schemas.microsoft.com/office/drawing/2015/06/chart">
            <c:ext xmlns:c16="http://schemas.microsoft.com/office/drawing/2014/chart" uri="{C3380CC4-5D6E-409C-BE32-E72D297353CC}">
              <c16:uniqueId val="{00000004-9C1A-481F-B5A7-E917252BE45D}"/>
            </c:ext>
          </c:extLst>
        </c:ser>
        <c:ser>
          <c:idx val="1"/>
          <c:order val="1"/>
          <c:dLbls>
            <c:spPr>
              <a:noFill/>
              <a:ln>
                <a:noFill/>
              </a:ln>
              <a:effectLst/>
            </c:sp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 maturity - page 7,8'!$C$107:$D$107</c:f>
              <c:strCache>
                <c:ptCount val="2"/>
                <c:pt idx="0">
                  <c:v>Fixed rate </c:v>
                </c:pt>
                <c:pt idx="1">
                  <c:v>Variable rate </c:v>
                </c:pt>
              </c:strCache>
            </c:strRef>
          </c:cat>
          <c:val>
            <c:numRef>
              <c:f>Bonds!$X$191</c:f>
              <c:numCache>
                <c:formatCode>General</c:formatCode>
                <c:ptCount val="1"/>
                <c:pt idx="0">
                  <c:v>2022</c:v>
                </c:pt>
              </c:numCache>
            </c:numRef>
          </c:val>
          <c:extLst xmlns:c16r2="http://schemas.microsoft.com/office/drawing/2015/06/chart">
            <c:ext xmlns:c16="http://schemas.microsoft.com/office/drawing/2014/chart" uri="{C3380CC4-5D6E-409C-BE32-E72D297353CC}">
              <c16:uniqueId val="{00000005-9C1A-481F-B5A7-E917252BE45D}"/>
            </c:ext>
          </c:extLst>
        </c:ser>
        <c:dLbls>
          <c:showLegendKey val="0"/>
          <c:showVal val="1"/>
          <c:showCatName val="1"/>
          <c:showSerName val="0"/>
          <c:showPercent val="0"/>
          <c:showBubbleSize val="0"/>
          <c:showLeaderLines val="1"/>
        </c:dLbls>
      </c:pie3DChart>
    </c:plotArea>
    <c:plotVisOnly val="1"/>
    <c:dispBlanksAs val="gap"/>
    <c:showDLblsOverMax val="0"/>
  </c:chart>
  <c:spPr>
    <a:solidFill>
      <a:schemeClr val="bg1"/>
    </a:solidFill>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 maturity - page 7,8'!$C$38</c:f>
              <c:strCache>
                <c:ptCount val="1"/>
                <c:pt idx="0">
                  <c:v>FIXED</c:v>
                </c:pt>
              </c:strCache>
            </c:strRef>
          </c:tx>
          <c:spPr>
            <a:solidFill>
              <a:schemeClr val="accent1"/>
            </a:solidFill>
            <a:ln>
              <a:noFill/>
            </a:ln>
            <a:effectLst/>
          </c:spPr>
          <c:invertIfNegative val="0"/>
          <c:dPt>
            <c:idx val="5"/>
            <c:invertIfNegative val="0"/>
            <c:bubble3D val="0"/>
            <c:extLst xmlns:c16r2="http://schemas.microsoft.com/office/drawing/2015/06/chart">
              <c:ext xmlns:c16="http://schemas.microsoft.com/office/drawing/2014/chart" uri="{C3380CC4-5D6E-409C-BE32-E72D297353CC}">
                <c16:uniqueId val="{00000000-2301-47B6-9DB0-9A5E382CA709}"/>
              </c:ext>
            </c:extLst>
          </c:dPt>
          <c:cat>
            <c:numRef>
              <c:f>' maturity - page 7,8'!$B$220:$B$227</c:f>
              <c:numCache>
                <c:formatCode>General</c:formatCode>
                <c:ptCount val="8"/>
                <c:pt idx="0">
                  <c:v>2019</c:v>
                </c:pt>
                <c:pt idx="1">
                  <c:v>2020</c:v>
                </c:pt>
                <c:pt idx="2">
                  <c:v>2021</c:v>
                </c:pt>
                <c:pt idx="3">
                  <c:v>2022</c:v>
                </c:pt>
                <c:pt idx="4">
                  <c:v>2023</c:v>
                </c:pt>
                <c:pt idx="5">
                  <c:v>2024</c:v>
                </c:pt>
                <c:pt idx="6">
                  <c:v>2025</c:v>
                </c:pt>
                <c:pt idx="7">
                  <c:v>2026</c:v>
                </c:pt>
              </c:numCache>
            </c:numRef>
          </c:cat>
          <c:val>
            <c:numRef>
              <c:f>' maturity - page 7,8'!$C$220:$C$227</c:f>
              <c:numCache>
                <c:formatCode>_(* #,##0.00_);_(* \(#,##0.00\);_(* "-"??_);_(@_)</c:formatCode>
                <c:ptCount val="8"/>
                <c:pt idx="0">
                  <c:v>149550000</c:v>
                </c:pt>
                <c:pt idx="1">
                  <c:v>386345000</c:v>
                </c:pt>
                <c:pt idx="2">
                  <c:v>526988000</c:v>
                </c:pt>
                <c:pt idx="3">
                  <c:v>503100000</c:v>
                </c:pt>
                <c:pt idx="4">
                  <c:v>450700000</c:v>
                </c:pt>
                <c:pt idx="5">
                  <c:v>52200000</c:v>
                </c:pt>
                <c:pt idx="6">
                  <c:v>0</c:v>
                </c:pt>
                <c:pt idx="7">
                  <c:v>29000000</c:v>
                </c:pt>
              </c:numCache>
            </c:numRef>
          </c:val>
          <c:extLst xmlns:c16r2="http://schemas.microsoft.com/office/drawing/2015/06/chart">
            <c:ext xmlns:c16="http://schemas.microsoft.com/office/drawing/2014/chart" uri="{C3380CC4-5D6E-409C-BE32-E72D297353CC}">
              <c16:uniqueId val="{00000001-2301-47B6-9DB0-9A5E382CA709}"/>
            </c:ext>
          </c:extLst>
        </c:ser>
        <c:ser>
          <c:idx val="1"/>
          <c:order val="1"/>
          <c:tx>
            <c:strRef>
              <c:f>' maturity - page 7,8'!$D$38</c:f>
              <c:strCache>
                <c:ptCount val="1"/>
                <c:pt idx="0">
                  <c:v>FLOATING</c:v>
                </c:pt>
              </c:strCache>
            </c:strRef>
          </c:tx>
          <c:spPr>
            <a:solidFill>
              <a:schemeClr val="accent2"/>
            </a:solidFill>
            <a:ln>
              <a:noFill/>
            </a:ln>
            <a:effectLst/>
          </c:spPr>
          <c:invertIfNegative val="0"/>
          <c:cat>
            <c:numRef>
              <c:f>' maturity - page 7,8'!$B$220:$B$227</c:f>
              <c:numCache>
                <c:formatCode>General</c:formatCode>
                <c:ptCount val="8"/>
                <c:pt idx="0">
                  <c:v>2019</c:v>
                </c:pt>
                <c:pt idx="1">
                  <c:v>2020</c:v>
                </c:pt>
                <c:pt idx="2">
                  <c:v>2021</c:v>
                </c:pt>
                <c:pt idx="3">
                  <c:v>2022</c:v>
                </c:pt>
                <c:pt idx="4">
                  <c:v>2023</c:v>
                </c:pt>
                <c:pt idx="5">
                  <c:v>2024</c:v>
                </c:pt>
                <c:pt idx="6">
                  <c:v>2025</c:v>
                </c:pt>
                <c:pt idx="7">
                  <c:v>2026</c:v>
                </c:pt>
              </c:numCache>
            </c:numRef>
          </c:cat>
          <c:val>
            <c:numRef>
              <c:f>' maturity - page 7,8'!$D$220:$D$227</c:f>
              <c:numCache>
                <c:formatCode>_(* #,##0.00_);_(* \(#,##0.00\);_(* "-"??_);_(@_)</c:formatCode>
                <c:ptCount val="8"/>
                <c:pt idx="0">
                  <c:v>25500000</c:v>
                </c:pt>
                <c:pt idx="1">
                  <c:v>95500000</c:v>
                </c:pt>
                <c:pt idx="2">
                  <c:v>29600000</c:v>
                </c:pt>
                <c:pt idx="3">
                  <c:v>88816000</c:v>
                </c:pt>
                <c:pt idx="4">
                  <c:v>25136000</c:v>
                </c:pt>
                <c:pt idx="5">
                  <c:v>0</c:v>
                </c:pt>
                <c:pt idx="6">
                  <c:v>0</c:v>
                </c:pt>
                <c:pt idx="7">
                  <c:v>0</c:v>
                </c:pt>
              </c:numCache>
            </c:numRef>
          </c:val>
          <c:extLst xmlns:c16r2="http://schemas.microsoft.com/office/drawing/2015/06/chart">
            <c:ext xmlns:c16="http://schemas.microsoft.com/office/drawing/2014/chart" uri="{C3380CC4-5D6E-409C-BE32-E72D297353CC}">
              <c16:uniqueId val="{00000002-2301-47B6-9DB0-9A5E382CA709}"/>
            </c:ext>
          </c:extLst>
        </c:ser>
        <c:dLbls>
          <c:showLegendKey val="0"/>
          <c:showVal val="0"/>
          <c:showCatName val="0"/>
          <c:showSerName val="0"/>
          <c:showPercent val="0"/>
          <c:showBubbleSize val="0"/>
        </c:dLbls>
        <c:gapWidth val="150"/>
        <c:overlap val="100"/>
        <c:axId val="112079616"/>
        <c:axId val="112081152"/>
      </c:barChart>
      <c:catAx>
        <c:axId val="11207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81152"/>
        <c:crosses val="autoZero"/>
        <c:auto val="1"/>
        <c:lblAlgn val="ctr"/>
        <c:lblOffset val="100"/>
        <c:noMultiLvlLbl val="0"/>
      </c:catAx>
      <c:valAx>
        <c:axId val="112081152"/>
        <c:scaling>
          <c:orientation val="minMax"/>
          <c:max val="6000000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796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[Assets held analysis 2018 (version 1).xlsb]Bonds profile -page 9!PivotTable2</c:name>
    <c:fmtId val="12"/>
  </c:pivotSource>
  <c:chart>
    <c:autoTitleDeleted val="1"/>
    <c:pivotFmts>
      <c:pivotFmt>
        <c:idx val="0"/>
        <c:spPr>
          <a:solidFill>
            <a:schemeClr val="accent1"/>
          </a:solidFill>
          <a:ln>
            <a:noFill/>
          </a:ln>
          <a:effectLst/>
        </c:spPr>
        <c:marker>
          <c:symbol val="none"/>
        </c:marker>
        <c:dLbl>
          <c:idx val="0"/>
          <c:delete val="1"/>
          <c:extLst xmlns:c16r2="http://schemas.microsoft.com/office/drawing/2015/06/chart">
            <c:ext xmlns:c15="http://schemas.microsoft.com/office/drawing/2012/chart" uri="{CE6537A1-D6FC-4f65-9D91-7224C49458BB}"/>
          </c:extLst>
        </c:dLbl>
      </c:pivotFmt>
      <c:pivotFmt>
        <c:idx val="1"/>
        <c:spPr>
          <a:solidFill>
            <a:schemeClr val="accent1"/>
          </a:solidFill>
          <a:ln>
            <a:noFill/>
          </a:ln>
          <a:effectLst/>
          <a:sp3d/>
        </c:spPr>
        <c:marker>
          <c:symbol val="none"/>
        </c:marker>
      </c:pivotFmt>
      <c:pivotFmt>
        <c:idx val="2"/>
        <c:spPr>
          <a:solidFill>
            <a:schemeClr val="accent1"/>
          </a:solidFill>
          <a:ln>
            <a:noFill/>
          </a:ln>
          <a:effectLst/>
          <a:sp3d/>
        </c:spPr>
        <c:marker>
          <c:symbol val="none"/>
        </c:marker>
      </c:pivotFmt>
      <c:pivotFmt>
        <c:idx val="3"/>
        <c:spPr>
          <a:solidFill>
            <a:schemeClr val="accent1"/>
          </a:solidFill>
          <a:ln>
            <a:noFill/>
          </a:ln>
          <a:effectLst/>
          <a:sp3d/>
        </c:spPr>
        <c:marker>
          <c:symbol val="none"/>
        </c:marker>
        <c:dLbl>
          <c:idx val="0"/>
          <c:delete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4"/>
        <c:dLbl>
          <c:idx val="0"/>
          <c:layout>
            <c:manualLayout>
              <c:x val="-6.3200815494393478E-2"/>
              <c:y val="-0.1870646766169154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5"/>
        <c:dLbl>
          <c:idx val="0"/>
          <c:layout>
            <c:manualLayout>
              <c:x val="-3.2619775739041797E-2"/>
              <c:y val="-0.10746268656716418"/>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6"/>
        <c:dLbl>
          <c:idx val="0"/>
          <c:layout>
            <c:manualLayout>
              <c:x val="-2.4464831804281419E-2"/>
              <c:y val="-6.3681592039800991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7"/>
        <c:dLbl>
          <c:idx val="0"/>
          <c:layout>
            <c:manualLayout>
              <c:x val="0.10397553516819576"/>
              <c:y val="-0.14328358208955225"/>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8"/>
        <c:dLbl>
          <c:idx val="0"/>
          <c:layout>
            <c:manualLayout>
              <c:x val="-5.3007135575942915E-2"/>
              <c:y val="-0.10348258706467664"/>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9"/>
        <c:dLbl>
          <c:idx val="0"/>
          <c:layout>
            <c:manualLayout>
              <c:x val="1.8348623853210861E-2"/>
              <c:y val="-2.3880597014925408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0"/>
        <c:dLbl>
          <c:idx val="0"/>
          <c:layout>
            <c:manualLayout>
              <c:x val="0"/>
              <c:y val="-2.7860696517413009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1"/>
        <c:dLbl>
          <c:idx val="0"/>
          <c:layout>
            <c:manualLayout>
              <c:x val="3.2619775739041644E-2"/>
              <c:y val="6.3681592039800991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2"/>
        <c:dLbl>
          <c:idx val="0"/>
          <c:layout>
            <c:manualLayout>
              <c:x val="0.24464831804281345"/>
              <c:y val="7.1641791044775971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3"/>
        <c:dLbl>
          <c:idx val="0"/>
          <c:layout>
            <c:manualLayout>
              <c:x val="0.21814475025484201"/>
              <c:y val="9.5522388059701493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4"/>
        <c:dLbl>
          <c:idx val="0"/>
          <c:layout>
            <c:manualLayout>
              <c:x val="9.9898063200815498E-2"/>
              <c:y val="0.2069651741293532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5"/>
        <c:dLbl>
          <c:idx val="0"/>
          <c:layout>
            <c:manualLayout>
              <c:x val="6.3200815494393478E-2"/>
              <c:y val="-0.14328358208955225"/>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6"/>
        <c:dLbl>
          <c:idx val="0"/>
          <c:layout>
            <c:manualLayout>
              <c:x val="-1.2232415902140675E-2"/>
              <c:y val="-3.9800995024875621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7"/>
        <c:dLbl>
          <c:idx val="0"/>
          <c:layout>
            <c:manualLayout>
              <c:x val="-1.8348623853211014E-2"/>
              <c:y val="-0.1154228855721393"/>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8"/>
        <c:dLbl>
          <c:idx val="0"/>
          <c:layout>
            <c:manualLayout>
              <c:x val="0"/>
              <c:y val="0.10149253731343283"/>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manualLayout>
                  <c:w val="0.12759372968287222"/>
                  <c:h val="0.16005515728444392"/>
                </c:manualLayout>
              </c15:layout>
            </c:ext>
          </c:extLst>
        </c:dLbl>
      </c:pivotFmt>
      <c:pivotFmt>
        <c:idx val="19"/>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Lst>
        </c:dLbl>
      </c:pivotFmt>
      <c:pivotFmt>
        <c:idx val="20"/>
        <c:spPr>
          <a:solidFill>
            <a:schemeClr val="accent1"/>
          </a:solidFill>
          <a:ln>
            <a:noFill/>
          </a:ln>
          <a:effectLst/>
          <a:sp3d/>
        </c:spPr>
      </c:pivotFmt>
      <c:pivotFmt>
        <c:idx val="21"/>
        <c:spPr>
          <a:solidFill>
            <a:schemeClr val="accent1"/>
          </a:solidFill>
          <a:ln>
            <a:noFill/>
          </a:ln>
          <a:effectLst/>
          <a:sp3d/>
        </c:spPr>
      </c:pivotFmt>
      <c:pivotFmt>
        <c:idx val="22"/>
        <c:spPr>
          <a:solidFill>
            <a:schemeClr val="accent1"/>
          </a:solidFill>
          <a:ln>
            <a:noFill/>
          </a:ln>
          <a:effectLst/>
          <a:sp3d/>
        </c:spPr>
      </c:pivotFmt>
      <c:pivotFmt>
        <c:idx val="23"/>
        <c:spPr>
          <a:solidFill>
            <a:schemeClr val="accent1"/>
          </a:solidFill>
          <a:ln>
            <a:noFill/>
          </a:ln>
          <a:effectLst/>
          <a:sp3d/>
        </c:spPr>
      </c:pivotFmt>
      <c:pivotFmt>
        <c:idx val="24"/>
        <c:spPr>
          <a:solidFill>
            <a:schemeClr val="accent1"/>
          </a:solidFill>
          <a:ln>
            <a:noFill/>
          </a:ln>
          <a:effectLst/>
          <a:sp3d/>
        </c:spPr>
      </c:pivotFmt>
      <c:pivotFmt>
        <c:idx val="25"/>
        <c:spPr>
          <a:solidFill>
            <a:schemeClr val="accent1"/>
          </a:solidFill>
          <a:ln>
            <a:noFill/>
          </a:ln>
          <a:effectLst/>
          <a:sp3d/>
        </c:spPr>
      </c:pivotFmt>
      <c:pivotFmt>
        <c:idx val="26"/>
        <c:spPr>
          <a:solidFill>
            <a:schemeClr val="accent1"/>
          </a:solidFill>
          <a:ln>
            <a:noFill/>
          </a:ln>
          <a:effectLst/>
          <a:sp3d/>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1"/>
          <c:showPercent val="1"/>
          <c:showBubbleSize val="1"/>
          <c:extLst xmlns:c16r2="http://schemas.microsoft.com/office/drawing/2015/06/chart">
            <c:ext xmlns:c15="http://schemas.microsoft.com/office/drawing/2012/chart" uri="{CE6537A1-D6FC-4f65-9D91-7224C49458BB}"/>
          </c:extLst>
        </c:dLbl>
      </c:pivotFmt>
      <c:pivotFmt>
        <c:idx val="27"/>
        <c:spPr>
          <a:solidFill>
            <a:schemeClr val="accent1"/>
          </a:solidFill>
          <a:ln>
            <a:noFill/>
          </a:ln>
          <a:effectLst/>
          <a:sp3d/>
        </c:spPr>
        <c:dLbl>
          <c:idx val="0"/>
          <c:layout>
            <c:manualLayout>
              <c:x val="9.839549872779664E-2"/>
              <c:y val="5.010318486308614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Lst>
        </c:dLbl>
      </c:pivotFmt>
      <c:pivotFmt>
        <c:idx val="28"/>
        <c:spPr>
          <a:solidFill>
            <a:schemeClr val="accent1"/>
          </a:solidFill>
          <a:ln>
            <a:noFill/>
          </a:ln>
          <a:effectLst/>
          <a:sp3d/>
        </c:spPr>
      </c:pivotFmt>
      <c:pivotFmt>
        <c:idx val="29"/>
        <c:spPr>
          <a:solidFill>
            <a:schemeClr val="accent1"/>
          </a:solidFill>
          <a:ln>
            <a:noFill/>
          </a:ln>
          <a:effectLst/>
          <a:sp3d/>
        </c:spPr>
      </c:pivotFmt>
      <c:pivotFmt>
        <c:idx val="30"/>
        <c:spPr>
          <a:solidFill>
            <a:schemeClr val="accent1"/>
          </a:solidFill>
          <a:ln>
            <a:noFill/>
          </a:ln>
          <a:effectLst/>
          <a:sp3d/>
        </c:spPr>
      </c:pivotFmt>
      <c:pivotFmt>
        <c:idx val="31"/>
        <c:spPr>
          <a:solidFill>
            <a:schemeClr val="accent1"/>
          </a:solidFill>
          <a:ln>
            <a:noFill/>
          </a:ln>
          <a:effectLst/>
          <a:sp3d/>
        </c:spPr>
        <c:dLbl>
          <c:idx val="0"/>
          <c:delete val="1"/>
          <c:extLst xmlns:c16r2="http://schemas.microsoft.com/office/drawing/2015/06/chart">
            <c:ext xmlns:c15="http://schemas.microsoft.com/office/drawing/2012/chart" uri="{CE6537A1-D6FC-4f65-9D91-7224C49458BB}"/>
          </c:extLst>
        </c:dLbl>
      </c:pivotFmt>
      <c:pivotFmt>
        <c:idx val="32"/>
        <c:spPr>
          <a:solidFill>
            <a:schemeClr val="accent1"/>
          </a:solidFill>
          <a:ln>
            <a:noFill/>
          </a:ln>
          <a:effectLst/>
          <a:sp3d/>
        </c:spPr>
      </c:pivotFmt>
      <c:pivotFmt>
        <c:idx val="33"/>
        <c:spPr>
          <a:solidFill>
            <a:schemeClr val="accent1"/>
          </a:solidFill>
          <a:ln>
            <a:noFill/>
          </a:ln>
          <a:effectLst/>
          <a:sp3d/>
        </c:spPr>
      </c:pivotFmt>
      <c:pivotFmt>
        <c:idx val="34"/>
        <c:spPr>
          <a:solidFill>
            <a:schemeClr val="accent1"/>
          </a:solidFill>
          <a:ln>
            <a:noFill/>
          </a:ln>
          <a:effectLst/>
          <a:sp3d/>
        </c:spPr>
      </c:pivotFmt>
      <c:pivotFmt>
        <c:idx val="35"/>
        <c:spPr>
          <a:solidFill>
            <a:schemeClr val="accent1"/>
          </a:solidFill>
          <a:ln>
            <a:noFill/>
          </a:ln>
          <a:effectLst/>
          <a:sp3d/>
        </c:spPr>
        <c:dLbl>
          <c:idx val="0"/>
          <c:layout>
            <c:manualLayout>
              <c:x val="4.4619422572178477E-3"/>
              <c:y val="0.1005304187722803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extLst xmlns:c16r2="http://schemas.microsoft.com/office/drawing/2015/06/chart">
            <c:ext xmlns:c15="http://schemas.microsoft.com/office/drawing/2012/chart" uri="{CE6537A1-D6FC-4f65-9D91-7224C49458BB}"/>
          </c:extLst>
        </c:dLbl>
      </c:pivotFmt>
      <c:pivotFmt>
        <c:idx val="36"/>
      </c:pivotFmt>
      <c:pivotFmt>
        <c:idx val="37"/>
      </c:pivotFmt>
      <c:pivotFmt>
        <c:idx val="38"/>
      </c:pivotFmt>
      <c:pivotFmt>
        <c:idx val="39"/>
      </c:pivotFmt>
      <c:pivotFmt>
        <c:idx val="40"/>
      </c:pivotFmt>
      <c:pivotFmt>
        <c:idx val="41"/>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42"/>
        <c:spPr>
          <a:solidFill>
            <a:schemeClr val="accent3">
              <a:lumMod val="60000"/>
            </a:schemeClr>
          </a:solidFill>
          <a:ln>
            <a:noFill/>
          </a:ln>
          <a:effectLst/>
          <a:sp3d/>
        </c:spPr>
        <c:dLbl>
          <c:idx val="0"/>
          <c:layout>
            <c:manualLayout>
              <c:x val="3.2053437971384165E-2"/>
              <c:y val="0.14359388515759641"/>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43"/>
        <c:spPr>
          <a:solidFill>
            <a:schemeClr val="accent4">
              <a:lumMod val="60000"/>
            </a:schemeClr>
          </a:solidFill>
          <a:ln>
            <a:noFill/>
          </a:ln>
          <a:effectLst/>
          <a:sp3d/>
        </c:spPr>
        <c:dLbl>
          <c:idx val="0"/>
          <c:layout>
            <c:manualLayout>
              <c:x val="0.121485067766632"/>
              <c:y val="9.491806414271025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44"/>
        <c:spPr>
          <a:solidFill>
            <a:schemeClr val="accent6">
              <a:lumMod val="60000"/>
            </a:schemeClr>
          </a:solidFill>
          <a:ln>
            <a:noFill/>
          </a:ln>
          <a:effectLst/>
          <a:sp3d/>
        </c:spPr>
        <c:dLbl>
          <c:idx val="0"/>
          <c:layout>
            <c:manualLayout>
              <c:x val="0"/>
              <c:y val="9.711829870472193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45"/>
        <c:spPr>
          <a:solidFill>
            <a:schemeClr val="accent5">
              <a:lumMod val="60000"/>
            </a:schemeClr>
          </a:solidFill>
          <a:ln>
            <a:noFill/>
          </a:ln>
          <a:effectLst/>
          <a:sp3d/>
        </c:spPr>
        <c:dLbl>
          <c:idx val="0"/>
          <c:layout>
            <c:manualLayout>
              <c:x val="2.1225479801880252E-2"/>
              <c:y val="0.19602835591880044"/>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46"/>
        <c:spPr>
          <a:solidFill>
            <a:schemeClr val="accent1">
              <a:lumMod val="60000"/>
            </a:schemeClr>
          </a:solidFill>
          <a:ln>
            <a:noFill/>
          </a:ln>
          <a:effectLst/>
          <a:sp3d/>
        </c:spPr>
        <c:dLbl>
          <c:idx val="0"/>
          <c:layout>
            <c:manualLayout>
              <c:x val="-5.8977641139323918E-2"/>
              <c:y val="9.257917714768504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47"/>
        <c:spPr>
          <a:solidFill>
            <a:schemeClr val="accent6"/>
          </a:solidFill>
          <a:ln>
            <a:noFill/>
          </a:ln>
          <a:effectLst/>
          <a:sp3d/>
        </c:spPr>
        <c:dLbl>
          <c:idx val="0"/>
          <c:layout>
            <c:manualLayout>
              <c:x val="-4.0404033976929295E-3"/>
              <c:y val="0.1221363347428832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48"/>
        <c:spPr>
          <a:solidFill>
            <a:schemeClr val="accent2">
              <a:lumMod val="60000"/>
            </a:schemeClr>
          </a:solidFill>
          <a:ln>
            <a:noFill/>
          </a:ln>
          <a:effectLst/>
          <a:sp3d/>
        </c:spPr>
        <c:dLbl>
          <c:idx val="0"/>
          <c:layout>
            <c:manualLayout>
              <c:x val="-0.14796323105651307"/>
              <c:y val="7.129652742986518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49"/>
        <c:spPr>
          <a:solidFill>
            <a:schemeClr val="accent3"/>
          </a:solidFill>
          <a:ln>
            <a:noFill/>
          </a:ln>
          <a:effectLst/>
          <a:sp3d/>
        </c:spPr>
        <c:dLbl>
          <c:idx val="0"/>
          <c:layout>
            <c:manualLayout>
              <c:x val="-0.10254543823344656"/>
              <c:y val="-0.1213418263767301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50"/>
        <c:spPr>
          <a:solidFill>
            <a:schemeClr val="accent2"/>
          </a:solidFill>
          <a:ln>
            <a:noFill/>
          </a:ln>
          <a:effectLst/>
          <a:sp3d/>
        </c:spPr>
        <c:dLbl>
          <c:idx val="0"/>
          <c:layout>
            <c:manualLayout>
              <c:x val="-7.0624660681673251E-2"/>
              <c:y val="-8.85759622067382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51"/>
        <c:spPr>
          <a:solidFill>
            <a:schemeClr val="accent4">
              <a:lumMod val="80000"/>
              <a:lumOff val="20000"/>
            </a:schemeClr>
          </a:solidFill>
          <a:ln>
            <a:noFill/>
          </a:ln>
          <a:effectLst/>
          <a:sp3d/>
        </c:spPr>
        <c:dLbl>
          <c:idx val="0"/>
          <c:layout>
            <c:manualLayout>
              <c:x val="5.8651227447510113E-2"/>
              <c:y val="-0.1812753380463523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52"/>
        <c:spPr>
          <a:solidFill>
            <a:schemeClr val="accent1"/>
          </a:solidFill>
          <a:ln>
            <a:noFill/>
          </a:ln>
          <a:effectLst/>
          <a:sp3d/>
        </c:spPr>
        <c:dLbl>
          <c:idx val="0"/>
          <c:layout>
            <c:manualLayout>
              <c:x val="-9.800571096703882E-2"/>
              <c:y val="-8.198872476419735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53"/>
        <c:spPr>
          <a:solidFill>
            <a:schemeClr val="accent3">
              <a:lumMod val="80000"/>
              <a:lumOff val="20000"/>
            </a:schemeClr>
          </a:solidFill>
          <a:ln>
            <a:noFill/>
          </a:ln>
          <a:effectLst/>
          <a:sp3d/>
        </c:spPr>
        <c:dLbl>
          <c:idx val="0"/>
          <c:layout>
            <c:manualLayout>
              <c:x val="2.283655088896033E-2"/>
              <c:y val="-0.1852735654897086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54"/>
        <c:spPr>
          <a:solidFill>
            <a:schemeClr val="accent2">
              <a:lumMod val="80000"/>
              <a:lumOff val="20000"/>
            </a:schemeClr>
          </a:solidFill>
          <a:ln>
            <a:noFill/>
          </a:ln>
          <a:effectLst/>
          <a:sp3d/>
        </c:spPr>
        <c:dLbl>
          <c:idx val="0"/>
          <c:layout>
            <c:manualLayout>
              <c:x val="6.3583883705170376E-3"/>
              <c:y val="-7.749880520802789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55"/>
        <c:spPr>
          <a:solidFill>
            <a:schemeClr val="accent1">
              <a:lumMod val="80000"/>
              <a:lumOff val="20000"/>
            </a:schemeClr>
          </a:solidFill>
          <a:ln>
            <a:noFill/>
          </a:ln>
          <a:effectLst/>
          <a:sp3d/>
        </c:spPr>
        <c:dLbl>
          <c:idx val="0"/>
          <c:layout>
            <c:manualLayout>
              <c:x val="-2.1676764228622566E-2"/>
              <c:y val="-0.1703646883175599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56"/>
        <c:spPr>
          <a:solidFill>
            <a:schemeClr val="accent4"/>
          </a:solidFill>
          <a:ln>
            <a:noFill/>
          </a:ln>
          <a:effectLst/>
          <a:sp3d/>
        </c:spPr>
        <c:dLbl>
          <c:idx val="0"/>
          <c:layout>
            <c:manualLayout>
              <c:x val="-3.4432747246838903E-2"/>
              <c:y val="-0.1660228222902239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57"/>
        <c:spPr>
          <a:solidFill>
            <a:schemeClr val="accent5"/>
          </a:solidFill>
          <a:ln>
            <a:noFill/>
          </a:ln>
          <a:effectLst/>
          <a:sp3d/>
        </c:spPr>
        <c:dLbl>
          <c:idx val="0"/>
          <c:layout>
            <c:manualLayout>
              <c:x val="-2.0039764568557297E-3"/>
              <c:y val="-9.334176552925953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58"/>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59"/>
        <c:spPr>
          <a:solidFill>
            <a:schemeClr val="accent1"/>
          </a:solidFill>
          <a:ln>
            <a:noFill/>
          </a:ln>
          <a:effectLst/>
          <a:sp3d/>
        </c:spPr>
        <c:dLbl>
          <c:idx val="0"/>
          <c:layout>
            <c:manualLayout>
              <c:x val="-9.800571096703882E-2"/>
              <c:y val="-8.198872476419735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60"/>
        <c:spPr>
          <a:solidFill>
            <a:schemeClr val="accent1"/>
          </a:solidFill>
          <a:ln>
            <a:noFill/>
          </a:ln>
          <a:effectLst/>
          <a:sp3d/>
        </c:spPr>
        <c:dLbl>
          <c:idx val="0"/>
          <c:layout>
            <c:manualLayout>
              <c:x val="-7.0624660681673251E-2"/>
              <c:y val="-8.85759622067382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61"/>
        <c:spPr>
          <a:solidFill>
            <a:schemeClr val="accent1"/>
          </a:solidFill>
          <a:ln>
            <a:noFill/>
          </a:ln>
          <a:effectLst/>
          <a:sp3d/>
        </c:spPr>
        <c:dLbl>
          <c:idx val="0"/>
          <c:layout>
            <c:manualLayout>
              <c:x val="-0.10254543823344656"/>
              <c:y val="-0.1213418263767301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62"/>
        <c:spPr>
          <a:solidFill>
            <a:schemeClr val="accent1"/>
          </a:solidFill>
          <a:ln>
            <a:noFill/>
          </a:ln>
          <a:effectLst/>
          <a:sp3d/>
        </c:spPr>
        <c:dLbl>
          <c:idx val="0"/>
          <c:layout>
            <c:manualLayout>
              <c:x val="-3.4432747246838903E-2"/>
              <c:y val="-0.1660228222902239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63"/>
        <c:spPr>
          <a:solidFill>
            <a:schemeClr val="accent1"/>
          </a:solidFill>
          <a:ln>
            <a:noFill/>
          </a:ln>
          <a:effectLst/>
          <a:sp3d/>
        </c:spPr>
        <c:dLbl>
          <c:idx val="0"/>
          <c:layout>
            <c:manualLayout>
              <c:x val="-2.0039764568557297E-3"/>
              <c:y val="-9.334176552925953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64"/>
        <c:spPr>
          <a:solidFill>
            <a:schemeClr val="accent1"/>
          </a:solidFill>
          <a:ln>
            <a:noFill/>
          </a:ln>
          <a:effectLst/>
          <a:sp3d/>
        </c:spPr>
        <c:dLbl>
          <c:idx val="0"/>
          <c:layout>
            <c:manualLayout>
              <c:x val="-4.0404033976929295E-3"/>
              <c:y val="0.1221363347428832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65"/>
        <c:spPr>
          <a:solidFill>
            <a:schemeClr val="accent1"/>
          </a:solidFill>
          <a:ln>
            <a:noFill/>
          </a:ln>
          <a:effectLst/>
          <a:sp3d/>
        </c:spPr>
        <c:dLbl>
          <c:idx val="0"/>
          <c:layout>
            <c:manualLayout>
              <c:x val="-5.8977641139323918E-2"/>
              <c:y val="9.257917714768504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66"/>
        <c:spPr>
          <a:solidFill>
            <a:schemeClr val="accent1"/>
          </a:solidFill>
          <a:ln>
            <a:noFill/>
          </a:ln>
          <a:effectLst/>
          <a:sp3d/>
        </c:spPr>
        <c:dLbl>
          <c:idx val="0"/>
          <c:layout>
            <c:manualLayout>
              <c:x val="-0.14796323105651307"/>
              <c:y val="7.129652742986518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67"/>
        <c:spPr>
          <a:solidFill>
            <a:schemeClr val="accent1"/>
          </a:solidFill>
          <a:ln>
            <a:noFill/>
          </a:ln>
          <a:effectLst/>
          <a:sp3d/>
        </c:spPr>
        <c:dLbl>
          <c:idx val="0"/>
          <c:layout>
            <c:manualLayout>
              <c:x val="3.2053437971384165E-2"/>
              <c:y val="0.14359388515759641"/>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68"/>
        <c:spPr>
          <a:solidFill>
            <a:schemeClr val="accent1"/>
          </a:solidFill>
          <a:ln>
            <a:noFill/>
          </a:ln>
          <a:effectLst/>
          <a:sp3d/>
        </c:spPr>
        <c:dLbl>
          <c:idx val="0"/>
          <c:layout>
            <c:manualLayout>
              <c:x val="0.121485067766632"/>
              <c:y val="9.491806414271025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69"/>
        <c:spPr>
          <a:solidFill>
            <a:schemeClr val="accent1"/>
          </a:solidFill>
          <a:ln>
            <a:noFill/>
          </a:ln>
          <a:effectLst/>
          <a:sp3d/>
        </c:spPr>
        <c:dLbl>
          <c:idx val="0"/>
          <c:layout>
            <c:manualLayout>
              <c:x val="2.1225479801880252E-2"/>
              <c:y val="0.19602835591880044"/>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70"/>
        <c:spPr>
          <a:solidFill>
            <a:schemeClr val="accent1"/>
          </a:solidFill>
          <a:ln>
            <a:noFill/>
          </a:ln>
          <a:effectLst/>
          <a:sp3d/>
        </c:spPr>
        <c:dLbl>
          <c:idx val="0"/>
          <c:layout>
            <c:manualLayout>
              <c:x val="0"/>
              <c:y val="9.711829870472193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71"/>
        <c:spPr>
          <a:solidFill>
            <a:schemeClr val="accent1"/>
          </a:solidFill>
          <a:ln>
            <a:noFill/>
          </a:ln>
          <a:effectLst/>
          <a:sp3d/>
        </c:spPr>
        <c:dLbl>
          <c:idx val="0"/>
          <c:layout>
            <c:manualLayout>
              <c:x val="-2.1676764228622566E-2"/>
              <c:y val="-0.1703646883175599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72"/>
        <c:spPr>
          <a:solidFill>
            <a:schemeClr val="accent1"/>
          </a:solidFill>
          <a:ln>
            <a:noFill/>
          </a:ln>
          <a:effectLst/>
          <a:sp3d/>
        </c:spPr>
        <c:dLbl>
          <c:idx val="0"/>
          <c:layout>
            <c:manualLayout>
              <c:x val="6.3583883705170376E-3"/>
              <c:y val="-7.749880520802789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73"/>
        <c:spPr>
          <a:solidFill>
            <a:schemeClr val="accent1"/>
          </a:solidFill>
          <a:ln>
            <a:noFill/>
          </a:ln>
          <a:effectLst/>
          <a:sp3d/>
        </c:spPr>
        <c:dLbl>
          <c:idx val="0"/>
          <c:layout>
            <c:manualLayout>
              <c:x val="2.283655088896033E-2"/>
              <c:y val="-0.1852735654897086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74"/>
        <c:spPr>
          <a:solidFill>
            <a:schemeClr val="accent1"/>
          </a:solidFill>
          <a:ln>
            <a:noFill/>
          </a:ln>
          <a:effectLst/>
          <a:sp3d/>
        </c:spPr>
        <c:dLbl>
          <c:idx val="0"/>
          <c:layout>
            <c:manualLayout>
              <c:x val="5.8651227447510113E-2"/>
              <c:y val="-0.1812753380463523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75"/>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76"/>
        <c:spPr>
          <a:solidFill>
            <a:schemeClr val="accent1"/>
          </a:solidFill>
          <a:ln>
            <a:noFill/>
          </a:ln>
          <a:effectLst/>
          <a:sp3d/>
        </c:spPr>
        <c:dLbl>
          <c:idx val="0"/>
          <c:layout>
            <c:manualLayout>
              <c:x val="-9.800571096703882E-2"/>
              <c:y val="-8.198872476419735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77"/>
        <c:spPr>
          <a:solidFill>
            <a:schemeClr val="accent1"/>
          </a:solidFill>
          <a:ln>
            <a:noFill/>
          </a:ln>
          <a:effectLst/>
          <a:sp3d/>
        </c:spPr>
        <c:dLbl>
          <c:idx val="0"/>
          <c:layout>
            <c:manualLayout>
              <c:x val="-7.0624660681673251E-2"/>
              <c:y val="-8.85759622067382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78"/>
        <c:spPr>
          <a:solidFill>
            <a:schemeClr val="accent1"/>
          </a:solidFill>
          <a:ln>
            <a:noFill/>
          </a:ln>
          <a:effectLst/>
          <a:sp3d/>
        </c:spPr>
        <c:dLbl>
          <c:idx val="0"/>
          <c:layout>
            <c:manualLayout>
              <c:x val="-0.10254543823344656"/>
              <c:y val="-0.1213418263767301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79"/>
        <c:spPr>
          <a:solidFill>
            <a:schemeClr val="accent1"/>
          </a:solidFill>
          <a:ln>
            <a:noFill/>
          </a:ln>
          <a:effectLst/>
          <a:sp3d/>
        </c:spPr>
        <c:dLbl>
          <c:idx val="0"/>
          <c:layout>
            <c:manualLayout>
              <c:x val="-3.4432747246838903E-2"/>
              <c:y val="-0.1660228222902239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80"/>
        <c:spPr>
          <a:solidFill>
            <a:schemeClr val="accent1"/>
          </a:solidFill>
          <a:ln>
            <a:noFill/>
          </a:ln>
          <a:effectLst/>
          <a:sp3d/>
        </c:spPr>
        <c:dLbl>
          <c:idx val="0"/>
          <c:layout>
            <c:manualLayout>
              <c:x val="-2.0039764568557297E-3"/>
              <c:y val="-9.334176552925953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81"/>
        <c:spPr>
          <a:solidFill>
            <a:schemeClr val="accent1"/>
          </a:solidFill>
          <a:ln>
            <a:noFill/>
          </a:ln>
          <a:effectLst/>
          <a:sp3d/>
        </c:spPr>
        <c:dLbl>
          <c:idx val="0"/>
          <c:layout>
            <c:manualLayout>
              <c:x val="-4.0404033976929295E-3"/>
              <c:y val="0.1221363347428832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82"/>
        <c:spPr>
          <a:solidFill>
            <a:schemeClr val="accent1"/>
          </a:solidFill>
          <a:ln>
            <a:noFill/>
          </a:ln>
          <a:effectLst/>
          <a:sp3d/>
        </c:spPr>
        <c:dLbl>
          <c:idx val="0"/>
          <c:layout>
            <c:manualLayout>
              <c:x val="-5.8977641139323918E-2"/>
              <c:y val="9.257917714768504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83"/>
        <c:spPr>
          <a:solidFill>
            <a:schemeClr val="accent1"/>
          </a:solidFill>
          <a:ln>
            <a:noFill/>
          </a:ln>
          <a:effectLst/>
          <a:sp3d/>
        </c:spPr>
        <c:dLbl>
          <c:idx val="0"/>
          <c:layout>
            <c:manualLayout>
              <c:x val="-0.14796323105651307"/>
              <c:y val="7.129652742986518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84"/>
        <c:spPr>
          <a:solidFill>
            <a:schemeClr val="accent1"/>
          </a:solidFill>
          <a:ln>
            <a:noFill/>
          </a:ln>
          <a:effectLst/>
          <a:sp3d/>
        </c:spPr>
        <c:dLbl>
          <c:idx val="0"/>
          <c:layout>
            <c:manualLayout>
              <c:x val="3.2053437971384165E-2"/>
              <c:y val="0.14359388515759641"/>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85"/>
        <c:spPr>
          <a:solidFill>
            <a:schemeClr val="accent1"/>
          </a:solidFill>
          <a:ln>
            <a:noFill/>
          </a:ln>
          <a:effectLst/>
          <a:sp3d/>
        </c:spPr>
        <c:dLbl>
          <c:idx val="0"/>
          <c:layout>
            <c:manualLayout>
              <c:x val="0.121485067766632"/>
              <c:y val="9.491806414271025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86"/>
        <c:spPr>
          <a:solidFill>
            <a:schemeClr val="accent1"/>
          </a:solidFill>
          <a:ln>
            <a:noFill/>
          </a:ln>
          <a:effectLst/>
          <a:sp3d/>
        </c:spPr>
        <c:dLbl>
          <c:idx val="0"/>
          <c:layout>
            <c:manualLayout>
              <c:x val="2.1225479801880252E-2"/>
              <c:y val="0.19602835591880044"/>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87"/>
        <c:spPr>
          <a:solidFill>
            <a:schemeClr val="accent1"/>
          </a:solidFill>
          <a:ln>
            <a:noFill/>
          </a:ln>
          <a:effectLst/>
          <a:sp3d/>
        </c:spPr>
        <c:dLbl>
          <c:idx val="0"/>
          <c:layout>
            <c:manualLayout>
              <c:x val="0"/>
              <c:y val="9.711829870472193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88"/>
        <c:spPr>
          <a:solidFill>
            <a:schemeClr val="accent1"/>
          </a:solidFill>
          <a:ln>
            <a:noFill/>
          </a:ln>
          <a:effectLst/>
          <a:sp3d/>
        </c:spPr>
        <c:dLbl>
          <c:idx val="0"/>
          <c:layout>
            <c:manualLayout>
              <c:x val="-2.1676764228622566E-2"/>
              <c:y val="-0.1703646883175599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89"/>
        <c:spPr>
          <a:solidFill>
            <a:schemeClr val="accent1"/>
          </a:solidFill>
          <a:ln>
            <a:noFill/>
          </a:ln>
          <a:effectLst/>
          <a:sp3d/>
        </c:spPr>
        <c:dLbl>
          <c:idx val="0"/>
          <c:layout>
            <c:manualLayout>
              <c:x val="6.3583883705170376E-3"/>
              <c:y val="-7.749880520802789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90"/>
        <c:spPr>
          <a:solidFill>
            <a:schemeClr val="accent1"/>
          </a:solidFill>
          <a:ln>
            <a:noFill/>
          </a:ln>
          <a:effectLst/>
          <a:sp3d/>
        </c:spPr>
        <c:dLbl>
          <c:idx val="0"/>
          <c:layout>
            <c:manualLayout>
              <c:x val="2.283655088896033E-2"/>
              <c:y val="-0.1852735654897086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
        <c:idx val="91"/>
        <c:spPr>
          <a:solidFill>
            <a:schemeClr val="accent1"/>
          </a:solidFill>
          <a:ln>
            <a:noFill/>
          </a:ln>
          <a:effectLst/>
          <a:sp3d/>
        </c:spPr>
        <c:dLbl>
          <c:idx val="0"/>
          <c:layout>
            <c:manualLayout>
              <c:x val="5.8651227447510113E-2"/>
              <c:y val="-0.1812753380463523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Lst>
        </c:dLbl>
      </c:pivotFmt>
    </c:pivotFmts>
    <c:view3D>
      <c:rotX val="15"/>
      <c:rotY val="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926035621694054E-2"/>
          <c:y val="0.14426419085673992"/>
          <c:w val="0.83014792875661181"/>
          <c:h val="0.71855431503897838"/>
        </c:manualLayout>
      </c:layout>
      <c:pie3DChart>
        <c:varyColors val="1"/>
        <c:ser>
          <c:idx val="0"/>
          <c:order val="0"/>
          <c:tx>
            <c:strRef>
              <c:f>'Bonds profile -page 9'!$J$62</c:f>
              <c:strCache>
                <c:ptCount val="1"/>
                <c:pt idx="0">
                  <c:v>Total</c:v>
                </c:pt>
              </c:strCache>
            </c:strRef>
          </c:tx>
          <c:dPt>
            <c:idx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1-3B90-45E8-9352-AF42B7D781A0}"/>
              </c:ext>
            </c:extLst>
          </c:dPt>
          <c:dPt>
            <c:idx val="1"/>
            <c:bubble3D val="0"/>
            <c:spPr>
              <a:solidFill>
                <a:schemeClr val="accent2"/>
              </a:solidFill>
              <a:ln>
                <a:noFill/>
              </a:ln>
              <a:effectLst/>
              <a:sp3d/>
            </c:spPr>
            <c:extLst xmlns:c16r2="http://schemas.microsoft.com/office/drawing/2015/06/chart">
              <c:ext xmlns:c16="http://schemas.microsoft.com/office/drawing/2014/chart" uri="{C3380CC4-5D6E-409C-BE32-E72D297353CC}">
                <c16:uniqueId val="{00000003-3B90-45E8-9352-AF42B7D781A0}"/>
              </c:ext>
            </c:extLst>
          </c:dPt>
          <c:dPt>
            <c:idx val="2"/>
            <c:bubble3D val="0"/>
            <c:spPr>
              <a:solidFill>
                <a:schemeClr val="accent3"/>
              </a:solidFill>
              <a:ln>
                <a:noFill/>
              </a:ln>
              <a:effectLst/>
              <a:sp3d/>
            </c:spPr>
            <c:extLst xmlns:c16r2="http://schemas.microsoft.com/office/drawing/2015/06/chart">
              <c:ext xmlns:c16="http://schemas.microsoft.com/office/drawing/2014/chart" uri="{C3380CC4-5D6E-409C-BE32-E72D297353CC}">
                <c16:uniqueId val="{00000005-3B90-45E8-9352-AF42B7D781A0}"/>
              </c:ext>
            </c:extLst>
          </c:dPt>
          <c:dPt>
            <c:idx val="3"/>
            <c:bubble3D val="0"/>
            <c:spPr>
              <a:solidFill>
                <a:schemeClr val="accent4"/>
              </a:solidFill>
              <a:ln>
                <a:noFill/>
              </a:ln>
              <a:effectLst/>
              <a:sp3d/>
            </c:spPr>
            <c:extLst xmlns:c16r2="http://schemas.microsoft.com/office/drawing/2015/06/chart">
              <c:ext xmlns:c16="http://schemas.microsoft.com/office/drawing/2014/chart" uri="{C3380CC4-5D6E-409C-BE32-E72D297353CC}">
                <c16:uniqueId val="{00000007-3B90-45E8-9352-AF42B7D781A0}"/>
              </c:ext>
            </c:extLst>
          </c:dPt>
          <c:dPt>
            <c:idx val="4"/>
            <c:bubble3D val="0"/>
            <c:spPr>
              <a:solidFill>
                <a:schemeClr val="accent5"/>
              </a:solidFill>
              <a:ln>
                <a:noFill/>
              </a:ln>
              <a:effectLst/>
              <a:sp3d/>
            </c:spPr>
            <c:extLst xmlns:c16r2="http://schemas.microsoft.com/office/drawing/2015/06/chart">
              <c:ext xmlns:c16="http://schemas.microsoft.com/office/drawing/2014/chart" uri="{C3380CC4-5D6E-409C-BE32-E72D297353CC}">
                <c16:uniqueId val="{00000009-3B90-45E8-9352-AF42B7D781A0}"/>
              </c:ext>
            </c:extLst>
          </c:dPt>
          <c:dPt>
            <c:idx val="5"/>
            <c:bubble3D val="0"/>
            <c:spPr>
              <a:solidFill>
                <a:schemeClr val="accent6"/>
              </a:solidFill>
              <a:ln>
                <a:noFill/>
              </a:ln>
              <a:effectLst/>
              <a:sp3d/>
            </c:spPr>
            <c:extLst xmlns:c16r2="http://schemas.microsoft.com/office/drawing/2015/06/chart">
              <c:ext xmlns:c16="http://schemas.microsoft.com/office/drawing/2014/chart" uri="{C3380CC4-5D6E-409C-BE32-E72D297353CC}">
                <c16:uniqueId val="{0000000B-3B90-45E8-9352-AF42B7D781A0}"/>
              </c:ext>
            </c:extLst>
          </c:dPt>
          <c:dPt>
            <c:idx val="6"/>
            <c:bubble3D val="0"/>
            <c:spPr>
              <a:solidFill>
                <a:schemeClr val="accent1">
                  <a:lumMod val="60000"/>
                </a:schemeClr>
              </a:solidFill>
              <a:ln>
                <a:noFill/>
              </a:ln>
              <a:effectLst/>
              <a:sp3d/>
            </c:spPr>
            <c:extLst xmlns:c16r2="http://schemas.microsoft.com/office/drawing/2015/06/chart">
              <c:ext xmlns:c16="http://schemas.microsoft.com/office/drawing/2014/chart" uri="{C3380CC4-5D6E-409C-BE32-E72D297353CC}">
                <c16:uniqueId val="{0000000D-3B90-45E8-9352-AF42B7D781A0}"/>
              </c:ext>
            </c:extLst>
          </c:dPt>
          <c:dPt>
            <c:idx val="7"/>
            <c:bubble3D val="0"/>
            <c:spPr>
              <a:solidFill>
                <a:schemeClr val="accent2">
                  <a:lumMod val="60000"/>
                </a:schemeClr>
              </a:solidFill>
              <a:ln>
                <a:noFill/>
              </a:ln>
              <a:effectLst/>
              <a:sp3d/>
            </c:spPr>
            <c:extLst xmlns:c16r2="http://schemas.microsoft.com/office/drawing/2015/06/chart">
              <c:ext xmlns:c16="http://schemas.microsoft.com/office/drawing/2014/chart" uri="{C3380CC4-5D6E-409C-BE32-E72D297353CC}">
                <c16:uniqueId val="{0000000F-3B90-45E8-9352-AF42B7D781A0}"/>
              </c:ext>
            </c:extLst>
          </c:dPt>
          <c:dPt>
            <c:idx val="8"/>
            <c:bubble3D val="0"/>
            <c:spPr>
              <a:solidFill>
                <a:schemeClr val="accent3">
                  <a:lumMod val="60000"/>
                </a:schemeClr>
              </a:solidFill>
              <a:ln>
                <a:noFill/>
              </a:ln>
              <a:effectLst/>
              <a:sp3d/>
            </c:spPr>
            <c:extLst xmlns:c16r2="http://schemas.microsoft.com/office/drawing/2015/06/chart">
              <c:ext xmlns:c16="http://schemas.microsoft.com/office/drawing/2014/chart" uri="{C3380CC4-5D6E-409C-BE32-E72D297353CC}">
                <c16:uniqueId val="{00000011-3B90-45E8-9352-AF42B7D781A0}"/>
              </c:ext>
            </c:extLst>
          </c:dPt>
          <c:dPt>
            <c:idx val="9"/>
            <c:bubble3D val="0"/>
            <c:spPr>
              <a:solidFill>
                <a:schemeClr val="accent4">
                  <a:lumMod val="60000"/>
                </a:schemeClr>
              </a:solidFill>
              <a:ln>
                <a:noFill/>
              </a:ln>
              <a:effectLst/>
              <a:sp3d/>
            </c:spPr>
            <c:extLst xmlns:c16r2="http://schemas.microsoft.com/office/drawing/2015/06/chart">
              <c:ext xmlns:c16="http://schemas.microsoft.com/office/drawing/2014/chart" uri="{C3380CC4-5D6E-409C-BE32-E72D297353CC}">
                <c16:uniqueId val="{00000013-3B90-45E8-9352-AF42B7D781A0}"/>
              </c:ext>
            </c:extLst>
          </c:dPt>
          <c:dPt>
            <c:idx val="10"/>
            <c:bubble3D val="0"/>
            <c:spPr>
              <a:solidFill>
                <a:schemeClr val="accent5">
                  <a:lumMod val="60000"/>
                </a:schemeClr>
              </a:solidFill>
              <a:ln>
                <a:noFill/>
              </a:ln>
              <a:effectLst/>
              <a:sp3d/>
            </c:spPr>
            <c:extLst xmlns:c16r2="http://schemas.microsoft.com/office/drawing/2015/06/chart">
              <c:ext xmlns:c16="http://schemas.microsoft.com/office/drawing/2014/chart" uri="{C3380CC4-5D6E-409C-BE32-E72D297353CC}">
                <c16:uniqueId val="{00000015-3B90-45E8-9352-AF42B7D781A0}"/>
              </c:ext>
            </c:extLst>
          </c:dPt>
          <c:dPt>
            <c:idx val="11"/>
            <c:bubble3D val="0"/>
            <c:spPr>
              <a:solidFill>
                <a:schemeClr val="accent6">
                  <a:lumMod val="60000"/>
                </a:schemeClr>
              </a:solidFill>
              <a:ln>
                <a:noFill/>
              </a:ln>
              <a:effectLst/>
              <a:sp3d/>
            </c:spPr>
            <c:extLst xmlns:c16r2="http://schemas.microsoft.com/office/drawing/2015/06/chart">
              <c:ext xmlns:c16="http://schemas.microsoft.com/office/drawing/2014/chart" uri="{C3380CC4-5D6E-409C-BE32-E72D297353CC}">
                <c16:uniqueId val="{00000017-3B90-45E8-9352-AF42B7D781A0}"/>
              </c:ext>
            </c:extLst>
          </c:dPt>
          <c:dPt>
            <c:idx val="12"/>
            <c:bubble3D val="0"/>
            <c:spPr>
              <a:solidFill>
                <a:schemeClr val="accent1">
                  <a:lumMod val="80000"/>
                  <a:lumOff val="20000"/>
                </a:schemeClr>
              </a:solidFill>
              <a:ln>
                <a:noFill/>
              </a:ln>
              <a:effectLst/>
              <a:sp3d/>
            </c:spPr>
            <c:extLst xmlns:c16r2="http://schemas.microsoft.com/office/drawing/2015/06/chart">
              <c:ext xmlns:c16="http://schemas.microsoft.com/office/drawing/2014/chart" uri="{C3380CC4-5D6E-409C-BE32-E72D297353CC}">
                <c16:uniqueId val="{00000019-3B90-45E8-9352-AF42B7D781A0}"/>
              </c:ext>
            </c:extLst>
          </c:dPt>
          <c:dPt>
            <c:idx val="13"/>
            <c:bubble3D val="0"/>
            <c:spPr>
              <a:solidFill>
                <a:schemeClr val="accent2">
                  <a:lumMod val="80000"/>
                  <a:lumOff val="20000"/>
                </a:schemeClr>
              </a:solidFill>
              <a:ln>
                <a:noFill/>
              </a:ln>
              <a:effectLst/>
              <a:sp3d/>
            </c:spPr>
            <c:extLst xmlns:c16r2="http://schemas.microsoft.com/office/drawing/2015/06/chart">
              <c:ext xmlns:c16="http://schemas.microsoft.com/office/drawing/2014/chart" uri="{C3380CC4-5D6E-409C-BE32-E72D297353CC}">
                <c16:uniqueId val="{0000001B-3B90-45E8-9352-AF42B7D781A0}"/>
              </c:ext>
            </c:extLst>
          </c:dPt>
          <c:dPt>
            <c:idx val="14"/>
            <c:bubble3D val="0"/>
            <c:spPr>
              <a:solidFill>
                <a:schemeClr val="accent3">
                  <a:lumMod val="80000"/>
                  <a:lumOff val="20000"/>
                </a:schemeClr>
              </a:solidFill>
              <a:ln>
                <a:noFill/>
              </a:ln>
              <a:effectLst/>
              <a:sp3d/>
            </c:spPr>
            <c:extLst xmlns:c16r2="http://schemas.microsoft.com/office/drawing/2015/06/chart">
              <c:ext xmlns:c16="http://schemas.microsoft.com/office/drawing/2014/chart" uri="{C3380CC4-5D6E-409C-BE32-E72D297353CC}">
                <c16:uniqueId val="{0000001D-3B90-45E8-9352-AF42B7D781A0}"/>
              </c:ext>
            </c:extLst>
          </c:dPt>
          <c:dPt>
            <c:idx val="15"/>
            <c:bubble3D val="0"/>
            <c:spPr>
              <a:solidFill>
                <a:schemeClr val="accent4">
                  <a:lumMod val="80000"/>
                  <a:lumOff val="20000"/>
                </a:schemeClr>
              </a:solidFill>
              <a:ln>
                <a:noFill/>
              </a:ln>
              <a:effectLst/>
              <a:sp3d/>
            </c:spPr>
            <c:extLst xmlns:c16r2="http://schemas.microsoft.com/office/drawing/2015/06/chart">
              <c:ext xmlns:c16="http://schemas.microsoft.com/office/drawing/2014/chart" uri="{C3380CC4-5D6E-409C-BE32-E72D297353CC}">
                <c16:uniqueId val="{0000001F-3B90-45E8-9352-AF42B7D781A0}"/>
              </c:ext>
            </c:extLst>
          </c:dPt>
          <c:dLbls>
            <c:dLbl>
              <c:idx val="0"/>
              <c:layout>
                <c:manualLayout>
                  <c:x val="-9.800571096703882E-2"/>
                  <c:y val="-8.1988724764197357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B90-45E8-9352-AF42B7D781A0}"/>
                </c:ext>
              </c:extLst>
            </c:dLbl>
            <c:dLbl>
              <c:idx val="1"/>
              <c:layout>
                <c:manualLayout>
                  <c:x val="-7.0624660681673251E-2"/>
                  <c:y val="-8.857596220673826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B90-45E8-9352-AF42B7D781A0}"/>
                </c:ext>
              </c:extLst>
            </c:dLbl>
            <c:dLbl>
              <c:idx val="2"/>
              <c:layout>
                <c:manualLayout>
                  <c:x val="-0.10254543823344656"/>
                  <c:y val="-0.12134182637673016"/>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B90-45E8-9352-AF42B7D781A0}"/>
                </c:ext>
              </c:extLst>
            </c:dLbl>
            <c:dLbl>
              <c:idx val="3"/>
              <c:layout>
                <c:manualLayout>
                  <c:x val="-3.4432747246838903E-2"/>
                  <c:y val="-0.16602282229022397"/>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B90-45E8-9352-AF42B7D781A0}"/>
                </c:ext>
              </c:extLst>
            </c:dLbl>
            <c:dLbl>
              <c:idx val="4"/>
              <c:layout>
                <c:manualLayout>
                  <c:x val="-2.0039764568557297E-3"/>
                  <c:y val="-9.3341765529259532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B90-45E8-9352-AF42B7D781A0}"/>
                </c:ext>
              </c:extLst>
            </c:dLbl>
            <c:dLbl>
              <c:idx val="5"/>
              <c:layout>
                <c:manualLayout>
                  <c:x val="-4.0404033976929295E-3"/>
                  <c:y val="0.12213633474288328"/>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B90-45E8-9352-AF42B7D781A0}"/>
                </c:ext>
              </c:extLst>
            </c:dLbl>
            <c:dLbl>
              <c:idx val="6"/>
              <c:layout>
                <c:manualLayout>
                  <c:x val="-5.8977641139323918E-2"/>
                  <c:y val="9.2579177147685043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B90-45E8-9352-AF42B7D781A0}"/>
                </c:ext>
              </c:extLst>
            </c:dLbl>
            <c:dLbl>
              <c:idx val="7"/>
              <c:layout>
                <c:manualLayout>
                  <c:x val="-0.14796323105651307"/>
                  <c:y val="7.1296527429865184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B90-45E8-9352-AF42B7D781A0}"/>
                </c:ext>
              </c:extLst>
            </c:dLbl>
            <c:dLbl>
              <c:idx val="8"/>
              <c:layout>
                <c:manualLayout>
                  <c:x val="3.2053437971384165E-2"/>
                  <c:y val="0.14359388515759641"/>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3B90-45E8-9352-AF42B7D781A0}"/>
                </c:ext>
              </c:extLst>
            </c:dLbl>
            <c:dLbl>
              <c:idx val="9"/>
              <c:layout>
                <c:manualLayout>
                  <c:x val="0.121485067766632"/>
                  <c:y val="9.4918064142710257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3B90-45E8-9352-AF42B7D781A0}"/>
                </c:ext>
              </c:extLst>
            </c:dLbl>
            <c:dLbl>
              <c:idx val="10"/>
              <c:layout>
                <c:manualLayout>
                  <c:x val="2.1225479801880252E-2"/>
                  <c:y val="0.19602835591880044"/>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3B90-45E8-9352-AF42B7D781A0}"/>
                </c:ext>
              </c:extLst>
            </c:dLbl>
            <c:dLbl>
              <c:idx val="11"/>
              <c:layout>
                <c:manualLayout>
                  <c:x val="0"/>
                  <c:y val="9.7118298704721939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3B90-45E8-9352-AF42B7D781A0}"/>
                </c:ext>
              </c:extLst>
            </c:dLbl>
            <c:dLbl>
              <c:idx val="12"/>
              <c:layout>
                <c:manualLayout>
                  <c:x val="-2.1676764228622566E-2"/>
                  <c:y val="-0.17036468831755996"/>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3B90-45E8-9352-AF42B7D781A0}"/>
                </c:ext>
              </c:extLst>
            </c:dLbl>
            <c:dLbl>
              <c:idx val="13"/>
              <c:layout>
                <c:manualLayout>
                  <c:x val="6.3583883705170376E-3"/>
                  <c:y val="-7.7498805208027891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3B90-45E8-9352-AF42B7D781A0}"/>
                </c:ext>
              </c:extLst>
            </c:dLbl>
            <c:dLbl>
              <c:idx val="14"/>
              <c:layout>
                <c:manualLayout>
                  <c:x val="2.283655088896033E-2"/>
                  <c:y val="-0.18527356548970866"/>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3B90-45E8-9352-AF42B7D781A0}"/>
                </c:ext>
              </c:extLst>
            </c:dLbl>
            <c:dLbl>
              <c:idx val="15"/>
              <c:layout>
                <c:manualLayout>
                  <c:x val="5.8651227447510113E-2"/>
                  <c:y val="-0.1812753380463523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3B90-45E8-9352-AF42B7D781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'Bonds profile -page 9'!$I$63:$I$79</c:f>
              <c:strCache>
                <c:ptCount val="16"/>
                <c:pt idx="0">
                  <c:v>Banks Aa1</c:v>
                </c:pt>
                <c:pt idx="1">
                  <c:v>Banks Aa2</c:v>
                </c:pt>
                <c:pt idx="2">
                  <c:v>Corporates Aa2</c:v>
                </c:pt>
                <c:pt idx="3">
                  <c:v>Corporates Aaa</c:v>
                </c:pt>
                <c:pt idx="4">
                  <c:v>Corporates Baa1</c:v>
                </c:pt>
                <c:pt idx="5">
                  <c:v>Covered Bonds Aaa</c:v>
                </c:pt>
                <c:pt idx="6">
                  <c:v>Member State A1</c:v>
                </c:pt>
                <c:pt idx="7">
                  <c:v>Member State A2</c:v>
                </c:pt>
                <c:pt idx="8">
                  <c:v>Member State Aa2</c:v>
                </c:pt>
                <c:pt idx="9">
                  <c:v>Member State Aa3</c:v>
                </c:pt>
                <c:pt idx="10">
                  <c:v>Member State Aaa</c:v>
                </c:pt>
                <c:pt idx="11">
                  <c:v>Member State Baa3</c:v>
                </c:pt>
                <c:pt idx="12">
                  <c:v>Other</c:v>
                </c:pt>
                <c:pt idx="13">
                  <c:v>Public Institution Aa1</c:v>
                </c:pt>
                <c:pt idx="14">
                  <c:v>Public Institution Aa2</c:v>
                </c:pt>
                <c:pt idx="15">
                  <c:v>Public Institution Aaa</c:v>
                </c:pt>
              </c:strCache>
            </c:strRef>
          </c:cat>
          <c:val>
            <c:numRef>
              <c:f>'Bonds profile -page 9'!$J$63:$J$79</c:f>
              <c:numCache>
                <c:formatCode>0.00%</c:formatCode>
                <c:ptCount val="16"/>
                <c:pt idx="0">
                  <c:v>1.9199999999999998E-2</c:v>
                </c:pt>
                <c:pt idx="1">
                  <c:v>6.3700000000000007E-2</c:v>
                </c:pt>
                <c:pt idx="2">
                  <c:v>7.2300000000000003E-2</c:v>
                </c:pt>
                <c:pt idx="3">
                  <c:v>2.3300000000000001E-2</c:v>
                </c:pt>
                <c:pt idx="4">
                  <c:v>2.3E-2</c:v>
                </c:pt>
                <c:pt idx="5">
                  <c:v>0.19889999999999999</c:v>
                </c:pt>
                <c:pt idx="6">
                  <c:v>2.3300000000000001E-2</c:v>
                </c:pt>
                <c:pt idx="7">
                  <c:v>5.8799999999999998E-2</c:v>
                </c:pt>
                <c:pt idx="8">
                  <c:v>8.9200000000000002E-2</c:v>
                </c:pt>
                <c:pt idx="9">
                  <c:v>1.9699999999999999E-2</c:v>
                </c:pt>
                <c:pt idx="10">
                  <c:v>5.2999999999999999E-2</c:v>
                </c:pt>
                <c:pt idx="11">
                  <c:v>2.2100000000000002E-2</c:v>
                </c:pt>
                <c:pt idx="12">
                  <c:v>0.15959999999999996</c:v>
                </c:pt>
                <c:pt idx="13">
                  <c:v>2.4E-2</c:v>
                </c:pt>
                <c:pt idx="14">
                  <c:v>2.4400000000000002E-2</c:v>
                </c:pt>
                <c:pt idx="15">
                  <c:v>0.1255</c:v>
                </c:pt>
              </c:numCache>
            </c:numRef>
          </c:val>
          <c:extLst xmlns:c16r2="http://schemas.microsoft.com/office/drawing/2015/06/chart">
            <c:ext xmlns:c16="http://schemas.microsoft.com/office/drawing/2014/chart" uri="{C3380CC4-5D6E-409C-BE32-E72D297353CC}">
              <c16:uniqueId val="{00000020-3B90-45E8-9352-AF42B7D781A0}"/>
            </c:ext>
          </c:extLst>
        </c:ser>
        <c:dLbls>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AD1F8-BDF4-4E7B-8386-6360C00C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10602</Words>
  <Characters>60962</Characters>
  <Application>Microsoft Office Word</Application>
  <DocSecurity>0</DocSecurity>
  <Lines>2902</Lines>
  <Paragraphs>2044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69520</CharactersWithSpaces>
  <SharedDoc>false</SharedDoc>
  <HLinks>
    <vt:vector size="144" baseType="variant">
      <vt:variant>
        <vt:i4>1310783</vt:i4>
      </vt:variant>
      <vt:variant>
        <vt:i4>140</vt:i4>
      </vt:variant>
      <vt:variant>
        <vt:i4>0</vt:i4>
      </vt:variant>
      <vt:variant>
        <vt:i4>5</vt:i4>
      </vt:variant>
      <vt:variant>
        <vt:lpwstr/>
      </vt:variant>
      <vt:variant>
        <vt:lpwstr>_Toc478663512</vt:lpwstr>
      </vt:variant>
      <vt:variant>
        <vt:i4>1310783</vt:i4>
      </vt:variant>
      <vt:variant>
        <vt:i4>134</vt:i4>
      </vt:variant>
      <vt:variant>
        <vt:i4>0</vt:i4>
      </vt:variant>
      <vt:variant>
        <vt:i4>5</vt:i4>
      </vt:variant>
      <vt:variant>
        <vt:lpwstr/>
      </vt:variant>
      <vt:variant>
        <vt:lpwstr>_Toc478663511</vt:lpwstr>
      </vt:variant>
      <vt:variant>
        <vt:i4>1310783</vt:i4>
      </vt:variant>
      <vt:variant>
        <vt:i4>128</vt:i4>
      </vt:variant>
      <vt:variant>
        <vt:i4>0</vt:i4>
      </vt:variant>
      <vt:variant>
        <vt:i4>5</vt:i4>
      </vt:variant>
      <vt:variant>
        <vt:lpwstr/>
      </vt:variant>
      <vt:variant>
        <vt:lpwstr>_Toc478663510</vt:lpwstr>
      </vt:variant>
      <vt:variant>
        <vt:i4>1376319</vt:i4>
      </vt:variant>
      <vt:variant>
        <vt:i4>122</vt:i4>
      </vt:variant>
      <vt:variant>
        <vt:i4>0</vt:i4>
      </vt:variant>
      <vt:variant>
        <vt:i4>5</vt:i4>
      </vt:variant>
      <vt:variant>
        <vt:lpwstr/>
      </vt:variant>
      <vt:variant>
        <vt:lpwstr>_Toc478663509</vt:lpwstr>
      </vt:variant>
      <vt:variant>
        <vt:i4>1376319</vt:i4>
      </vt:variant>
      <vt:variant>
        <vt:i4>116</vt:i4>
      </vt:variant>
      <vt:variant>
        <vt:i4>0</vt:i4>
      </vt:variant>
      <vt:variant>
        <vt:i4>5</vt:i4>
      </vt:variant>
      <vt:variant>
        <vt:lpwstr/>
      </vt:variant>
      <vt:variant>
        <vt:lpwstr>_Toc478663507</vt:lpwstr>
      </vt:variant>
      <vt:variant>
        <vt:i4>1835070</vt:i4>
      </vt:variant>
      <vt:variant>
        <vt:i4>110</vt:i4>
      </vt:variant>
      <vt:variant>
        <vt:i4>0</vt:i4>
      </vt:variant>
      <vt:variant>
        <vt:i4>5</vt:i4>
      </vt:variant>
      <vt:variant>
        <vt:lpwstr/>
      </vt:variant>
      <vt:variant>
        <vt:lpwstr>_Toc478663496</vt:lpwstr>
      </vt:variant>
      <vt:variant>
        <vt:i4>1835070</vt:i4>
      </vt:variant>
      <vt:variant>
        <vt:i4>104</vt:i4>
      </vt:variant>
      <vt:variant>
        <vt:i4>0</vt:i4>
      </vt:variant>
      <vt:variant>
        <vt:i4>5</vt:i4>
      </vt:variant>
      <vt:variant>
        <vt:lpwstr/>
      </vt:variant>
      <vt:variant>
        <vt:lpwstr>_Toc478663490</vt:lpwstr>
      </vt:variant>
      <vt:variant>
        <vt:i4>1900606</vt:i4>
      </vt:variant>
      <vt:variant>
        <vt:i4>98</vt:i4>
      </vt:variant>
      <vt:variant>
        <vt:i4>0</vt:i4>
      </vt:variant>
      <vt:variant>
        <vt:i4>5</vt:i4>
      </vt:variant>
      <vt:variant>
        <vt:lpwstr/>
      </vt:variant>
      <vt:variant>
        <vt:lpwstr>_Toc478663484</vt:lpwstr>
      </vt:variant>
      <vt:variant>
        <vt:i4>1900606</vt:i4>
      </vt:variant>
      <vt:variant>
        <vt:i4>92</vt:i4>
      </vt:variant>
      <vt:variant>
        <vt:i4>0</vt:i4>
      </vt:variant>
      <vt:variant>
        <vt:i4>5</vt:i4>
      </vt:variant>
      <vt:variant>
        <vt:lpwstr/>
      </vt:variant>
      <vt:variant>
        <vt:lpwstr>_Toc478663483</vt:lpwstr>
      </vt:variant>
      <vt:variant>
        <vt:i4>1900606</vt:i4>
      </vt:variant>
      <vt:variant>
        <vt:i4>86</vt:i4>
      </vt:variant>
      <vt:variant>
        <vt:i4>0</vt:i4>
      </vt:variant>
      <vt:variant>
        <vt:i4>5</vt:i4>
      </vt:variant>
      <vt:variant>
        <vt:lpwstr/>
      </vt:variant>
      <vt:variant>
        <vt:lpwstr>_Toc478663482</vt:lpwstr>
      </vt:variant>
      <vt:variant>
        <vt:i4>1900606</vt:i4>
      </vt:variant>
      <vt:variant>
        <vt:i4>80</vt:i4>
      </vt:variant>
      <vt:variant>
        <vt:i4>0</vt:i4>
      </vt:variant>
      <vt:variant>
        <vt:i4>5</vt:i4>
      </vt:variant>
      <vt:variant>
        <vt:lpwstr/>
      </vt:variant>
      <vt:variant>
        <vt:lpwstr>_Toc478663481</vt:lpwstr>
      </vt:variant>
      <vt:variant>
        <vt:i4>1900606</vt:i4>
      </vt:variant>
      <vt:variant>
        <vt:i4>74</vt:i4>
      </vt:variant>
      <vt:variant>
        <vt:i4>0</vt:i4>
      </vt:variant>
      <vt:variant>
        <vt:i4>5</vt:i4>
      </vt:variant>
      <vt:variant>
        <vt:lpwstr/>
      </vt:variant>
      <vt:variant>
        <vt:lpwstr>_Toc478663480</vt:lpwstr>
      </vt:variant>
      <vt:variant>
        <vt:i4>1179710</vt:i4>
      </vt:variant>
      <vt:variant>
        <vt:i4>68</vt:i4>
      </vt:variant>
      <vt:variant>
        <vt:i4>0</vt:i4>
      </vt:variant>
      <vt:variant>
        <vt:i4>5</vt:i4>
      </vt:variant>
      <vt:variant>
        <vt:lpwstr/>
      </vt:variant>
      <vt:variant>
        <vt:lpwstr>_Toc478663479</vt:lpwstr>
      </vt:variant>
      <vt:variant>
        <vt:i4>1179710</vt:i4>
      </vt:variant>
      <vt:variant>
        <vt:i4>62</vt:i4>
      </vt:variant>
      <vt:variant>
        <vt:i4>0</vt:i4>
      </vt:variant>
      <vt:variant>
        <vt:i4>5</vt:i4>
      </vt:variant>
      <vt:variant>
        <vt:lpwstr/>
      </vt:variant>
      <vt:variant>
        <vt:lpwstr>_Toc478663478</vt:lpwstr>
      </vt:variant>
      <vt:variant>
        <vt:i4>1179710</vt:i4>
      </vt:variant>
      <vt:variant>
        <vt:i4>56</vt:i4>
      </vt:variant>
      <vt:variant>
        <vt:i4>0</vt:i4>
      </vt:variant>
      <vt:variant>
        <vt:i4>5</vt:i4>
      </vt:variant>
      <vt:variant>
        <vt:lpwstr/>
      </vt:variant>
      <vt:variant>
        <vt:lpwstr>_Toc478663477</vt:lpwstr>
      </vt:variant>
      <vt:variant>
        <vt:i4>1179710</vt:i4>
      </vt:variant>
      <vt:variant>
        <vt:i4>50</vt:i4>
      </vt:variant>
      <vt:variant>
        <vt:i4>0</vt:i4>
      </vt:variant>
      <vt:variant>
        <vt:i4>5</vt:i4>
      </vt:variant>
      <vt:variant>
        <vt:lpwstr/>
      </vt:variant>
      <vt:variant>
        <vt:lpwstr>_Toc478663476</vt:lpwstr>
      </vt:variant>
      <vt:variant>
        <vt:i4>1179710</vt:i4>
      </vt:variant>
      <vt:variant>
        <vt:i4>44</vt:i4>
      </vt:variant>
      <vt:variant>
        <vt:i4>0</vt:i4>
      </vt:variant>
      <vt:variant>
        <vt:i4>5</vt:i4>
      </vt:variant>
      <vt:variant>
        <vt:lpwstr/>
      </vt:variant>
      <vt:variant>
        <vt:lpwstr>_Toc478663475</vt:lpwstr>
      </vt:variant>
      <vt:variant>
        <vt:i4>1179710</vt:i4>
      </vt:variant>
      <vt:variant>
        <vt:i4>38</vt:i4>
      </vt:variant>
      <vt:variant>
        <vt:i4>0</vt:i4>
      </vt:variant>
      <vt:variant>
        <vt:i4>5</vt:i4>
      </vt:variant>
      <vt:variant>
        <vt:lpwstr/>
      </vt:variant>
      <vt:variant>
        <vt:lpwstr>_Toc478663474</vt:lpwstr>
      </vt:variant>
      <vt:variant>
        <vt:i4>1179710</vt:i4>
      </vt:variant>
      <vt:variant>
        <vt:i4>32</vt:i4>
      </vt:variant>
      <vt:variant>
        <vt:i4>0</vt:i4>
      </vt:variant>
      <vt:variant>
        <vt:i4>5</vt:i4>
      </vt:variant>
      <vt:variant>
        <vt:lpwstr/>
      </vt:variant>
      <vt:variant>
        <vt:lpwstr>_Toc478663473</vt:lpwstr>
      </vt:variant>
      <vt:variant>
        <vt:i4>1179710</vt:i4>
      </vt:variant>
      <vt:variant>
        <vt:i4>26</vt:i4>
      </vt:variant>
      <vt:variant>
        <vt:i4>0</vt:i4>
      </vt:variant>
      <vt:variant>
        <vt:i4>5</vt:i4>
      </vt:variant>
      <vt:variant>
        <vt:lpwstr/>
      </vt:variant>
      <vt:variant>
        <vt:lpwstr>_Toc478663472</vt:lpwstr>
      </vt:variant>
      <vt:variant>
        <vt:i4>1179710</vt:i4>
      </vt:variant>
      <vt:variant>
        <vt:i4>20</vt:i4>
      </vt:variant>
      <vt:variant>
        <vt:i4>0</vt:i4>
      </vt:variant>
      <vt:variant>
        <vt:i4>5</vt:i4>
      </vt:variant>
      <vt:variant>
        <vt:lpwstr/>
      </vt:variant>
      <vt:variant>
        <vt:lpwstr>_Toc478663471</vt:lpwstr>
      </vt:variant>
      <vt:variant>
        <vt:i4>1179710</vt:i4>
      </vt:variant>
      <vt:variant>
        <vt:i4>14</vt:i4>
      </vt:variant>
      <vt:variant>
        <vt:i4>0</vt:i4>
      </vt:variant>
      <vt:variant>
        <vt:i4>5</vt:i4>
      </vt:variant>
      <vt:variant>
        <vt:lpwstr/>
      </vt:variant>
      <vt:variant>
        <vt:lpwstr>_Toc478663470</vt:lpwstr>
      </vt:variant>
      <vt:variant>
        <vt:i4>1245246</vt:i4>
      </vt:variant>
      <vt:variant>
        <vt:i4>8</vt:i4>
      </vt:variant>
      <vt:variant>
        <vt:i4>0</vt:i4>
      </vt:variant>
      <vt:variant>
        <vt:i4>5</vt:i4>
      </vt:variant>
      <vt:variant>
        <vt:lpwstr/>
      </vt:variant>
      <vt:variant>
        <vt:lpwstr>_Toc478663469</vt:lpwstr>
      </vt:variant>
      <vt:variant>
        <vt:i4>1245246</vt:i4>
      </vt:variant>
      <vt:variant>
        <vt:i4>2</vt:i4>
      </vt:variant>
      <vt:variant>
        <vt:i4>0</vt:i4>
      </vt:variant>
      <vt:variant>
        <vt:i4>5</vt:i4>
      </vt:variant>
      <vt:variant>
        <vt:lpwstr/>
      </vt:variant>
      <vt:variant>
        <vt:lpwstr>_Toc478663468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2019-04-24T09:54:00Z</cp:lastPrinted>
  <dcterms:created xsi:type="dcterms:W3CDTF">2019-07-10T14:15:00Z</dcterms:created>
  <dcterms:modified xsi:type="dcterms:W3CDTF">2019-07-29T07:59:00Z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