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3F589BC-992F-4AF9-A778-A869F8393CC5" style="width:450.35pt;height:334.2pt">
            <v:imagedata r:id="rId9" o:title=""/>
          </v:shape>
        </w:pict>
      </w:r>
    </w:p>
    <w:bookmarkEnd w:id="0"/>
    <w:p>
      <w:pPr>
        <w:spacing w:before="0" w:after="0"/>
        <w:jc w:val="left"/>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aperSrc w:first="15" w:other="15"/>
          <w:pgNumType w:start="1"/>
          <w:cols w:space="720"/>
          <w:docGrid w:linePitch="326"/>
        </w:sectPr>
      </w:pPr>
    </w:p>
    <w:p>
      <w:pPr>
        <w:pStyle w:val="TOCHeading"/>
        <w:rPr>
          <w:noProof/>
        </w:rPr>
      </w:pPr>
      <w:bookmarkStart w:id="1" w:name="_GoBack"/>
      <w:bookmarkEnd w:id="1"/>
      <w:r>
        <w:rPr>
          <w:noProof/>
        </w:rPr>
        <w:lastRenderedPageBreak/>
        <w:t>Table of Contents</w:t>
      </w:r>
    </w:p>
    <w:p>
      <w:pPr>
        <w:pStyle w:val="TOC1"/>
        <w:rPr>
          <w:rFonts w:ascii="Calibri" w:hAnsi="Calibri"/>
          <w:noProof/>
          <w:sz w:val="22"/>
          <w:szCs w:val="22"/>
          <w:lang w:eastAsia="en-GB"/>
        </w:rPr>
      </w:pPr>
      <w:r>
        <w:rPr>
          <w:noProof/>
        </w:rPr>
        <w:fldChar w:fldCharType="begin"/>
      </w:r>
      <w:r>
        <w:rPr>
          <w:noProof/>
        </w:rPr>
        <w:instrText xml:space="preserve"> TOC \o "1-3" \h \z \u </w:instrText>
      </w:r>
      <w:r>
        <w:rPr>
          <w:noProof/>
        </w:rPr>
        <w:fldChar w:fldCharType="separate"/>
      </w:r>
      <w:hyperlink w:anchor="_Toc478625434" w:history="1">
        <w:r>
          <w:rPr>
            <w:rStyle w:val="Hyperlink"/>
            <w:noProof/>
            <w:color w:val="auto"/>
          </w:rPr>
          <w:t>1.</w:t>
        </w:r>
        <w:r>
          <w:rPr>
            <w:rFonts w:ascii="Calibri" w:hAnsi="Calibri"/>
            <w:noProof/>
            <w:sz w:val="22"/>
            <w:szCs w:val="22"/>
            <w:lang w:eastAsia="en-GB"/>
          </w:rPr>
          <w:tab/>
        </w:r>
        <w:r>
          <w:rPr>
            <w:rStyle w:val="Hyperlink"/>
            <w:noProof/>
            <w:color w:val="auto"/>
          </w:rPr>
          <w:t>Introduction</w:t>
        </w:r>
        <w:r>
          <w:rPr>
            <w:noProof/>
            <w:webHidden/>
          </w:rPr>
          <w:tab/>
        </w:r>
        <w:r>
          <w:rPr>
            <w:noProof/>
            <w:webHidden/>
          </w:rPr>
          <w:fldChar w:fldCharType="begin"/>
        </w:r>
        <w:r>
          <w:rPr>
            <w:noProof/>
            <w:webHidden/>
          </w:rPr>
          <w:instrText xml:space="preserve"> PAGEREF _Toc478625434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Calibri" w:hAnsi="Calibri"/>
          <w:noProof/>
          <w:sz w:val="22"/>
          <w:szCs w:val="22"/>
          <w:lang w:eastAsia="en-GB"/>
        </w:rPr>
      </w:pPr>
      <w:hyperlink w:anchor="_Toc478625435" w:history="1">
        <w:r>
          <w:rPr>
            <w:rStyle w:val="Hyperlink"/>
            <w:noProof/>
            <w:color w:val="auto"/>
          </w:rPr>
          <w:t>2.</w:t>
        </w:r>
        <w:r>
          <w:rPr>
            <w:rFonts w:ascii="Calibri" w:hAnsi="Calibri"/>
            <w:noProof/>
            <w:sz w:val="22"/>
            <w:szCs w:val="22"/>
            <w:lang w:eastAsia="en-GB"/>
          </w:rPr>
          <w:tab/>
        </w:r>
        <w:r>
          <w:rPr>
            <w:rStyle w:val="Hyperlink"/>
            <w:noProof/>
            <w:color w:val="auto"/>
          </w:rPr>
          <w:t>Financial Position and Significant Transactions of the Guarantee Fund</w:t>
        </w:r>
        <w:r>
          <w:rPr>
            <w:noProof/>
            <w:webHidden/>
          </w:rPr>
          <w:tab/>
        </w:r>
        <w:r>
          <w:rPr>
            <w:noProof/>
            <w:webHidden/>
          </w:rPr>
          <w:fldChar w:fldCharType="begin"/>
        </w:r>
        <w:r>
          <w:rPr>
            <w:noProof/>
            <w:webHidden/>
          </w:rPr>
          <w:instrText xml:space="preserve"> PAGEREF _Toc478625435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Calibri" w:hAnsi="Calibri"/>
          <w:noProof/>
          <w:sz w:val="22"/>
          <w:szCs w:val="22"/>
          <w:lang w:eastAsia="en-GB"/>
        </w:rPr>
      </w:pPr>
      <w:hyperlink w:anchor="_Toc478625436" w:history="1">
        <w:r>
          <w:rPr>
            <w:rStyle w:val="Hyperlink"/>
            <w:noProof/>
            <w:color w:val="auto"/>
          </w:rPr>
          <w:t>2.1.</w:t>
        </w:r>
        <w:r>
          <w:rPr>
            <w:rFonts w:ascii="Calibri" w:hAnsi="Calibri"/>
            <w:noProof/>
            <w:sz w:val="22"/>
            <w:szCs w:val="22"/>
            <w:lang w:eastAsia="en-GB"/>
          </w:rPr>
          <w:tab/>
        </w:r>
        <w:r>
          <w:rPr>
            <w:rStyle w:val="Hyperlink"/>
            <w:noProof/>
            <w:color w:val="auto"/>
          </w:rPr>
          <w:t>Financial Position of the Guarantee Fund at 31 December 2018</w:t>
        </w:r>
        <w:r>
          <w:rPr>
            <w:noProof/>
            <w:webHidden/>
          </w:rPr>
          <w:tab/>
        </w:r>
        <w:r>
          <w:rPr>
            <w:noProof/>
            <w:webHidden/>
          </w:rPr>
          <w:fldChar w:fldCharType="begin"/>
        </w:r>
        <w:r>
          <w:rPr>
            <w:noProof/>
            <w:webHidden/>
          </w:rPr>
          <w:instrText xml:space="preserve"> PAGEREF _Toc478625436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Calibri" w:hAnsi="Calibri"/>
          <w:noProof/>
          <w:sz w:val="22"/>
          <w:szCs w:val="22"/>
          <w:lang w:eastAsia="en-GB"/>
        </w:rPr>
      </w:pPr>
      <w:hyperlink w:anchor="_Toc478625437" w:history="1">
        <w:r>
          <w:rPr>
            <w:rStyle w:val="Hyperlink"/>
            <w:noProof/>
            <w:color w:val="auto"/>
          </w:rPr>
          <w:t>2.2.</w:t>
        </w:r>
        <w:r>
          <w:rPr>
            <w:rFonts w:ascii="Calibri" w:hAnsi="Calibri"/>
            <w:noProof/>
            <w:sz w:val="22"/>
            <w:szCs w:val="22"/>
            <w:lang w:eastAsia="en-GB"/>
          </w:rPr>
          <w:tab/>
        </w:r>
        <w:r>
          <w:rPr>
            <w:rStyle w:val="Hyperlink"/>
            <w:noProof/>
            <w:color w:val="auto"/>
          </w:rPr>
          <w:t>Significant Transactions of the Fund in 2018</w:t>
        </w:r>
        <w:r>
          <w:rPr>
            <w:noProof/>
            <w:webHidden/>
          </w:rPr>
          <w:tab/>
        </w:r>
        <w:r>
          <w:rPr>
            <w:noProof/>
            <w:webHidden/>
          </w:rPr>
          <w:fldChar w:fldCharType="begin"/>
        </w:r>
        <w:r>
          <w:rPr>
            <w:noProof/>
            <w:webHidden/>
          </w:rPr>
          <w:instrText xml:space="preserve"> PAGEREF _Toc478625437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Calibri" w:hAnsi="Calibri"/>
          <w:noProof/>
          <w:sz w:val="22"/>
          <w:szCs w:val="22"/>
          <w:lang w:eastAsia="en-GB"/>
        </w:rPr>
      </w:pPr>
      <w:hyperlink w:anchor="_Toc478625438" w:history="1">
        <w:r>
          <w:rPr>
            <w:rStyle w:val="Hyperlink"/>
            <w:noProof/>
            <w:color w:val="auto"/>
          </w:rPr>
          <w:t>2.3.</w:t>
        </w:r>
        <w:r>
          <w:rPr>
            <w:rFonts w:ascii="Calibri" w:hAnsi="Calibri"/>
            <w:noProof/>
            <w:sz w:val="22"/>
            <w:szCs w:val="22"/>
            <w:lang w:eastAsia="en-GB"/>
          </w:rPr>
          <w:tab/>
        </w:r>
        <w:r>
          <w:rPr>
            <w:rStyle w:val="Hyperlink"/>
            <w:noProof/>
            <w:color w:val="auto"/>
          </w:rPr>
          <w:t>Significant transaction after the reporting date</w:t>
        </w:r>
        <w:r>
          <w:rPr>
            <w:noProof/>
            <w:webHidden/>
          </w:rPr>
          <w:tab/>
        </w:r>
        <w:r>
          <w:rPr>
            <w:noProof/>
            <w:webHidden/>
          </w:rPr>
          <w:fldChar w:fldCharType="begin"/>
        </w:r>
        <w:r>
          <w:rPr>
            <w:noProof/>
            <w:webHidden/>
          </w:rPr>
          <w:instrText xml:space="preserve"> PAGEREF _Toc478625438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Calibri" w:hAnsi="Calibri"/>
          <w:noProof/>
          <w:sz w:val="22"/>
          <w:szCs w:val="22"/>
          <w:lang w:eastAsia="en-GB"/>
        </w:rPr>
      </w:pPr>
      <w:hyperlink w:anchor="_Toc478625439" w:history="1">
        <w:r>
          <w:rPr>
            <w:rStyle w:val="Hyperlink"/>
            <w:noProof/>
            <w:color w:val="auto"/>
          </w:rPr>
          <w:t>3.</w:t>
        </w:r>
        <w:r>
          <w:rPr>
            <w:rFonts w:ascii="Calibri" w:hAnsi="Calibri"/>
            <w:noProof/>
            <w:sz w:val="22"/>
            <w:szCs w:val="22"/>
            <w:lang w:eastAsia="en-GB"/>
          </w:rPr>
          <w:tab/>
        </w:r>
        <w:r>
          <w:rPr>
            <w:rStyle w:val="Hyperlink"/>
            <w:noProof/>
            <w:color w:val="auto"/>
          </w:rPr>
          <w:t>Pre-consolidated Financial Statements of the Fund</w:t>
        </w:r>
        <w:r>
          <w:rPr>
            <w:noProof/>
            <w:webHidden/>
          </w:rPr>
          <w:tab/>
        </w:r>
        <w:r>
          <w:rPr>
            <w:noProof/>
            <w:webHidden/>
          </w:rPr>
          <w:fldChar w:fldCharType="begin"/>
        </w:r>
        <w:r>
          <w:rPr>
            <w:noProof/>
            <w:webHidden/>
          </w:rPr>
          <w:instrText xml:space="preserve"> PAGEREF _Toc478625439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Calibri" w:hAnsi="Calibri"/>
          <w:noProof/>
          <w:sz w:val="22"/>
          <w:szCs w:val="22"/>
          <w:lang w:eastAsia="en-GB"/>
        </w:rPr>
      </w:pPr>
      <w:hyperlink w:anchor="_Toc478625443" w:history="1">
        <w:r>
          <w:rPr>
            <w:rStyle w:val="Hyperlink"/>
            <w:noProof/>
            <w:color w:val="auto"/>
          </w:rPr>
          <w:t>3.1.</w:t>
        </w:r>
        <w:r>
          <w:rPr>
            <w:rFonts w:ascii="Calibri" w:hAnsi="Calibri"/>
            <w:noProof/>
            <w:sz w:val="22"/>
            <w:szCs w:val="22"/>
            <w:lang w:eastAsia="en-GB"/>
          </w:rPr>
          <w:tab/>
        </w:r>
        <w:r>
          <w:rPr>
            <w:rStyle w:val="Hyperlink"/>
            <w:noProof/>
            <w:color w:val="auto"/>
          </w:rPr>
          <w:t>Pre-consolidated Financial Position at 31 December 2018</w:t>
        </w:r>
        <w:r>
          <w:rPr>
            <w:noProof/>
            <w:webHidden/>
          </w:rPr>
          <w:tab/>
        </w:r>
        <w:r>
          <w:rPr>
            <w:noProof/>
            <w:webHidden/>
          </w:rPr>
          <w:fldChar w:fldCharType="begin"/>
        </w:r>
        <w:r>
          <w:rPr>
            <w:noProof/>
            <w:webHidden/>
          </w:rPr>
          <w:instrText xml:space="preserve"> PAGEREF _Toc478625443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Calibri" w:hAnsi="Calibri"/>
          <w:noProof/>
          <w:sz w:val="22"/>
          <w:szCs w:val="22"/>
          <w:lang w:eastAsia="en-GB"/>
        </w:rPr>
      </w:pPr>
      <w:hyperlink w:anchor="_Toc478625446" w:history="1">
        <w:r>
          <w:rPr>
            <w:rStyle w:val="Hyperlink"/>
            <w:noProof/>
            <w:color w:val="auto"/>
          </w:rPr>
          <w:t>3.2.</w:t>
        </w:r>
        <w:r>
          <w:rPr>
            <w:rFonts w:ascii="Calibri" w:hAnsi="Calibri"/>
            <w:noProof/>
            <w:sz w:val="22"/>
            <w:szCs w:val="22"/>
            <w:lang w:eastAsia="en-GB"/>
          </w:rPr>
          <w:tab/>
        </w:r>
        <w:r>
          <w:rPr>
            <w:rStyle w:val="Hyperlink"/>
            <w:noProof/>
            <w:color w:val="auto"/>
          </w:rPr>
          <w:t>Pre-consolidated Statement of Financial Performance</w:t>
        </w:r>
        <w:r>
          <w:rPr>
            <w:noProof/>
            <w:webHidden/>
          </w:rPr>
          <w:tab/>
        </w:r>
        <w:r>
          <w:rPr>
            <w:noProof/>
            <w:webHidden/>
          </w:rPr>
          <w:fldChar w:fldCharType="begin"/>
        </w:r>
        <w:r>
          <w:rPr>
            <w:noProof/>
            <w:webHidden/>
          </w:rPr>
          <w:instrText xml:space="preserve"> PAGEREF _Toc478625446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Calibri" w:hAnsi="Calibri"/>
          <w:noProof/>
          <w:sz w:val="22"/>
          <w:szCs w:val="22"/>
          <w:lang w:eastAsia="en-GB"/>
        </w:rPr>
      </w:pPr>
      <w:hyperlink w:anchor="_Toc478625447" w:history="1">
        <w:r>
          <w:rPr>
            <w:rStyle w:val="Hyperlink"/>
            <w:noProof/>
            <w:color w:val="auto"/>
          </w:rPr>
          <w:t>4.</w:t>
        </w:r>
        <w:r>
          <w:rPr>
            <w:rFonts w:ascii="Calibri" w:hAnsi="Calibri"/>
            <w:noProof/>
            <w:sz w:val="22"/>
            <w:szCs w:val="22"/>
            <w:lang w:eastAsia="en-GB"/>
          </w:rPr>
          <w:tab/>
        </w:r>
        <w:r>
          <w:rPr>
            <w:rStyle w:val="Hyperlink"/>
            <w:noProof/>
            <w:color w:val="auto"/>
          </w:rPr>
          <w:t>Guarantee Fund Treasury Management</w:t>
        </w:r>
        <w:r>
          <w:rPr>
            <w:noProof/>
            <w:webHidden/>
          </w:rPr>
          <w:tab/>
        </w:r>
        <w:r>
          <w:rPr>
            <w:noProof/>
            <w:webHidden/>
          </w:rPr>
          <w:fldChar w:fldCharType="begin"/>
        </w:r>
        <w:r>
          <w:rPr>
            <w:noProof/>
            <w:webHidden/>
          </w:rPr>
          <w:instrText xml:space="preserve"> PAGEREF _Toc478625447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Calibri" w:hAnsi="Calibri"/>
          <w:noProof/>
          <w:sz w:val="22"/>
          <w:szCs w:val="22"/>
          <w:lang w:eastAsia="en-GB"/>
        </w:rPr>
      </w:pPr>
      <w:hyperlink w:anchor="_Toc478625457" w:history="1">
        <w:r>
          <w:rPr>
            <w:rStyle w:val="Hyperlink"/>
            <w:noProof/>
            <w:color w:val="auto"/>
          </w:rPr>
          <w:t>4.1.</w:t>
        </w:r>
        <w:r>
          <w:rPr>
            <w:rFonts w:ascii="Calibri" w:hAnsi="Calibri"/>
            <w:noProof/>
            <w:sz w:val="22"/>
            <w:szCs w:val="22"/>
            <w:lang w:eastAsia="en-GB"/>
          </w:rPr>
          <w:tab/>
        </w:r>
        <w:r>
          <w:rPr>
            <w:rStyle w:val="Hyperlink"/>
            <w:noProof/>
            <w:color w:val="auto"/>
          </w:rPr>
          <w:t>Investment policy</w:t>
        </w:r>
        <w:r>
          <w:rPr>
            <w:noProof/>
            <w:webHidden/>
          </w:rPr>
          <w:tab/>
        </w:r>
        <w:r>
          <w:rPr>
            <w:noProof/>
            <w:webHidden/>
          </w:rPr>
          <w:fldChar w:fldCharType="begin"/>
        </w:r>
        <w:r>
          <w:rPr>
            <w:noProof/>
            <w:webHidden/>
          </w:rPr>
          <w:instrText xml:space="preserve"> PAGEREF _Toc478625457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Calibri" w:hAnsi="Calibri"/>
          <w:noProof/>
          <w:sz w:val="22"/>
          <w:szCs w:val="22"/>
          <w:lang w:eastAsia="en-GB"/>
        </w:rPr>
      </w:pPr>
      <w:hyperlink w:anchor="_Toc478625458" w:history="1">
        <w:r>
          <w:rPr>
            <w:rStyle w:val="Hyperlink"/>
            <w:noProof/>
            <w:color w:val="auto"/>
          </w:rPr>
          <w:t>4.2.</w:t>
        </w:r>
        <w:r>
          <w:rPr>
            <w:rFonts w:ascii="Calibri" w:hAnsi="Calibri"/>
            <w:noProof/>
            <w:sz w:val="22"/>
            <w:szCs w:val="22"/>
            <w:lang w:eastAsia="en-GB"/>
          </w:rPr>
          <w:tab/>
        </w:r>
        <w:r>
          <w:rPr>
            <w:rStyle w:val="Hyperlink"/>
            <w:noProof/>
            <w:color w:val="auto"/>
          </w:rPr>
          <w:t>Performance and market developments</w:t>
        </w:r>
        <w:r>
          <w:rPr>
            <w:noProof/>
            <w:webHidden/>
          </w:rPr>
          <w:tab/>
        </w:r>
        <w:r>
          <w:rPr>
            <w:noProof/>
            <w:webHidden/>
          </w:rPr>
          <w:fldChar w:fldCharType="begin"/>
        </w:r>
        <w:r>
          <w:rPr>
            <w:noProof/>
            <w:webHidden/>
          </w:rPr>
          <w:instrText xml:space="preserve"> PAGEREF _Toc478625458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Calibri" w:hAnsi="Calibri"/>
          <w:noProof/>
          <w:sz w:val="22"/>
          <w:szCs w:val="22"/>
          <w:lang w:eastAsia="en-GB"/>
        </w:rPr>
      </w:pPr>
      <w:hyperlink w:anchor="_Toc478625464" w:history="1">
        <w:r>
          <w:rPr>
            <w:rStyle w:val="Hyperlink"/>
            <w:noProof/>
            <w:color w:val="auto"/>
          </w:rPr>
          <w:t>5.</w:t>
        </w:r>
        <w:r>
          <w:rPr>
            <w:rFonts w:ascii="Calibri" w:hAnsi="Calibri"/>
            <w:noProof/>
            <w:sz w:val="22"/>
            <w:szCs w:val="22"/>
            <w:lang w:eastAsia="en-GB"/>
          </w:rPr>
          <w:tab/>
        </w:r>
        <w:r>
          <w:rPr>
            <w:rStyle w:val="Hyperlink"/>
            <w:noProof/>
            <w:color w:val="auto"/>
          </w:rPr>
          <w:t>Calls on the Guarantee Fund</w:t>
        </w:r>
        <w:r>
          <w:rPr>
            <w:noProof/>
            <w:webHidden/>
          </w:rPr>
          <w:tab/>
        </w:r>
        <w:r>
          <w:rPr>
            <w:noProof/>
            <w:webHidden/>
          </w:rPr>
          <w:fldChar w:fldCharType="begin"/>
        </w:r>
        <w:r>
          <w:rPr>
            <w:noProof/>
            <w:webHidden/>
          </w:rPr>
          <w:instrText xml:space="preserve"> PAGEREF _Toc478625464 \h </w:instrText>
        </w:r>
        <w:r>
          <w:rPr>
            <w:noProof/>
            <w:webHidden/>
          </w:rPr>
        </w:r>
        <w:r>
          <w:rPr>
            <w:noProof/>
            <w:webHidden/>
          </w:rPr>
          <w:fldChar w:fldCharType="separate"/>
        </w:r>
        <w:r>
          <w:rPr>
            <w:noProof/>
            <w:webHidden/>
          </w:rPr>
          <w:t>9</w:t>
        </w:r>
        <w:r>
          <w:rPr>
            <w:noProof/>
            <w:webHidden/>
          </w:rPr>
          <w:fldChar w:fldCharType="end"/>
        </w:r>
      </w:hyperlink>
    </w:p>
    <w:p>
      <w:pPr>
        <w:pStyle w:val="TOC1"/>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pgNumType w:start="1"/>
          <w:cols w:space="708"/>
          <w:docGrid w:linePitch="360"/>
        </w:sectPr>
      </w:pPr>
      <w:hyperlink w:anchor="_Toc478625467" w:history="1">
        <w:r>
          <w:rPr>
            <w:rStyle w:val="Hyperlink"/>
            <w:noProof/>
            <w:color w:val="auto"/>
          </w:rPr>
          <w:t>6.</w:t>
        </w:r>
        <w:r>
          <w:rPr>
            <w:rFonts w:ascii="Calibri" w:hAnsi="Calibri"/>
            <w:noProof/>
            <w:sz w:val="22"/>
            <w:szCs w:val="22"/>
            <w:lang w:eastAsia="en-GB"/>
          </w:rPr>
          <w:tab/>
        </w:r>
        <w:r>
          <w:rPr>
            <w:rStyle w:val="Hyperlink"/>
            <w:noProof/>
            <w:color w:val="auto"/>
          </w:rPr>
          <w:t>EIB remuneration</w:t>
        </w:r>
        <w:r>
          <w:rPr>
            <w:noProof/>
            <w:webHidden/>
          </w:rPr>
          <w:tab/>
        </w:r>
        <w:r>
          <w:rPr>
            <w:noProof/>
            <w:webHidden/>
          </w:rPr>
          <w:fldChar w:fldCharType="begin"/>
        </w:r>
        <w:r>
          <w:rPr>
            <w:noProof/>
            <w:webHidden/>
          </w:rPr>
          <w:instrText xml:space="preserve"> PAGEREF _Toc478625467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Calibri" w:hAnsi="Calibri"/>
          <w:noProof/>
          <w:sz w:val="22"/>
          <w:szCs w:val="22"/>
          <w:lang w:eastAsia="en-GB"/>
        </w:rPr>
      </w:pPr>
    </w:p>
    <w:p>
      <w:pPr>
        <w:pStyle w:val="ManualHeading1"/>
        <w:rPr>
          <w:noProof/>
        </w:rPr>
      </w:pPr>
      <w:r>
        <w:rPr>
          <w:b w:val="0"/>
          <w:bCs/>
          <w:noProof/>
        </w:rPr>
        <w:fldChar w:fldCharType="end"/>
      </w:r>
      <w:bookmarkStart w:id="2" w:name="_Toc323019492"/>
      <w:bookmarkStart w:id="3" w:name="_Toc354050118"/>
      <w:bookmarkStart w:id="4" w:name="_Toc358294843"/>
      <w:bookmarkStart w:id="5" w:name="_Toc415838340"/>
      <w:bookmarkStart w:id="6" w:name="_Toc478625434"/>
      <w:r>
        <w:rPr>
          <w:noProof/>
        </w:rPr>
        <w:t>1.</w:t>
      </w:r>
      <w:r>
        <w:rPr>
          <w:noProof/>
        </w:rPr>
        <w:tab/>
        <w:t>Introduction</w:t>
      </w:r>
      <w:bookmarkEnd w:id="2"/>
      <w:bookmarkEnd w:id="3"/>
      <w:bookmarkEnd w:id="4"/>
      <w:bookmarkEnd w:id="5"/>
      <w:bookmarkEnd w:id="6"/>
    </w:p>
    <w:p>
      <w:pPr>
        <w:rPr>
          <w:noProof/>
        </w:rPr>
      </w:pPr>
      <w:r>
        <w:rPr>
          <w:noProof/>
        </w:rPr>
        <w:t>Council Regulation (EC, Euratom) No 480/2009 of 25 May 2009 (codified version) (‘the Regulation‘)</w:t>
      </w:r>
      <w:r>
        <w:rPr>
          <w:rStyle w:val="FootnoteReference"/>
          <w:noProof/>
        </w:rPr>
        <w:footnoteReference w:id="1"/>
      </w:r>
      <w:r>
        <w:rPr>
          <w:noProof/>
        </w:rPr>
        <w:t xml:space="preserve"> established a Guarantee Fund for external actions (‘the Fund’) in order to repay the Union’s creditors in the event of default by beneficiaries of loans granted or guaranteed by the European Union. In accordance with Article 7 of the Regulation, the Commission entrusted the financial management of the Fund to the European Investment Bank (EIB) under an agreement between the European Union and the EIB dated 25 November 1994, and subsequently amended on 23 September 1996, 8 May 2002, 25 February 2008 and 9 November 2010 and 28 September 2018</w:t>
      </w:r>
      <w:r>
        <w:rPr>
          <w:rStyle w:val="FootnoteReference"/>
          <w:noProof/>
        </w:rPr>
        <w:footnoteReference w:id="2"/>
      </w:r>
      <w:r>
        <w:rPr>
          <w:noProof/>
        </w:rPr>
        <w:t xml:space="preserve"> (‘the Agreement’).</w:t>
      </w:r>
    </w:p>
    <w:p>
      <w:pPr>
        <w:rPr>
          <w:noProof/>
        </w:rPr>
      </w:pPr>
      <w:r>
        <w:rPr>
          <w:noProof/>
        </w:rPr>
        <w:t xml:space="preserve">Article 8 of the Regulation requires the Commission to send a report to the European Parliament, the Council and the Court of Auditors on the situation of the Fund and the management of the Fund at the end of the previous calendar year thereof for each financial year by 31 May of the following year. </w:t>
      </w:r>
    </w:p>
    <w:p>
      <w:pPr>
        <w:rPr>
          <w:noProof/>
        </w:rPr>
      </w:pPr>
      <w:r>
        <w:rPr>
          <w:noProof/>
        </w:rPr>
        <w:t>This report together with the Commission Staff Working Document (SWD) provides this information. It is based on data received from the EIB, in line with the agreement.</w:t>
      </w:r>
    </w:p>
    <w:p>
      <w:pPr>
        <w:pStyle w:val="ManualHeading1"/>
        <w:rPr>
          <w:noProof/>
        </w:rPr>
      </w:pPr>
      <w:r>
        <w:rPr>
          <w:noProof/>
        </w:rPr>
        <w:br w:type="page"/>
      </w:r>
      <w:bookmarkStart w:id="7" w:name="_Toc478625435"/>
      <w:bookmarkStart w:id="8" w:name="_Toc323019493"/>
      <w:bookmarkStart w:id="9" w:name="_Toc354050119"/>
      <w:bookmarkStart w:id="10" w:name="_Toc358294844"/>
      <w:bookmarkStart w:id="11" w:name="_Toc415838341"/>
      <w:r>
        <w:rPr>
          <w:noProof/>
        </w:rPr>
        <w:t>2.</w:t>
      </w:r>
      <w:r>
        <w:rPr>
          <w:noProof/>
        </w:rPr>
        <w:tab/>
        <w:t>Financial Position and Significant Transactions of the Guarantee Fund</w:t>
      </w:r>
      <w:bookmarkEnd w:id="7"/>
      <w:r>
        <w:rPr>
          <w:noProof/>
        </w:rPr>
        <w:t xml:space="preserve"> </w:t>
      </w:r>
      <w:bookmarkEnd w:id="8"/>
      <w:bookmarkEnd w:id="9"/>
      <w:bookmarkEnd w:id="10"/>
      <w:bookmarkEnd w:id="11"/>
    </w:p>
    <w:p>
      <w:pPr>
        <w:pStyle w:val="ManualHeading2"/>
        <w:spacing w:before="360"/>
        <w:ind w:left="851" w:hanging="851"/>
        <w:rPr>
          <w:noProof/>
        </w:rPr>
      </w:pPr>
      <w:bookmarkStart w:id="12" w:name="_Toc478625436"/>
      <w:r>
        <w:rPr>
          <w:noProof/>
        </w:rPr>
        <w:t>2.1.</w:t>
      </w:r>
      <w:r>
        <w:rPr>
          <w:noProof/>
        </w:rPr>
        <w:tab/>
        <w:t xml:space="preserve">Financial Position of the Guarantee Fund at 31 December </w:t>
      </w:r>
      <w:bookmarkEnd w:id="12"/>
      <w:r>
        <w:rPr>
          <w:noProof/>
        </w:rPr>
        <w:t>2018</w:t>
      </w:r>
    </w:p>
    <w:p>
      <w:pPr>
        <w:rPr>
          <w:noProof/>
        </w:rPr>
      </w:pPr>
      <w:r>
        <w:rPr>
          <w:noProof/>
        </w:rPr>
        <w:t xml:space="preserve">The Guarantee Fund totalled EUR 2,609,881,747.51 as of 31 December 2018 (EUR 2,560,761,844.63 as of 31 December 2017) (see Annex of the SWD: Guarantee Fund financial statements, as provided by the EIB). </w:t>
      </w:r>
    </w:p>
    <w:p>
      <w:pPr>
        <w:rPr>
          <w:noProof/>
        </w:rPr>
      </w:pPr>
      <w:r>
        <w:rPr>
          <w:noProof/>
        </w:rPr>
        <w:t>The total balance sheet value of the Fund increased by about EUR 49.1 million in 2018. This is mainly explained by the following:</w:t>
      </w:r>
    </w:p>
    <w:p>
      <w:pPr>
        <w:rPr>
          <w:noProof/>
          <w:u w:val="single"/>
        </w:rPr>
      </w:pPr>
      <w:r>
        <w:rPr>
          <w:noProof/>
          <w:u w:val="single"/>
        </w:rPr>
        <w:t>Increases:</w:t>
      </w:r>
    </w:p>
    <w:p>
      <w:pPr>
        <w:pStyle w:val="Bullet0"/>
        <w:numPr>
          <w:ilvl w:val="0"/>
          <w:numId w:val="14"/>
        </w:numPr>
        <w:rPr>
          <w:noProof/>
        </w:rPr>
      </w:pPr>
      <w:r>
        <w:rPr>
          <w:noProof/>
        </w:rPr>
        <w:t xml:space="preserve">The contribution from the EU budget (provisioning amount) of EUR 103.2 million to adjust the Fund to its target amount of 9% of the total outstanding liabilities; </w:t>
      </w:r>
    </w:p>
    <w:p>
      <w:pPr>
        <w:pStyle w:val="Bullet0"/>
        <w:numPr>
          <w:ilvl w:val="0"/>
          <w:numId w:val="14"/>
        </w:numPr>
        <w:rPr>
          <w:noProof/>
        </w:rPr>
      </w:pPr>
      <w:r>
        <w:rPr>
          <w:noProof/>
        </w:rPr>
        <w:t>The economic result on financial operations amounted to EUR 12.0 million.</w:t>
      </w:r>
    </w:p>
    <w:p>
      <w:pPr>
        <w:rPr>
          <w:noProof/>
          <w:u w:val="single"/>
        </w:rPr>
      </w:pPr>
      <w:r>
        <w:rPr>
          <w:noProof/>
          <w:u w:val="single"/>
        </w:rPr>
        <w:t>Decreases:</w:t>
      </w:r>
    </w:p>
    <w:p>
      <w:pPr>
        <w:pStyle w:val="Bullet0"/>
        <w:numPr>
          <w:ilvl w:val="0"/>
          <w:numId w:val="14"/>
        </w:numPr>
        <w:rPr>
          <w:noProof/>
        </w:rPr>
      </w:pPr>
      <w:r>
        <w:rPr>
          <w:noProof/>
        </w:rPr>
        <w:t xml:space="preserve">Interventions of the Fund to cover defaulted payments for a total amount of EUR 55.7 million. </w:t>
      </w:r>
    </w:p>
    <w:p>
      <w:pPr>
        <w:pStyle w:val="Bullet0"/>
        <w:numPr>
          <w:ilvl w:val="0"/>
          <w:numId w:val="14"/>
        </w:numPr>
        <w:rPr>
          <w:noProof/>
        </w:rPr>
      </w:pPr>
      <w:r>
        <w:rPr>
          <w:noProof/>
        </w:rPr>
        <w:t>The portfolio valuation decreased by EUR 10.5 million due to the mark-to-market adjustment of its value.</w:t>
      </w:r>
    </w:p>
    <w:p>
      <w:pPr>
        <w:pStyle w:val="ManualHeading2"/>
        <w:spacing w:before="360"/>
        <w:ind w:left="851" w:hanging="851"/>
        <w:rPr>
          <w:noProof/>
        </w:rPr>
      </w:pPr>
      <w:bookmarkStart w:id="13" w:name="_Toc415838343"/>
      <w:bookmarkStart w:id="14" w:name="_Toc478625437"/>
      <w:r>
        <w:rPr>
          <w:noProof/>
        </w:rPr>
        <w:t>2.2.</w:t>
      </w:r>
      <w:r>
        <w:rPr>
          <w:noProof/>
        </w:rPr>
        <w:tab/>
        <w:t xml:space="preserve">Significant </w:t>
      </w:r>
      <w:bookmarkEnd w:id="13"/>
      <w:r>
        <w:rPr>
          <w:noProof/>
        </w:rPr>
        <w:t xml:space="preserve">Transactions of the Fund in </w:t>
      </w:r>
      <w:bookmarkEnd w:id="14"/>
      <w:r>
        <w:rPr>
          <w:noProof/>
        </w:rPr>
        <w:t>2018</w:t>
      </w:r>
    </w:p>
    <w:p>
      <w:pPr>
        <w:pStyle w:val="ManualHeading2"/>
        <w:tabs>
          <w:tab w:val="clear" w:pos="850"/>
          <w:tab w:val="left" w:pos="426"/>
        </w:tabs>
        <w:spacing w:before="240"/>
        <w:ind w:left="425" w:firstLine="0"/>
        <w:rPr>
          <w:noProof/>
        </w:rPr>
      </w:pPr>
      <w:r>
        <w:rPr>
          <w:noProof/>
        </w:rPr>
        <w:t>2.2.1</w:t>
      </w:r>
      <w:r>
        <w:rPr>
          <w:noProof/>
        </w:rPr>
        <w:tab/>
        <w:t>Calls on the Guarantee Fund 2018</w:t>
      </w:r>
    </w:p>
    <w:p>
      <w:pPr>
        <w:tabs>
          <w:tab w:val="left" w:pos="426"/>
        </w:tabs>
        <w:spacing w:after="0"/>
        <w:ind w:left="426"/>
        <w:rPr>
          <w:b/>
          <w:noProof/>
        </w:rPr>
      </w:pPr>
      <w:r>
        <w:rPr>
          <w:b/>
          <w:noProof/>
        </w:rPr>
        <w:t>Syria</w:t>
      </w:r>
    </w:p>
    <w:p>
      <w:pPr>
        <w:pStyle w:val="Point0number"/>
        <w:tabs>
          <w:tab w:val="left" w:pos="426"/>
        </w:tabs>
        <w:ind w:left="426"/>
        <w:rPr>
          <w:noProof/>
        </w:rPr>
      </w:pPr>
      <w:r>
        <w:rPr>
          <w:noProof/>
        </w:rPr>
        <w:t>In 2018, the EIB has continued facing arrears on Syrian sovereign loans. As a consequence, and in line with the Guarantee Agreements between the EU and the EIB, the EIB has made 9 additional calls on the EU Guarantee Fund up to 31 December 2018 for a total amount of EUR 55.73 million (see point 5).</w:t>
      </w:r>
    </w:p>
    <w:p>
      <w:pPr>
        <w:tabs>
          <w:tab w:val="left" w:pos="426"/>
        </w:tabs>
        <w:spacing w:after="0"/>
        <w:ind w:left="426"/>
        <w:rPr>
          <w:b/>
          <w:noProof/>
        </w:rPr>
      </w:pPr>
      <w:r>
        <w:rPr>
          <w:b/>
          <w:noProof/>
        </w:rPr>
        <w:t>Enfidha Airport (Tunisia)</w:t>
      </w:r>
    </w:p>
    <w:p>
      <w:pPr>
        <w:pStyle w:val="Point0number"/>
        <w:tabs>
          <w:tab w:val="left" w:pos="426"/>
        </w:tabs>
        <w:ind w:left="426"/>
        <w:rPr>
          <w:noProof/>
        </w:rPr>
      </w:pPr>
      <w:r>
        <w:rPr>
          <w:noProof/>
        </w:rPr>
        <w:t>In 2018, the EIB recovered EUR 136,092.88 from the loan to Enfidha Airport (Tunisia) which were credited to the Guarantee Fund bank account with the value date 15 January 2018 (see point 5).</w:t>
      </w:r>
    </w:p>
    <w:p>
      <w:pPr>
        <w:pStyle w:val="ManualHeading2"/>
        <w:tabs>
          <w:tab w:val="clear" w:pos="850"/>
          <w:tab w:val="left" w:pos="426"/>
        </w:tabs>
        <w:spacing w:before="360"/>
        <w:ind w:left="425" w:firstLine="0"/>
        <w:rPr>
          <w:noProof/>
        </w:rPr>
      </w:pPr>
      <w:r>
        <w:rPr>
          <w:noProof/>
        </w:rPr>
        <w:t>2.2.2</w:t>
      </w:r>
      <w:r>
        <w:rPr>
          <w:noProof/>
        </w:rPr>
        <w:tab/>
        <w:t>Provisioning of the Guarantee Fund 2018</w:t>
      </w:r>
    </w:p>
    <w:p>
      <w:pPr>
        <w:pStyle w:val="Point0number"/>
        <w:tabs>
          <w:tab w:val="left" w:pos="426"/>
        </w:tabs>
        <w:ind w:left="426"/>
        <w:rPr>
          <w:noProof/>
        </w:rPr>
      </w:pPr>
      <w:r>
        <w:rPr>
          <w:noProof/>
        </w:rPr>
        <w:t>In February 2018 an amount of EUR 137.8 million was transferred from the budget to the Fund corresponding to the provisioning amount for 2018.</w:t>
      </w:r>
    </w:p>
    <w:p>
      <w:pPr>
        <w:pStyle w:val="Point0number"/>
        <w:tabs>
          <w:tab w:val="left" w:pos="426"/>
        </w:tabs>
        <w:ind w:left="426"/>
        <w:rPr>
          <w:noProof/>
        </w:rPr>
      </w:pPr>
      <w:r>
        <w:rPr>
          <w:noProof/>
        </w:rPr>
        <w:t>The calculation of the contribution from the EU budget to the Fund for 2019 was also calculated in February 2018 resulting in EUR 103.2 million to be transferred in February 2019. It was was calculated following Article 3 and Article 5 of the Regulation:</w:t>
      </w:r>
    </w:p>
    <w:p>
      <w:pPr>
        <w:pStyle w:val="Point0number"/>
        <w:tabs>
          <w:tab w:val="left" w:pos="426"/>
        </w:tabs>
        <w:ind w:left="426"/>
        <w:rPr>
          <w:noProof/>
        </w:rPr>
      </w:pPr>
      <w:r>
        <w:rPr>
          <w:noProof/>
        </w:rPr>
        <w:t xml:space="preserve">Article 3 of the Regulation sets the target amount for the Fund at 9 % of the total outstanding capital liabilities arising from each operation, plus any accrued unpaid interest due. </w:t>
      </w:r>
    </w:p>
    <w:p>
      <w:pPr>
        <w:pStyle w:val="Point0number"/>
        <w:tabs>
          <w:tab w:val="left" w:pos="426"/>
        </w:tabs>
        <w:ind w:left="426"/>
        <w:rPr>
          <w:noProof/>
        </w:rPr>
      </w:pPr>
      <w:r>
        <w:rPr>
          <w:noProof/>
        </w:rPr>
        <w:t>Article 5 of the Regulation states that the amount to be transferred from the budget to the Fund in year n + 1 is calculated on the basis of the difference between the target amount and the value of the Fund’s net assets at the end of year n - 1, calculated at the beginning of year n.</w:t>
      </w:r>
    </w:p>
    <w:p>
      <w:pPr>
        <w:pStyle w:val="Point0number"/>
        <w:tabs>
          <w:tab w:val="left" w:pos="426"/>
        </w:tabs>
        <w:ind w:left="426"/>
        <w:rPr>
          <w:noProof/>
        </w:rPr>
      </w:pPr>
      <w:r>
        <w:rPr>
          <w:noProof/>
        </w:rPr>
        <w:t xml:space="preserve">To adjust the Fund to 9% of the total outstanding capital liabilities, an amount of EUR 103.22 million was calculated based on guaranteed operations outstanding at 31 December 2017 and entered in the EU budget of 2019 for the provisioning of the Fund. The amount was approved by the Council and the European Parliament and recognised as an asset (receivable) of the Fund in the balance sheet at 31 December 2018.  </w:t>
      </w:r>
    </w:p>
    <w:p>
      <w:pPr>
        <w:pStyle w:val="ManualHeading2"/>
        <w:spacing w:before="360"/>
        <w:ind w:left="851" w:hanging="851"/>
        <w:rPr>
          <w:noProof/>
        </w:rPr>
      </w:pPr>
      <w:bookmarkStart w:id="15" w:name="_Toc323019496"/>
      <w:bookmarkStart w:id="16" w:name="_Toc354050122"/>
      <w:bookmarkStart w:id="17" w:name="_Toc358294847"/>
      <w:bookmarkStart w:id="18" w:name="_Toc415838344"/>
      <w:bookmarkStart w:id="19" w:name="_Toc478625438"/>
      <w:r>
        <w:rPr>
          <w:noProof/>
        </w:rPr>
        <w:t>2.3.</w:t>
      </w:r>
      <w:r>
        <w:rPr>
          <w:noProof/>
        </w:rPr>
        <w:tab/>
        <w:t>Significant transactions after the reporting date</w:t>
      </w:r>
      <w:bookmarkEnd w:id="15"/>
      <w:bookmarkEnd w:id="16"/>
      <w:bookmarkEnd w:id="17"/>
      <w:bookmarkEnd w:id="18"/>
      <w:bookmarkEnd w:id="19"/>
      <w:r>
        <w:rPr>
          <w:noProof/>
        </w:rPr>
        <w:t xml:space="preserve"> (as of end March 2019)</w:t>
      </w:r>
    </w:p>
    <w:p>
      <w:pPr>
        <w:ind w:left="850"/>
        <w:rPr>
          <w:noProof/>
        </w:rPr>
      </w:pPr>
      <w:r>
        <w:rPr>
          <w:noProof/>
        </w:rPr>
        <w:t>In February 2019 the above mentioned provisioning amount of EUR 103.2 million was transferred from the EU budget to the Fund.</w:t>
      </w:r>
    </w:p>
    <w:p>
      <w:pPr>
        <w:ind w:left="851"/>
        <w:rPr>
          <w:noProof/>
        </w:rPr>
      </w:pPr>
      <w:r>
        <w:rPr>
          <w:noProof/>
        </w:rPr>
        <w:t xml:space="preserve">In January and March 2019, EUR 10.6 million in total were paid in two calls for defaulted payments of Syria (EUR 3.2 million and EUR 7.4 million including penalties applied by EIB). </w:t>
      </w:r>
    </w:p>
    <w:p>
      <w:pPr>
        <w:pStyle w:val="ManualHeading1"/>
        <w:ind w:left="851" w:hanging="851"/>
        <w:rPr>
          <w:noProof/>
        </w:rPr>
      </w:pPr>
      <w:bookmarkStart w:id="20" w:name="_Toc478625439"/>
      <w:bookmarkStart w:id="21" w:name="_Toc323019497"/>
      <w:bookmarkStart w:id="22" w:name="_Toc354050123"/>
      <w:bookmarkStart w:id="23" w:name="_Toc358294848"/>
      <w:bookmarkStart w:id="24" w:name="_Toc415838345"/>
      <w:r>
        <w:rPr>
          <w:noProof/>
        </w:rPr>
        <w:t>3.</w:t>
      </w:r>
      <w:r>
        <w:rPr>
          <w:noProof/>
        </w:rPr>
        <w:tab/>
        <w:t>Pre-consolidated Financial Statements of the Fund</w:t>
      </w:r>
      <w:bookmarkEnd w:id="20"/>
    </w:p>
    <w:p>
      <w:pPr>
        <w:rPr>
          <w:noProof/>
        </w:rPr>
      </w:pPr>
      <w:r>
        <w:rPr>
          <w:noProof/>
        </w:rPr>
        <w:t>The pre-consolidated financial statements of the Fund are prepared in order to include accounting operations which are not included in the Fund's financial statements prepared by the EIB (see SWD). They are part of the EU's consolidated financial statements.</w:t>
      </w:r>
    </w:p>
    <w:p>
      <w:pPr>
        <w:pStyle w:val="ManualHeading2"/>
        <w:rPr>
          <w:noProof/>
        </w:rPr>
      </w:pPr>
      <w:bookmarkStart w:id="25" w:name="_Toc358294850"/>
      <w:bookmarkStart w:id="26" w:name="_Toc415838347"/>
      <w:bookmarkStart w:id="27" w:name="_Toc478625443"/>
      <w:bookmarkStart w:id="28" w:name="_Toc323019499"/>
      <w:bookmarkStart w:id="29" w:name="_Toc354050125"/>
      <w:bookmarkEnd w:id="21"/>
      <w:bookmarkEnd w:id="22"/>
      <w:bookmarkEnd w:id="23"/>
      <w:bookmarkEnd w:id="24"/>
      <w:r>
        <w:rPr>
          <w:noProof/>
        </w:rPr>
        <w:br w:type="page"/>
        <w:t>3.1.</w:t>
      </w:r>
      <w:r>
        <w:rPr>
          <w:noProof/>
        </w:rPr>
        <w:tab/>
        <w:t>Pre-consolidated Financial Position at 31 December </w:t>
      </w:r>
      <w:bookmarkEnd w:id="25"/>
      <w:bookmarkEnd w:id="26"/>
      <w:bookmarkEnd w:id="27"/>
      <w:r>
        <w:rPr>
          <w:noProof/>
        </w:rPr>
        <w:t>2018</w:t>
      </w:r>
    </w:p>
    <w:p>
      <w:pPr>
        <w:rPr>
          <w:noProof/>
        </w:rPr>
      </w:pPr>
      <w:r>
        <w:rPr>
          <w:noProof/>
        </w:rPr>
        <w:t>Balance Sheet – Assets</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2976"/>
        <w:gridCol w:w="2115"/>
      </w:tblGrid>
      <w:tr>
        <w:tc>
          <w:tcPr>
            <w:tcW w:w="3374" w:type="dxa"/>
            <w:tcBorders>
              <w:bottom w:val="single" w:sz="4" w:space="0" w:color="auto"/>
            </w:tcBorders>
            <w:shd w:val="clear" w:color="auto" w:fill="auto"/>
          </w:tcPr>
          <w:p>
            <w:pPr>
              <w:jc w:val="center"/>
              <w:rPr>
                <w:noProof/>
              </w:rPr>
            </w:pPr>
          </w:p>
        </w:tc>
        <w:tc>
          <w:tcPr>
            <w:tcW w:w="2976" w:type="dxa"/>
            <w:tcBorders>
              <w:bottom w:val="single" w:sz="4" w:space="0" w:color="auto"/>
            </w:tcBorders>
            <w:shd w:val="clear" w:color="auto" w:fill="auto"/>
          </w:tcPr>
          <w:p>
            <w:pPr>
              <w:jc w:val="center"/>
              <w:rPr>
                <w:noProof/>
              </w:rPr>
            </w:pPr>
            <w:r>
              <w:rPr>
                <w:noProof/>
              </w:rPr>
              <w:t>31 December 2018</w:t>
            </w:r>
          </w:p>
        </w:tc>
        <w:tc>
          <w:tcPr>
            <w:tcW w:w="2115" w:type="dxa"/>
            <w:tcBorders>
              <w:bottom w:val="single" w:sz="4" w:space="0" w:color="auto"/>
            </w:tcBorders>
          </w:tcPr>
          <w:p>
            <w:pPr>
              <w:jc w:val="center"/>
              <w:rPr>
                <w:noProof/>
              </w:rPr>
            </w:pPr>
            <w:r>
              <w:rPr>
                <w:noProof/>
              </w:rPr>
              <w:t>31 December 2017</w:t>
            </w:r>
          </w:p>
        </w:tc>
      </w:tr>
      <w:tr>
        <w:tc>
          <w:tcPr>
            <w:tcW w:w="3374" w:type="dxa"/>
            <w:shd w:val="pct20" w:color="auto" w:fill="auto"/>
          </w:tcPr>
          <w:p>
            <w:pPr>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NON-CURRENT ASSETS</w:t>
            </w:r>
          </w:p>
        </w:tc>
        <w:tc>
          <w:tcPr>
            <w:tcW w:w="2976"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2,275,342,664</w:t>
            </w:r>
          </w:p>
        </w:tc>
        <w:tc>
          <w:tcPr>
            <w:tcW w:w="2115"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2,077,970,486</w:t>
            </w:r>
          </w:p>
        </w:tc>
      </w:tr>
      <w:tr>
        <w:tc>
          <w:tcPr>
            <w:tcW w:w="3374" w:type="dxa"/>
            <w:tcBorders>
              <w:bottom w:val="single" w:sz="4" w:space="0" w:color="auto"/>
            </w:tcBorders>
            <w:shd w:val="clear" w:color="auto" w:fill="auto"/>
          </w:tcPr>
          <w:p>
            <w:pPr>
              <w:rPr>
                <w:noProof/>
              </w:rPr>
            </w:pPr>
            <w:r>
              <w:rPr>
                <w:noProof/>
              </w:rPr>
              <w:t>Financial assets</w:t>
            </w:r>
          </w:p>
        </w:tc>
        <w:tc>
          <w:tcPr>
            <w:tcW w:w="2976" w:type="dxa"/>
            <w:tcBorders>
              <w:bottom w:val="single" w:sz="4" w:space="0" w:color="auto"/>
            </w:tcBorders>
            <w:shd w:val="clear" w:color="auto" w:fill="auto"/>
          </w:tcPr>
          <w:p>
            <w:pPr>
              <w:jc w:val="right"/>
              <w:rPr>
                <w:noProof/>
              </w:rPr>
            </w:pPr>
            <w:r>
              <w:rPr>
                <w:noProof/>
                <w14:shadow w14:blurRad="50800" w14:dist="38100" w14:dir="2700000" w14:sx="100000" w14:sy="100000" w14:kx="0" w14:ky="0" w14:algn="tl">
                  <w14:srgbClr w14:val="000000">
                    <w14:alpha w14:val="60000"/>
                  </w14:srgbClr>
                </w14:shadow>
              </w:rPr>
              <w:t>2,275,342,664</w:t>
            </w:r>
          </w:p>
        </w:tc>
        <w:tc>
          <w:tcPr>
            <w:tcW w:w="2115" w:type="dxa"/>
            <w:tcBorders>
              <w:bottom w:val="single" w:sz="4" w:space="0" w:color="auto"/>
            </w:tcBorders>
          </w:tcPr>
          <w:p>
            <w:pPr>
              <w:jc w:val="right"/>
              <w:rPr>
                <w:noProof/>
              </w:rPr>
            </w:pPr>
            <w:r>
              <w:rPr>
                <w:noProof/>
                <w14:shadow w14:blurRad="50800" w14:dist="38100" w14:dir="2700000" w14:sx="100000" w14:sy="100000" w14:kx="0" w14:ky="0" w14:algn="tl">
                  <w14:srgbClr w14:val="000000">
                    <w14:alpha w14:val="60000"/>
                  </w14:srgbClr>
                </w14:shadow>
              </w:rPr>
              <w:t>2,077,970,486</w:t>
            </w:r>
          </w:p>
        </w:tc>
      </w:tr>
      <w:tr>
        <w:tc>
          <w:tcPr>
            <w:tcW w:w="3374" w:type="dxa"/>
            <w:shd w:val="pct20" w:color="auto" w:fill="auto"/>
          </w:tcPr>
          <w:p>
            <w:pPr>
              <w:rPr>
                <w:noProof/>
              </w:rPr>
            </w:pPr>
            <w:r>
              <w:rPr>
                <w:noProof/>
              </w:rPr>
              <w:t>CURRENT ASSETS</w:t>
            </w:r>
          </w:p>
        </w:tc>
        <w:tc>
          <w:tcPr>
            <w:tcW w:w="2976" w:type="dxa"/>
            <w:shd w:val="pct20" w:color="auto" w:fill="auto"/>
          </w:tcPr>
          <w:p>
            <w:pPr>
              <w:jc w:val="right"/>
              <w:rPr>
                <w:noProof/>
              </w:rPr>
            </w:pPr>
            <w:r>
              <w:rPr>
                <w:noProof/>
              </w:rPr>
              <w:t>231,316,149</w:t>
            </w:r>
          </w:p>
        </w:tc>
        <w:tc>
          <w:tcPr>
            <w:tcW w:w="2115" w:type="dxa"/>
            <w:shd w:val="pct20" w:color="auto" w:fill="auto"/>
          </w:tcPr>
          <w:p>
            <w:pPr>
              <w:jc w:val="right"/>
              <w:rPr>
                <w:noProof/>
              </w:rPr>
            </w:pPr>
            <w:r>
              <w:rPr>
                <w:noProof/>
              </w:rPr>
              <w:t>344,990,638</w:t>
            </w:r>
          </w:p>
        </w:tc>
      </w:tr>
      <w:tr>
        <w:tc>
          <w:tcPr>
            <w:tcW w:w="3374" w:type="dxa"/>
            <w:shd w:val="clear" w:color="auto" w:fill="auto"/>
          </w:tcPr>
          <w:p>
            <w:pPr>
              <w:rPr>
                <w:noProof/>
              </w:rPr>
            </w:pPr>
            <w:r>
              <w:rPr>
                <w:noProof/>
              </w:rPr>
              <w:t>Financial assets</w:t>
            </w:r>
          </w:p>
        </w:tc>
        <w:tc>
          <w:tcPr>
            <w:tcW w:w="2976" w:type="dxa"/>
            <w:shd w:val="clear" w:color="auto" w:fill="auto"/>
          </w:tcPr>
          <w:p>
            <w:pPr>
              <w:jc w:val="right"/>
              <w:rPr>
                <w:noProof/>
              </w:rPr>
            </w:pPr>
            <w:r>
              <w:rPr>
                <w:noProof/>
              </w:rPr>
              <w:t>189,758,096</w:t>
            </w:r>
          </w:p>
        </w:tc>
        <w:tc>
          <w:tcPr>
            <w:tcW w:w="2115" w:type="dxa"/>
          </w:tcPr>
          <w:p>
            <w:pPr>
              <w:jc w:val="right"/>
              <w:rPr>
                <w:noProof/>
              </w:rPr>
            </w:pPr>
            <w:r>
              <w:rPr>
                <w:noProof/>
              </w:rPr>
              <w:t>120,771,792</w:t>
            </w:r>
          </w:p>
        </w:tc>
      </w:tr>
      <w:tr>
        <w:tc>
          <w:tcPr>
            <w:tcW w:w="3374" w:type="dxa"/>
            <w:shd w:val="clear" w:color="auto" w:fill="auto"/>
          </w:tcPr>
          <w:p>
            <w:pPr>
              <w:rPr>
                <w:noProof/>
              </w:rPr>
            </w:pPr>
            <w:r>
              <w:rPr>
                <w:noProof/>
              </w:rPr>
              <w:t>Receivables</w:t>
            </w:r>
          </w:p>
        </w:tc>
        <w:tc>
          <w:tcPr>
            <w:tcW w:w="2976" w:type="dxa"/>
            <w:shd w:val="clear" w:color="auto" w:fill="auto"/>
          </w:tcPr>
          <w:p>
            <w:pPr>
              <w:jc w:val="right"/>
              <w:rPr>
                <w:noProof/>
              </w:rPr>
            </w:pPr>
            <w:r>
              <w:rPr>
                <w:noProof/>
              </w:rPr>
              <w:t>-</w:t>
            </w:r>
          </w:p>
        </w:tc>
        <w:tc>
          <w:tcPr>
            <w:tcW w:w="2115" w:type="dxa"/>
          </w:tcPr>
          <w:p>
            <w:pPr>
              <w:jc w:val="right"/>
              <w:rPr>
                <w:noProof/>
              </w:rPr>
            </w:pPr>
            <w:r>
              <w:rPr>
                <w:noProof/>
              </w:rPr>
              <w:t>136,093</w:t>
            </w:r>
          </w:p>
        </w:tc>
      </w:tr>
      <w:tr>
        <w:tc>
          <w:tcPr>
            <w:tcW w:w="3374" w:type="dxa"/>
            <w:tcBorders>
              <w:bottom w:val="single" w:sz="4" w:space="0" w:color="auto"/>
            </w:tcBorders>
            <w:shd w:val="clear" w:color="auto" w:fill="auto"/>
          </w:tcPr>
          <w:p>
            <w:pPr>
              <w:rPr>
                <w:noProof/>
              </w:rPr>
            </w:pPr>
            <w:r>
              <w:rPr>
                <w:noProof/>
              </w:rPr>
              <w:t>Cash and cash equivalents</w:t>
            </w:r>
          </w:p>
        </w:tc>
        <w:tc>
          <w:tcPr>
            <w:tcW w:w="2976" w:type="dxa"/>
            <w:tcBorders>
              <w:bottom w:val="single" w:sz="4" w:space="0" w:color="auto"/>
            </w:tcBorders>
            <w:shd w:val="clear" w:color="auto" w:fill="auto"/>
          </w:tcPr>
          <w:p>
            <w:pPr>
              <w:jc w:val="right"/>
              <w:rPr>
                <w:noProof/>
              </w:rPr>
            </w:pPr>
            <w:r>
              <w:rPr>
                <w:noProof/>
              </w:rPr>
              <w:t>41,558,053</w:t>
            </w:r>
          </w:p>
        </w:tc>
        <w:tc>
          <w:tcPr>
            <w:tcW w:w="2115" w:type="dxa"/>
            <w:tcBorders>
              <w:bottom w:val="single" w:sz="4" w:space="0" w:color="auto"/>
            </w:tcBorders>
          </w:tcPr>
          <w:p>
            <w:pPr>
              <w:jc w:val="right"/>
              <w:rPr>
                <w:noProof/>
              </w:rPr>
            </w:pPr>
            <w:r>
              <w:rPr>
                <w:noProof/>
              </w:rPr>
              <w:t>224,082,753</w:t>
            </w:r>
          </w:p>
        </w:tc>
      </w:tr>
      <w:tr>
        <w:tc>
          <w:tcPr>
            <w:tcW w:w="3374" w:type="dxa"/>
            <w:shd w:val="pct20" w:color="auto" w:fill="auto"/>
          </w:tcPr>
          <w:p>
            <w:pPr>
              <w:rPr>
                <w:noProof/>
              </w:rPr>
            </w:pPr>
            <w:r>
              <w:rPr>
                <w:noProof/>
              </w:rPr>
              <w:t>TOTAL ASSETS</w:t>
            </w:r>
          </w:p>
        </w:tc>
        <w:tc>
          <w:tcPr>
            <w:tcW w:w="2976" w:type="dxa"/>
            <w:shd w:val="pct20" w:color="auto" w:fill="auto"/>
          </w:tcPr>
          <w:p>
            <w:pPr>
              <w:jc w:val="right"/>
              <w:rPr>
                <w:noProof/>
              </w:rPr>
            </w:pPr>
            <w:r>
              <w:rPr>
                <w:noProof/>
              </w:rPr>
              <w:t>2,506,658,813</w:t>
            </w:r>
          </w:p>
        </w:tc>
        <w:tc>
          <w:tcPr>
            <w:tcW w:w="2115" w:type="dxa"/>
            <w:shd w:val="pct20" w:color="auto" w:fill="auto"/>
          </w:tcPr>
          <w:p>
            <w:pPr>
              <w:jc w:val="right"/>
              <w:rPr>
                <w:noProof/>
              </w:rPr>
            </w:pPr>
            <w:r>
              <w:rPr>
                <w:noProof/>
              </w:rPr>
              <w:t>2,422,961,124</w:t>
            </w:r>
          </w:p>
        </w:tc>
      </w:tr>
    </w:tbl>
    <w:p>
      <w:pPr>
        <w:rPr>
          <w:noProof/>
        </w:rPr>
      </w:pPr>
    </w:p>
    <w:p>
      <w:pPr>
        <w:rPr>
          <w:noProof/>
        </w:rPr>
      </w:pPr>
      <w:r>
        <w:rPr>
          <w:noProof/>
        </w:rPr>
        <w:t>Balance Sheet - Liabilities</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2261"/>
      </w:tblGrid>
      <w:tr>
        <w:tc>
          <w:tcPr>
            <w:tcW w:w="3936" w:type="dxa"/>
            <w:tcBorders>
              <w:bottom w:val="single" w:sz="4" w:space="0" w:color="auto"/>
            </w:tcBorders>
            <w:shd w:val="clear" w:color="auto" w:fill="auto"/>
          </w:tcPr>
          <w:p>
            <w:pPr>
              <w:jc w:val="center"/>
              <w:rPr>
                <w:noProof/>
              </w:rPr>
            </w:pPr>
          </w:p>
        </w:tc>
        <w:tc>
          <w:tcPr>
            <w:tcW w:w="2268" w:type="dxa"/>
            <w:tcBorders>
              <w:bottom w:val="single" w:sz="4" w:space="0" w:color="auto"/>
            </w:tcBorders>
            <w:shd w:val="clear" w:color="auto" w:fill="auto"/>
          </w:tcPr>
          <w:p>
            <w:pPr>
              <w:jc w:val="center"/>
              <w:rPr>
                <w:noProof/>
              </w:rPr>
            </w:pPr>
            <w:r>
              <w:rPr>
                <w:noProof/>
              </w:rPr>
              <w:t>31 December 2018</w:t>
            </w:r>
          </w:p>
        </w:tc>
        <w:tc>
          <w:tcPr>
            <w:tcW w:w="2261" w:type="dxa"/>
            <w:tcBorders>
              <w:bottom w:val="single" w:sz="4" w:space="0" w:color="auto"/>
            </w:tcBorders>
          </w:tcPr>
          <w:p>
            <w:pPr>
              <w:jc w:val="center"/>
              <w:rPr>
                <w:noProof/>
              </w:rPr>
            </w:pPr>
            <w:r>
              <w:rPr>
                <w:noProof/>
              </w:rPr>
              <w:t>31 December 2017</w:t>
            </w:r>
          </w:p>
        </w:tc>
      </w:tr>
      <w:tr>
        <w:tc>
          <w:tcPr>
            <w:tcW w:w="3936" w:type="dxa"/>
            <w:shd w:val="pct20" w:color="auto" w:fill="auto"/>
          </w:tcPr>
          <w:p>
            <w:pPr>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CONTRIBUTOR'S RESOURCES</w:t>
            </w:r>
          </w:p>
        </w:tc>
        <w:tc>
          <w:tcPr>
            <w:tcW w:w="2268"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2,295,687,144</w:t>
            </w:r>
          </w:p>
        </w:tc>
        <w:tc>
          <w:tcPr>
            <w:tcW w:w="2261"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2,160,971,521</w:t>
            </w:r>
          </w:p>
        </w:tc>
      </w:tr>
      <w:tr>
        <w:tc>
          <w:tcPr>
            <w:tcW w:w="3936" w:type="dxa"/>
            <w:shd w:val="clear" w:color="auto" w:fill="auto"/>
          </w:tcPr>
          <w:p>
            <w:pPr>
              <w:rPr>
                <w:noProof/>
              </w:rPr>
            </w:pPr>
            <w:r>
              <w:rPr>
                <w:noProof/>
              </w:rPr>
              <w:t>European Commission contribution</w:t>
            </w:r>
          </w:p>
        </w:tc>
        <w:tc>
          <w:tcPr>
            <w:tcW w:w="2268" w:type="dxa"/>
            <w:shd w:val="clear" w:color="auto" w:fill="auto"/>
          </w:tcPr>
          <w:p>
            <w:pPr>
              <w:jc w:val="right"/>
              <w:rPr>
                <w:noProof/>
              </w:rPr>
            </w:pPr>
            <w:r>
              <w:rPr>
                <w:noProof/>
              </w:rPr>
              <w:t>1,846,972,362</w:t>
            </w:r>
          </w:p>
        </w:tc>
        <w:tc>
          <w:tcPr>
            <w:tcW w:w="2261" w:type="dxa"/>
          </w:tcPr>
          <w:p>
            <w:pPr>
              <w:jc w:val="right"/>
              <w:rPr>
                <w:noProof/>
              </w:rPr>
            </w:pPr>
            <w:r>
              <w:rPr>
                <w:noProof/>
              </w:rPr>
              <w:t>1,709,171,640</w:t>
            </w:r>
          </w:p>
        </w:tc>
      </w:tr>
      <w:tr>
        <w:tc>
          <w:tcPr>
            <w:tcW w:w="3936" w:type="dxa"/>
            <w:shd w:val="clear" w:color="auto" w:fill="auto"/>
          </w:tcPr>
          <w:p>
            <w:pPr>
              <w:rPr>
                <w:noProof/>
              </w:rPr>
            </w:pPr>
            <w:r>
              <w:rPr>
                <w:noProof/>
              </w:rPr>
              <w:t>Fair value reserve</w:t>
            </w:r>
          </w:p>
        </w:tc>
        <w:tc>
          <w:tcPr>
            <w:tcW w:w="2268" w:type="dxa"/>
            <w:shd w:val="clear" w:color="auto" w:fill="auto"/>
          </w:tcPr>
          <w:p>
            <w:pPr>
              <w:jc w:val="right"/>
              <w:rPr>
                <w:noProof/>
              </w:rPr>
            </w:pPr>
            <w:r>
              <w:rPr>
                <w:noProof/>
              </w:rPr>
              <w:t>12,227,192</w:t>
            </w:r>
          </w:p>
        </w:tc>
        <w:tc>
          <w:tcPr>
            <w:tcW w:w="2261" w:type="dxa"/>
          </w:tcPr>
          <w:p>
            <w:pPr>
              <w:jc w:val="right"/>
              <w:rPr>
                <w:noProof/>
              </w:rPr>
            </w:pPr>
            <w:r>
              <w:rPr>
                <w:noProof/>
              </w:rPr>
              <w:t>22,700,055</w:t>
            </w:r>
          </w:p>
        </w:tc>
      </w:tr>
      <w:tr>
        <w:tc>
          <w:tcPr>
            <w:tcW w:w="3936" w:type="dxa"/>
            <w:tcBorders>
              <w:bottom w:val="single" w:sz="4" w:space="0" w:color="auto"/>
            </w:tcBorders>
            <w:shd w:val="clear" w:color="auto" w:fill="auto"/>
          </w:tcPr>
          <w:p>
            <w:pPr>
              <w:rPr>
                <w:noProof/>
              </w:rPr>
            </w:pPr>
            <w:r>
              <w:rPr>
                <w:noProof/>
              </w:rPr>
              <w:t>Retained earnings</w:t>
            </w:r>
          </w:p>
        </w:tc>
        <w:tc>
          <w:tcPr>
            <w:tcW w:w="2268" w:type="dxa"/>
            <w:tcBorders>
              <w:bottom w:val="single" w:sz="4" w:space="0" w:color="auto"/>
            </w:tcBorders>
            <w:shd w:val="clear" w:color="auto" w:fill="auto"/>
          </w:tcPr>
          <w:p>
            <w:pPr>
              <w:jc w:val="right"/>
              <w:rPr>
                <w:noProof/>
              </w:rPr>
            </w:pPr>
            <w:r>
              <w:rPr>
                <w:noProof/>
              </w:rPr>
              <w:t>436,487,590</w:t>
            </w:r>
          </w:p>
        </w:tc>
        <w:tc>
          <w:tcPr>
            <w:tcW w:w="2261" w:type="dxa"/>
            <w:tcBorders>
              <w:bottom w:val="single" w:sz="4" w:space="0" w:color="auto"/>
            </w:tcBorders>
          </w:tcPr>
          <w:p>
            <w:pPr>
              <w:jc w:val="right"/>
              <w:rPr>
                <w:noProof/>
              </w:rPr>
            </w:pPr>
            <w:r>
              <w:rPr>
                <w:noProof/>
              </w:rPr>
              <w:t>429,099,826</w:t>
            </w:r>
          </w:p>
        </w:tc>
      </w:tr>
      <w:tr>
        <w:tc>
          <w:tcPr>
            <w:tcW w:w="3936" w:type="dxa"/>
            <w:shd w:val="pct20" w:color="auto" w:fill="auto"/>
          </w:tcPr>
          <w:p>
            <w:pPr>
              <w:rPr>
                <w:noProof/>
              </w:rPr>
            </w:pPr>
            <w:r>
              <w:rPr>
                <w:noProof/>
                <w14:shadow w14:blurRad="50800" w14:dist="38100" w14:dir="2700000" w14:sx="100000" w14:sy="100000" w14:kx="0" w14:ky="0" w14:algn="tl">
                  <w14:srgbClr w14:val="000000">
                    <w14:alpha w14:val="60000"/>
                  </w14:srgbClr>
                </w14:shadow>
              </w:rPr>
              <w:t>NON-CURRENT LIABILITIES</w:t>
            </w:r>
          </w:p>
        </w:tc>
        <w:tc>
          <w:tcPr>
            <w:tcW w:w="2268" w:type="dxa"/>
            <w:shd w:val="pct20" w:color="auto" w:fill="auto"/>
          </w:tcPr>
          <w:p>
            <w:pPr>
              <w:jc w:val="right"/>
              <w:rPr>
                <w:noProof/>
              </w:rPr>
            </w:pPr>
            <w:r>
              <w:rPr>
                <w:noProof/>
              </w:rPr>
              <w:t>159,153,609</w:t>
            </w:r>
          </w:p>
        </w:tc>
        <w:tc>
          <w:tcPr>
            <w:tcW w:w="2261" w:type="dxa"/>
            <w:shd w:val="pct20" w:color="auto" w:fill="auto"/>
          </w:tcPr>
          <w:p>
            <w:pPr>
              <w:jc w:val="right"/>
              <w:rPr>
                <w:noProof/>
              </w:rPr>
            </w:pPr>
            <w:r>
              <w:rPr>
                <w:noProof/>
              </w:rPr>
              <w:t>208,033,976</w:t>
            </w:r>
          </w:p>
        </w:tc>
      </w:tr>
      <w:tr>
        <w:tc>
          <w:tcPr>
            <w:tcW w:w="3936" w:type="dxa"/>
            <w:tcBorders>
              <w:bottom w:val="single" w:sz="4" w:space="0" w:color="auto"/>
            </w:tcBorders>
            <w:shd w:val="clear" w:color="auto" w:fill="auto"/>
          </w:tcPr>
          <w:p>
            <w:pPr>
              <w:rPr>
                <w:noProof/>
              </w:rPr>
            </w:pPr>
            <w:r>
              <w:rPr>
                <w:noProof/>
              </w:rPr>
              <w:t>Financial provisions</w:t>
            </w:r>
          </w:p>
        </w:tc>
        <w:tc>
          <w:tcPr>
            <w:tcW w:w="2268" w:type="dxa"/>
            <w:tcBorders>
              <w:bottom w:val="single" w:sz="4" w:space="0" w:color="auto"/>
            </w:tcBorders>
            <w:shd w:val="clear" w:color="auto" w:fill="auto"/>
          </w:tcPr>
          <w:p>
            <w:pPr>
              <w:jc w:val="right"/>
              <w:rPr>
                <w:noProof/>
              </w:rPr>
            </w:pPr>
            <w:r>
              <w:rPr>
                <w:noProof/>
              </w:rPr>
              <w:t>159,153,609</w:t>
            </w:r>
          </w:p>
        </w:tc>
        <w:tc>
          <w:tcPr>
            <w:tcW w:w="2261" w:type="dxa"/>
            <w:tcBorders>
              <w:bottom w:val="single" w:sz="4" w:space="0" w:color="auto"/>
            </w:tcBorders>
          </w:tcPr>
          <w:p>
            <w:pPr>
              <w:jc w:val="right"/>
              <w:rPr>
                <w:noProof/>
              </w:rPr>
            </w:pPr>
            <w:r>
              <w:rPr>
                <w:noProof/>
              </w:rPr>
              <w:t>208,033,976</w:t>
            </w:r>
          </w:p>
        </w:tc>
      </w:tr>
      <w:tr>
        <w:tc>
          <w:tcPr>
            <w:tcW w:w="3936" w:type="dxa"/>
            <w:shd w:val="pct20" w:color="auto" w:fill="auto"/>
          </w:tcPr>
          <w:p>
            <w:pPr>
              <w:rPr>
                <w:noProof/>
              </w:rPr>
            </w:pPr>
            <w:r>
              <w:rPr>
                <w:noProof/>
                <w14:shadow w14:blurRad="50800" w14:dist="38100" w14:dir="2700000" w14:sx="100000" w14:sy="100000" w14:kx="0" w14:ky="0" w14:algn="tl">
                  <w14:srgbClr w14:val="000000">
                    <w14:alpha w14:val="60000"/>
                  </w14:srgbClr>
                </w14:shadow>
              </w:rPr>
              <w:t>CURRENT LIABILITIES</w:t>
            </w:r>
          </w:p>
        </w:tc>
        <w:tc>
          <w:tcPr>
            <w:tcW w:w="2268" w:type="dxa"/>
            <w:shd w:val="pct20" w:color="auto" w:fill="auto"/>
          </w:tcPr>
          <w:p>
            <w:pPr>
              <w:jc w:val="right"/>
              <w:rPr>
                <w:noProof/>
              </w:rPr>
            </w:pPr>
            <w:r>
              <w:rPr>
                <w:noProof/>
              </w:rPr>
              <w:t>51,818,060</w:t>
            </w:r>
          </w:p>
        </w:tc>
        <w:tc>
          <w:tcPr>
            <w:tcW w:w="2261" w:type="dxa"/>
            <w:shd w:val="pct20" w:color="auto" w:fill="auto"/>
          </w:tcPr>
          <w:p>
            <w:pPr>
              <w:jc w:val="right"/>
              <w:rPr>
                <w:noProof/>
              </w:rPr>
            </w:pPr>
            <w:r>
              <w:rPr>
                <w:noProof/>
              </w:rPr>
              <w:t>53,955,627</w:t>
            </w:r>
          </w:p>
        </w:tc>
      </w:tr>
      <w:tr>
        <w:tc>
          <w:tcPr>
            <w:tcW w:w="3936" w:type="dxa"/>
            <w:tcBorders>
              <w:bottom w:val="single" w:sz="4" w:space="0" w:color="auto"/>
            </w:tcBorders>
            <w:shd w:val="clear" w:color="auto" w:fill="auto"/>
          </w:tcPr>
          <w:p>
            <w:pPr>
              <w:rPr>
                <w:noProof/>
              </w:rPr>
            </w:pPr>
            <w:r>
              <w:rPr>
                <w:noProof/>
              </w:rPr>
              <w:t>Financial provisions</w:t>
            </w:r>
          </w:p>
        </w:tc>
        <w:tc>
          <w:tcPr>
            <w:tcW w:w="2268" w:type="dxa"/>
            <w:tcBorders>
              <w:bottom w:val="single" w:sz="4" w:space="0" w:color="auto"/>
            </w:tcBorders>
            <w:shd w:val="clear" w:color="auto" w:fill="auto"/>
          </w:tcPr>
          <w:p>
            <w:pPr>
              <w:jc w:val="right"/>
              <w:rPr>
                <w:noProof/>
              </w:rPr>
            </w:pPr>
            <w:r>
              <w:rPr>
                <w:noProof/>
              </w:rPr>
              <w:t>50,777,871</w:t>
            </w:r>
          </w:p>
        </w:tc>
        <w:tc>
          <w:tcPr>
            <w:tcW w:w="2261" w:type="dxa"/>
            <w:tcBorders>
              <w:bottom w:val="single" w:sz="4" w:space="0" w:color="auto"/>
            </w:tcBorders>
          </w:tcPr>
          <w:p>
            <w:pPr>
              <w:jc w:val="right"/>
              <w:rPr>
                <w:noProof/>
              </w:rPr>
            </w:pPr>
            <w:r>
              <w:rPr>
                <w:noProof/>
              </w:rPr>
              <w:t>50,408,230</w:t>
            </w:r>
          </w:p>
        </w:tc>
      </w:tr>
      <w:tr>
        <w:tc>
          <w:tcPr>
            <w:tcW w:w="3936" w:type="dxa"/>
            <w:tcBorders>
              <w:bottom w:val="single" w:sz="4" w:space="0" w:color="auto"/>
            </w:tcBorders>
            <w:shd w:val="clear" w:color="auto" w:fill="auto"/>
          </w:tcPr>
          <w:p>
            <w:pPr>
              <w:rPr>
                <w:noProof/>
              </w:rPr>
            </w:pPr>
            <w:r>
              <w:rPr>
                <w:noProof/>
              </w:rPr>
              <w:t>Payables</w:t>
            </w:r>
          </w:p>
        </w:tc>
        <w:tc>
          <w:tcPr>
            <w:tcW w:w="2268" w:type="dxa"/>
            <w:tcBorders>
              <w:bottom w:val="single" w:sz="4" w:space="0" w:color="auto"/>
            </w:tcBorders>
            <w:shd w:val="clear" w:color="auto" w:fill="auto"/>
          </w:tcPr>
          <w:p>
            <w:pPr>
              <w:jc w:val="right"/>
              <w:rPr>
                <w:noProof/>
              </w:rPr>
            </w:pPr>
            <w:r>
              <w:rPr>
                <w:noProof/>
              </w:rPr>
              <w:t>1,040,189</w:t>
            </w:r>
          </w:p>
        </w:tc>
        <w:tc>
          <w:tcPr>
            <w:tcW w:w="2261" w:type="dxa"/>
            <w:tcBorders>
              <w:bottom w:val="single" w:sz="4" w:space="0" w:color="auto"/>
            </w:tcBorders>
          </w:tcPr>
          <w:p>
            <w:pPr>
              <w:jc w:val="right"/>
              <w:rPr>
                <w:noProof/>
              </w:rPr>
            </w:pPr>
            <w:r>
              <w:rPr>
                <w:noProof/>
              </w:rPr>
              <w:t>3,547,397</w:t>
            </w:r>
          </w:p>
        </w:tc>
      </w:tr>
      <w:tr>
        <w:tc>
          <w:tcPr>
            <w:tcW w:w="3936" w:type="dxa"/>
            <w:shd w:val="pct20" w:color="auto" w:fill="auto"/>
          </w:tcPr>
          <w:p>
            <w:pPr>
              <w:jc w:val="left"/>
              <w:rPr>
                <w:noProof/>
              </w:rPr>
            </w:pPr>
            <w:r>
              <w:rPr>
                <w:noProof/>
                <w14:shadow w14:blurRad="50800" w14:dist="38100" w14:dir="2700000" w14:sx="100000" w14:sy="100000" w14:kx="0" w14:ky="0" w14:algn="tl">
                  <w14:srgbClr w14:val="000000">
                    <w14:alpha w14:val="60000"/>
                  </w14:srgbClr>
                </w14:shadow>
              </w:rPr>
              <w:t>TOTAL CONTRIBUTOR'S RESOURCES + LIABILITIES</w:t>
            </w:r>
          </w:p>
        </w:tc>
        <w:tc>
          <w:tcPr>
            <w:tcW w:w="2268" w:type="dxa"/>
            <w:shd w:val="pct20" w:color="auto" w:fill="auto"/>
          </w:tcPr>
          <w:p>
            <w:pPr>
              <w:jc w:val="right"/>
              <w:rPr>
                <w:noProof/>
              </w:rPr>
            </w:pPr>
            <w:r>
              <w:rPr>
                <w:noProof/>
              </w:rPr>
              <w:t>2,506,658,813</w:t>
            </w:r>
          </w:p>
        </w:tc>
        <w:tc>
          <w:tcPr>
            <w:tcW w:w="2261" w:type="dxa"/>
            <w:shd w:val="pct20" w:color="auto" w:fill="auto"/>
          </w:tcPr>
          <w:p>
            <w:pPr>
              <w:jc w:val="right"/>
              <w:rPr>
                <w:noProof/>
              </w:rPr>
            </w:pPr>
            <w:r>
              <w:rPr>
                <w:noProof/>
              </w:rPr>
              <w:t>2,422,961,124</w:t>
            </w:r>
          </w:p>
        </w:tc>
      </w:tr>
    </w:tbl>
    <w:p>
      <w:pPr>
        <w:rPr>
          <w:noProof/>
        </w:rPr>
      </w:pPr>
    </w:p>
    <w:p>
      <w:pPr>
        <w:rPr>
          <w:noProof/>
        </w:rPr>
      </w:pPr>
      <w:r>
        <w:rPr>
          <w:noProof/>
        </w:rPr>
        <w:br w:type="page"/>
        <w:t>The difference of EUR 103.2 million between the total pre-consolidated balance sheet value of the Fund (EUR 2,506,658,813) and the value of the Fund in the financial statements prepared by the EIB (EUR 2,609,881,748) can be mainly explained by the following items:</w:t>
      </w:r>
    </w:p>
    <w:p>
      <w:pPr>
        <w:numPr>
          <w:ilvl w:val="0"/>
          <w:numId w:val="13"/>
        </w:numPr>
        <w:tabs>
          <w:tab w:val="clear" w:pos="850"/>
        </w:tabs>
        <w:ind w:left="360" w:hanging="360"/>
        <w:rPr>
          <w:noProof/>
        </w:rPr>
      </w:pPr>
      <w:r>
        <w:rPr>
          <w:noProof/>
        </w:rPr>
        <w:t xml:space="preserve">The pre-consolidated financial statements include all amounts subrogated to the EU as a result of the guarantee payments for EIB calls on defaulted loan instalments (arrears due plus the interest accrued on late payments). However, in view of the political situation of Syria and based on a decision of the Accounting Officer of the EC, these amounts have been fully impaired in the 2018 financial statements. </w:t>
      </w:r>
    </w:p>
    <w:p>
      <w:pPr>
        <w:numPr>
          <w:ilvl w:val="0"/>
          <w:numId w:val="13"/>
        </w:numPr>
        <w:tabs>
          <w:tab w:val="clear" w:pos="850"/>
        </w:tabs>
        <w:ind w:left="360" w:hanging="360"/>
        <w:rPr>
          <w:noProof/>
        </w:rPr>
      </w:pPr>
      <w:r>
        <w:rPr>
          <w:noProof/>
        </w:rPr>
        <w:t xml:space="preserve">The pre-consolidated financial statements do not include EUR 103.2 million of contribution from the EU budget to the Fund transferred in 2019 as this receivable is offset by the corresponding payable in the consolidated accounts of the EU. </w:t>
      </w:r>
    </w:p>
    <w:p>
      <w:pPr>
        <w:numPr>
          <w:ilvl w:val="0"/>
          <w:numId w:val="13"/>
        </w:numPr>
        <w:tabs>
          <w:tab w:val="clear" w:pos="850"/>
        </w:tabs>
        <w:ind w:left="360" w:hanging="360"/>
        <w:rPr>
          <w:noProof/>
        </w:rPr>
      </w:pPr>
      <w:r>
        <w:rPr>
          <w:noProof/>
        </w:rPr>
        <w:t xml:space="preserve">Financial provisions of EUR 209.9 million relating to future instalments of the remaining outstanding Syrian loans have been recognised in the pre-consolidated balance sheet in 2018. </w:t>
      </w:r>
    </w:p>
    <w:p>
      <w:pPr>
        <w:pStyle w:val="ListBullet"/>
        <w:tabs>
          <w:tab w:val="clear" w:pos="283"/>
        </w:tabs>
        <w:ind w:left="360" w:hanging="360"/>
        <w:rPr>
          <w:noProof/>
        </w:rPr>
      </w:pPr>
      <w:r>
        <w:rPr>
          <w:noProof/>
        </w:rPr>
        <w:t>The payments of calls from the Guarantee Fund to the EIB (and where applicable successive recoveries of the calls and late interests) are recognised as decreases (increases) of the Net Assets (EU Contribution) in the financial statements prepared by the EIB. In the pre-consolidated financial statements, the amounts paid for EIB calls are not deducted from the Net Assets as they become subrogated amounts. Related amounts are either accounted for as revenues (accruing late interest and penalties, foreign exchange gains) or as expenses (accruing EIB recovery fees, impairments, foreign exchange losses). This leads into a permanent difference between the Net Assets items (EU Contribution and Retained earnings) recognised in the financial statements prepared by the EIB and the pre-consolidated financial statements prepared by the EC.</w:t>
      </w:r>
    </w:p>
    <w:p>
      <w:pPr>
        <w:pStyle w:val="ManualHeading2"/>
        <w:rPr>
          <w:noProof/>
        </w:rPr>
      </w:pPr>
      <w:r>
        <w:rPr>
          <w:noProof/>
        </w:rPr>
        <w:br w:type="page"/>
        <w:t>3.2.</w:t>
      </w:r>
      <w:r>
        <w:rPr>
          <w:noProof/>
        </w:rPr>
        <w:tab/>
      </w:r>
      <w:bookmarkStart w:id="30" w:name="_Toc478625446"/>
      <w:r>
        <w:rPr>
          <w:noProof/>
        </w:rPr>
        <w:t>Pre-consolidated Statement of Financial Performance</w:t>
      </w:r>
      <w:bookmarkEnd w:id="30"/>
    </w:p>
    <w:p>
      <w:pPr>
        <w:rPr>
          <w:noProof/>
        </w:rPr>
      </w:pPr>
      <w:r>
        <w:rPr>
          <w:noProof/>
        </w:rPr>
        <w:t xml:space="preserve">In the same way as the balance sheet, the pre-consolidated Statement of Financial Performance is prepared for inclusion in the consolidated Financial Statements of the EU.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768"/>
        <w:gridCol w:w="1776"/>
      </w:tblGrid>
      <w:tr>
        <w:tc>
          <w:tcPr>
            <w:tcW w:w="4786" w:type="dxa"/>
            <w:shd w:val="clear" w:color="auto" w:fill="auto"/>
          </w:tcPr>
          <w:p>
            <w:pPr>
              <w:jc w:val="center"/>
              <w:rPr>
                <w:noProof/>
              </w:rPr>
            </w:pPr>
          </w:p>
        </w:tc>
        <w:tc>
          <w:tcPr>
            <w:tcW w:w="1768" w:type="dxa"/>
            <w:shd w:val="clear" w:color="auto" w:fill="auto"/>
          </w:tcPr>
          <w:p>
            <w:pPr>
              <w:jc w:val="center"/>
              <w:rPr>
                <w:noProof/>
              </w:rPr>
            </w:pPr>
            <w:r>
              <w:rPr>
                <w:noProof/>
              </w:rPr>
              <w:t>2018</w:t>
            </w:r>
          </w:p>
        </w:tc>
        <w:tc>
          <w:tcPr>
            <w:tcW w:w="1776" w:type="dxa"/>
          </w:tcPr>
          <w:p>
            <w:pPr>
              <w:jc w:val="center"/>
              <w:rPr>
                <w:noProof/>
              </w:rPr>
            </w:pPr>
            <w:r>
              <w:rPr>
                <w:noProof/>
              </w:rPr>
              <w:t>2017</w:t>
            </w:r>
          </w:p>
        </w:tc>
      </w:tr>
      <w:tr>
        <w:tc>
          <w:tcPr>
            <w:tcW w:w="4786" w:type="dxa"/>
            <w:shd w:val="clear" w:color="auto" w:fill="auto"/>
          </w:tcPr>
          <w:p>
            <w:pPr>
              <w:rPr>
                <w:noProof/>
              </w:rPr>
            </w:pPr>
            <w:r>
              <w:rPr>
                <w:noProof/>
              </w:rPr>
              <w:t>Revenue from operating activities</w:t>
            </w:r>
          </w:p>
        </w:tc>
        <w:tc>
          <w:tcPr>
            <w:tcW w:w="1768" w:type="dxa"/>
            <w:shd w:val="clear" w:color="auto" w:fill="auto"/>
          </w:tcPr>
          <w:p>
            <w:pPr>
              <w:jc w:val="right"/>
              <w:rPr>
                <w:noProof/>
              </w:rPr>
            </w:pPr>
            <w:r>
              <w:rPr>
                <w:noProof/>
              </w:rPr>
              <w:t>2,928,446</w:t>
            </w:r>
          </w:p>
        </w:tc>
        <w:tc>
          <w:tcPr>
            <w:tcW w:w="1776" w:type="dxa"/>
          </w:tcPr>
          <w:p>
            <w:pPr>
              <w:jc w:val="right"/>
              <w:rPr>
                <w:noProof/>
              </w:rPr>
            </w:pPr>
            <w:r>
              <w:rPr>
                <w:noProof/>
              </w:rPr>
              <w:t>939,062</w:t>
            </w:r>
          </w:p>
        </w:tc>
      </w:tr>
      <w:tr>
        <w:tc>
          <w:tcPr>
            <w:tcW w:w="4786" w:type="dxa"/>
            <w:tcBorders>
              <w:bottom w:val="single" w:sz="4" w:space="0" w:color="auto"/>
            </w:tcBorders>
            <w:shd w:val="clear" w:color="auto" w:fill="auto"/>
          </w:tcPr>
          <w:p>
            <w:pPr>
              <w:rPr>
                <w:noProof/>
              </w:rPr>
            </w:pPr>
            <w:r>
              <w:rPr>
                <w:noProof/>
              </w:rPr>
              <w:t>Expenses from operating activities</w:t>
            </w:r>
          </w:p>
        </w:tc>
        <w:tc>
          <w:tcPr>
            <w:tcW w:w="1768" w:type="dxa"/>
            <w:tcBorders>
              <w:bottom w:val="single" w:sz="4" w:space="0" w:color="auto"/>
            </w:tcBorders>
            <w:shd w:val="clear" w:color="auto" w:fill="auto"/>
          </w:tcPr>
          <w:p>
            <w:pPr>
              <w:jc w:val="right"/>
              <w:rPr>
                <w:noProof/>
              </w:rPr>
            </w:pPr>
            <w:r>
              <w:rPr>
                <w:noProof/>
              </w:rPr>
              <w:t>(4,876,241)</w:t>
            </w:r>
          </w:p>
        </w:tc>
        <w:tc>
          <w:tcPr>
            <w:tcW w:w="1776" w:type="dxa"/>
            <w:tcBorders>
              <w:bottom w:val="single" w:sz="4" w:space="0" w:color="auto"/>
            </w:tcBorders>
          </w:tcPr>
          <w:p>
            <w:pPr>
              <w:jc w:val="right"/>
              <w:rPr>
                <w:noProof/>
              </w:rPr>
            </w:pPr>
            <w:r>
              <w:rPr>
                <w:noProof/>
              </w:rPr>
              <w:t>(3,834,219)</w:t>
            </w:r>
          </w:p>
        </w:tc>
      </w:tr>
      <w:tr>
        <w:tc>
          <w:tcPr>
            <w:tcW w:w="4786" w:type="dxa"/>
            <w:shd w:val="pct20" w:color="auto" w:fill="auto"/>
          </w:tcPr>
          <w:p>
            <w:pPr>
              <w:rPr>
                <w:noProof/>
              </w:rPr>
            </w:pPr>
            <w:r>
              <w:rPr>
                <w:noProof/>
                <w14:shadow w14:blurRad="50800" w14:dist="38100" w14:dir="2700000" w14:sx="100000" w14:sy="100000" w14:kx="0" w14:ky="0" w14:algn="tl">
                  <w14:srgbClr w14:val="000000">
                    <w14:alpha w14:val="60000"/>
                  </w14:srgbClr>
                </w14:shadow>
              </w:rPr>
              <w:t>RESULT FROM OPERATING ACTIVITIES</w:t>
            </w:r>
          </w:p>
        </w:tc>
        <w:tc>
          <w:tcPr>
            <w:tcW w:w="1768" w:type="dxa"/>
            <w:shd w:val="pct20" w:color="auto" w:fill="auto"/>
          </w:tcPr>
          <w:p>
            <w:pPr>
              <w:jc w:val="right"/>
              <w:rPr>
                <w:noProof/>
              </w:rPr>
            </w:pPr>
            <w:r>
              <w:rPr>
                <w:noProof/>
              </w:rPr>
              <w:t>(1,947,795)</w:t>
            </w:r>
          </w:p>
        </w:tc>
        <w:tc>
          <w:tcPr>
            <w:tcW w:w="1776" w:type="dxa"/>
            <w:shd w:val="pct20" w:color="auto" w:fill="auto"/>
          </w:tcPr>
          <w:p>
            <w:pPr>
              <w:jc w:val="right"/>
              <w:rPr>
                <w:noProof/>
              </w:rPr>
            </w:pPr>
            <w:r>
              <w:rPr>
                <w:noProof/>
              </w:rPr>
              <w:t>(2,895,157)</w:t>
            </w:r>
          </w:p>
        </w:tc>
      </w:tr>
      <w:tr>
        <w:tc>
          <w:tcPr>
            <w:tcW w:w="4786" w:type="dxa"/>
            <w:shd w:val="clear" w:color="auto" w:fill="auto"/>
          </w:tcPr>
          <w:p>
            <w:pPr>
              <w:rPr>
                <w:noProof/>
              </w:rPr>
            </w:pPr>
            <w:r>
              <w:rPr>
                <w:noProof/>
              </w:rPr>
              <w:t>Financial income</w:t>
            </w:r>
          </w:p>
        </w:tc>
        <w:tc>
          <w:tcPr>
            <w:tcW w:w="1768" w:type="dxa"/>
            <w:shd w:val="clear" w:color="auto" w:fill="auto"/>
          </w:tcPr>
          <w:p>
            <w:pPr>
              <w:jc w:val="right"/>
              <w:rPr>
                <w:noProof/>
              </w:rPr>
            </w:pPr>
            <w:r>
              <w:rPr>
                <w:noProof/>
              </w:rPr>
              <w:t>30,241,834</w:t>
            </w:r>
          </w:p>
        </w:tc>
        <w:tc>
          <w:tcPr>
            <w:tcW w:w="1776" w:type="dxa"/>
          </w:tcPr>
          <w:p>
            <w:pPr>
              <w:jc w:val="right"/>
              <w:rPr>
                <w:noProof/>
              </w:rPr>
            </w:pPr>
            <w:r>
              <w:rPr>
                <w:noProof/>
              </w:rPr>
              <w:t>29,913,694</w:t>
            </w:r>
          </w:p>
        </w:tc>
      </w:tr>
      <w:tr>
        <w:tc>
          <w:tcPr>
            <w:tcW w:w="4786" w:type="dxa"/>
            <w:tcBorders>
              <w:bottom w:val="single" w:sz="4" w:space="0" w:color="auto"/>
            </w:tcBorders>
            <w:shd w:val="clear" w:color="auto" w:fill="auto"/>
          </w:tcPr>
          <w:p>
            <w:pPr>
              <w:rPr>
                <w:noProof/>
              </w:rPr>
            </w:pPr>
            <w:r>
              <w:rPr>
                <w:noProof/>
              </w:rPr>
              <w:t>Financial costs</w:t>
            </w:r>
          </w:p>
        </w:tc>
        <w:tc>
          <w:tcPr>
            <w:tcW w:w="1768" w:type="dxa"/>
            <w:tcBorders>
              <w:bottom w:val="single" w:sz="4" w:space="0" w:color="auto"/>
            </w:tcBorders>
            <w:shd w:val="clear" w:color="auto" w:fill="auto"/>
          </w:tcPr>
          <w:p>
            <w:pPr>
              <w:jc w:val="right"/>
              <w:rPr>
                <w:noProof/>
              </w:rPr>
            </w:pPr>
            <w:r>
              <w:rPr>
                <w:noProof/>
              </w:rPr>
              <w:t>(20,906,275)</w:t>
            </w:r>
          </w:p>
        </w:tc>
        <w:tc>
          <w:tcPr>
            <w:tcW w:w="1776" w:type="dxa"/>
            <w:tcBorders>
              <w:bottom w:val="single" w:sz="4" w:space="0" w:color="auto"/>
            </w:tcBorders>
          </w:tcPr>
          <w:p>
            <w:pPr>
              <w:jc w:val="right"/>
              <w:rPr>
                <w:noProof/>
              </w:rPr>
            </w:pPr>
            <w:r>
              <w:rPr>
                <w:noProof/>
              </w:rPr>
              <w:t>(51,793,999)</w:t>
            </w:r>
          </w:p>
        </w:tc>
      </w:tr>
      <w:tr>
        <w:tc>
          <w:tcPr>
            <w:tcW w:w="4786" w:type="dxa"/>
            <w:shd w:val="pct20" w:color="auto" w:fill="auto"/>
          </w:tcPr>
          <w:p>
            <w:pPr>
              <w:rPr>
                <w:noProof/>
              </w:rPr>
            </w:pPr>
            <w:r>
              <w:rPr>
                <w:noProof/>
              </w:rPr>
              <w:t>FINANCIAL RESULT</w:t>
            </w:r>
          </w:p>
        </w:tc>
        <w:tc>
          <w:tcPr>
            <w:tcW w:w="1768" w:type="dxa"/>
            <w:shd w:val="pct20" w:color="auto" w:fill="auto"/>
          </w:tcPr>
          <w:p>
            <w:pPr>
              <w:jc w:val="right"/>
              <w:rPr>
                <w:noProof/>
              </w:rPr>
            </w:pPr>
            <w:r>
              <w:rPr>
                <w:noProof/>
              </w:rPr>
              <w:t>9,335,559</w:t>
            </w:r>
          </w:p>
        </w:tc>
        <w:tc>
          <w:tcPr>
            <w:tcW w:w="1776" w:type="dxa"/>
            <w:shd w:val="pct20" w:color="auto" w:fill="auto"/>
          </w:tcPr>
          <w:p>
            <w:pPr>
              <w:jc w:val="right"/>
              <w:rPr>
                <w:noProof/>
              </w:rPr>
            </w:pPr>
            <w:r>
              <w:rPr>
                <w:noProof/>
              </w:rPr>
              <w:t>(21,880,305)</w:t>
            </w:r>
          </w:p>
        </w:tc>
      </w:tr>
      <w:tr>
        <w:tc>
          <w:tcPr>
            <w:tcW w:w="4786" w:type="dxa"/>
            <w:tcBorders>
              <w:bottom w:val="single" w:sz="4" w:space="0" w:color="auto"/>
            </w:tcBorders>
            <w:shd w:val="clear" w:color="auto" w:fill="auto"/>
          </w:tcPr>
          <w:p>
            <w:pPr>
              <w:rPr>
                <w:noProof/>
              </w:rPr>
            </w:pPr>
          </w:p>
        </w:tc>
        <w:tc>
          <w:tcPr>
            <w:tcW w:w="1768" w:type="dxa"/>
            <w:tcBorders>
              <w:bottom w:val="single" w:sz="4" w:space="0" w:color="auto"/>
            </w:tcBorders>
            <w:shd w:val="clear" w:color="auto" w:fill="auto"/>
          </w:tcPr>
          <w:p>
            <w:pPr>
              <w:jc w:val="right"/>
              <w:rPr>
                <w:noProof/>
              </w:rPr>
            </w:pPr>
          </w:p>
        </w:tc>
        <w:tc>
          <w:tcPr>
            <w:tcW w:w="1776" w:type="dxa"/>
            <w:tcBorders>
              <w:bottom w:val="single" w:sz="4" w:space="0" w:color="auto"/>
            </w:tcBorders>
          </w:tcPr>
          <w:p>
            <w:pPr>
              <w:jc w:val="right"/>
              <w:rPr>
                <w:noProof/>
              </w:rPr>
            </w:pPr>
          </w:p>
        </w:tc>
      </w:tr>
      <w:tr>
        <w:tc>
          <w:tcPr>
            <w:tcW w:w="4786" w:type="dxa"/>
            <w:shd w:val="pct20" w:color="auto" w:fill="auto"/>
          </w:tcPr>
          <w:p>
            <w:pPr>
              <w:rPr>
                <w:noProof/>
              </w:rPr>
            </w:pPr>
            <w:r>
              <w:rPr>
                <w:noProof/>
              </w:rPr>
              <w:t>ECONOMIC RESULT OF THE YEAR</w:t>
            </w:r>
          </w:p>
        </w:tc>
        <w:tc>
          <w:tcPr>
            <w:tcW w:w="1768" w:type="dxa"/>
            <w:shd w:val="pct20" w:color="auto" w:fill="auto"/>
          </w:tcPr>
          <w:p>
            <w:pPr>
              <w:jc w:val="right"/>
              <w:rPr>
                <w:noProof/>
              </w:rPr>
            </w:pPr>
            <w:r>
              <w:rPr>
                <w:noProof/>
              </w:rPr>
              <w:t>7,387,764</w:t>
            </w:r>
          </w:p>
        </w:tc>
        <w:tc>
          <w:tcPr>
            <w:tcW w:w="1776" w:type="dxa"/>
            <w:shd w:val="pct20" w:color="auto" w:fill="auto"/>
          </w:tcPr>
          <w:p>
            <w:pPr>
              <w:jc w:val="right"/>
              <w:rPr>
                <w:noProof/>
              </w:rPr>
            </w:pPr>
            <w:r>
              <w:rPr>
                <w:noProof/>
              </w:rPr>
              <w:t>(24,775,462)</w:t>
            </w:r>
          </w:p>
        </w:tc>
      </w:tr>
    </w:tbl>
    <w:p>
      <w:pPr>
        <w:pStyle w:val="ListBullet"/>
        <w:numPr>
          <w:ilvl w:val="0"/>
          <w:numId w:val="0"/>
        </w:numPr>
        <w:ind w:left="283" w:hanging="283"/>
        <w:rPr>
          <w:noProof/>
        </w:rPr>
      </w:pPr>
      <w:bookmarkStart w:id="31" w:name="RANGE!A1:C28"/>
      <w:bookmarkStart w:id="32" w:name="_Toc323019504"/>
      <w:bookmarkStart w:id="33" w:name="_Toc354050130"/>
      <w:bookmarkStart w:id="34" w:name="_Toc358294851"/>
      <w:bookmarkStart w:id="35" w:name="_Toc415838348"/>
      <w:bookmarkEnd w:id="28"/>
      <w:bookmarkEnd w:id="29"/>
      <w:bookmarkEnd w:id="31"/>
    </w:p>
    <w:p>
      <w:pPr>
        <w:pStyle w:val="ListBullet"/>
        <w:tabs>
          <w:tab w:val="clear" w:pos="283"/>
        </w:tabs>
        <w:ind w:left="360" w:hanging="360"/>
        <w:rPr>
          <w:noProof/>
        </w:rPr>
      </w:pPr>
      <w:r>
        <w:rPr>
          <w:noProof/>
        </w:rPr>
        <w:t xml:space="preserve">Revenues from operating activities include foreign exchange gains and reversed 2017 balance of accrued EIB recovery fees, resulting from  the requirements of the new Recovery Agreement, signed in 2018. The new Agreement no longer envisages payment for fees for EIB internal recovery costs. </w:t>
      </w:r>
    </w:p>
    <w:p>
      <w:pPr>
        <w:pStyle w:val="ListBullet"/>
        <w:tabs>
          <w:tab w:val="clear" w:pos="283"/>
        </w:tabs>
        <w:ind w:left="360" w:hanging="360"/>
        <w:rPr>
          <w:noProof/>
        </w:rPr>
      </w:pPr>
      <w:r>
        <w:rPr>
          <w:noProof/>
        </w:rPr>
        <w:t xml:space="preserve">Expenses from operating activities mainly include EIB asset management fees (EUR 0.9 million), external EIB recovery fees (EUR 1.9 million) and an addition to financial provisions on the outstanding future Syrian instalments (EUR 1.9 million) </w:t>
      </w:r>
    </w:p>
    <w:p>
      <w:pPr>
        <w:pStyle w:val="ListBullet"/>
        <w:tabs>
          <w:tab w:val="clear" w:pos="283"/>
        </w:tabs>
        <w:ind w:left="360" w:hanging="360"/>
        <w:rPr>
          <w:noProof/>
        </w:rPr>
      </w:pPr>
      <w:r>
        <w:rPr>
          <w:noProof/>
        </w:rPr>
        <w:t>The Financial income mainly includes the interest income from the investment portfolio (EUR 6.3 million), realised gains on sale of financial assets (EUR 10.0 million) and accrued late payment interest on subrogated amounts (EUR 13.9 million)</w:t>
      </w:r>
    </w:p>
    <w:p>
      <w:pPr>
        <w:numPr>
          <w:ilvl w:val="0"/>
          <w:numId w:val="13"/>
        </w:numPr>
        <w:rPr>
          <w:noProof/>
        </w:rPr>
      </w:pPr>
      <w:r>
        <w:rPr>
          <w:noProof/>
        </w:rPr>
        <w:t xml:space="preserve">The Financial costs mainly include impairment losses (EUR 19.6 million) on amounts subrogated to the EU in 2018 (see point 5), interest expenses on cash and cash equivalents (EUR 0.9 million) and realised losses on sale of financial assets (EUR 0.5 million). </w:t>
      </w:r>
    </w:p>
    <w:p>
      <w:pPr>
        <w:pStyle w:val="ManualHeading1"/>
        <w:rPr>
          <w:noProof/>
        </w:rPr>
      </w:pPr>
      <w:bookmarkStart w:id="36" w:name="_Toc478625447"/>
      <w:r>
        <w:rPr>
          <w:noProof/>
        </w:rPr>
        <w:t>4.</w:t>
      </w:r>
      <w:r>
        <w:rPr>
          <w:noProof/>
        </w:rPr>
        <w:tab/>
        <w:t xml:space="preserve">Guarantee Fund Treasury Management </w:t>
      </w:r>
      <w:bookmarkEnd w:id="36"/>
    </w:p>
    <w:p>
      <w:pPr>
        <w:pStyle w:val="ManualHeading2"/>
        <w:spacing w:before="360"/>
        <w:ind w:left="851" w:hanging="851"/>
        <w:rPr>
          <w:noProof/>
        </w:rPr>
      </w:pPr>
      <w:bookmarkStart w:id="37" w:name="_Toc478037617"/>
      <w:bookmarkStart w:id="38" w:name="_Toc478625455"/>
      <w:bookmarkStart w:id="39" w:name="_Toc323019509"/>
      <w:bookmarkEnd w:id="32"/>
      <w:bookmarkEnd w:id="33"/>
      <w:bookmarkEnd w:id="34"/>
      <w:bookmarkEnd w:id="35"/>
      <w:bookmarkEnd w:id="37"/>
      <w:bookmarkEnd w:id="38"/>
      <w:r>
        <w:rPr>
          <w:noProof/>
        </w:rPr>
        <w:t>4.1.</w:t>
      </w:r>
      <w:r>
        <w:rPr>
          <w:noProof/>
        </w:rPr>
        <w:tab/>
      </w:r>
      <w:bookmarkStart w:id="40" w:name="_Toc478625457"/>
      <w:r>
        <w:rPr>
          <w:noProof/>
        </w:rPr>
        <w:t>Investment policy</w:t>
      </w:r>
      <w:bookmarkEnd w:id="40"/>
      <w:r>
        <w:rPr>
          <w:noProof/>
        </w:rPr>
        <w:t xml:space="preserve"> </w:t>
      </w:r>
    </w:p>
    <w:p>
      <w:pPr>
        <w:rPr>
          <w:noProof/>
          <w:lang w:eastAsia="en-GB"/>
        </w:rPr>
      </w:pPr>
      <w:r>
        <w:rPr>
          <w:noProof/>
        </w:rPr>
        <w:t>The Fund’s liquid assets are invested in accordance with the management principles laid down in the Annex to the Management Agreement, as amended</w:t>
      </w:r>
      <w:r>
        <w:rPr>
          <w:rStyle w:val="FootnoteReference"/>
          <w:noProof/>
        </w:rPr>
        <w:footnoteReference w:id="3"/>
      </w:r>
      <w:r>
        <w:rPr>
          <w:noProof/>
        </w:rPr>
        <w:t xml:space="preserve">. Accordingly, sufficient assets shall be placed in monetary assets to cover the short term (less than one year) outflows, at a proportion to be set out in the annual investment strategy. </w:t>
      </w:r>
      <w:r>
        <w:rPr>
          <w:noProof/>
          <w:lang w:eastAsia="en-GB"/>
        </w:rPr>
        <w:t xml:space="preserve">The remaining assets may be allocated to medium and long term instruments, with a maximum maturity of 10 years and 6 months from the payment date (medium and long-term portfolio). </w:t>
      </w:r>
    </w:p>
    <w:p>
      <w:pPr>
        <w:pStyle w:val="ManualHeading2"/>
        <w:spacing w:before="360"/>
        <w:ind w:left="851" w:hanging="851"/>
        <w:rPr>
          <w:noProof/>
        </w:rPr>
      </w:pPr>
      <w:r>
        <w:rPr>
          <w:noProof/>
        </w:rPr>
        <w:t>4.2.</w:t>
      </w:r>
      <w:r>
        <w:rPr>
          <w:noProof/>
        </w:rPr>
        <w:tab/>
      </w:r>
      <w:r>
        <w:rPr>
          <w:noProof/>
        </w:rPr>
        <w:tab/>
        <w:t>Performance and market developments in 2018</w:t>
      </w:r>
    </w:p>
    <w:p>
      <w:pPr>
        <w:rPr>
          <w:noProof/>
        </w:rPr>
      </w:pPr>
      <w:r>
        <w:rPr>
          <w:noProof/>
        </w:rPr>
        <w:t>The year was characterized by volatile yield movements on European fixed income markets with rates moving higher in Q1 due to expectations relating to the end of the ECB’s quantitative easing policy (QE). Rates then moved to annual lows at the end of the year due to softening economic growth. Credit spreads edged higher during the year and the move accelerated in December on falling equity markets and expectation of tighter monetary policies.</w:t>
      </w:r>
    </w:p>
    <w:p>
      <w:pPr>
        <w:autoSpaceDE w:val="0"/>
        <w:autoSpaceDN w:val="0"/>
        <w:adjustRightInd w:val="0"/>
        <w:rPr>
          <w:noProof/>
        </w:rPr>
      </w:pPr>
      <w:r>
        <w:rPr>
          <w:noProof/>
        </w:rPr>
        <w:t xml:space="preserve">Throughout the year, financial markets were affected by the following risk factors. The imposition of trade tariffs by president Trump slowed economic growth, and inflation remained below the central bank targets due to low commodity prices and globalization factors. The uncertain outlook of Brexit negotiations weighed on UK financials and corporates. The ramifications of the March Italian elections were felt in May, as Italian spreads widened out to more than 250 basis points vs Germany. </w:t>
      </w:r>
    </w:p>
    <w:p>
      <w:pPr>
        <w:rPr>
          <w:noProof/>
        </w:rPr>
      </w:pPr>
      <w:r>
        <w:rPr>
          <w:noProof/>
        </w:rPr>
        <w:t>Monetary policy of major global central banks became tighter in 2018. The US FED continued its rate hike cycle every quarter by 25 basis points raising the FED funds target rate to 2.50-2.75% by year-end. The ECB has reduced the monthly net asset purchases as part of its QE policy from EUR 30 billion to EUR 15 billion in September and terminated the net purchases at the end of 2018. The reinvestments of the maturing bonds on the ECB balance sheet will continue to support the markets. However, more recently, the monetary policy on both sides of the Atlantic has turned more dovish with increasing uncertainties. The market no longer expects further FED hikes and the first interest rate increase of the ECB has been postponed to 2020. Economic growth is expected to slow down from 2.9% in 2018 to 2.5% in 2019 for US, and from 1.9% to 1.4% for the Euro area.</w:t>
      </w:r>
    </w:p>
    <w:p>
      <w:pPr>
        <w:rPr>
          <w:noProof/>
        </w:rPr>
      </w:pPr>
      <w:r>
        <w:rPr>
          <w:noProof/>
        </w:rPr>
        <w:t>Going forward, in 2019 it is expected that market volatility will remain, as uncertainty around Brexit and growth slowdown will affect market rates being currently close to historical lows. At the same time credit spreads tend to move wider as the economic cycle matures in the US and central bank asset purchases have been terminated in the EU.</w:t>
      </w:r>
    </w:p>
    <w:p>
      <w:pPr>
        <w:rPr>
          <w:noProof/>
        </w:rPr>
      </w:pPr>
      <w:r>
        <w:rPr>
          <w:noProof/>
        </w:rPr>
        <w:t xml:space="preserve">The performance of the Fund portfolio was monitored on a mark-to-market (MTM) basis (fair value). During 2018, the portfolio delivered a 0.1005% MTM yearly return, outperforming its benchmark by +13.5 basis points.  </w:t>
      </w:r>
    </w:p>
    <w:p>
      <w:pPr>
        <w:pStyle w:val="ManualHeading1"/>
        <w:rPr>
          <w:noProof/>
        </w:rPr>
      </w:pPr>
      <w:bookmarkStart w:id="41" w:name="_Toc478625464"/>
      <w:bookmarkEnd w:id="39"/>
      <w:r>
        <w:rPr>
          <w:noProof/>
        </w:rPr>
        <w:t>5.</w:t>
      </w:r>
      <w:r>
        <w:rPr>
          <w:noProof/>
        </w:rPr>
        <w:tab/>
        <w:t xml:space="preserve">Calls on the Guarantee Fund </w:t>
      </w:r>
      <w:bookmarkEnd w:id="41"/>
    </w:p>
    <w:p>
      <w:pPr>
        <w:keepNext/>
        <w:spacing w:after="0"/>
        <w:rPr>
          <w:b/>
          <w:noProof/>
          <w:u w:val="single"/>
        </w:rPr>
      </w:pPr>
      <w:r>
        <w:rPr>
          <w:b/>
          <w:noProof/>
          <w:u w:val="single"/>
        </w:rPr>
        <w:t>Syria</w:t>
      </w:r>
    </w:p>
    <w:p>
      <w:pPr>
        <w:rPr>
          <w:noProof/>
        </w:rPr>
      </w:pPr>
      <w:r>
        <w:rPr>
          <w:noProof/>
        </w:rPr>
        <w:t xml:space="preserve">Since November 2011, the EIB is facing arrears on Syrian sovereign loans. As a consequence, and in line with the guarantee agreements between the EU and the EIB, the EIB has made 63 calls on the EU Guarantee Fund up to 31 December 2018 for a total amount of EUR 421.05  million (including penalties applied by EIB and amounts recovered). </w:t>
      </w:r>
    </w:p>
    <w:p>
      <w:pPr>
        <w:spacing w:after="0"/>
        <w:rPr>
          <w:b/>
          <w:noProof/>
          <w:u w:val="single"/>
        </w:rPr>
      </w:pPr>
      <w:r>
        <w:rPr>
          <w:b/>
          <w:noProof/>
          <w:u w:val="single"/>
        </w:rPr>
        <w:t>Enfidha Airport (Tunisia).</w:t>
      </w:r>
    </w:p>
    <w:p>
      <w:pPr>
        <w:rPr>
          <w:noProof/>
        </w:rPr>
      </w:pPr>
      <w:r>
        <w:rPr>
          <w:noProof/>
        </w:rPr>
        <w:t>In January 2018, the EIB recovered EUR 136,092.88 from the loan to Enfidha Airport (Tunisia) which was credited to the bank account of the Guarantee Fund for external Actions.</w:t>
      </w:r>
    </w:p>
    <w:p>
      <w:pPr>
        <w:pStyle w:val="ManualHeading1"/>
        <w:rPr>
          <w:noProof/>
        </w:rPr>
      </w:pPr>
      <w:bookmarkStart w:id="42" w:name="_Toc323019515"/>
      <w:bookmarkStart w:id="43" w:name="_Toc354050137"/>
      <w:bookmarkStart w:id="44" w:name="_Toc358294858"/>
      <w:bookmarkStart w:id="45" w:name="_Toc415838355"/>
      <w:bookmarkStart w:id="46" w:name="_Toc478625467"/>
      <w:r>
        <w:rPr>
          <w:noProof/>
        </w:rPr>
        <w:t>6.</w:t>
      </w:r>
      <w:r>
        <w:rPr>
          <w:noProof/>
        </w:rPr>
        <w:tab/>
        <w:t>EIB remuneration</w:t>
      </w:r>
      <w:bookmarkEnd w:id="42"/>
      <w:bookmarkEnd w:id="43"/>
      <w:bookmarkEnd w:id="44"/>
      <w:bookmarkEnd w:id="45"/>
      <w:r>
        <w:rPr>
          <w:noProof/>
        </w:rPr>
        <w:t xml:space="preserve"> </w:t>
      </w:r>
      <w:bookmarkEnd w:id="46"/>
    </w:p>
    <w:p>
      <w:pPr>
        <w:rPr>
          <w:noProof/>
        </w:rPr>
      </w:pPr>
      <w:r>
        <w:rPr>
          <w:noProof/>
        </w:rPr>
        <w:t>The EIB remuneration is composed of the management fees and the recovery fees. The management fees cover the asset management of the Fund. The recovery fees cover the EIB's external recovery expensesregarding claims following defaults covered by the EU guarantee for EIB financing operations outside the Union.</w:t>
      </w:r>
    </w:p>
    <w:p>
      <w:pPr>
        <w:rPr>
          <w:noProof/>
        </w:rPr>
      </w:pPr>
      <w:r>
        <w:rPr>
          <w:noProof/>
        </w:rPr>
        <w:t>The second Supplementary Agreement to the Agreement dated 8 May 2002 establishes that the Bank’s management fees shall be calculated by applying degressive annual rates of fees to each tranche of the Fund’s assets. This remuneration is calculated on the basis of the annual average assets of the Fund.</w:t>
      </w:r>
    </w:p>
    <w:p>
      <w:pPr>
        <w:rPr>
          <w:noProof/>
        </w:rPr>
      </w:pPr>
      <w:r>
        <w:rPr>
          <w:noProof/>
        </w:rPr>
        <w:t xml:space="preserve">The Bank’s management fees for 2018 were set at EUR 894,626 and were entered as expense in the Statement of Financial Performance and as accruals (liabilities) on the Balance Sheet. </w:t>
      </w:r>
      <w:bookmarkStart w:id="47" w:name="_CopyToNewDocument_"/>
      <w:bookmarkEnd w:id="47"/>
      <w:r>
        <w:rPr>
          <w:noProof/>
        </w:rPr>
        <w:t xml:space="preserve"> </w:t>
      </w:r>
    </w:p>
    <w:p>
      <w:pPr>
        <w:rPr>
          <w:rFonts w:ascii="Calibri" w:hAnsi="Calibri"/>
          <w:noProof/>
          <w:color w:val="000000"/>
          <w:sz w:val="22"/>
          <w:szCs w:val="22"/>
          <w:lang w:eastAsia="en-GB"/>
        </w:rPr>
      </w:pPr>
      <w:r>
        <w:rPr>
          <w:noProof/>
        </w:rPr>
        <w:t xml:space="preserve">The Recovery Agreement signed between the Commission and the Bank in December 2018 only envisages payment for EIB’ external (and no longer internal) recovery expenses. </w:t>
      </w: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3331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2789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pPr>
      <w:r>
        <w:rPr>
          <w:rStyle w:val="FootnoteReference"/>
        </w:rPr>
        <w:footnoteRef/>
      </w:r>
      <w:r>
        <w:tab/>
        <w:t xml:space="preserve">OJ L 145, 10.6.2009, p. 10; the Regulation codified and repealed Regulation (EC, Euratom) No 2728/94 of 31 October 1994 </w:t>
      </w:r>
      <w:r>
        <w:rPr>
          <w:noProof/>
        </w:rPr>
        <w:t>establishing a Guarantee Fund for external actions</w:t>
      </w:r>
      <w:r>
        <w:t>. It has been amended on 14.3.2018 by Regulation (EU) 2018/409 of the EP and of the Council</w:t>
      </w:r>
    </w:p>
  </w:footnote>
  <w:footnote w:id="2">
    <w:p>
      <w:pPr>
        <w:pStyle w:val="FootnoteText"/>
        <w:ind w:left="360" w:hanging="360"/>
      </w:pPr>
      <w:r>
        <w:rPr>
          <w:rStyle w:val="FootnoteReference"/>
        </w:rPr>
        <w:footnoteRef/>
      </w:r>
      <w:r>
        <w:tab/>
        <w:t>Supplementary Agreement no 5 to the Agreement relating to the Management of the Guarantee Fund between the European Union and the European Investment Fund - Ref. Ares(2018)5207374 - 10/10/2018.</w:t>
      </w:r>
    </w:p>
  </w:footnote>
  <w:footnote w:id="3">
    <w:p>
      <w:pPr>
        <w:pStyle w:val="FootnoteText"/>
        <w:ind w:left="360" w:hanging="360"/>
      </w:pPr>
      <w:r>
        <w:rPr>
          <w:rStyle w:val="FootnoteReference"/>
        </w:rPr>
        <w:footnoteRef/>
      </w:r>
      <w:r>
        <w:tab/>
        <w:t xml:space="preserve">Amended </w:t>
      </w:r>
      <w:r>
        <w:rPr>
          <w:noProof/>
        </w:rPr>
        <w:t>by Supplementary Agreement No 1 of 23 September 1996, Supplementary Agreement No 2 of 8 May 2002, Supplementary Agreement No 3 of 25 February 2008, Supplementary Agreement No 4 of 9 November 2010 and Supplementary Agreement No 5 of September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3ABAE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8FFC572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EC82E3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DC48C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34D4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F690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D6A4E8"/>
    <w:lvl w:ilvl="0">
      <w:start w:val="1"/>
      <w:numFmt w:val="decimal"/>
      <w:pStyle w:val="ListNumber"/>
      <w:lvlText w:val="%1."/>
      <w:lvlJc w:val="left"/>
      <w:pPr>
        <w:tabs>
          <w:tab w:val="num" w:pos="360"/>
        </w:tabs>
        <w:ind w:left="360" w:hanging="360"/>
      </w:pPr>
      <w:rPr>
        <w:rFonts w:cs="Times New Roman"/>
      </w:rPr>
    </w:lvl>
  </w:abstractNum>
  <w:abstractNum w:abstractNumId="7">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8">
    <w:nsid w:val="0CB477BA"/>
    <w:multiLevelType w:val="multilevel"/>
    <w:tmpl w:val="9E247306"/>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F212747"/>
    <w:multiLevelType w:val="multilevel"/>
    <w:tmpl w:val="FBD0F488"/>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5592001"/>
    <w:multiLevelType w:val="singleLevel"/>
    <w:tmpl w:val="3C6C7C7E"/>
    <w:lvl w:ilvl="0">
      <w:start w:val="1"/>
      <w:numFmt w:val="bullet"/>
      <w:lvlRestart w:val="0"/>
      <w:lvlText w:val=""/>
      <w:lvlJc w:val="left"/>
      <w:pPr>
        <w:tabs>
          <w:tab w:val="num" w:pos="850"/>
        </w:tabs>
        <w:ind w:left="850" w:hanging="850"/>
      </w:pPr>
      <w:rPr>
        <w:rFonts w:ascii="Symbol" w:hAnsi="Symbol" w:hint="default"/>
      </w:rPr>
    </w:lvl>
  </w:abstractNum>
  <w:abstractNum w:abstractNumId="1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F076C74"/>
    <w:multiLevelType w:val="multilevel"/>
    <w:tmpl w:val="72EA1244"/>
    <w:lvl w:ilvl="0">
      <w:start w:val="1"/>
      <w:numFmt w:val="bullet"/>
      <w:lvlText w:val=""/>
      <w:lvlJc w:val="left"/>
      <w:pPr>
        <w:tabs>
          <w:tab w:val="num" w:pos="850"/>
        </w:tabs>
        <w:ind w:left="850" w:hanging="850"/>
      </w:pPr>
      <w:rPr>
        <w:rFonts w:ascii="Symbol" w:hAnsi="Symbol" w:hint="default"/>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13">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4">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5">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6">
    <w:nsid w:val="40FF3500"/>
    <w:multiLevelType w:val="singleLevel"/>
    <w:tmpl w:val="84DA1EE8"/>
    <w:name w:val="Default"/>
    <w:lvl w:ilvl="0">
      <w:start w:val="1"/>
      <w:numFmt w:val="bullet"/>
      <w:lvlRestart w:val="0"/>
      <w:lvlText w:val=""/>
      <w:lvlJc w:val="left"/>
      <w:pPr>
        <w:tabs>
          <w:tab w:val="num" w:pos="1417"/>
        </w:tabs>
        <w:ind w:left="1417" w:hanging="567"/>
      </w:pPr>
      <w:rPr>
        <w:rFonts w:ascii="Symbol" w:hAnsi="Symbol" w:hint="default"/>
      </w:rPr>
    </w:lvl>
  </w:abstractNum>
  <w:abstractNum w:abstractNumId="17">
    <w:nsid w:val="43001DEE"/>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1">
    <w:nsid w:val="5D432F82"/>
    <w:multiLevelType w:val="hybridMultilevel"/>
    <w:tmpl w:val="5F78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5">
    <w:nsid w:val="63B26268"/>
    <w:multiLevelType w:val="singleLevel"/>
    <w:tmpl w:val="491E6360"/>
    <w:name w:val="Heading"/>
    <w:lvl w:ilvl="0">
      <w:start w:val="1"/>
      <w:numFmt w:val="decimal"/>
      <w:lvlRestart w:val="0"/>
      <w:lvlText w:val="(%1)"/>
      <w:lvlJc w:val="left"/>
      <w:pPr>
        <w:tabs>
          <w:tab w:val="num" w:pos="709"/>
        </w:tabs>
        <w:ind w:left="709" w:hanging="709"/>
      </w:pPr>
      <w:rPr>
        <w:rFonts w:cs="Times New Roman"/>
      </w:rPr>
    </w:lvl>
  </w:abstractNum>
  <w:abstractNum w:abstractNumId="26">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7">
    <w:nsid w:val="6D2B5511"/>
    <w:multiLevelType w:val="singleLevel"/>
    <w:tmpl w:val="74A09970"/>
    <w:name w:val="0.645225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nsid w:val="7BE95D7F"/>
    <w:multiLevelType w:val="multilevel"/>
    <w:tmpl w:val="F126F78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9"/>
  </w:num>
  <w:num w:numId="2">
    <w:abstractNumId w:val="11"/>
  </w:num>
  <w:num w:numId="3">
    <w:abstractNumId w:val="23"/>
  </w:num>
  <w:num w:numId="4">
    <w:abstractNumId w:val="22"/>
  </w:num>
  <w:num w:numId="5">
    <w:abstractNumId w:val="18"/>
  </w:num>
  <w:num w:numId="6">
    <w:abstractNumId w:val="26"/>
  </w:num>
  <w:num w:numId="7">
    <w:abstractNumId w:val="28"/>
  </w:num>
  <w:num w:numId="8">
    <w:abstractNumId w:val="14"/>
  </w:num>
  <w:num w:numId="9">
    <w:abstractNumId w:val="13"/>
  </w:num>
  <w:num w:numId="10">
    <w:abstractNumId w:val="24"/>
  </w:num>
  <w:num w:numId="11">
    <w:abstractNumId w:val="15"/>
  </w:num>
  <w:num w:numId="12">
    <w:abstractNumId w:val="20"/>
  </w:num>
  <w:num w:numId="13">
    <w:abstractNumId w:val="12"/>
  </w:num>
  <w:num w:numId="14">
    <w:abstractNumId w:val="10"/>
  </w:num>
  <w:num w:numId="15">
    <w:abstractNumId w:val="2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7"/>
  </w:num>
  <w:num w:numId="24">
    <w:abstractNumId w:val="8"/>
  </w:num>
  <w:num w:numId="25">
    <w:abstractNumId w:val="8"/>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1"/>
  </w:num>
  <w:num w:numId="2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3F589BC-992F-4AF9-A778-A869F8393CC5"/>
    <w:docVar w:name="LW_COVERPAGE_TYPE" w:val="1"/>
    <w:docVar w:name="LW_CROSSREFERENCE" w:val="{SWD(2019) 314 final}"/>
    <w:docVar w:name="LW_DocType" w:val="NORMAL"/>
    <w:docVar w:name="LW_EMISSION" w:val="5.8.2019"/>
    <w:docVar w:name="LW_EMISSION_ISODATE" w:val="2019-08-0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GUARANTEE FUND FOR EXTERNAL ACTION AND ITS MANAGEMENT IN 2018"/>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rPr>
      <w:shd w:val="clear" w:color="auto" w:fill="auto"/>
      <w:vertAlign w:val="superscript"/>
    </w:rPr>
  </w:style>
  <w:style w:type="paragraph" w:styleId="FootnoteText">
    <w:name w:val="footnote tex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style>
  <w:style w:type="paragraph" w:customStyle="1" w:styleId="Point0number">
    <w:name w:val="Point 0 (number)"/>
    <w:basedOn w:val="Normal"/>
  </w:style>
  <w:style w:type="paragraph" w:customStyle="1" w:styleId="Point1">
    <w:name w:val="Point 1"/>
    <w:basedOn w:val="Normal"/>
    <w:pPr>
      <w:ind w:left="1417" w:hanging="567"/>
    </w:pPr>
  </w:style>
  <w:style w:type="paragraph" w:customStyle="1" w:styleId="Point1letter">
    <w:name w:val="Point 1 (letter)"/>
    <w:basedOn w:val="Normal"/>
  </w:style>
  <w:style w:type="paragraph" w:customStyle="1" w:styleId="Point1number">
    <w:name w:val="Point 1 (number)"/>
    <w:basedOn w:val="Normal"/>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rPr>
      <w:lang w:eastAsia="de-DE"/>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noteTextChar">
    <w:name w:val="Footnote Text Char"/>
    <w:link w:val="FootnoteText"/>
    <w:uiPriority w:val="99"/>
    <w:rPr>
      <w:lang w:eastAsia="en-US"/>
    </w:rPr>
  </w:style>
  <w:style w:type="character" w:customStyle="1" w:styleId="Heading4Char">
    <w:name w:val="Heading 4 Char"/>
    <w:link w:val="Heading4"/>
    <w:rPr>
      <w:bCs/>
      <w:sz w:val="24"/>
      <w:szCs w:val="28"/>
      <w:lang w:eastAsia="en-US"/>
    </w:rPr>
  </w:style>
  <w:style w:type="character" w:customStyle="1" w:styleId="FooterChar">
    <w:name w:val="Footer Char"/>
    <w:link w:val="Footer"/>
    <w:uiPriority w:val="99"/>
    <w:rPr>
      <w:rFonts w:eastAsia="Calibri"/>
      <w:sz w:val="24"/>
      <w:szCs w:val="22"/>
      <w:lang w:eastAsia="en-US"/>
    </w:rPr>
  </w:style>
  <w:style w:type="paragraph" w:styleId="Revision">
    <w:name w:val="Revision"/>
    <w:hidden/>
    <w:uiPriority w:val="99"/>
    <w:semiHidden/>
    <w:rPr>
      <w:sz w:val="24"/>
      <w:szCs w:val="24"/>
      <w:lang w:eastAsia="en-US"/>
    </w:rPr>
  </w:style>
  <w:style w:type="character" w:customStyle="1" w:styleId="Heading3Char">
    <w:name w:val="Heading 3 Char"/>
    <w:link w:val="Heading3"/>
    <w:rPr>
      <w:bCs/>
      <w:i/>
      <w:sz w:val="24"/>
      <w:szCs w:val="26"/>
      <w:lang w:eastAsia="en-US"/>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rPr>
      <w:shd w:val="clear" w:color="auto" w:fill="auto"/>
      <w:vertAlign w:val="superscript"/>
    </w:rPr>
  </w:style>
  <w:style w:type="paragraph" w:styleId="FootnoteText">
    <w:name w:val="footnote tex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style>
  <w:style w:type="paragraph" w:customStyle="1" w:styleId="Point0number">
    <w:name w:val="Point 0 (number)"/>
    <w:basedOn w:val="Normal"/>
  </w:style>
  <w:style w:type="paragraph" w:customStyle="1" w:styleId="Point1">
    <w:name w:val="Point 1"/>
    <w:basedOn w:val="Normal"/>
    <w:pPr>
      <w:ind w:left="1417" w:hanging="567"/>
    </w:pPr>
  </w:style>
  <w:style w:type="paragraph" w:customStyle="1" w:styleId="Point1letter">
    <w:name w:val="Point 1 (letter)"/>
    <w:basedOn w:val="Normal"/>
  </w:style>
  <w:style w:type="paragraph" w:customStyle="1" w:styleId="Point1number">
    <w:name w:val="Point 1 (number)"/>
    <w:basedOn w:val="Normal"/>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rPr>
      <w:lang w:eastAsia="de-DE"/>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noteTextChar">
    <w:name w:val="Footnote Text Char"/>
    <w:link w:val="FootnoteText"/>
    <w:uiPriority w:val="99"/>
    <w:rPr>
      <w:lang w:eastAsia="en-US"/>
    </w:rPr>
  </w:style>
  <w:style w:type="character" w:customStyle="1" w:styleId="Heading4Char">
    <w:name w:val="Heading 4 Char"/>
    <w:link w:val="Heading4"/>
    <w:rPr>
      <w:bCs/>
      <w:sz w:val="24"/>
      <w:szCs w:val="28"/>
      <w:lang w:eastAsia="en-US"/>
    </w:rPr>
  </w:style>
  <w:style w:type="character" w:customStyle="1" w:styleId="FooterChar">
    <w:name w:val="Footer Char"/>
    <w:link w:val="Footer"/>
    <w:uiPriority w:val="99"/>
    <w:rPr>
      <w:rFonts w:eastAsia="Calibri"/>
      <w:sz w:val="24"/>
      <w:szCs w:val="22"/>
      <w:lang w:eastAsia="en-US"/>
    </w:rPr>
  </w:style>
  <w:style w:type="paragraph" w:styleId="Revision">
    <w:name w:val="Revision"/>
    <w:hidden/>
    <w:uiPriority w:val="99"/>
    <w:semiHidden/>
    <w:rPr>
      <w:sz w:val="24"/>
      <w:szCs w:val="24"/>
      <w:lang w:eastAsia="en-US"/>
    </w:rPr>
  </w:style>
  <w:style w:type="character" w:customStyle="1" w:styleId="Heading3Char">
    <w:name w:val="Heading 3 Char"/>
    <w:link w:val="Heading3"/>
    <w:rPr>
      <w:bCs/>
      <w:i/>
      <w:sz w:val="24"/>
      <w:szCs w:val="26"/>
      <w:lang w:eastAsia="en-US"/>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2315">
      <w:bodyDiv w:val="1"/>
      <w:marLeft w:val="0"/>
      <w:marRight w:val="0"/>
      <w:marTop w:val="0"/>
      <w:marBottom w:val="0"/>
      <w:divBdr>
        <w:top w:val="none" w:sz="0" w:space="0" w:color="auto"/>
        <w:left w:val="none" w:sz="0" w:space="0" w:color="auto"/>
        <w:bottom w:val="none" w:sz="0" w:space="0" w:color="auto"/>
        <w:right w:val="none" w:sz="0" w:space="0" w:color="auto"/>
      </w:divBdr>
    </w:div>
    <w:div w:id="154536141">
      <w:bodyDiv w:val="1"/>
      <w:marLeft w:val="0"/>
      <w:marRight w:val="0"/>
      <w:marTop w:val="0"/>
      <w:marBottom w:val="0"/>
      <w:divBdr>
        <w:top w:val="none" w:sz="0" w:space="0" w:color="auto"/>
        <w:left w:val="none" w:sz="0" w:space="0" w:color="auto"/>
        <w:bottom w:val="none" w:sz="0" w:space="0" w:color="auto"/>
        <w:right w:val="none" w:sz="0" w:space="0" w:color="auto"/>
      </w:divBdr>
    </w:div>
    <w:div w:id="287206346">
      <w:bodyDiv w:val="1"/>
      <w:marLeft w:val="0"/>
      <w:marRight w:val="0"/>
      <w:marTop w:val="0"/>
      <w:marBottom w:val="0"/>
      <w:divBdr>
        <w:top w:val="none" w:sz="0" w:space="0" w:color="auto"/>
        <w:left w:val="none" w:sz="0" w:space="0" w:color="auto"/>
        <w:bottom w:val="none" w:sz="0" w:space="0" w:color="auto"/>
        <w:right w:val="none" w:sz="0" w:space="0" w:color="auto"/>
      </w:divBdr>
    </w:div>
    <w:div w:id="571963191">
      <w:bodyDiv w:val="1"/>
      <w:marLeft w:val="0"/>
      <w:marRight w:val="0"/>
      <w:marTop w:val="0"/>
      <w:marBottom w:val="0"/>
      <w:divBdr>
        <w:top w:val="none" w:sz="0" w:space="0" w:color="auto"/>
        <w:left w:val="none" w:sz="0" w:space="0" w:color="auto"/>
        <w:bottom w:val="none" w:sz="0" w:space="0" w:color="auto"/>
        <w:right w:val="none" w:sz="0" w:space="0" w:color="auto"/>
      </w:divBdr>
    </w:div>
    <w:div w:id="593324760">
      <w:bodyDiv w:val="1"/>
      <w:marLeft w:val="0"/>
      <w:marRight w:val="0"/>
      <w:marTop w:val="0"/>
      <w:marBottom w:val="0"/>
      <w:divBdr>
        <w:top w:val="none" w:sz="0" w:space="0" w:color="auto"/>
        <w:left w:val="none" w:sz="0" w:space="0" w:color="auto"/>
        <w:bottom w:val="none" w:sz="0" w:space="0" w:color="auto"/>
        <w:right w:val="none" w:sz="0" w:space="0" w:color="auto"/>
      </w:divBdr>
    </w:div>
    <w:div w:id="789208158">
      <w:bodyDiv w:val="1"/>
      <w:marLeft w:val="0"/>
      <w:marRight w:val="0"/>
      <w:marTop w:val="0"/>
      <w:marBottom w:val="0"/>
      <w:divBdr>
        <w:top w:val="none" w:sz="0" w:space="0" w:color="auto"/>
        <w:left w:val="none" w:sz="0" w:space="0" w:color="auto"/>
        <w:bottom w:val="none" w:sz="0" w:space="0" w:color="auto"/>
        <w:right w:val="none" w:sz="0" w:space="0" w:color="auto"/>
      </w:divBdr>
    </w:div>
    <w:div w:id="1042828534">
      <w:bodyDiv w:val="1"/>
      <w:marLeft w:val="0"/>
      <w:marRight w:val="0"/>
      <w:marTop w:val="0"/>
      <w:marBottom w:val="0"/>
      <w:divBdr>
        <w:top w:val="none" w:sz="0" w:space="0" w:color="auto"/>
        <w:left w:val="none" w:sz="0" w:space="0" w:color="auto"/>
        <w:bottom w:val="none" w:sz="0" w:space="0" w:color="auto"/>
        <w:right w:val="none" w:sz="0" w:space="0" w:color="auto"/>
      </w:divBdr>
    </w:div>
    <w:div w:id="1199899282">
      <w:bodyDiv w:val="1"/>
      <w:marLeft w:val="0"/>
      <w:marRight w:val="0"/>
      <w:marTop w:val="0"/>
      <w:marBottom w:val="0"/>
      <w:divBdr>
        <w:top w:val="none" w:sz="0" w:space="0" w:color="auto"/>
        <w:left w:val="none" w:sz="0" w:space="0" w:color="auto"/>
        <w:bottom w:val="none" w:sz="0" w:space="0" w:color="auto"/>
        <w:right w:val="none" w:sz="0" w:space="0" w:color="auto"/>
      </w:divBdr>
    </w:div>
    <w:div w:id="1219515736">
      <w:bodyDiv w:val="1"/>
      <w:marLeft w:val="0"/>
      <w:marRight w:val="0"/>
      <w:marTop w:val="0"/>
      <w:marBottom w:val="0"/>
      <w:divBdr>
        <w:top w:val="none" w:sz="0" w:space="0" w:color="auto"/>
        <w:left w:val="none" w:sz="0" w:space="0" w:color="auto"/>
        <w:bottom w:val="none" w:sz="0" w:space="0" w:color="auto"/>
        <w:right w:val="none" w:sz="0" w:space="0" w:color="auto"/>
      </w:divBdr>
    </w:div>
    <w:div w:id="1228687047">
      <w:bodyDiv w:val="1"/>
      <w:marLeft w:val="0"/>
      <w:marRight w:val="0"/>
      <w:marTop w:val="0"/>
      <w:marBottom w:val="0"/>
      <w:divBdr>
        <w:top w:val="none" w:sz="0" w:space="0" w:color="auto"/>
        <w:left w:val="none" w:sz="0" w:space="0" w:color="auto"/>
        <w:bottom w:val="none" w:sz="0" w:space="0" w:color="auto"/>
        <w:right w:val="none" w:sz="0" w:space="0" w:color="auto"/>
      </w:divBdr>
    </w:div>
    <w:div w:id="1236281064">
      <w:bodyDiv w:val="1"/>
      <w:marLeft w:val="0"/>
      <w:marRight w:val="0"/>
      <w:marTop w:val="0"/>
      <w:marBottom w:val="0"/>
      <w:divBdr>
        <w:top w:val="none" w:sz="0" w:space="0" w:color="auto"/>
        <w:left w:val="none" w:sz="0" w:space="0" w:color="auto"/>
        <w:bottom w:val="none" w:sz="0" w:space="0" w:color="auto"/>
        <w:right w:val="none" w:sz="0" w:space="0" w:color="auto"/>
      </w:divBdr>
    </w:div>
    <w:div w:id="1283414360">
      <w:bodyDiv w:val="1"/>
      <w:marLeft w:val="0"/>
      <w:marRight w:val="0"/>
      <w:marTop w:val="0"/>
      <w:marBottom w:val="0"/>
      <w:divBdr>
        <w:top w:val="none" w:sz="0" w:space="0" w:color="auto"/>
        <w:left w:val="none" w:sz="0" w:space="0" w:color="auto"/>
        <w:bottom w:val="none" w:sz="0" w:space="0" w:color="auto"/>
        <w:right w:val="none" w:sz="0" w:space="0" w:color="auto"/>
      </w:divBdr>
    </w:div>
    <w:div w:id="1452437525">
      <w:bodyDiv w:val="1"/>
      <w:marLeft w:val="0"/>
      <w:marRight w:val="0"/>
      <w:marTop w:val="0"/>
      <w:marBottom w:val="0"/>
      <w:divBdr>
        <w:top w:val="none" w:sz="0" w:space="0" w:color="auto"/>
        <w:left w:val="none" w:sz="0" w:space="0" w:color="auto"/>
        <w:bottom w:val="none" w:sz="0" w:space="0" w:color="auto"/>
        <w:right w:val="none" w:sz="0" w:space="0" w:color="auto"/>
      </w:divBdr>
    </w:div>
    <w:div w:id="1477989874">
      <w:bodyDiv w:val="1"/>
      <w:marLeft w:val="0"/>
      <w:marRight w:val="0"/>
      <w:marTop w:val="0"/>
      <w:marBottom w:val="0"/>
      <w:divBdr>
        <w:top w:val="none" w:sz="0" w:space="0" w:color="auto"/>
        <w:left w:val="none" w:sz="0" w:space="0" w:color="auto"/>
        <w:bottom w:val="none" w:sz="0" w:space="0" w:color="auto"/>
        <w:right w:val="none" w:sz="0" w:space="0" w:color="auto"/>
      </w:divBdr>
    </w:div>
    <w:div w:id="1576280807">
      <w:bodyDiv w:val="1"/>
      <w:marLeft w:val="0"/>
      <w:marRight w:val="0"/>
      <w:marTop w:val="0"/>
      <w:marBottom w:val="0"/>
      <w:divBdr>
        <w:top w:val="none" w:sz="0" w:space="0" w:color="auto"/>
        <w:left w:val="none" w:sz="0" w:space="0" w:color="auto"/>
        <w:bottom w:val="none" w:sz="0" w:space="0" w:color="auto"/>
        <w:right w:val="none" w:sz="0" w:space="0" w:color="auto"/>
      </w:divBdr>
    </w:div>
    <w:div w:id="1591739440">
      <w:bodyDiv w:val="1"/>
      <w:marLeft w:val="0"/>
      <w:marRight w:val="0"/>
      <w:marTop w:val="0"/>
      <w:marBottom w:val="0"/>
      <w:divBdr>
        <w:top w:val="none" w:sz="0" w:space="0" w:color="auto"/>
        <w:left w:val="none" w:sz="0" w:space="0" w:color="auto"/>
        <w:bottom w:val="none" w:sz="0" w:space="0" w:color="auto"/>
        <w:right w:val="none" w:sz="0" w:space="0" w:color="auto"/>
      </w:divBdr>
    </w:div>
    <w:div w:id="1611084318">
      <w:bodyDiv w:val="1"/>
      <w:marLeft w:val="0"/>
      <w:marRight w:val="0"/>
      <w:marTop w:val="0"/>
      <w:marBottom w:val="0"/>
      <w:divBdr>
        <w:top w:val="none" w:sz="0" w:space="0" w:color="auto"/>
        <w:left w:val="none" w:sz="0" w:space="0" w:color="auto"/>
        <w:bottom w:val="none" w:sz="0" w:space="0" w:color="auto"/>
        <w:right w:val="none" w:sz="0" w:space="0" w:color="auto"/>
      </w:divBdr>
    </w:div>
    <w:div w:id="1772168232">
      <w:bodyDiv w:val="1"/>
      <w:marLeft w:val="0"/>
      <w:marRight w:val="0"/>
      <w:marTop w:val="0"/>
      <w:marBottom w:val="0"/>
      <w:divBdr>
        <w:top w:val="none" w:sz="0" w:space="0" w:color="auto"/>
        <w:left w:val="none" w:sz="0" w:space="0" w:color="auto"/>
        <w:bottom w:val="none" w:sz="0" w:space="0" w:color="auto"/>
        <w:right w:val="none" w:sz="0" w:space="0" w:color="auto"/>
      </w:divBdr>
    </w:div>
    <w:div w:id="1784960793">
      <w:bodyDiv w:val="1"/>
      <w:marLeft w:val="0"/>
      <w:marRight w:val="0"/>
      <w:marTop w:val="0"/>
      <w:marBottom w:val="0"/>
      <w:divBdr>
        <w:top w:val="none" w:sz="0" w:space="0" w:color="auto"/>
        <w:left w:val="none" w:sz="0" w:space="0" w:color="auto"/>
        <w:bottom w:val="none" w:sz="0" w:space="0" w:color="auto"/>
        <w:right w:val="none" w:sz="0" w:space="0" w:color="auto"/>
      </w:divBdr>
    </w:div>
    <w:div w:id="1816411327">
      <w:bodyDiv w:val="1"/>
      <w:marLeft w:val="0"/>
      <w:marRight w:val="0"/>
      <w:marTop w:val="0"/>
      <w:marBottom w:val="0"/>
      <w:divBdr>
        <w:top w:val="none" w:sz="0" w:space="0" w:color="auto"/>
        <w:left w:val="none" w:sz="0" w:space="0" w:color="auto"/>
        <w:bottom w:val="none" w:sz="0" w:space="0" w:color="auto"/>
        <w:right w:val="none" w:sz="0" w:space="0" w:color="auto"/>
      </w:divBdr>
    </w:div>
    <w:div w:id="1877502957">
      <w:bodyDiv w:val="1"/>
      <w:marLeft w:val="0"/>
      <w:marRight w:val="0"/>
      <w:marTop w:val="0"/>
      <w:marBottom w:val="0"/>
      <w:divBdr>
        <w:top w:val="none" w:sz="0" w:space="0" w:color="auto"/>
        <w:left w:val="none" w:sz="0" w:space="0" w:color="auto"/>
        <w:bottom w:val="none" w:sz="0" w:space="0" w:color="auto"/>
        <w:right w:val="none" w:sz="0" w:space="0" w:color="auto"/>
      </w:divBdr>
    </w:div>
    <w:div w:id="1882089300">
      <w:bodyDiv w:val="1"/>
      <w:marLeft w:val="0"/>
      <w:marRight w:val="0"/>
      <w:marTop w:val="0"/>
      <w:marBottom w:val="0"/>
      <w:divBdr>
        <w:top w:val="none" w:sz="0" w:space="0" w:color="auto"/>
        <w:left w:val="none" w:sz="0" w:space="0" w:color="auto"/>
        <w:bottom w:val="none" w:sz="0" w:space="0" w:color="auto"/>
        <w:right w:val="none" w:sz="0" w:space="0" w:color="auto"/>
      </w:divBdr>
    </w:div>
    <w:div w:id="1965887953">
      <w:bodyDiv w:val="1"/>
      <w:marLeft w:val="0"/>
      <w:marRight w:val="0"/>
      <w:marTop w:val="0"/>
      <w:marBottom w:val="0"/>
      <w:divBdr>
        <w:top w:val="none" w:sz="0" w:space="0" w:color="auto"/>
        <w:left w:val="none" w:sz="0" w:space="0" w:color="auto"/>
        <w:bottom w:val="none" w:sz="0" w:space="0" w:color="auto"/>
        <w:right w:val="none" w:sz="0" w:space="0" w:color="auto"/>
      </w:divBdr>
    </w:div>
    <w:div w:id="21402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D7253-263B-4089-94DF-FB410D62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2402</Words>
  <Characters>12902</Characters>
  <Application>Microsoft Office Word</Application>
  <DocSecurity>0</DocSecurity>
  <Lines>322</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15108</CharactersWithSpaces>
  <SharedDoc>false</SharedDoc>
  <HLinks>
    <vt:vector size="78" baseType="variant">
      <vt:variant>
        <vt:i4>1376314</vt:i4>
      </vt:variant>
      <vt:variant>
        <vt:i4>74</vt:i4>
      </vt:variant>
      <vt:variant>
        <vt:i4>0</vt:i4>
      </vt:variant>
      <vt:variant>
        <vt:i4>5</vt:i4>
      </vt:variant>
      <vt:variant>
        <vt:lpwstr/>
      </vt:variant>
      <vt:variant>
        <vt:lpwstr>_Toc478625467</vt:lpwstr>
      </vt:variant>
      <vt:variant>
        <vt:i4>1376314</vt:i4>
      </vt:variant>
      <vt:variant>
        <vt:i4>68</vt:i4>
      </vt:variant>
      <vt:variant>
        <vt:i4>0</vt:i4>
      </vt:variant>
      <vt:variant>
        <vt:i4>5</vt:i4>
      </vt:variant>
      <vt:variant>
        <vt:lpwstr/>
      </vt:variant>
      <vt:variant>
        <vt:lpwstr>_Toc478625464</vt:lpwstr>
      </vt:variant>
      <vt:variant>
        <vt:i4>1441850</vt:i4>
      </vt:variant>
      <vt:variant>
        <vt:i4>62</vt:i4>
      </vt:variant>
      <vt:variant>
        <vt:i4>0</vt:i4>
      </vt:variant>
      <vt:variant>
        <vt:i4>5</vt:i4>
      </vt:variant>
      <vt:variant>
        <vt:lpwstr/>
      </vt:variant>
      <vt:variant>
        <vt:lpwstr>_Toc478625458</vt:lpwstr>
      </vt:variant>
      <vt:variant>
        <vt:i4>1441850</vt:i4>
      </vt:variant>
      <vt:variant>
        <vt:i4>56</vt:i4>
      </vt:variant>
      <vt:variant>
        <vt:i4>0</vt:i4>
      </vt:variant>
      <vt:variant>
        <vt:i4>5</vt:i4>
      </vt:variant>
      <vt:variant>
        <vt:lpwstr/>
      </vt:variant>
      <vt:variant>
        <vt:lpwstr>_Toc478625457</vt:lpwstr>
      </vt:variant>
      <vt:variant>
        <vt:i4>1507386</vt:i4>
      </vt:variant>
      <vt:variant>
        <vt:i4>50</vt:i4>
      </vt:variant>
      <vt:variant>
        <vt:i4>0</vt:i4>
      </vt:variant>
      <vt:variant>
        <vt:i4>5</vt:i4>
      </vt:variant>
      <vt:variant>
        <vt:lpwstr/>
      </vt:variant>
      <vt:variant>
        <vt:lpwstr>_Toc478625447</vt:lpwstr>
      </vt:variant>
      <vt:variant>
        <vt:i4>1507386</vt:i4>
      </vt:variant>
      <vt:variant>
        <vt:i4>44</vt:i4>
      </vt:variant>
      <vt:variant>
        <vt:i4>0</vt:i4>
      </vt:variant>
      <vt:variant>
        <vt:i4>5</vt:i4>
      </vt:variant>
      <vt:variant>
        <vt:lpwstr/>
      </vt:variant>
      <vt:variant>
        <vt:lpwstr>_Toc478625446</vt:lpwstr>
      </vt:variant>
      <vt:variant>
        <vt:i4>1507386</vt:i4>
      </vt:variant>
      <vt:variant>
        <vt:i4>38</vt:i4>
      </vt:variant>
      <vt:variant>
        <vt:i4>0</vt:i4>
      </vt:variant>
      <vt:variant>
        <vt:i4>5</vt:i4>
      </vt:variant>
      <vt:variant>
        <vt:lpwstr/>
      </vt:variant>
      <vt:variant>
        <vt:lpwstr>_Toc478625443</vt:lpwstr>
      </vt:variant>
      <vt:variant>
        <vt:i4>1048634</vt:i4>
      </vt:variant>
      <vt:variant>
        <vt:i4>32</vt:i4>
      </vt:variant>
      <vt:variant>
        <vt:i4>0</vt:i4>
      </vt:variant>
      <vt:variant>
        <vt:i4>5</vt:i4>
      </vt:variant>
      <vt:variant>
        <vt:lpwstr/>
      </vt:variant>
      <vt:variant>
        <vt:lpwstr>_Toc478625439</vt:lpwstr>
      </vt:variant>
      <vt:variant>
        <vt:i4>1048634</vt:i4>
      </vt:variant>
      <vt:variant>
        <vt:i4>26</vt:i4>
      </vt:variant>
      <vt:variant>
        <vt:i4>0</vt:i4>
      </vt:variant>
      <vt:variant>
        <vt:i4>5</vt:i4>
      </vt:variant>
      <vt:variant>
        <vt:lpwstr/>
      </vt:variant>
      <vt:variant>
        <vt:lpwstr>_Toc478625438</vt:lpwstr>
      </vt:variant>
      <vt:variant>
        <vt:i4>1048634</vt:i4>
      </vt:variant>
      <vt:variant>
        <vt:i4>20</vt:i4>
      </vt:variant>
      <vt:variant>
        <vt:i4>0</vt:i4>
      </vt:variant>
      <vt:variant>
        <vt:i4>5</vt:i4>
      </vt:variant>
      <vt:variant>
        <vt:lpwstr/>
      </vt:variant>
      <vt:variant>
        <vt:lpwstr>_Toc478625437</vt:lpwstr>
      </vt:variant>
      <vt:variant>
        <vt:i4>1048634</vt:i4>
      </vt:variant>
      <vt:variant>
        <vt:i4>14</vt:i4>
      </vt:variant>
      <vt:variant>
        <vt:i4>0</vt:i4>
      </vt:variant>
      <vt:variant>
        <vt:i4>5</vt:i4>
      </vt:variant>
      <vt:variant>
        <vt:lpwstr/>
      </vt:variant>
      <vt:variant>
        <vt:lpwstr>_Toc478625436</vt:lpwstr>
      </vt:variant>
      <vt:variant>
        <vt:i4>1048634</vt:i4>
      </vt:variant>
      <vt:variant>
        <vt:i4>8</vt:i4>
      </vt:variant>
      <vt:variant>
        <vt:i4>0</vt:i4>
      </vt:variant>
      <vt:variant>
        <vt:i4>5</vt:i4>
      </vt:variant>
      <vt:variant>
        <vt:lpwstr/>
      </vt:variant>
      <vt:variant>
        <vt:lpwstr>_Toc478625435</vt:lpwstr>
      </vt:variant>
      <vt:variant>
        <vt:i4>1048634</vt:i4>
      </vt:variant>
      <vt:variant>
        <vt:i4>2</vt:i4>
      </vt:variant>
      <vt:variant>
        <vt:i4>0</vt:i4>
      </vt:variant>
      <vt:variant>
        <vt:i4>5</vt:i4>
      </vt:variant>
      <vt:variant>
        <vt:lpwstr/>
      </vt:variant>
      <vt:variant>
        <vt:lpwstr>_Toc478625434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2019-04-25T14:20:00Z</cp:lastPrinted>
  <dcterms:created xsi:type="dcterms:W3CDTF">2019-07-15T12:56:00Z</dcterms:created>
  <dcterms:modified xsi:type="dcterms:W3CDTF">2019-07-29T07:57:00Z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