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80C6E30-FC88-4D0A-A5B1-029D26D7D71B" style="width:450.75pt;height:434.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t>1.</w:t>
      </w:r>
      <w:r>
        <w:tab/>
      </w:r>
      <w:r>
        <w:rPr>
          <w:noProof/>
        </w:rPr>
        <w:t>КОНТЕКСТ НА ПРЕДЛОЖЕНИЕТО</w:t>
      </w:r>
    </w:p>
    <w:p>
      <w:pPr>
        <w:rPr>
          <w:noProof/>
        </w:rPr>
      </w:pPr>
      <w:r>
        <w:rPr>
          <w:noProof/>
        </w:rPr>
        <w:t>Като част от европейската политика за съседство (ЕПС) постепенното отваряне на определени програми и агенции на Европейския съюз за държавите — партньори по ЕПС, е една от множеството мерки, целящи да осигурят подкрепа за процеса на реформи, модернизация и преход в съседните на Европейския съюз държави. Европейската комисия разгледа подробно този аспект на политиката в своето съобщение от декември 2006 г. относно общия подход, който ще даде възможност на държавите — партньори по европейската политика за съседство, да вземат участие в агенции на Общността и програми на Общността</w:t>
      </w:r>
      <w:r>
        <w:rPr>
          <w:rStyle w:val="FootnoteReference"/>
          <w:noProof/>
        </w:rPr>
        <w:footnoteReference w:id="1"/>
      </w:r>
      <w:r>
        <w:rPr>
          <w:noProof/>
        </w:rPr>
        <w:t>.</w:t>
      </w:r>
    </w:p>
    <w:p>
      <w:pPr>
        <w:rPr>
          <w:noProof/>
        </w:rPr>
      </w:pPr>
      <w:r>
        <w:rPr>
          <w:noProof/>
        </w:rPr>
        <w:t>Съветът одобри този подход в заключенията си от 5 март 2007 г.</w:t>
      </w:r>
      <w:r>
        <w:rPr>
          <w:rStyle w:val="FootnoteReference"/>
          <w:noProof/>
        </w:rPr>
        <w:footnoteReference w:id="2"/>
      </w:r>
    </w:p>
    <w:p>
      <w:pPr>
        <w:rPr>
          <w:noProof/>
        </w:rPr>
      </w:pPr>
      <w:r>
        <w:rPr>
          <w:noProof/>
        </w:rPr>
        <w:t>На 18 юни 2007 г., вследствие на посоченото съобщение и заключенията от 5 март 2007 г., Съветът даде указания на Комисията да преговаря по рамкови споразумения с Азербайджан, Алжир, Армения, Грузия, Египет, Израел, Йордания, Ливан, Мароко, Молдова, Палестинската администрация, Тунис и Украйна относно общите принципи на участието им в програмите на Общността</w:t>
      </w:r>
      <w:r>
        <w:rPr>
          <w:rStyle w:val="FootnoteReference"/>
          <w:noProof/>
        </w:rPr>
        <w:footnoteReference w:id="3"/>
      </w:r>
      <w:r>
        <w:rPr>
          <w:noProof/>
        </w:rPr>
        <w:t xml:space="preserve">. </w:t>
      </w:r>
    </w:p>
    <w:p>
      <w:pPr>
        <w:rPr>
          <w:noProof/>
        </w:rPr>
      </w:pPr>
      <w:r>
        <w:rPr>
          <w:noProof/>
        </w:rPr>
        <w:t>През юни 2007 г. Европейският съвет</w:t>
      </w:r>
      <w:r>
        <w:rPr>
          <w:rStyle w:val="FootnoteReference"/>
          <w:noProof/>
        </w:rPr>
        <w:footnoteReference w:id="4"/>
      </w:r>
      <w:r>
        <w:rPr>
          <w:noProof/>
        </w:rPr>
        <w:t xml:space="preserve"> потвърди първостепенното значение на ЕПС и одобри доклада на председателството за напредъка</w:t>
      </w:r>
      <w:r>
        <w:rPr>
          <w:rStyle w:val="FootnoteReference"/>
          <w:noProof/>
        </w:rPr>
        <w:footnoteReference w:id="5"/>
      </w:r>
      <w:r>
        <w:rPr>
          <w:noProof/>
        </w:rPr>
        <w:t>, представен на заседанието на Съвета на 18 и 19 юни 2007 г., както и свързаните с него заключения на Съвета</w:t>
      </w:r>
      <w:r>
        <w:rPr>
          <w:rStyle w:val="FootnoteReference"/>
          <w:noProof/>
        </w:rPr>
        <w:footnoteReference w:id="6"/>
      </w:r>
      <w:r>
        <w:rPr>
          <w:noProof/>
        </w:rPr>
        <w:t xml:space="preserve">. В този доклад бяха припомнени указанията на Съвета за договаряне на съответни допълнителни протоколи. </w:t>
      </w:r>
    </w:p>
    <w:p>
      <w:pPr>
        <w:spacing w:after="60"/>
        <w:rPr>
          <w:noProof/>
        </w:rPr>
      </w:pPr>
      <w:r>
        <w:rPr>
          <w:noProof/>
        </w:rPr>
        <w:t>В съвместното съобщение на Комисията и на върховния представител на Съюза по въпросите на външните работи и политиката на сигурност относно нов отговор на промените в съседните държави</w:t>
      </w:r>
      <w:r>
        <w:rPr>
          <w:rStyle w:val="FootnoteReference"/>
          <w:noProof/>
        </w:rPr>
        <w:footnoteReference w:id="7"/>
      </w:r>
      <w:r>
        <w:rPr>
          <w:noProof/>
        </w:rPr>
        <w:t>, подкрепено от заключенията на Съвета от 20 юни 2011 г., допълнително бе подчертано намерението на ЕС да улесни участието на държавите партньори в програми на ЕС.</w:t>
      </w:r>
    </w:p>
    <w:p>
      <w:pPr>
        <w:spacing w:after="60"/>
        <w:rPr>
          <w:noProof/>
        </w:rPr>
      </w:pPr>
      <w:r>
        <w:rPr>
          <w:noProof/>
        </w:rPr>
        <w:t>Към днешна дата подобни протоколи са подписани с Алжир</w:t>
      </w:r>
      <w:r>
        <w:rPr>
          <w:rStyle w:val="FootnoteReference"/>
          <w:noProof/>
        </w:rPr>
        <w:footnoteReference w:id="8"/>
      </w:r>
      <w:r>
        <w:rPr>
          <w:noProof/>
        </w:rPr>
        <w:t>, Армения</w:t>
      </w:r>
      <w:r>
        <w:rPr>
          <w:rStyle w:val="FootnoteReference"/>
          <w:noProof/>
        </w:rPr>
        <w:footnoteReference w:id="9"/>
      </w:r>
      <w:r>
        <w:rPr>
          <w:noProof/>
        </w:rPr>
        <w:t>, Азербайджан</w:t>
      </w:r>
      <w:r>
        <w:rPr>
          <w:rStyle w:val="FootnoteReference"/>
          <w:noProof/>
        </w:rPr>
        <w:footnoteReference w:id="10"/>
      </w:r>
      <w:r>
        <w:rPr>
          <w:noProof/>
        </w:rPr>
        <w:t>, Грузия</w:t>
      </w:r>
      <w:r>
        <w:rPr>
          <w:rStyle w:val="FootnoteReference"/>
          <w:noProof/>
        </w:rPr>
        <w:footnoteReference w:id="11"/>
      </w:r>
      <w:r>
        <w:rPr>
          <w:noProof/>
        </w:rPr>
        <w:t>, Израел</w:t>
      </w:r>
      <w:r>
        <w:rPr>
          <w:rStyle w:val="FootnoteReference"/>
          <w:noProof/>
        </w:rPr>
        <w:footnoteReference w:id="12"/>
      </w:r>
      <w:r>
        <w:rPr>
          <w:noProof/>
        </w:rPr>
        <w:t>, Йордания</w:t>
      </w:r>
      <w:r>
        <w:rPr>
          <w:rStyle w:val="FootnoteReference"/>
          <w:noProof/>
        </w:rPr>
        <w:footnoteReference w:id="13"/>
      </w:r>
      <w:r>
        <w:rPr>
          <w:noProof/>
        </w:rPr>
        <w:t>, Ливан</w:t>
      </w:r>
      <w:r>
        <w:rPr>
          <w:rStyle w:val="FootnoteReference"/>
          <w:noProof/>
        </w:rPr>
        <w:footnoteReference w:id="14"/>
      </w:r>
      <w:r>
        <w:rPr>
          <w:noProof/>
        </w:rPr>
        <w:t>, Молдова</w:t>
      </w:r>
      <w:r>
        <w:rPr>
          <w:rStyle w:val="FootnoteReference"/>
          <w:noProof/>
        </w:rPr>
        <w:footnoteReference w:id="15"/>
      </w:r>
      <w:r>
        <w:rPr>
          <w:noProof/>
        </w:rPr>
        <w:t>, Мароко</w:t>
      </w:r>
      <w:r>
        <w:rPr>
          <w:rStyle w:val="FootnoteReference"/>
          <w:noProof/>
        </w:rPr>
        <w:footnoteReference w:id="16"/>
      </w:r>
      <w:r>
        <w:rPr>
          <w:noProof/>
        </w:rPr>
        <w:t>, Тунис</w:t>
      </w:r>
      <w:r>
        <w:rPr>
          <w:rStyle w:val="FootnoteReference"/>
          <w:noProof/>
        </w:rPr>
        <w:footnoteReference w:id="17"/>
      </w:r>
      <w:r>
        <w:rPr>
          <w:noProof/>
        </w:rPr>
        <w:t xml:space="preserve"> </w:t>
      </w:r>
      <w:r>
        <w:rPr>
          <w:noProof/>
        </w:rPr>
        <w:lastRenderedPageBreak/>
        <w:t>и Украйна</w:t>
      </w:r>
      <w:r>
        <w:rPr>
          <w:rStyle w:val="FootnoteReference"/>
          <w:noProof/>
        </w:rPr>
        <w:footnoteReference w:id="18"/>
      </w:r>
      <w:r>
        <w:rPr>
          <w:noProof/>
        </w:rPr>
        <w:t xml:space="preserve">, а протоколът с Египет е в процес на обсъждане. По време на заседанието на Съвместния комитет ЕС—Палестинската администрация през септември 2018 г. Палестинската администрация изрази своя интерес към подписването на протокол към рамково споразумение за своето потенциално пълноправно участие в редица избрани програми на ЕС. </w:t>
      </w:r>
    </w:p>
    <w:p>
      <w:pPr>
        <w:spacing w:after="60"/>
        <w:rPr>
          <w:noProof/>
        </w:rPr>
      </w:pPr>
      <w:r>
        <w:rPr>
          <w:noProof/>
        </w:rPr>
        <w:t>Целта на Протокола е да се определят финансовите и техническите правила, които да дадат възможност на Палестинската администрация да участва в някои програми на ЕС. Хоризонталната рамка, създадена с Протокола, установява принципите за икономическите, финансовите и техническите мерки и позволява на Палестинската администрация да получава помощ, по-специално финансова помощ, от Европейския съюз по линия на неговите програми. Тази рамка се прилага само по отношение на онези програми, в чиито правни учредителни актове е предвидена възможността за участието на Палестинската администрация. Поради това подписването и временното прилагане на Протокола не предполагат упражняването по различните секторни политики на правомощията, които се упражняват при създаването на програмите.</w:t>
      </w:r>
    </w:p>
    <w:p>
      <w:pPr>
        <w:pStyle w:val="ManualHeading1"/>
        <w:rPr>
          <w:noProof/>
        </w:rPr>
      </w:pPr>
      <w:r>
        <w:t>2.</w:t>
      </w:r>
      <w:r>
        <w:tab/>
      </w:r>
      <w:r>
        <w:rPr>
          <w:noProof/>
        </w:rPr>
        <w:t>ПРАВЕН КОНТЕКСТ</w:t>
      </w:r>
    </w:p>
    <w:p>
      <w:pPr>
        <w:pBdr>
          <w:top w:val="nil"/>
          <w:left w:val="nil"/>
          <w:bottom w:val="nil"/>
          <w:right w:val="nil"/>
          <w:between w:val="nil"/>
          <w:bar w:val="nil"/>
        </w:pBdr>
        <w:spacing w:before="0" w:after="240"/>
        <w:rPr>
          <w:noProof/>
          <w:szCs w:val="24"/>
        </w:rPr>
      </w:pPr>
      <w:r>
        <w:rPr>
          <w:noProof/>
        </w:rPr>
        <w:t>Евро-средиземноморското временно споразумение за асоцииране в областта на търговията и сътрудничеството между Европейската общност, от една страна, и Организацията за освобождение на Палестина (ООП), действаща в полза на Палестинската администрация на Западния бряг и Ивицата Газа, от друга, бе подписано на 24 февруари 1997 г. и влезе в сила на 1 юли 1997 г.</w:t>
      </w:r>
    </w:p>
    <w:p>
      <w:pPr>
        <w:pBdr>
          <w:top w:val="nil"/>
          <w:left w:val="nil"/>
          <w:bottom w:val="nil"/>
          <w:right w:val="nil"/>
          <w:between w:val="nil"/>
          <w:bar w:val="nil"/>
        </w:pBdr>
        <w:spacing w:before="0" w:after="240"/>
        <w:rPr>
          <w:rFonts w:eastAsia="Arial Unicode MS"/>
          <w:noProof/>
        </w:rPr>
      </w:pPr>
      <w:r>
        <w:rPr>
          <w:noProof/>
        </w:rPr>
        <w:t>На своето заседание на 17 и 18 юни 2004 г. Европейският съвет приветства предложенията на Комисията за ЕПС и одобри заключенията на Съвета от 14 юни 2004 г.</w:t>
      </w:r>
    </w:p>
    <w:p>
      <w:pPr>
        <w:pBdr>
          <w:top w:val="nil"/>
          <w:left w:val="nil"/>
          <w:bottom w:val="nil"/>
          <w:right w:val="nil"/>
          <w:between w:val="nil"/>
          <w:bar w:val="nil"/>
        </w:pBdr>
        <w:spacing w:before="0" w:after="240"/>
        <w:rPr>
          <w:rFonts w:eastAsia="Arial Unicode MS"/>
          <w:noProof/>
        </w:rPr>
      </w:pPr>
      <w:r>
        <w:rPr>
          <w:noProof/>
        </w:rPr>
        <w:t>На 5 март 2007 г. Съветът изрази подкрепа за общия и цялостен подход, посочен в съобщението на Комисията от 4 декември 2006 г., който да даде възможност на партньорите по ЕПС да вземат участие в агенции на Общността и програми на Общността в зависимост от заслугите си и когато правните основания позволяват това.</w:t>
      </w:r>
    </w:p>
    <w:p>
      <w:pPr>
        <w:rPr>
          <w:noProof/>
        </w:rPr>
      </w:pPr>
      <w:r>
        <w:rPr>
          <w:noProof/>
        </w:rPr>
        <w:t>На 18 юни 2007 г., вследствие на посоченото съобщение и заключенията от 5 март 2007 г., Съветът даде указания на Комисията да преговаря по рамкови споразумения с държавите по ЕПС относно общите принципи на участието им в програмите на Общността</w:t>
      </w:r>
      <w:r>
        <w:rPr>
          <w:rStyle w:val="FootnoteReference"/>
          <w:noProof/>
        </w:rPr>
        <w:footnoteReference w:id="19"/>
      </w:r>
      <w:r>
        <w:rPr>
          <w:noProof/>
        </w:rPr>
        <w:t xml:space="preserve">. </w:t>
      </w:r>
    </w:p>
    <w:p>
      <w:pPr>
        <w:rPr>
          <w:noProof/>
        </w:rPr>
      </w:pPr>
      <w:r>
        <w:rPr>
          <w:noProof/>
        </w:rPr>
        <w:t xml:space="preserve">Материалноправното основание за подписването на Протокола е член 209 от Договора за функционирането на Европейския съюз (ДФЕС). Процесуалноправното основание е член 218, параграфи 5 и 7 от ДФЕС. </w:t>
      </w:r>
    </w:p>
    <w:p>
      <w:pPr>
        <w:rPr>
          <w:noProof/>
        </w:rPr>
      </w:pPr>
      <w:r>
        <w:rPr>
          <w:noProof/>
        </w:rPr>
        <w:t>Протоколът ще бъде подписан с Палестинската администрация на Западния бряг и Ивицата Газа, която е партньорът на ЕС за прилагането на Временното споразумение за асоцииране</w:t>
      </w:r>
      <w:r>
        <w:rPr>
          <w:rStyle w:val="FootnoteReference"/>
          <w:noProof/>
        </w:rPr>
        <w:footnoteReference w:id="20"/>
      </w:r>
      <w:r>
        <w:rPr>
          <w:noProof/>
        </w:rPr>
        <w:t xml:space="preserve">. </w:t>
      </w:r>
    </w:p>
    <w:p>
      <w:pPr>
        <w:pStyle w:val="ManualHeading1"/>
        <w:rPr>
          <w:rStyle w:val="Heading1Char"/>
          <w:b/>
          <w:noProof/>
          <w:lang w:val="bg-BG"/>
        </w:rPr>
      </w:pPr>
      <w:r>
        <w:rPr>
          <w:rStyle w:val="Heading1Char"/>
        </w:rPr>
        <w:lastRenderedPageBreak/>
        <w:t>3.</w:t>
      </w:r>
      <w:r>
        <w:rPr>
          <w:rStyle w:val="Heading1Char"/>
        </w:rPr>
        <w:tab/>
      </w:r>
      <w:r>
        <w:rPr>
          <w:rStyle w:val="Heading1Char"/>
          <w:b/>
          <w:noProof/>
          <w:lang w:val="bg-BG"/>
        </w:rPr>
        <w:t>РЕЗУЛТАТИ ОТ ПОСЛЕДВАЩИТЕ ОЦЕНКИ, КОНСУЛТАЦИИТЕ СЪС ЗАИНТЕРЕСОВАНИТЕ СТРАНИ И ОЦЕНКИТЕ НА ВЪЗДЕЙСТВИЕТО</w:t>
      </w:r>
    </w:p>
    <w:p>
      <w:pPr>
        <w:pBdr>
          <w:top w:val="nil"/>
          <w:left w:val="nil"/>
          <w:bottom w:val="nil"/>
          <w:right w:val="nil"/>
          <w:between w:val="nil"/>
          <w:bar w:val="nil"/>
        </w:pBdr>
        <w:spacing w:before="0" w:after="240"/>
        <w:rPr>
          <w:noProof/>
        </w:rPr>
      </w:pPr>
      <w:r>
        <w:rPr>
          <w:noProof/>
        </w:rPr>
        <w:t>Не се прилага.</w:t>
      </w:r>
    </w:p>
    <w:p>
      <w:pPr>
        <w:pStyle w:val="ManualHeading1"/>
        <w:rPr>
          <w:noProof/>
        </w:rPr>
      </w:pPr>
      <w:r>
        <w:t>4.</w:t>
      </w:r>
      <w:r>
        <w:tab/>
      </w:r>
      <w:r>
        <w:rPr>
          <w:noProof/>
        </w:rPr>
        <w:t>ОТРАЖЕНИЕ ВЪРХУ БЮДЖЕТА</w:t>
      </w:r>
    </w:p>
    <w:p>
      <w:pPr>
        <w:shd w:val="clear" w:color="auto" w:fill="FFFFFF"/>
        <w:rPr>
          <w:noProof/>
        </w:rPr>
      </w:pPr>
      <w:r>
        <w:rPr>
          <w:noProof/>
        </w:rPr>
        <w:t xml:space="preserve">Палестинската администрация участва финансово в общия бюджет на Европейския съюз в съответствие с конкретните програми, в които тя участва. </w:t>
      </w:r>
    </w:p>
    <w:p>
      <w:pPr>
        <w:shd w:val="clear" w:color="auto" w:fill="FFFFFF"/>
        <w:rPr>
          <w:noProof/>
        </w:rPr>
      </w:pPr>
      <w:r>
        <w:rPr>
          <w:noProof/>
        </w:rPr>
        <w:t>Конкретният ред и условия, свързани с участието на Палестинската администрация във всяка отделна програма, по-специално дължимото финансово участие, се определят в меморандум за разбирателство между Комисията и компетентните органи на Палестинската администрация въз основа на критериите, установени в съответните програми.</w:t>
      </w:r>
    </w:p>
    <w:p>
      <w:pPr>
        <w:shd w:val="clear" w:color="auto" w:fill="FFFFFF"/>
        <w:rPr>
          <w:noProof/>
        </w:rPr>
      </w:pPr>
      <w:r>
        <w:rPr>
          <w:noProof/>
        </w:rPr>
        <w:t xml:space="preserve">Съгласно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във всеки меморандум за разбирателство, сключен в съответствие с член 5 от Протокола, се посочва, че финансовият контрол, одитите или </w:t>
      </w:r>
      <w:r>
        <w:rPr>
          <w:rStyle w:val="Emphasis"/>
          <w:i w:val="0"/>
          <w:noProof/>
        </w:rPr>
        <w:t>другите проверки, в това число административните разследвания</w:t>
      </w:r>
      <w:r>
        <w:rPr>
          <w:noProof/>
        </w:rPr>
        <w:t>, ще се извършват от или под ръководството на Комисията, Европейската служба за борба с измамите и Сметната палата.</w:t>
      </w:r>
    </w:p>
    <w:p>
      <w:pPr>
        <w:shd w:val="clear" w:color="auto" w:fill="FFFFFF"/>
        <w:rPr>
          <w:noProof/>
        </w:rPr>
      </w:pPr>
      <w:r>
        <w:rPr>
          <w:noProof/>
        </w:rPr>
        <w:t xml:space="preserve">Приемат се подробни разпоредби за финансовия контрол и одита, административните мерки, санкциите и събирането на вземания, с които на Комисията, Европейската служба за борба с измамите и Сметната палата се предоставят правомощия, еквивалентни на правомощията им по отношение на бенефициерите или изпълнителите, установени в Съюза. </w:t>
      </w:r>
    </w:p>
    <w:p>
      <w:pPr>
        <w:pStyle w:val="ManualHeading1"/>
        <w:rPr>
          <w:noProof/>
        </w:rPr>
      </w:pPr>
      <w:r>
        <w:t>5.</w:t>
      </w:r>
      <w:r>
        <w:tab/>
      </w:r>
      <w:r>
        <w:rPr>
          <w:noProof/>
        </w:rPr>
        <w:t>ДРУГИ ЕЛЕМЕНТИ</w:t>
      </w:r>
    </w:p>
    <w:p>
      <w:pPr>
        <w:shd w:val="clear" w:color="auto" w:fill="FFFFFF"/>
        <w:rPr>
          <w:noProof/>
          <w:szCs w:val="24"/>
        </w:rPr>
      </w:pPr>
      <w:r>
        <w:rPr>
          <w:noProof/>
        </w:rPr>
        <w:t xml:space="preserve">Не по-късно от три години след датата на влизане в сила на този протокол и на всеки три години след това страните могат да извършват преглед на прилагането на този протокол в зависимост от реалното участие на </w:t>
      </w:r>
      <w:r>
        <w:rPr>
          <w:bCs/>
          <w:noProof/>
          <w:color w:val="000000"/>
        </w:rPr>
        <w:t>Палестинската администрация</w:t>
      </w:r>
      <w:r>
        <w:rPr>
          <w:noProof/>
        </w:rPr>
        <w:t xml:space="preserve"> в програми на Съюза. </w:t>
      </w:r>
    </w:p>
    <w:p>
      <w:pPr>
        <w:shd w:val="clear" w:color="auto" w:fill="FFFFFF"/>
        <w:rPr>
          <w:noProof/>
        </w:rPr>
      </w:pPr>
      <w:r>
        <w:rPr>
          <w:noProof/>
        </w:rPr>
        <w:t>Конкретният ред и условия, свързани с участието на Палестинската администрация във всяка отделна програма, по-специално процедурите за докладване и оценка, се определят в меморандум за разбирателство между Комисията и компетентните органи на Палестинската администрация въз основа на критериите, установени в съответните програми.</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2019/0165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подписването и временното прилагане, от името на Европейския съюз, на Протокол към Евро-средиземноморското временно споразумение за асоцииране в областта на търговията и сътрудничеството между Европейската общност, от една страна, и Организацията за освобождение на Палестина (ООП), действаща в полза на палестинската администрация на Западния бряг и Ивицата Газа, от друга, относно Рамково споразумение между Европейския съюз и Палестинската администрация на Западния бряг и Ивицата Газа за общите принципи на участие в програми на Съюза</w:t>
      </w:r>
    </w:p>
    <w:p>
      <w:pPr>
        <w:pStyle w:val="Institutionquiagit"/>
        <w:rPr>
          <w:b/>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209, във връзка с член 218, параграфи 5 и 7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На 18 юни 2007 г. Съветът упълномощи Комисията да води преговори за Протокол към Евро-средиземноморското временно споразумение за асоцииране в областта на търговията и сътрудничеството между Европейската общност, от една страна, и Организацията за освобождение на Палестина (ООП), действаща в полза на палестинската администрация на Западния бряг и Ивицата Газа, от друга, относно Рамково споразумение между Европейския съюз и Палестинската администрация на Западния бряг и Ивицата Газа за общите принципи на участие в програми на Съюза („Протоколът“).</w:t>
      </w:r>
    </w:p>
    <w:p>
      <w:pPr>
        <w:pStyle w:val="ManualConsidrant"/>
        <w:rPr>
          <w:noProof/>
        </w:rPr>
      </w:pPr>
      <w:r>
        <w:t>(2)</w:t>
      </w:r>
      <w:r>
        <w:tab/>
      </w:r>
      <w:r>
        <w:rPr>
          <w:noProof/>
        </w:rPr>
        <w:t>Преговорите приключиха.</w:t>
      </w:r>
    </w:p>
    <w:p>
      <w:pPr>
        <w:pStyle w:val="ManualConsidrant"/>
        <w:rPr>
          <w:noProof/>
        </w:rPr>
      </w:pPr>
      <w:r>
        <w:t>(3)</w:t>
      </w:r>
      <w:r>
        <w:tab/>
      </w:r>
      <w:r>
        <w:rPr>
          <w:noProof/>
        </w:rPr>
        <w:t xml:space="preserve">Целта на Протокола е да се определят финансовите и техническите правила, които да дадат възможност на Палестинската администрация да участва в някои програми на ЕС. Хоризонталната рамка, създадена с Протокола, установява принципите за икономическите, финансовите и техническите мерки за сътрудничество и позволява на Палестинската администрация да получава помощ, по-специално финансова помощ, от Европейския съюз по линия на неговите програми. Тази рамка се прилага само по отношение на онези програми, в чиито правни учредителни актове е предвидена възможността за участието на Палестинската администрация. Поради това подписването и временното прилагане на Протокола не предполагат упражняването по различните секторни политики на правомощията, които се упражняват при създаването на програмите.  </w:t>
      </w:r>
    </w:p>
    <w:p>
      <w:pPr>
        <w:pStyle w:val="ManualConsidrant"/>
        <w:rPr>
          <w:noProof/>
        </w:rPr>
      </w:pPr>
      <w:r>
        <w:t>(4)</w:t>
      </w:r>
      <w:r>
        <w:tab/>
      </w:r>
      <w:r>
        <w:rPr>
          <w:noProof/>
        </w:rPr>
        <w:t>Протоколът следва да бъде подписан от името на Европейския съюз и да се прилага временно до приключване на процедурите по сключването му,</w:t>
      </w:r>
    </w:p>
    <w:p>
      <w:pPr>
        <w:pStyle w:val="Formuledadoption"/>
        <w:rPr>
          <w:noProof/>
        </w:rPr>
      </w:pPr>
      <w:r>
        <w:rPr>
          <w:noProof/>
        </w:rPr>
        <w:lastRenderedPageBreak/>
        <w:t>ПРИЕ НАСТОЯЩОТО РЕШЕНИЕ:</w:t>
      </w:r>
    </w:p>
    <w:p>
      <w:pPr>
        <w:pStyle w:val="Titrearticle"/>
        <w:outlineLvl w:val="0"/>
        <w:rPr>
          <w:noProof/>
        </w:rPr>
      </w:pPr>
      <w:r>
        <w:rPr>
          <w:noProof/>
        </w:rPr>
        <w:t>Член 1</w:t>
      </w:r>
    </w:p>
    <w:p>
      <w:pPr>
        <w:autoSpaceDE w:val="0"/>
        <w:autoSpaceDN w:val="0"/>
        <w:adjustRightInd w:val="0"/>
        <w:rPr>
          <w:noProof/>
        </w:rPr>
      </w:pPr>
      <w:r>
        <w:rPr>
          <w:noProof/>
        </w:rPr>
        <w:t>Разрешава се подписването, от името на Съюза, на Протокола към Евро-средиземноморското временно споразумение за асоцииране в областта на търговията и сътрудничеството между Европейската общност, от една страна, и Организацията за освобождение на Палестина (ООП), действаща в полза на палестинската администрация на Западния бряг и Ивицата Газа, от друга, относно Рамково споразумение между Европейския съюз и Палестинската администрация на Западния бряг и Ивицата Газа за общите принципи на участие в програми на Съюза при условие на сключването на посочения протокол.</w:t>
      </w:r>
    </w:p>
    <w:p>
      <w:pPr>
        <w:autoSpaceDE w:val="0"/>
        <w:autoSpaceDN w:val="0"/>
        <w:adjustRightInd w:val="0"/>
        <w:rPr>
          <w:noProof/>
        </w:rPr>
      </w:pPr>
      <w:r>
        <w:rPr>
          <w:noProof/>
        </w:rPr>
        <w:t>Текстът на Протокола е приложен към настоящото решение.</w:t>
      </w:r>
    </w:p>
    <w:p>
      <w:pPr>
        <w:pStyle w:val="Titrearticle"/>
        <w:rPr>
          <w:noProof/>
        </w:rPr>
      </w:pPr>
      <w:r>
        <w:rPr>
          <w:noProof/>
        </w:rPr>
        <w:t>Член 2</w:t>
      </w:r>
    </w:p>
    <w:p>
      <w:pPr>
        <w:rPr>
          <w:noProof/>
        </w:rPr>
      </w:pPr>
      <w:r>
        <w:rPr>
          <w:noProof/>
        </w:rPr>
        <w:t>Генералният секретариат на Съвета изготвя акта за предоставяне на пълномощия за подписване на Протокола, при условие че той бъде сключен, на лицето или лицата, посочени от преговарящия по Протокола.</w:t>
      </w:r>
    </w:p>
    <w:p>
      <w:pPr>
        <w:pStyle w:val="Titrearticle"/>
        <w:rPr>
          <w:noProof/>
        </w:rPr>
      </w:pPr>
      <w:r>
        <w:rPr>
          <w:noProof/>
        </w:rPr>
        <w:t>Член 3</w:t>
      </w:r>
    </w:p>
    <w:p>
      <w:pPr>
        <w:rPr>
          <w:noProof/>
        </w:rPr>
      </w:pPr>
      <w:r>
        <w:rPr>
          <w:noProof/>
        </w:rPr>
        <w:t>В съответствие с член 10 от Протокола той се прилага временно, считано от датата на неговото подписване, до приключване на процедурите, необходими за сключването му.</w:t>
      </w:r>
    </w:p>
    <w:p>
      <w:pPr>
        <w:rPr>
          <w:noProof/>
        </w:rPr>
      </w:pPr>
      <w:r>
        <w:rPr>
          <w:noProof/>
        </w:rPr>
        <w:t xml:space="preserve">Датата на подписване на Протокола ще се публикува в </w:t>
      </w:r>
      <w:r>
        <w:rPr>
          <w:i/>
          <w:iCs/>
          <w:noProof/>
        </w:rPr>
        <w:t>Официален вестник на Европейския съюз.</w:t>
      </w:r>
    </w:p>
    <w:p>
      <w:pPr>
        <w:pStyle w:val="Titrearticle"/>
        <w:rPr>
          <w:noProof/>
        </w:rPr>
      </w:pPr>
      <w:r>
        <w:rPr>
          <w:noProof/>
        </w:rPr>
        <w:t>Член 4</w:t>
      </w:r>
    </w:p>
    <w:p>
      <w:pPr>
        <w:rPr>
          <w:noProof/>
        </w:rPr>
      </w:pPr>
      <w:r>
        <w:rPr>
          <w:noProof/>
        </w:rPr>
        <w:t>Комисията се упълномощава да определи, от името на Съюза, конкретния ред и условия, приложими към участието на Палестинската администрация във всяка програма, и по-специално дължимото финансово участие. Комисията предоставя редовно информация на съответната работна група на Съвета.</w:t>
      </w:r>
    </w:p>
    <w:p>
      <w:pPr>
        <w:pStyle w:val="Titrearticle"/>
        <w:rPr>
          <w:noProof/>
        </w:rPr>
      </w:pPr>
      <w:r>
        <w:rPr>
          <w:noProof/>
        </w:rPr>
        <w:t>Член 5</w:t>
      </w:r>
    </w:p>
    <w:p>
      <w:pPr>
        <w:rPr>
          <w:noProof/>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СОМ(2006) 724 final от 4 декември 2006 г.</w:t>
      </w:r>
    </w:p>
  </w:footnote>
  <w:footnote w:id="2">
    <w:p>
      <w:pPr>
        <w:pStyle w:val="FootnoteText"/>
      </w:pPr>
      <w:r>
        <w:rPr>
          <w:rStyle w:val="FootnoteReference"/>
        </w:rPr>
        <w:footnoteRef/>
      </w:r>
      <w:r>
        <w:tab/>
        <w:t>Заключения на Съвета по общи въпроси и външни отношения от 5 март 2007 г.</w:t>
      </w:r>
    </w:p>
  </w:footnote>
  <w:footnote w:id="3">
    <w:p>
      <w:pPr>
        <w:pStyle w:val="FootnoteText"/>
      </w:pPr>
      <w:r>
        <w:rPr>
          <w:rStyle w:val="FootnoteReference"/>
        </w:rPr>
        <w:footnoteRef/>
      </w:r>
      <w:r>
        <w:tab/>
        <w:t>Решение на Съвета (с ограничен достъп), с което Комисията се упълномощава да води преговори по протоколи […], док. 10412/07.</w:t>
      </w:r>
    </w:p>
  </w:footnote>
  <w:footnote w:id="4">
    <w:p>
      <w:pPr>
        <w:pStyle w:val="FootnoteText"/>
      </w:pPr>
      <w:r>
        <w:rPr>
          <w:rStyle w:val="FootnoteReference"/>
        </w:rPr>
        <w:footnoteRef/>
      </w:r>
      <w:r>
        <w:tab/>
        <w:t>Заключения на председателството — Брюксел, 21—22 юни 2007 г., док. 11177/07.</w:t>
      </w:r>
    </w:p>
  </w:footnote>
  <w:footnote w:id="5">
    <w:p>
      <w:pPr>
        <w:pStyle w:val="FootnoteText"/>
      </w:pPr>
      <w:r>
        <w:rPr>
          <w:rStyle w:val="FootnoteReference"/>
        </w:rPr>
        <w:footnoteRef/>
      </w:r>
      <w:r>
        <w:tab/>
        <w:t>Доклад на председателството за постигнатия напредък „Укрепване на европейската политика на добросъседство“, док. 10874/07.</w:t>
      </w:r>
    </w:p>
  </w:footnote>
  <w:footnote w:id="6">
    <w:p>
      <w:pPr>
        <w:pStyle w:val="FootnoteText"/>
      </w:pPr>
      <w:r>
        <w:rPr>
          <w:rStyle w:val="FootnoteReference"/>
        </w:rPr>
        <w:footnoteRef/>
      </w:r>
      <w:r>
        <w:tab/>
        <w:t>Заключения относно укрепването на европейската политика на добросъседство, приети от Съвета (по общи въпроси и външни отношения) на 18 юни 2007 г., док. 11016/07.</w:t>
      </w:r>
    </w:p>
  </w:footnote>
  <w:footnote w:id="7">
    <w:p>
      <w:pPr>
        <w:pStyle w:val="FootnoteText"/>
      </w:pPr>
      <w:r>
        <w:rPr>
          <w:rStyle w:val="FootnoteReference"/>
        </w:rPr>
        <w:footnoteRef/>
      </w:r>
      <w:r>
        <w:tab/>
        <w:t>СОМ(2011) 303 final от 25 май 2011 г.</w:t>
      </w:r>
    </w:p>
  </w:footnote>
  <w:footnote w:id="8">
    <w:p>
      <w:pPr>
        <w:pStyle w:val="FootnoteText"/>
      </w:pPr>
      <w:r>
        <w:rPr>
          <w:rStyle w:val="FootnoteReference"/>
        </w:rPr>
        <w:footnoteRef/>
      </w:r>
      <w:r>
        <w:tab/>
        <w:t>ОВ L 14, 18.1.2017 г., стр. 2.</w:t>
      </w:r>
    </w:p>
  </w:footnote>
  <w:footnote w:id="9">
    <w:p>
      <w:pPr>
        <w:pStyle w:val="FootnoteText"/>
      </w:pPr>
      <w:r>
        <w:rPr>
          <w:rStyle w:val="FootnoteReference"/>
        </w:rPr>
        <w:footnoteRef/>
      </w:r>
      <w:r>
        <w:tab/>
        <w:t>ОВ L 174, 13.6.2014 г., стр. 1.</w:t>
      </w:r>
    </w:p>
  </w:footnote>
  <w:footnote w:id="10">
    <w:p>
      <w:pPr>
        <w:pStyle w:val="FootnoteText"/>
      </w:pPr>
      <w:r>
        <w:rPr>
          <w:rStyle w:val="FootnoteReference"/>
        </w:rPr>
        <w:footnoteRef/>
      </w:r>
      <w:r>
        <w:tab/>
        <w:t>ОВ L 199, 26.7.2016 г., стр. 1.</w:t>
      </w:r>
    </w:p>
  </w:footnote>
  <w:footnote w:id="11">
    <w:p>
      <w:pPr>
        <w:pStyle w:val="FootnoteText"/>
      </w:pPr>
      <w:r>
        <w:rPr>
          <w:rStyle w:val="FootnoteReference"/>
        </w:rPr>
        <w:footnoteRef/>
      </w:r>
      <w:r>
        <w:tab/>
        <w:t>ОВ L 165, 4.6.2014 г., стр. 16.</w:t>
      </w:r>
    </w:p>
  </w:footnote>
  <w:footnote w:id="12">
    <w:p>
      <w:pPr>
        <w:pStyle w:val="FootnoteText"/>
      </w:pPr>
      <w:r>
        <w:rPr>
          <w:rStyle w:val="FootnoteReference"/>
        </w:rPr>
        <w:footnoteRef/>
      </w:r>
      <w:r>
        <w:tab/>
        <w:t>ОВ L 129, 17.5.2008 г., стр. 39.</w:t>
      </w:r>
    </w:p>
  </w:footnote>
  <w:footnote w:id="13">
    <w:p>
      <w:pPr>
        <w:pStyle w:val="FootnoteText"/>
      </w:pPr>
      <w:r>
        <w:rPr>
          <w:rStyle w:val="FootnoteReference"/>
        </w:rPr>
        <w:footnoteRef/>
      </w:r>
      <w:r>
        <w:tab/>
        <w:t>ОВ L 89, 25.3.2014 г., стр. 6.</w:t>
      </w:r>
    </w:p>
  </w:footnote>
  <w:footnote w:id="14">
    <w:p>
      <w:pPr>
        <w:pStyle w:val="FootnoteText"/>
      </w:pPr>
      <w:r>
        <w:rPr>
          <w:rStyle w:val="FootnoteReference"/>
        </w:rPr>
        <w:footnoteRef/>
      </w:r>
      <w:r>
        <w:tab/>
        <w:t>ОВ L 202, 28.7.2016 г., стр. 3.</w:t>
      </w:r>
    </w:p>
  </w:footnote>
  <w:footnote w:id="15">
    <w:p>
      <w:pPr>
        <w:pStyle w:val="FootnoteText"/>
      </w:pPr>
      <w:r>
        <w:rPr>
          <w:rStyle w:val="FootnoteReference"/>
        </w:rPr>
        <w:footnoteRef/>
      </w:r>
      <w:r>
        <w:tab/>
        <w:t>ОВ L 131, 18.5.2016 г., стр. 1.</w:t>
      </w:r>
    </w:p>
  </w:footnote>
  <w:footnote w:id="16">
    <w:p>
      <w:pPr>
        <w:pStyle w:val="FootnoteText"/>
      </w:pPr>
      <w:r>
        <w:rPr>
          <w:rStyle w:val="FootnoteReference"/>
        </w:rPr>
        <w:footnoteRef/>
      </w:r>
      <w:r>
        <w:tab/>
        <w:t>OВ L 90, 28.3.2012 г., стр. 1.</w:t>
      </w:r>
    </w:p>
  </w:footnote>
  <w:footnote w:id="17">
    <w:p>
      <w:pPr>
        <w:pStyle w:val="FootnoteText"/>
      </w:pPr>
      <w:r>
        <w:rPr>
          <w:rStyle w:val="FootnoteReference"/>
        </w:rPr>
        <w:footnoteRef/>
      </w:r>
      <w:r>
        <w:tab/>
        <w:t>OВ L 297, 13.11.2015 г., стр. 1.</w:t>
      </w:r>
    </w:p>
  </w:footnote>
  <w:footnote w:id="18">
    <w:p>
      <w:pPr>
        <w:pStyle w:val="FootnoteText"/>
      </w:pPr>
      <w:r>
        <w:rPr>
          <w:rStyle w:val="FootnoteReference"/>
        </w:rPr>
        <w:footnoteRef/>
      </w:r>
      <w:r>
        <w:tab/>
        <w:t>ОВ L 133, 20.5.2011 г., стр. 1.</w:t>
      </w:r>
    </w:p>
  </w:footnote>
  <w:footnote w:id="19">
    <w:p>
      <w:pPr>
        <w:pStyle w:val="FootnoteText"/>
      </w:pPr>
      <w:r>
        <w:rPr>
          <w:rStyle w:val="FootnoteReference"/>
        </w:rPr>
        <w:footnoteRef/>
      </w:r>
      <w:r>
        <w:tab/>
        <w:t>Решение на Съвета (с ограничен достъп), с което Комисията се упълномощава да води преговори по протоколи […], док. 10412/07.</w:t>
      </w:r>
    </w:p>
  </w:footnote>
  <w:footnote w:id="20">
    <w:p>
      <w:pPr>
        <w:pStyle w:val="FootnoteText"/>
      </w:pPr>
      <w:r>
        <w:rPr>
          <w:rStyle w:val="FootnoteReference"/>
        </w:rPr>
        <w:footnoteRef/>
      </w:r>
      <w:r>
        <w:tab/>
        <w:t>Вж. също плана за действие, подписан с Палестинската администрация съгласно Решение (ЕС) 2019/222 на Съвета от 20 декември 2018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DD47B5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B008E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0486F898"/>
    <w:lvl w:ilvl="0">
      <w:start w:val="1"/>
      <w:numFmt w:val="decimal"/>
      <w:pStyle w:val="ListNumber2"/>
      <w:lvlText w:val="%1."/>
      <w:lvlJc w:val="left"/>
      <w:pPr>
        <w:tabs>
          <w:tab w:val="num" w:pos="643"/>
        </w:tabs>
        <w:ind w:left="643" w:hanging="360"/>
      </w:pPr>
    </w:lvl>
  </w:abstractNum>
  <w:abstractNum w:abstractNumId="3">
    <w:nsid w:val="FFFFFF81"/>
    <w:multiLevelType w:val="singleLevel"/>
    <w:tmpl w:val="0732784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42A51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698BE8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238DDE8"/>
    <w:lvl w:ilvl="0">
      <w:start w:val="1"/>
      <w:numFmt w:val="decimal"/>
      <w:pStyle w:val="ListNumber"/>
      <w:lvlText w:val="%1."/>
      <w:lvlJc w:val="left"/>
      <w:pPr>
        <w:tabs>
          <w:tab w:val="num" w:pos="360"/>
        </w:tabs>
        <w:ind w:left="360" w:hanging="360"/>
      </w:pPr>
    </w:lvl>
  </w:abstractNum>
  <w:abstractNum w:abstractNumId="7">
    <w:nsid w:val="FFFFFF89"/>
    <w:multiLevelType w:val="singleLevel"/>
    <w:tmpl w:val="56149A6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29 10:01:2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80C6E30-FC88-4D0A-A5B1-029D26D7D71B"/>
    <w:docVar w:name="LW_COVERPAGE_TYPE" w:val="1"/>
    <w:docVar w:name="LW_CROSSREFERENCE" w:val="&lt;UNUSED&gt;"/>
    <w:docVar w:name="LW_DocType" w:val="COM"/>
    <w:docVar w:name="LW_EMISSION" w:val="2.8.2019"/>
    <w:docVar w:name="LW_EMISSION_ISODATE" w:val="2019-08-02"/>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65"/>
    <w:docVar w:name="LW_REF.II.NEW.CP_YEAR" w:val="2019"/>
    <w:docVar w:name="LW_REF.INST.NEW" w:val="COM"/>
    <w:docVar w:name="LW_REF.INST.NEW_ADOPTED" w:val="final"/>
    <w:docVar w:name="LW_REF.INST.NEW_TEXT" w:val="(2019) 3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6?\u1087?\u1080?\u1089?\u1074?\u1072?\u1085?\u1077?\u1090?\u1086? \u1080? \u1074?\u1088?\u1077?\u1084?\u1077?\u1085?\u1085?\u1086?\u1090?\u1086? \u1087?\u1088?\u1080?\u1083?\u1072?\u1075?\u1072?\u1085?\u1077?, \u1086?\u1090? \u1080?\u1084?\u1077?\u1090?\u1086? \u1085?\u1072? \u1045?\u1074?\u1088?\u1086?\u1087?\u1077?\u1081?\u1089?\u1082?\u1080?\u1103? \u1089?\u1098?\u1102?\u1079?, \u1085?\u1072? \u1055?\u1088?\u1086?\u1090?\u1086?\u1082?\u1086?\u1083? \u1082?\u1098?\u1084? \u1045?\u1074?\u1088?\u1086?-\u1089?\u1088?\u1077?\u1076?\u1080?\u1079?\u1077?\u1084?\u1085?\u1086?\u1084?\u1086?\u1088?\u1089?\u1082?\u1086?\u1090?\u1086? \u1074?\u1088?\u1077?\u1084?\u1077?\u1085?\u1085?\u1086? \u1089?\u1087?\u1086?\u1088?\u1072?\u1079?\u1091?\u1084?\u1077?\u1085?\u1080?\u1077? \u1079?\u1072? \u1072?\u1089?\u1086?\u1094?\u1080?\u1080?\u1088?\u1072?\u1085?\u1077? \u1074? \u1086?\u1073?\u1083?\u1072?\u1089?\u1090?\u1090?\u1072? \u1085?\u1072? \u1090?\u1098?\u1088?\u1075?\u1086?\u1074?\u1080?\u1103?\u1090?\u1072? \u1080? \u1089?\u1098?\u1090?\u1088?\u1091?\u1076?\u1085?\u1080?\u1095?\u1077?\u1089?\u1090?\u1074?\u1086?\u1090?\u1086? \u1084?\u1077?\u1078?\u1076?\u1091? \u1045?\u1074?\u1088?\u1086?\u1087?\u1077?\u1081?\u1089?\u1082?\u1072?\u1090?\u1072? \u1086?\u1073?\u1097?\u1085?\u1086?\u1089?\u1090?, \u1086?\u1090? \u1077?\u1076?\u1085?\u1072? \u1089?\u1090?\u1088?\u1072?\u1085?\u1072?, \u1080? \u1054?\u1088?\u1075?\u1072?\u1085?\u1080?\u1079?\u1072?\u1094?\u1080?\u1103?\u1090?\u1072? \u1079?\u1072? \u1086?\u1089?\u1074?\u1086?\u1073?\u1086?\u1078?\u1076?\u1077?\u1085?\u1080?\u1077? \u1085?\u1072? \u1055?\u1072?\u1083?\u1077?\u1089?\u1090?\u1080?\u1085?\u1072? (\u1054?\u1054?\u1055?), \u1076?\u1077?\u1081?\u1089?\u1090?\u1074?\u1072?\u1097?\u1072? \u1074? \u1087?\u1086?\u1083?\u1079?\u1072? \u1085?\u1072? \u1087?\u1072?\u1083?\u1077?\u1089?\u1090?\u1080?\u1085?\u1089?\u1082?\u1072?\u1090?\u1072? \u1072?\u1076?\u1084?\u1080?\u1085?\u1080?\u1089?\u1090?\u1088?\u1072?\u1094?\u1080?\u1103? \u1085?\u1072? \u1047?\u1072?\u1087?\u1072?\u1076?\u1085?\u1080?\u1103? \u1073?\u1088?\u1103?\u1075? \u1080? \u1048?\u1074?\u1080?\u1094?\u1072?\u1090?\u1072? \u1043?\u1072?\u1079?\u1072?, \u1086?\u1090? \u1076?\u1088?\u1091?\u1075?\u1072?, \u1086?\u1090?\u1085?\u1086?\u1089?\u1085?\u1086? \u1056?\u1072?\u1084?\u1082?\u1086?\u1074?\u1086? \u1089?\u1087?\u1086?\u1088?\u1072?\u1079?\u1091?\u1084?\u1077?\u1085?\u1080?\u1077? \u1084?\u1077?\u1078?\u1076?\u1091? \u1045?\u1074?\u1088?\u1086?\u1087?\u1077?\u1081?\u1089?\u1082?\u1080?\u1103? \u1089?\u1098?\u1102?\u1079? \u1080? \u1055?\u1072?\u1083?\u1077?\u1089?\u1090?\u1080?\u1085?\u1089?\u1082?\u1072?\u1090?\u1072? \u1072?\u1076?\u1084?\u1080?\u1085?\u1080?\u1089?\u1090?\u1088?\u1072?\u1094?\u1080?\u1103? \u1085?\u1072? \u1047?\u1072?\u1087?\u1072?\u1076?\u1085?\u1080?\u1103? \u1073?\u1088?\u1103?\u1075? \u1080? \u1048?\u1074?\u1080?\u1094?\u1072?\u1090?\u1072? \u1043?\u1072?\u1079?\u1072? \u1079?\u1072? \u1086?\u1073?\u1097?\u1080?\u1090?\u1077? \u1087?\u1088?\u1080?\u1085?\u1094?\u1080?\u1087?\u1080? \u1085?\u1072? \u1091?\u1095?\u1072?\u1089?\u1090?\u1080?\u1077? \u1074? \u1087?\u1088?\u1086?\u1075?\u1088?\u1072?\u1084?\u1080? \u1085?\u1072? \u1057?\u1098?\u1102?\u1079?\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Emphasis">
    <w:name w:val="Emphasis"/>
    <w:qFormat/>
    <w:rPr>
      <w:i/>
      <w:iCs/>
      <w:shd w:val="clear" w:color="auto" w:fill="aut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Emphasis">
    <w:name w:val="Emphasis"/>
    <w:qFormat/>
    <w:rPr>
      <w:i/>
      <w:iCs/>
      <w:shd w:val="clear" w:color="auto" w:fill="aut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F3385-508C-49B6-8AA8-4E73ED122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1563</Words>
  <Characters>9113</Characters>
  <Application>Microsoft Office Word</Application>
  <DocSecurity>0</DocSecurity>
  <Lines>175</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2019-07-25T08:42:00Z</dcterms:created>
  <dcterms:modified xsi:type="dcterms:W3CDTF">2019-07-29T08:01:00Z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